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080" w:type="dxa"/>
            <w:vAlign w:val="bottom"/>
          </w:tcPr>
          <w:p>
            <w:pPr>
              <w:spacing w:after="0"/>
              <w:rPr>
                <w:sz w:val="20"/>
                <w:szCs w:val="20"/>
                <w:color w:val="auto"/>
              </w:rPr>
            </w:pPr>
            <w:r>
              <w:rPr>
                <w:rFonts w:ascii="Arial" w:cs="Arial" w:eastAsia="Arial" w:hAnsi="Arial"/>
                <w:sz w:val="18"/>
                <w:szCs w:val="18"/>
                <w:color w:val="auto"/>
              </w:rPr>
              <w:t>For the month of August 2016</w:t>
            </w:r>
          </w:p>
        </w:tc>
        <w:tc>
          <w:tcPr>
            <w:tcW w:w="1340" w:type="dxa"/>
            <w:vAlign w:val="bottom"/>
          </w:tcPr>
          <w:p>
            <w:pPr>
              <w:spacing w:after="0"/>
              <w:rPr>
                <w:sz w:val="20"/>
                <w:szCs w:val="20"/>
                <w:color w:val="auto"/>
              </w:rPr>
            </w:pPr>
          </w:p>
        </w:tc>
      </w:tr>
      <w:tr>
        <w:trPr>
          <w:trHeight w:val="432"/>
        </w:trPr>
        <w:tc>
          <w:tcPr>
            <w:tcW w:w="1008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1340" w:type="dxa"/>
            <w:vAlign w:val="bottom"/>
          </w:tcPr>
          <w:p>
            <w:pPr>
              <w:spacing w:after="0"/>
              <w:rPr>
                <w:sz w:val="24"/>
                <w:szCs w:val="24"/>
                <w:color w:val="auto"/>
              </w:rPr>
            </w:pPr>
          </w:p>
        </w:tc>
      </w:tr>
      <w:tr>
        <w:trPr>
          <w:trHeight w:val="418"/>
        </w:trPr>
        <w:tc>
          <w:tcPr>
            <w:tcW w:w="10080" w:type="dxa"/>
            <w:vAlign w:val="bottom"/>
          </w:tcPr>
          <w:p>
            <w:pPr>
              <w:jc w:val="center"/>
              <w:ind w:left="1250"/>
              <w:spacing w:after="0"/>
              <w:rPr>
                <w:sz w:val="20"/>
                <w:szCs w:val="20"/>
                <w:color w:val="auto"/>
              </w:rPr>
            </w:pPr>
            <w:r>
              <w:rPr>
                <w:rFonts w:ascii="Arial" w:cs="Arial" w:eastAsia="Arial" w:hAnsi="Arial"/>
                <w:sz w:val="18"/>
                <w:szCs w:val="18"/>
                <w:b w:val="1"/>
                <w:bCs w:val="1"/>
                <w:color w:val="auto"/>
                <w:w w:val="93"/>
              </w:rPr>
              <w:t>GasLog Ltd.</w:t>
            </w:r>
          </w:p>
        </w:tc>
        <w:tc>
          <w:tcPr>
            <w:tcW w:w="1340" w:type="dxa"/>
            <w:vAlign w:val="bottom"/>
          </w:tcPr>
          <w:p>
            <w:pPr>
              <w:spacing w:after="0"/>
              <w:rPr>
                <w:sz w:val="24"/>
                <w:szCs w:val="24"/>
                <w:color w:val="auto"/>
              </w:rPr>
            </w:pPr>
          </w:p>
        </w:tc>
      </w:tr>
      <w:tr>
        <w:trPr>
          <w:trHeight w:val="230"/>
        </w:trPr>
        <w:tc>
          <w:tcPr>
            <w:tcW w:w="10080" w:type="dxa"/>
            <w:vAlign w:val="bottom"/>
          </w:tcPr>
          <w:p>
            <w:pPr>
              <w:jc w:val="center"/>
              <w:ind w:left="1270"/>
              <w:spacing w:after="0"/>
              <w:rPr>
                <w:sz w:val="20"/>
                <w:szCs w:val="20"/>
                <w:color w:val="auto"/>
              </w:rPr>
            </w:pPr>
            <w:r>
              <w:rPr>
                <w:rFonts w:ascii="Arial" w:cs="Arial" w:eastAsia="Arial" w:hAnsi="Arial"/>
                <w:sz w:val="18"/>
                <w:szCs w:val="18"/>
                <w:color w:val="auto"/>
                <w:w w:val="91"/>
              </w:rPr>
              <w:t>(Translation of registrant’s name into English)</w:t>
            </w:r>
          </w:p>
        </w:tc>
        <w:tc>
          <w:tcPr>
            <w:tcW w:w="1340" w:type="dxa"/>
            <w:vAlign w:val="bottom"/>
          </w:tcPr>
          <w:p>
            <w:pPr>
              <w:spacing w:after="0"/>
              <w:rPr>
                <w:sz w:val="20"/>
                <w:szCs w:val="20"/>
                <w:color w:val="auto"/>
              </w:rPr>
            </w:pPr>
          </w:p>
        </w:tc>
      </w:tr>
      <w:tr>
        <w:trPr>
          <w:trHeight w:val="418"/>
        </w:trPr>
        <w:tc>
          <w:tcPr>
            <w:tcW w:w="10080" w:type="dxa"/>
            <w:vAlign w:val="bottom"/>
          </w:tcPr>
          <w:p>
            <w:pPr>
              <w:jc w:val="center"/>
              <w:ind w:left="1270"/>
              <w:spacing w:after="0"/>
              <w:rPr>
                <w:sz w:val="20"/>
                <w:szCs w:val="20"/>
                <w:color w:val="auto"/>
              </w:rPr>
            </w:pPr>
            <w:r>
              <w:rPr>
                <w:rFonts w:ascii="Arial" w:cs="Arial" w:eastAsia="Arial" w:hAnsi="Arial"/>
                <w:sz w:val="18"/>
                <w:szCs w:val="18"/>
                <w:color w:val="auto"/>
                <w:w w:val="92"/>
              </w:rPr>
              <w:t>c/o GasLog Monaco S.A.M.</w:t>
            </w:r>
          </w:p>
        </w:tc>
        <w:tc>
          <w:tcPr>
            <w:tcW w:w="1340" w:type="dxa"/>
            <w:vAlign w:val="bottom"/>
          </w:tcPr>
          <w:p>
            <w:pPr>
              <w:spacing w:after="0"/>
              <w:rPr>
                <w:sz w:val="24"/>
                <w:szCs w:val="24"/>
                <w:color w:val="auto"/>
              </w:rPr>
            </w:pPr>
          </w:p>
        </w:tc>
      </w:tr>
      <w:tr>
        <w:trPr>
          <w:trHeight w:val="216"/>
        </w:trPr>
        <w:tc>
          <w:tcPr>
            <w:tcW w:w="10080" w:type="dxa"/>
            <w:vAlign w:val="bottom"/>
          </w:tcPr>
          <w:p>
            <w:pPr>
              <w:jc w:val="center"/>
              <w:ind w:left="1250"/>
              <w:spacing w:after="0"/>
              <w:rPr>
                <w:sz w:val="20"/>
                <w:szCs w:val="20"/>
                <w:color w:val="auto"/>
              </w:rPr>
            </w:pPr>
            <w:r>
              <w:rPr>
                <w:rFonts w:ascii="Arial" w:cs="Arial" w:eastAsia="Arial" w:hAnsi="Arial"/>
                <w:sz w:val="18"/>
                <w:szCs w:val="18"/>
                <w:color w:val="auto"/>
                <w:w w:val="89"/>
              </w:rPr>
              <w:t>Gildo Pastor Center</w:t>
            </w:r>
          </w:p>
        </w:tc>
        <w:tc>
          <w:tcPr>
            <w:tcW w:w="1340" w:type="dxa"/>
            <w:vAlign w:val="bottom"/>
          </w:tcPr>
          <w:p>
            <w:pPr>
              <w:spacing w:after="0"/>
              <w:rPr>
                <w:sz w:val="18"/>
                <w:szCs w:val="18"/>
                <w:color w:val="auto"/>
              </w:rPr>
            </w:pPr>
          </w:p>
        </w:tc>
      </w:tr>
      <w:tr>
        <w:trPr>
          <w:trHeight w:val="216"/>
        </w:trPr>
        <w:tc>
          <w:tcPr>
            <w:tcW w:w="10080" w:type="dxa"/>
            <w:vAlign w:val="bottom"/>
          </w:tcPr>
          <w:p>
            <w:pPr>
              <w:jc w:val="center"/>
              <w:ind w:left="1250"/>
              <w:spacing w:after="0"/>
              <w:rPr>
                <w:sz w:val="20"/>
                <w:szCs w:val="20"/>
                <w:color w:val="auto"/>
              </w:rPr>
            </w:pPr>
            <w:r>
              <w:rPr>
                <w:rFonts w:ascii="Arial" w:cs="Arial" w:eastAsia="Arial" w:hAnsi="Arial"/>
                <w:sz w:val="18"/>
                <w:szCs w:val="18"/>
                <w:color w:val="auto"/>
                <w:w w:val="89"/>
              </w:rPr>
              <w:t>7 Rue du Gabian</w:t>
            </w:r>
          </w:p>
        </w:tc>
        <w:tc>
          <w:tcPr>
            <w:tcW w:w="1340" w:type="dxa"/>
            <w:vAlign w:val="bottom"/>
          </w:tcPr>
          <w:p>
            <w:pPr>
              <w:spacing w:after="0"/>
              <w:rPr>
                <w:sz w:val="18"/>
                <w:szCs w:val="18"/>
                <w:color w:val="auto"/>
              </w:rPr>
            </w:pPr>
          </w:p>
        </w:tc>
      </w:tr>
      <w:tr>
        <w:trPr>
          <w:trHeight w:val="216"/>
        </w:trPr>
        <w:tc>
          <w:tcPr>
            <w:tcW w:w="10080" w:type="dxa"/>
            <w:vAlign w:val="bottom"/>
          </w:tcPr>
          <w:p>
            <w:pPr>
              <w:jc w:val="center"/>
              <w:ind w:left="1250"/>
              <w:spacing w:after="0"/>
              <w:rPr>
                <w:sz w:val="20"/>
                <w:szCs w:val="20"/>
                <w:color w:val="auto"/>
              </w:rPr>
            </w:pPr>
            <w:r>
              <w:rPr>
                <w:rFonts w:ascii="Arial" w:cs="Arial" w:eastAsia="Arial" w:hAnsi="Arial"/>
                <w:sz w:val="18"/>
                <w:szCs w:val="18"/>
                <w:color w:val="auto"/>
                <w:w w:val="92"/>
              </w:rPr>
              <w:t>MC 98000, Monaco</w:t>
            </w:r>
          </w:p>
        </w:tc>
        <w:tc>
          <w:tcPr>
            <w:tcW w:w="1340" w:type="dxa"/>
            <w:vAlign w:val="bottom"/>
          </w:tcPr>
          <w:p>
            <w:pPr>
              <w:spacing w:after="0"/>
              <w:rPr>
                <w:sz w:val="18"/>
                <w:szCs w:val="18"/>
                <w:color w:val="auto"/>
              </w:rPr>
            </w:pPr>
          </w:p>
        </w:tc>
      </w:tr>
      <w:tr>
        <w:trPr>
          <w:trHeight w:val="230"/>
        </w:trPr>
        <w:tc>
          <w:tcPr>
            <w:tcW w:w="10080" w:type="dxa"/>
            <w:vAlign w:val="bottom"/>
          </w:tcPr>
          <w:p>
            <w:pPr>
              <w:jc w:val="center"/>
              <w:ind w:left="1250"/>
              <w:spacing w:after="0"/>
              <w:rPr>
                <w:sz w:val="20"/>
                <w:szCs w:val="20"/>
                <w:color w:val="auto"/>
              </w:rPr>
            </w:pPr>
            <w:r>
              <w:rPr>
                <w:rFonts w:ascii="Arial" w:cs="Arial" w:eastAsia="Arial" w:hAnsi="Arial"/>
                <w:sz w:val="18"/>
                <w:szCs w:val="18"/>
                <w:color w:val="auto"/>
                <w:w w:val="92"/>
              </w:rPr>
              <w:t>(Address of principal executive office)</w:t>
            </w:r>
          </w:p>
        </w:tc>
        <w:tc>
          <w:tcPr>
            <w:tcW w:w="1340" w:type="dxa"/>
            <w:vAlign w:val="bottom"/>
          </w:tcPr>
          <w:p>
            <w:pPr>
              <w:spacing w:after="0"/>
              <w:rPr>
                <w:sz w:val="20"/>
                <w:szCs w:val="20"/>
                <w:color w:val="auto"/>
              </w:rPr>
            </w:pPr>
          </w:p>
        </w:tc>
      </w:tr>
      <w:tr>
        <w:trPr>
          <w:trHeight w:val="432"/>
        </w:trPr>
        <w:tc>
          <w:tcPr>
            <w:tcW w:w="1008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340" w:type="dxa"/>
            <w:vAlign w:val="bottom"/>
          </w:tcPr>
          <w:p>
            <w:pPr>
              <w:spacing w:after="0"/>
              <w:rPr>
                <w:sz w:val="24"/>
                <w:szCs w:val="24"/>
                <w:color w:val="auto"/>
              </w:rPr>
            </w:pPr>
          </w:p>
        </w:tc>
      </w:tr>
      <w:tr>
        <w:trPr>
          <w:trHeight w:val="452"/>
        </w:trPr>
        <w:tc>
          <w:tcPr>
            <w:tcW w:w="1008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1340" w:type="dxa"/>
            <w:vAlign w:val="bottom"/>
          </w:tcPr>
          <w:p>
            <w:pPr>
              <w:spacing w:after="0"/>
              <w:rPr>
                <w:sz w:val="24"/>
                <w:szCs w:val="24"/>
                <w:color w:val="auto"/>
              </w:rPr>
            </w:pPr>
          </w:p>
        </w:tc>
      </w:tr>
      <w:tr>
        <w:trPr>
          <w:trHeight w:val="412"/>
        </w:trPr>
        <w:tc>
          <w:tcPr>
            <w:tcW w:w="1008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340" w:type="dxa"/>
            <w:vAlign w:val="bottom"/>
          </w:tcPr>
          <w:p>
            <w:pPr>
              <w:ind w:left="1120"/>
              <w:spacing w:after="0"/>
              <w:rPr>
                <w:sz w:val="20"/>
                <w:szCs w:val="20"/>
                <w:color w:val="auto"/>
              </w:rPr>
            </w:pPr>
            <w:r>
              <w:rPr>
                <w:rFonts w:ascii="Arial" w:cs="Arial" w:eastAsia="Arial" w:hAnsi="Arial"/>
                <w:sz w:val="18"/>
                <w:szCs w:val="18"/>
                <w:color w:val="auto"/>
              </w:rPr>
              <w:t>o</w:t>
            </w:r>
          </w:p>
        </w:tc>
      </w:tr>
      <w:tr>
        <w:trPr>
          <w:trHeight w:val="432"/>
        </w:trPr>
        <w:tc>
          <w:tcPr>
            <w:tcW w:w="1008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340" w:type="dxa"/>
            <w:vAlign w:val="bottom"/>
          </w:tcPr>
          <w:p>
            <w:pPr>
              <w:ind w:left="1120"/>
              <w:spacing w:after="0"/>
              <w:rPr>
                <w:sz w:val="20"/>
                <w:szCs w:val="20"/>
                <w:color w:val="auto"/>
              </w:rPr>
            </w:pPr>
            <w:r>
              <w:rPr>
                <w:rFonts w:ascii="Arial" w:cs="Arial" w:eastAsia="Arial" w:hAnsi="Arial"/>
                <w:sz w:val="18"/>
                <w:szCs w:val="18"/>
                <w:color w:val="auto"/>
              </w:rPr>
              <w:t>o</w:t>
            </w:r>
          </w:p>
        </w:tc>
      </w:tr>
      <w:tr>
        <w:trPr>
          <w:trHeight w:val="277"/>
        </w:trPr>
        <w:tc>
          <w:tcPr>
            <w:tcW w:w="10080" w:type="dxa"/>
            <w:vAlign w:val="bottom"/>
            <w:tcBorders>
              <w:bottom w:val="single" w:sz="8" w:color="C0C0C0"/>
            </w:tcBorders>
          </w:tcPr>
          <w:p>
            <w:pPr>
              <w:spacing w:after="0"/>
              <w:rPr>
                <w:sz w:val="24"/>
                <w:szCs w:val="24"/>
                <w:color w:val="auto"/>
              </w:rPr>
            </w:pPr>
          </w:p>
        </w:tc>
        <w:tc>
          <w:tcPr>
            <w:tcW w:w="134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ind w:right="340" w:firstLine="356"/>
        <w:spacing w:after="0" w:line="293" w:lineRule="auto"/>
        <w:rPr>
          <w:sz w:val="20"/>
          <w:szCs w:val="20"/>
          <w:color w:val="auto"/>
        </w:rPr>
      </w:pPr>
      <w:r>
        <w:rPr>
          <w:rFonts w:ascii="Arial" w:cs="Arial" w:eastAsia="Arial" w:hAnsi="Arial"/>
          <w:sz w:val="16"/>
          <w:szCs w:val="16"/>
          <w:color w:val="auto"/>
        </w:rPr>
        <w:t>The press release issued by GasLog Ltd. on August 4, 2016 relating to its results for the second quarter of 2016 and the related financial report are attached hereto as Exhibits 99.1 and 99.2, respectively.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INCORPORATION BY REFERENCE</w:t>
      </w:r>
    </w:p>
    <w:p>
      <w:pPr>
        <w:spacing w:after="0" w:line="235" w:lineRule="exact"/>
        <w:rPr>
          <w:sz w:val="20"/>
          <w:szCs w:val="20"/>
          <w:color w:val="auto"/>
        </w:rPr>
      </w:pPr>
    </w:p>
    <w:p>
      <w:pPr>
        <w:ind w:firstLine="376"/>
        <w:spacing w:after="0" w:line="271" w:lineRule="auto"/>
        <w:rPr>
          <w:sz w:val="20"/>
          <w:szCs w:val="20"/>
          <w:color w:val="auto"/>
        </w:rPr>
      </w:pPr>
      <w:r>
        <w:rPr>
          <w:rFonts w:ascii="Arial" w:cs="Arial" w:eastAsia="Arial" w:hAnsi="Arial"/>
          <w:sz w:val="16"/>
          <w:szCs w:val="16"/>
          <w:color w:val="auto"/>
        </w:rPr>
        <w:t>Exhibit 99.2 and 99.3 to this Report on Form 6-K shall be incorporated by reference into our registration statements on Form F-3 (File Nos. 333-188817, 333-194894 and 333-210169), initially filed with the Securities and Exchange Commission (the “SEC”) on May 24, 2013, March 28, 2014 and March 14, 2016,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LIST</w:t>
      </w:r>
    </w:p>
    <w:p>
      <w:pPr>
        <w:spacing w:after="0" w:line="221"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color w:val="auto"/>
        </w:rPr>
        <w:t>Exhibit</w:t>
        <w:tab/>
        <w:t>Description</w:t>
      </w:r>
    </w:p>
    <w:p>
      <w:pPr>
        <w:spacing w:after="0" w:line="221"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4"/>
          <w:szCs w:val="14"/>
          <w:color w:val="auto"/>
        </w:rPr>
        <w:t>Press Release dated August 4, 2016</w:t>
      </w:r>
    </w:p>
    <w:p>
      <w:pPr>
        <w:spacing w:after="0" w:line="221"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color w:val="auto"/>
        </w:rPr>
        <w:t>99.2</w:t>
      </w:r>
      <w:r>
        <w:rPr>
          <w:sz w:val="20"/>
          <w:szCs w:val="20"/>
          <w:color w:val="auto"/>
        </w:rPr>
        <w:tab/>
      </w:r>
      <w:r>
        <w:rPr>
          <w:rFonts w:ascii="Arial" w:cs="Arial" w:eastAsia="Arial" w:hAnsi="Arial"/>
          <w:sz w:val="14"/>
          <w:szCs w:val="14"/>
          <w:color w:val="auto"/>
        </w:rPr>
        <w:t>Financial Report for the Three and Six Months Ended June 30, 2016</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Management’s Discussion and Analysis of Financial Condition and Results of Operation</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Unaudited Condensed Consolidated Financial Statements</w:t>
      </w:r>
    </w:p>
    <w:p>
      <w:pPr>
        <w:spacing w:after="0" w:line="221" w:lineRule="exact"/>
        <w:rPr>
          <w:sz w:val="20"/>
          <w:szCs w:val="20"/>
          <w:color w:val="auto"/>
        </w:rPr>
      </w:pPr>
    </w:p>
    <w:p>
      <w:pPr>
        <w:ind w:left="700" w:right="220" w:hanging="688"/>
        <w:spacing w:after="0" w:line="303" w:lineRule="auto"/>
        <w:tabs>
          <w:tab w:leader="none" w:pos="680" w:val="left"/>
        </w:tabs>
        <w:rPr>
          <w:sz w:val="20"/>
          <w:szCs w:val="20"/>
          <w:color w:val="auto"/>
        </w:rPr>
      </w:pPr>
      <w:r>
        <w:rPr>
          <w:rFonts w:ascii="Arial" w:cs="Arial" w:eastAsia="Arial" w:hAnsi="Arial"/>
          <w:sz w:val="16"/>
          <w:szCs w:val="16"/>
          <w:color w:val="auto"/>
        </w:rPr>
        <w:t>99.3</w:t>
      </w:r>
      <w:r>
        <w:rPr>
          <w:sz w:val="20"/>
          <w:szCs w:val="20"/>
          <w:color w:val="auto"/>
        </w:rPr>
        <w:tab/>
      </w:r>
      <w:r>
        <w:rPr>
          <w:rFonts w:ascii="Arial" w:cs="Arial" w:eastAsia="Arial" w:hAnsi="Arial"/>
          <w:sz w:val="14"/>
          <w:szCs w:val="14"/>
          <w:color w:val="auto"/>
        </w:rPr>
        <w:t>Facilities Agreement dated July 19, 2016, relating to $1,050,000,000 Term Loan and Revolving Credit Facilities among GAS-one Ltd., GAS-two Ltd., GAS-six Ltd., GAS-seven Ltd., GAS-eight Ltd., GAS-nine Ltd., GAS-ten Ltd. and GAS-fifteen Ltd. as borrowers, Citigroup Global Market Limited, Credit Suisse AG, Nordea Bank AB, London Branch, Skandinaviska Enskilda Banken AB (publ), HSBC Bank plc, ING Bank N.V., London Branch, Danmarks Skibskredit A/S and the Korea Development Bank as mandated lead arrangers and DVB Bank America N.V. as arranger with Nordea Bank AB, London Branch as agent and security</w:t>
      </w:r>
    </w:p>
    <w:p>
      <w:pPr>
        <w:ind w:left="700"/>
        <w:spacing w:after="0" w:line="196" w:lineRule="auto"/>
        <w:rPr>
          <w:sz w:val="20"/>
          <w:szCs w:val="20"/>
          <w:color w:val="auto"/>
        </w:rPr>
      </w:pPr>
      <w:r>
        <w:rPr>
          <w:rFonts w:ascii="Arial" w:cs="Arial" w:eastAsia="Arial" w:hAnsi="Arial"/>
          <w:sz w:val="16"/>
          <w:szCs w:val="16"/>
          <w:color w:val="auto"/>
        </w:rPr>
        <w:t>agent.</w:t>
      </w:r>
      <w:r>
        <w:rPr>
          <w:rFonts w:ascii="Arial" w:cs="Arial" w:eastAsia="Arial" w:hAnsi="Arial"/>
          <w:sz w:val="27"/>
          <w:szCs w:val="27"/>
          <w:color w:val="auto"/>
          <w:vertAlign w:val="superscript"/>
        </w:rPr>
        <w: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____________</w:t>
      </w:r>
    </w:p>
    <w:p>
      <w:pPr>
        <w:spacing w:after="0" w:line="103" w:lineRule="exact"/>
        <w:rPr>
          <w:sz w:val="20"/>
          <w:szCs w:val="20"/>
          <w:color w:val="auto"/>
        </w:rPr>
      </w:pPr>
    </w:p>
    <w:p>
      <w:pPr>
        <w:ind w:left="240" w:hanging="232"/>
        <w:spacing w:after="0"/>
        <w:tabs>
          <w:tab w:leader="none" w:pos="240" w:val="left"/>
        </w:tabs>
        <w:numPr>
          <w:ilvl w:val="0"/>
          <w:numId w:val="1"/>
        </w:numPr>
        <w:rPr>
          <w:rFonts w:ascii="Arial" w:cs="Arial" w:eastAsia="Arial" w:hAnsi="Arial"/>
          <w:sz w:val="27"/>
          <w:szCs w:val="27"/>
          <w:color w:val="auto"/>
          <w:vertAlign w:val="superscript"/>
        </w:rPr>
      </w:pPr>
      <w:r>
        <w:rPr>
          <w:rFonts w:ascii="Arial" w:cs="Arial" w:eastAsia="Arial" w:hAnsi="Arial"/>
          <w:sz w:val="16"/>
          <w:szCs w:val="16"/>
          <w:color w:val="auto"/>
        </w:rPr>
        <w:t>Confidential material has been redacted and complete exhibits have been separately filed with the SEC.</w:t>
      </w:r>
    </w:p>
    <w:p>
      <w:pPr>
        <w:spacing w:after="0" w:line="180" w:lineRule="exact"/>
        <w:rPr>
          <w:rFonts w:ascii="Arial" w:cs="Arial" w:eastAsia="Arial" w:hAnsi="Arial"/>
          <w:sz w:val="27"/>
          <w:szCs w:val="27"/>
          <w:color w:val="auto"/>
          <w:vertAlign w:val="superscript"/>
        </w:rPr>
      </w:pPr>
    </w:p>
    <w:p>
      <w:pPr>
        <w:ind w:left="5660"/>
        <w:spacing w:after="0"/>
        <w:rPr>
          <w:rFonts w:ascii="Arial" w:cs="Arial" w:eastAsia="Arial" w:hAnsi="Arial"/>
          <w:sz w:val="27"/>
          <w:szCs w:val="27"/>
          <w:color w:val="auto"/>
          <w:vertAlign w:val="superscript"/>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6"/>
          <w:szCs w:val="16"/>
          <w:color w:val="auto"/>
        </w:rPr>
        <w:t>SIGNATURES</w:t>
      </w:r>
    </w:p>
    <w:p>
      <w:pPr>
        <w:spacing w:after="0" w:line="221" w:lineRule="exact"/>
        <w:rPr>
          <w:sz w:val="20"/>
          <w:szCs w:val="20"/>
          <w:color w:val="auto"/>
        </w:rPr>
      </w:pPr>
    </w:p>
    <w:p>
      <w:pPr>
        <w:ind w:firstLine="356"/>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Date: August 4, 2016</w:t>
      </w:r>
    </w:p>
    <w:p>
      <w:pPr>
        <w:spacing w:after="0" w:line="2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GASLOG LTD.,</w:t>
      </w:r>
    </w:p>
    <w:p>
      <w:pPr>
        <w:spacing w:after="0" w:line="221" w:lineRule="exact"/>
        <w:rPr>
          <w:sz w:val="20"/>
          <w:szCs w:val="20"/>
          <w:color w:val="auto"/>
        </w:rPr>
      </w:pPr>
    </w:p>
    <w:p>
      <w:pPr>
        <w:ind w:left="6400"/>
        <w:spacing w:after="0"/>
        <w:tabs>
          <w:tab w:leader="none" w:pos="6740" w:val="left"/>
        </w:tabs>
        <w:rPr>
          <w:sz w:val="20"/>
          <w:szCs w:val="20"/>
          <w:color w:val="auto"/>
        </w:rPr>
      </w:pPr>
      <w:r>
        <w:rPr>
          <w:rFonts w:ascii="Arial" w:cs="Arial" w:eastAsia="Arial" w:hAnsi="Arial"/>
          <w:sz w:val="16"/>
          <w:szCs w:val="16"/>
          <w:color w:val="auto"/>
        </w:rPr>
        <w:t>by</w:t>
        <w:tab/>
        <w:t>/s/ Paul Wogan</w:t>
      </w:r>
    </w:p>
    <w:p>
      <w:pPr>
        <w:spacing w:after="0" w:line="22" w:lineRule="exact"/>
        <w:rPr>
          <w:sz w:val="20"/>
          <w:szCs w:val="20"/>
          <w:color w:val="auto"/>
        </w:rPr>
      </w:pPr>
    </w:p>
    <w:tbl>
      <w:tblPr>
        <w:tblLayout w:type="fixed"/>
        <w:tblInd w:w="6760" w:type="dxa"/>
        <w:tblCellMar>
          <w:top w:w="0" w:type="dxa"/>
          <w:left w:w="0" w:type="dxa"/>
          <w:bottom w:w="0" w:type="dxa"/>
          <w:right w:w="0" w:type="dxa"/>
        </w:tblCellMar>
      </w:tblPr>
      <w:tr>
        <w:trPr>
          <w:trHeight w:val="192"/>
        </w:trPr>
        <w:tc>
          <w:tcPr>
            <w:tcW w:w="5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Name:</w:t>
            </w:r>
          </w:p>
        </w:tc>
        <w:tc>
          <w:tcPr>
            <w:tcW w:w="344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Paul Wogan</w:t>
            </w:r>
          </w:p>
        </w:tc>
      </w:tr>
      <w:tr>
        <w:trPr>
          <w:trHeight w:val="206"/>
        </w:trPr>
        <w:tc>
          <w:tcPr>
            <w:tcW w:w="540" w:type="dxa"/>
            <w:vAlign w:val="bottom"/>
          </w:tcPr>
          <w:p>
            <w:pPr>
              <w:spacing w:after="0"/>
              <w:rPr>
                <w:sz w:val="20"/>
                <w:szCs w:val="20"/>
                <w:color w:val="auto"/>
              </w:rPr>
            </w:pPr>
            <w:r>
              <w:rPr>
                <w:rFonts w:ascii="Arial" w:cs="Arial" w:eastAsia="Arial" w:hAnsi="Arial"/>
                <w:sz w:val="16"/>
                <w:szCs w:val="16"/>
                <w:color w:val="auto"/>
              </w:rPr>
              <w:t>Title:</w:t>
            </w:r>
          </w:p>
        </w:tc>
        <w:tc>
          <w:tcPr>
            <w:tcW w:w="3440" w:type="dxa"/>
            <w:vAlign w:val="bottom"/>
          </w:tcPr>
          <w:p>
            <w:pPr>
              <w:ind w:left="80"/>
              <w:spacing w:after="0"/>
              <w:rPr>
                <w:sz w:val="20"/>
                <w:szCs w:val="20"/>
                <w:color w:val="auto"/>
              </w:rPr>
            </w:pPr>
            <w:r>
              <w:rPr>
                <w:rFonts w:ascii="Arial" w:cs="Arial" w:eastAsia="Arial" w:hAnsi="Arial"/>
                <w:sz w:val="16"/>
                <w:szCs w:val="16"/>
                <w:color w:val="auto"/>
              </w:rPr>
              <w:t>Chief Executive Officer</w:t>
            </w:r>
          </w:p>
        </w:tc>
      </w:tr>
    </w:tbl>
    <w:p>
      <w:pPr>
        <w:spacing w:after="0" w:line="18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140"/>
          </w:cols>
          <w:pgMar w:left="240" w:top="413" w:right="5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Press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Reports Financial Results for the Quarter Ended June 30, 2016</w:t>
      </w:r>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Monaco, August 4, 2016, GasLog Ltd. and its subsidiaries (“GasLog” or “Group” or “Company”) (NYSE: GLOG)</w:t>
      </w:r>
      <w:r>
        <w:rPr>
          <w:rFonts w:ascii="Arial" w:cs="Arial" w:eastAsia="Arial" w:hAnsi="Arial"/>
          <w:sz w:val="18"/>
          <w:szCs w:val="18"/>
          <w:color w:val="auto"/>
        </w:rPr>
        <w:t>, an international owner, operator</w:t>
      </w:r>
      <w:r>
        <w:rPr>
          <w:rFonts w:ascii="Arial" w:cs="Arial" w:eastAsia="Arial" w:hAnsi="Arial"/>
          <w:sz w:val="18"/>
          <w:szCs w:val="18"/>
          <w:b w:val="1"/>
          <w:bCs w:val="1"/>
          <w:color w:val="auto"/>
        </w:rPr>
        <w:t xml:space="preserve"> </w:t>
      </w:r>
      <w:r>
        <w:rPr>
          <w:rFonts w:ascii="Arial" w:cs="Arial" w:eastAsia="Arial" w:hAnsi="Arial"/>
          <w:sz w:val="18"/>
          <w:szCs w:val="18"/>
          <w:color w:val="auto"/>
        </w:rPr>
        <w:t>and manager of liquefied natural gas (“LNG”) carriers, today reported its financial results for the quarter ended June 30, 2016.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Highlights</w:t>
      </w:r>
    </w:p>
    <w:p>
      <w:pPr>
        <w:spacing w:after="0" w:line="229" w:lineRule="exact"/>
        <w:rPr>
          <w:sz w:val="20"/>
          <w:szCs w:val="20"/>
          <w:color w:val="auto"/>
        </w:rPr>
      </w:pPr>
    </w:p>
    <w:p>
      <w:pPr>
        <w:ind w:left="700" w:right="20" w:hanging="692"/>
        <w:spacing w:after="0" w:line="277"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Post quarter-end, successfully chartered the last newbuilding on order without a long-term charter contract to Total Gas &amp; Power Chartering Limited (“Total”) for a period of seven years, commencing in 2018, at attractive rates.</w:t>
      </w:r>
    </w:p>
    <w:p>
      <w:pPr>
        <w:spacing w:after="0" w:line="170" w:lineRule="exact"/>
        <w:rPr>
          <w:rFonts w:ascii="Arial" w:cs="Arial" w:eastAsia="Arial" w:hAnsi="Arial"/>
          <w:sz w:val="18"/>
          <w:szCs w:val="18"/>
          <w:color w:val="auto"/>
        </w:rPr>
      </w:pPr>
    </w:p>
    <w:p>
      <w:pPr>
        <w:ind w:left="700" w:right="200" w:hanging="692"/>
        <w:spacing w:after="0" w:line="277"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Delivery of the </w:t>
      </w:r>
      <w:r>
        <w:rPr>
          <w:rFonts w:ascii="Arial" w:cs="Arial" w:eastAsia="Arial" w:hAnsi="Arial"/>
          <w:sz w:val="18"/>
          <w:szCs w:val="18"/>
          <w:i w:val="1"/>
          <w:iCs w:val="1"/>
          <w:color w:val="auto"/>
        </w:rPr>
        <w:t>GasLog Glasgow</w:t>
      </w:r>
      <w:r>
        <w:rPr>
          <w:rFonts w:ascii="Arial" w:cs="Arial" w:eastAsia="Arial" w:hAnsi="Arial"/>
          <w:sz w:val="18"/>
          <w:szCs w:val="18"/>
          <w:color w:val="auto"/>
        </w:rPr>
        <w:t xml:space="preserve"> on June 30, 2016 and the commencement of its ten-year charter to a subsidiary of BG Group plc. (“BG Group”), now owned by Royal Dutch Shell plc (“Shell”).</w:t>
      </w:r>
    </w:p>
    <w:p>
      <w:pPr>
        <w:spacing w:after="0" w:line="170" w:lineRule="exact"/>
        <w:rPr>
          <w:rFonts w:ascii="Arial" w:cs="Arial" w:eastAsia="Arial" w:hAnsi="Arial"/>
          <w:sz w:val="18"/>
          <w:szCs w:val="18"/>
          <w:color w:val="auto"/>
        </w:rPr>
      </w:pPr>
    </w:p>
    <w:p>
      <w:pPr>
        <w:ind w:left="700" w:right="500" w:hanging="692"/>
        <w:spacing w:after="0" w:line="277"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Post quarter-end, executed debt refinancing of $1.05 billion with a number of international banks, extending the maturity of six existing credit facilities to 2021.</w:t>
      </w:r>
    </w:p>
    <w:p>
      <w:pPr>
        <w:spacing w:after="0" w:line="170" w:lineRule="exact"/>
        <w:rPr>
          <w:rFonts w:ascii="Arial" w:cs="Arial" w:eastAsia="Arial" w:hAnsi="Arial"/>
          <w:sz w:val="18"/>
          <w:szCs w:val="18"/>
          <w:color w:val="auto"/>
        </w:rPr>
      </w:pPr>
    </w:p>
    <w:p>
      <w:pPr>
        <w:ind w:left="700" w:right="660" w:hanging="692"/>
        <w:spacing w:after="0" w:line="277"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Issued NOK 750 million (equivalent to $90.2 million) of new senior unsecured bonds maturing in May 2021 in the Norwegian bond market refinancing NOK 588 million of existing bonds maturing in June 2018.</w:t>
      </w:r>
    </w:p>
    <w:p>
      <w:pPr>
        <w:spacing w:after="0" w:line="170" w:lineRule="exact"/>
        <w:rPr>
          <w:rFonts w:ascii="Arial" w:cs="Arial" w:eastAsia="Arial" w:hAnsi="Arial"/>
          <w:sz w:val="18"/>
          <w:szCs w:val="18"/>
          <w:color w:val="auto"/>
        </w:rPr>
      </w:pPr>
    </w:p>
    <w:p>
      <w:pPr>
        <w:ind w:left="700" w:right="60" w:hanging="692"/>
        <w:spacing w:after="0" w:line="277"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Post quarter-end, GasLog Partners LP (“GasLog Partners” or the “Partnership”) launched a public offering of 2,750,000 common units raising gross proceeds of $53.6 million.</w:t>
      </w:r>
    </w:p>
    <w:p>
      <w:pPr>
        <w:spacing w:after="0" w:line="174" w:lineRule="exact"/>
        <w:rPr>
          <w:rFonts w:ascii="Arial" w:cs="Arial" w:eastAsia="Arial" w:hAnsi="Arial"/>
          <w:sz w:val="18"/>
          <w:szCs w:val="18"/>
          <w:color w:val="auto"/>
        </w:rPr>
      </w:pPr>
    </w:p>
    <w:p>
      <w:pPr>
        <w:ind w:left="700" w:right="320" w:hanging="692"/>
        <w:spacing w:after="0" w:line="197" w:lineRule="auto"/>
        <w:tabs>
          <w:tab w:leader="none" w:pos="700" w:val="left"/>
        </w:tabs>
        <w:numPr>
          <w:ilvl w:val="0"/>
          <w:numId w:val="2"/>
        </w:numPr>
        <w:rPr>
          <w:rFonts w:ascii="Arial" w:cs="Arial" w:eastAsia="Arial" w:hAnsi="Arial"/>
          <w:sz w:val="34"/>
          <w:szCs w:val="34"/>
          <w:color w:val="auto"/>
          <w:vertAlign w:val="superscript"/>
        </w:rPr>
      </w:pPr>
      <w:r>
        <w:rPr>
          <w:rFonts w:ascii="Arial" w:cs="Arial" w:eastAsia="Arial" w:hAnsi="Arial"/>
          <w:sz w:val="17"/>
          <w:szCs w:val="17"/>
          <w:color w:val="auto"/>
        </w:rPr>
        <w:t>Revenues of $114.5 million (Q2 2015: $104.4 million), Profit of $3.3 million (Q2 2015: $16.7 million) and Loss per share of $0.13</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(Q2 2015: Earnings per share of $0.07), for the quarter ended June 30, 2016.</w:t>
      </w:r>
    </w:p>
    <w:p>
      <w:pPr>
        <w:spacing w:after="0" w:line="125" w:lineRule="exact"/>
        <w:rPr>
          <w:rFonts w:ascii="Arial" w:cs="Arial" w:eastAsia="Arial" w:hAnsi="Arial"/>
          <w:sz w:val="34"/>
          <w:szCs w:val="34"/>
          <w:color w:val="auto"/>
          <w:vertAlign w:val="superscript"/>
        </w:rPr>
      </w:pPr>
    </w:p>
    <w:p>
      <w:pPr>
        <w:ind w:left="700" w:hanging="692"/>
        <w:spacing w:after="0"/>
        <w:tabs>
          <w:tab w:leader="none" w:pos="700" w:val="left"/>
        </w:tabs>
        <w:numPr>
          <w:ilvl w:val="0"/>
          <w:numId w:val="2"/>
        </w:numPr>
        <w:rPr>
          <w:rFonts w:ascii="Arial" w:cs="Arial" w:eastAsia="Arial" w:hAnsi="Arial"/>
          <w:sz w:val="34"/>
          <w:szCs w:val="34"/>
          <w:color w:val="auto"/>
          <w:vertAlign w:val="superscript"/>
        </w:rPr>
      </w:pPr>
      <w:r>
        <w:rPr>
          <w:rFonts w:ascii="Arial" w:cs="Arial" w:eastAsia="Arial" w:hAnsi="Arial"/>
          <w:sz w:val="17"/>
          <w:szCs w:val="17"/>
          <w:color w:val="auto"/>
        </w:rPr>
        <w:t>Adjusted Profit</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of $12.9 million (Q2 2015: $10.9 million), EBITDA</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of $73.2 million (Q2 2015: $66.5 million), Adjusted EBITDA</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of $73.7</w:t>
      </w:r>
    </w:p>
    <w:p>
      <w:pPr>
        <w:ind w:left="700"/>
        <w:spacing w:after="0" w:line="234" w:lineRule="auto"/>
        <w:rPr>
          <w:rFonts w:ascii="Arial" w:cs="Arial" w:eastAsia="Arial" w:hAnsi="Arial"/>
          <w:sz w:val="34"/>
          <w:szCs w:val="34"/>
          <w:color w:val="auto"/>
          <w:vertAlign w:val="superscript"/>
        </w:rPr>
      </w:pPr>
      <w:r>
        <w:rPr>
          <w:rFonts w:ascii="Arial" w:cs="Arial" w:eastAsia="Arial" w:hAnsi="Arial"/>
          <w:sz w:val="18"/>
          <w:szCs w:val="18"/>
          <w:color w:val="auto"/>
        </w:rPr>
        <w:t>million (Q2 2015: $64.5 million) and Adjusted Loss per share</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of $0.01</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(Q2 2015: $0.00) for the quarter ended June 30, 2016.</w:t>
      </w:r>
    </w:p>
    <w:p>
      <w:pPr>
        <w:spacing w:after="0" w:line="79" w:lineRule="exact"/>
        <w:rPr>
          <w:rFonts w:ascii="Arial" w:cs="Arial" w:eastAsia="Arial" w:hAnsi="Arial"/>
          <w:sz w:val="34"/>
          <w:szCs w:val="34"/>
          <w:color w:val="auto"/>
          <w:vertAlign w:val="superscript"/>
        </w:rPr>
      </w:pPr>
    </w:p>
    <w:p>
      <w:pPr>
        <w:ind w:left="700" w:hanging="692"/>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dividend of $0.14 per common share payable on August 25, 2016.</w:t>
      </w:r>
    </w:p>
    <w:p>
      <w:pPr>
        <w:spacing w:after="0" w:line="221" w:lineRule="exact"/>
        <w:rPr>
          <w:sz w:val="20"/>
          <w:szCs w:val="20"/>
          <w:color w:val="auto"/>
        </w:rPr>
      </w:pPr>
    </w:p>
    <w:p>
      <w:pPr>
        <w:ind w:left="240" w:right="140" w:hanging="232"/>
        <w:spacing w:after="0" w:line="253" w:lineRule="auto"/>
        <w:tabs>
          <w:tab w:leader="none" w:pos="240" w:val="left"/>
        </w:tabs>
        <w:numPr>
          <w:ilvl w:val="0"/>
          <w:numId w:val="3"/>
        </w:numPr>
        <w:rPr>
          <w:rFonts w:ascii="Arial" w:cs="Arial" w:eastAsia="Arial" w:hAnsi="Arial"/>
          <w:sz w:val="12"/>
          <w:szCs w:val="12"/>
          <w:color w:val="auto"/>
        </w:rPr>
      </w:pPr>
      <w:r>
        <w:rPr>
          <w:rFonts w:ascii="Arial" w:cs="Arial" w:eastAsia="Arial" w:hAnsi="Arial"/>
          <w:sz w:val="14"/>
          <w:szCs w:val="14"/>
          <w:color w:val="auto"/>
        </w:rPr>
        <w:t>EPS and Adjusted EPS are negatively affected by the profit attributable to the non-controlling interest of $11.2 million and the dividend on preferred stock of $2.5 million for the quarter ended June 30, 2016 ($8.5 million and $2.3 million, respectively, for the quarter ended June 30, 2015).</w:t>
      </w:r>
    </w:p>
    <w:p>
      <w:pPr>
        <w:spacing w:after="0" w:line="173" w:lineRule="exact"/>
        <w:rPr>
          <w:rFonts w:ascii="Arial" w:cs="Arial" w:eastAsia="Arial" w:hAnsi="Arial"/>
          <w:sz w:val="12"/>
          <w:szCs w:val="12"/>
          <w:color w:val="auto"/>
        </w:rPr>
      </w:pPr>
    </w:p>
    <w:p>
      <w:pPr>
        <w:jc w:val="both"/>
        <w:ind w:left="240" w:hanging="232"/>
        <w:spacing w:after="0" w:line="238" w:lineRule="auto"/>
        <w:tabs>
          <w:tab w:leader="none" w:pos="240" w:val="left"/>
        </w:tabs>
        <w:numPr>
          <w:ilvl w:val="0"/>
          <w:numId w:val="3"/>
        </w:numPr>
        <w:rPr>
          <w:rFonts w:ascii="Arial" w:cs="Arial" w:eastAsia="Arial" w:hAnsi="Arial"/>
          <w:sz w:val="12"/>
          <w:szCs w:val="12"/>
          <w:color w:val="auto"/>
        </w:rPr>
      </w:pPr>
      <w:r>
        <w:rPr>
          <w:rFonts w:ascii="Arial" w:cs="Arial" w:eastAsia="Arial" w:hAnsi="Arial"/>
          <w:sz w:val="14"/>
          <w:szCs w:val="14"/>
          <w:color w:val="auto"/>
        </w:rPr>
        <w:t>EBITDA, Adjusted EBITDA, Adjusted Profit and Adjusted Earnings/Loss per share (“EPS”) are non-GAAP financial measures, and should not be used in isolation or as a substitute for GasLog’s financial results presented in accordance with International Financial Reporting Standards (“IFRS”). For definition and reconciliation of these measures to the most directly comparable financial measures calculated and presented in accordance with IFRS, please refer to Exhibit II at the end of this press release.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CEO Statement</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Paul Wogan, Chief Executive Officer, stated: “At the end of the quarter, we took delivery of the </w:t>
      </w:r>
      <w:r>
        <w:rPr>
          <w:rFonts w:ascii="Arial" w:cs="Arial" w:eastAsia="Arial" w:hAnsi="Arial"/>
          <w:sz w:val="18"/>
          <w:szCs w:val="18"/>
          <w:i w:val="1"/>
          <w:iCs w:val="1"/>
          <w:color w:val="auto"/>
        </w:rPr>
        <w:t>GasLog Glasgow</w:t>
      </w:r>
      <w:r>
        <w:rPr>
          <w:rFonts w:ascii="Arial" w:cs="Arial" w:eastAsia="Arial" w:hAnsi="Arial"/>
          <w:sz w:val="18"/>
          <w:szCs w:val="18"/>
          <w:color w:val="auto"/>
        </w:rPr>
        <w:t>. This vessel has a ten-year contract with a subsidiary of Shell and is one of eight vessels with multi-year contracts being delivered between 2016 and 2019. Post quarter-end, we were very pleased to announce the fixture of Hull 2801, GasLog’s only remaining open newbuild, to a subsidiary of Total for a minimum of seven years, which meets our objective of broadening GasLog’s long-term customer base.</w:t>
      </w:r>
    </w:p>
    <w:p>
      <w:pPr>
        <w:spacing w:after="0" w:line="187" w:lineRule="exact"/>
        <w:rPr>
          <w:sz w:val="20"/>
          <w:szCs w:val="20"/>
          <w:color w:val="auto"/>
        </w:rPr>
      </w:pPr>
    </w:p>
    <w:p>
      <w:pPr>
        <w:ind w:right="140"/>
        <w:spacing w:after="0" w:line="325" w:lineRule="auto"/>
        <w:rPr>
          <w:sz w:val="20"/>
          <w:szCs w:val="20"/>
          <w:color w:val="auto"/>
        </w:rPr>
      </w:pPr>
      <w:r>
        <w:rPr>
          <w:rFonts w:ascii="Arial" w:cs="Arial" w:eastAsia="Arial" w:hAnsi="Arial"/>
          <w:sz w:val="16"/>
          <w:szCs w:val="16"/>
          <w:color w:val="auto"/>
        </w:rPr>
        <w:t>The Total charter rate is consistent with long-term industry averages, demonstrating the resilience of long-term charter rates compared to the volatility of the short-term market. Once all eight newbuilds are operating under their long-term charters, they will deliver over $180 million of annualized in-built EBITDA</w:t>
      </w:r>
      <w:r>
        <w:rPr>
          <w:rFonts w:ascii="Arial" w:cs="Arial" w:eastAsia="Arial" w:hAnsi="Arial"/>
          <w:sz w:val="26"/>
          <w:szCs w:val="26"/>
          <w:color w:val="auto"/>
          <w:vertAlign w:val="superscript"/>
        </w:rPr>
        <w:t>(3)</w:t>
      </w:r>
      <w:r>
        <w:rPr>
          <w:rFonts w:ascii="Arial" w:cs="Arial" w:eastAsia="Arial" w:hAnsi="Arial"/>
          <w:sz w:val="16"/>
          <w:szCs w:val="16"/>
          <w:color w:val="auto"/>
        </w:rPr>
        <w:t>. Following the Total fixture, GasLog now has 13 vessels with long-term charters that are eligible to be dropped down into GasLog Partners.</w:t>
      </w:r>
    </w:p>
    <w:p>
      <w:pPr>
        <w:spacing w:after="0" w:line="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Whilst the short-term LNG shipping market remains challenging, in recent weeks we have seen increased utilization and improved charter terms such as round-trip economics. With less available tonnage, charterers at times have had to pay increased rates to secure vessels.”</w:t>
      </w:r>
    </w:p>
    <w:p>
      <w:pPr>
        <w:spacing w:after="0" w:line="166" w:lineRule="exact"/>
        <w:rPr>
          <w:sz w:val="20"/>
          <w:szCs w:val="20"/>
          <w:color w:val="auto"/>
        </w:rPr>
      </w:pPr>
    </w:p>
    <w:p>
      <w:pPr>
        <w:ind w:left="240" w:right="20" w:hanging="232"/>
        <w:spacing w:after="0" w:line="253" w:lineRule="auto"/>
        <w:tabs>
          <w:tab w:leader="none" w:pos="240" w:val="left"/>
        </w:tabs>
        <w:numPr>
          <w:ilvl w:val="0"/>
          <w:numId w:val="4"/>
        </w:numPr>
        <w:rPr>
          <w:rFonts w:ascii="Arial" w:cs="Arial" w:eastAsia="Arial" w:hAnsi="Arial"/>
          <w:sz w:val="12"/>
          <w:szCs w:val="12"/>
          <w:color w:val="auto"/>
        </w:rPr>
      </w:pPr>
      <w:r>
        <w:rPr>
          <w:rFonts w:ascii="Arial" w:cs="Arial" w:eastAsia="Arial" w:hAnsi="Arial"/>
          <w:sz w:val="14"/>
          <w:szCs w:val="14"/>
          <w:color w:val="auto"/>
        </w:rPr>
        <w:t>EBITDA, which represents earnings before interest income and expense, gain/loss on interest rate swaps, taxes, depreciation and amortization, is a non-GAAP financial measure. Please refer to Exhibit II at the end of this press release for guidance on the underlying assumptions used to derive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 Declaration</w:t>
      </w:r>
    </w:p>
    <w:p>
      <w:pPr>
        <w:spacing w:after="0" w:line="229"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On May 5, 2016, the board of directors declared a dividend on the Series A Preference Shares of $0.546875 per share, or $2.5 million in the aggregate, payable on July 1, 2016 to holders of record as of June 30, 2016. GasLog paid the declared dividend to the transfer agent on June 28, 2016.</w:t>
      </w:r>
    </w:p>
    <w:p>
      <w:pPr>
        <w:spacing w:after="0" w:line="12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On August 3, 2016, the board of directors declared a quarterly cash dividend of $0.14 per common share payable on August 25, 2016 to shareholders of record as of August 15,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Bond Issuance</w:t>
      </w:r>
    </w:p>
    <w:p>
      <w:pPr>
        <w:spacing w:after="0" w:line="229"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On June 27, 2016, GasLog completed the issuance of NOK 750 million (equivalent to $90.2 million) of new senior unsecured bonds in the Norwegian bond market. The bonds will mature in May 2021 and have a coupon of 6.9% over 3 month NIBOR. The proceeds from the issuance were used to partly refinance GasLog’s existing bonds maturing in June 2018. Simultaneously with the aforementioned bond issuance, GasLog re-purchased and cancelled GasLog’s NOK 588 million of bonds from a total NOK 1 billion of bonds issued in June 27, 2013 and May 2, 2014 at a price of 103% of par value.</w:t>
      </w:r>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GasLog entered into three cross currency swaps (“CCSs”) to exchange interest payments and principal on maturity on the same terms as the NOK 750 million bonds, terminated three of its existing CCSs and decreased the notional amount of its remaining three CCSs to mirror the remaining NOK 412 million of bonds maturing in June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Delivery of the </w:t>
      </w:r>
      <w:r>
        <w:rPr>
          <w:rFonts w:ascii="Arial" w:cs="Arial" w:eastAsia="Arial" w:hAnsi="Arial"/>
          <w:sz w:val="18"/>
          <w:szCs w:val="18"/>
          <w:b w:val="1"/>
          <w:bCs w:val="1"/>
          <w:i w:val="1"/>
          <w:iCs w:val="1"/>
          <w:u w:val="single" w:color="auto"/>
          <w:color w:val="auto"/>
        </w:rPr>
        <w:t>GasLog Glasgow</w:t>
      </w:r>
    </w:p>
    <w:p>
      <w:pPr>
        <w:spacing w:after="0" w:line="229"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 xml:space="preserve">On June 30, 2016, GasLog took delivery of the </w:t>
      </w:r>
      <w:r>
        <w:rPr>
          <w:rFonts w:ascii="Arial" w:cs="Arial" w:eastAsia="Arial" w:hAnsi="Arial"/>
          <w:sz w:val="16"/>
          <w:szCs w:val="16"/>
          <w:i w:val="1"/>
          <w:iCs w:val="1"/>
          <w:color w:val="auto"/>
        </w:rPr>
        <w:t>GasLog Glasgow</w:t>
      </w:r>
      <w:r>
        <w:rPr>
          <w:rFonts w:ascii="Arial" w:cs="Arial" w:eastAsia="Arial" w:hAnsi="Arial"/>
          <w:sz w:val="16"/>
          <w:szCs w:val="16"/>
          <w:color w:val="auto"/>
        </w:rPr>
        <w:t>, an LNG carrier of 174,000 cubic meters capacity with tri-fuel diesel electric propulsion constructed by Samsung Heavy Industries Co. Ltd. (“Samsung”). The vessel is chartered out to Methane Services Limited (“MSL”), a subsidiary of BG Group, now owned by Shell, from its delivery until 2026, with an option for the charterer to extend the terms of the charter at specified rates.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Charter Party Agreement with Total</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July 11, 2016, GasLog entered a time charter party agreement with Total to charter Hull No. 2801 for a period of seven years, commencing in mid-2018 at a date to be finalized ahead of the commencement of the charter. A further option period of three years has been granted at the charterer’s option. The vessel is currently under construction at Hyundai Heavy Industries Co., Ltd. (“Hyundai”) in South Korea and is due to be delivered in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Refinancing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July 19, 2016, GasLog entered into a credit agreement to refinance the existing indebtedness on eight of its on-the-water vessels of up to $1.05 billion (the “Legacy Facility Re-financing”) with a number of international banks. It is comprised of a five-year facility of up to $950.0 million and a revolving credit facility of up to $100.0 million. The vessels covered by the Legacy Facility Re-financing are the </w:t>
      </w:r>
      <w:r>
        <w:rPr>
          <w:rFonts w:ascii="Arial" w:cs="Arial" w:eastAsia="Arial" w:hAnsi="Arial"/>
          <w:sz w:val="18"/>
          <w:szCs w:val="18"/>
          <w:i w:val="1"/>
          <w:iCs w:val="1"/>
          <w:color w:val="auto"/>
        </w:rPr>
        <w:t>GasLog Savannah</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Singapore</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Skagen</w:t>
      </w:r>
      <w:r>
        <w:rPr>
          <w:rFonts w:ascii="Arial" w:cs="Arial" w:eastAsia="Arial" w:hAnsi="Arial"/>
          <w:sz w:val="18"/>
          <w:szCs w:val="18"/>
          <w:color w:val="auto"/>
        </w:rPr>
        <w:t>, the</w:t>
      </w:r>
      <w:r>
        <w:rPr>
          <w:rFonts w:ascii="Arial" w:cs="Arial" w:eastAsia="Arial" w:hAnsi="Arial"/>
          <w:sz w:val="18"/>
          <w:szCs w:val="18"/>
          <w:i w:val="1"/>
          <w:iCs w:val="1"/>
          <w:color w:val="auto"/>
        </w:rPr>
        <w:t xml:space="preserve"> GasLog Seattle</w:t>
      </w:r>
      <w:r>
        <w:rPr>
          <w:rFonts w:ascii="Arial" w:cs="Arial" w:eastAsia="Arial" w:hAnsi="Arial"/>
          <w:sz w:val="18"/>
          <w:szCs w:val="18"/>
          <w:color w:val="auto"/>
        </w:rPr>
        <w:t>, the</w:t>
      </w:r>
      <w:r>
        <w:rPr>
          <w:rFonts w:ascii="Arial" w:cs="Arial" w:eastAsia="Arial" w:hAnsi="Arial"/>
          <w:sz w:val="18"/>
          <w:szCs w:val="18"/>
          <w:i w:val="1"/>
          <w:iCs w:val="1"/>
          <w:color w:val="auto"/>
        </w:rPr>
        <w:t xml:space="preserve"> Solaris</w:t>
      </w:r>
      <w:r>
        <w:rPr>
          <w:rFonts w:ascii="Arial" w:cs="Arial" w:eastAsia="Arial" w:hAnsi="Arial"/>
          <w:sz w:val="18"/>
          <w:szCs w:val="18"/>
          <w:color w:val="auto"/>
        </w:rPr>
        <w:t>, the</w:t>
      </w:r>
      <w:r>
        <w:rPr>
          <w:rFonts w:ascii="Arial" w:cs="Arial" w:eastAsia="Arial" w:hAnsi="Arial"/>
          <w:sz w:val="18"/>
          <w:szCs w:val="18"/>
          <w:i w:val="1"/>
          <w:iCs w:val="1"/>
          <w:color w:val="auto"/>
        </w:rPr>
        <w:t xml:space="preserve"> GasLog Saratoga</w:t>
      </w:r>
      <w:r>
        <w:rPr>
          <w:rFonts w:ascii="Arial" w:cs="Arial" w:eastAsia="Arial" w:hAnsi="Arial"/>
          <w:sz w:val="18"/>
          <w:szCs w:val="18"/>
          <w:color w:val="auto"/>
        </w:rPr>
        <w:t>, the</w:t>
      </w:r>
      <w:r>
        <w:rPr>
          <w:rFonts w:ascii="Arial" w:cs="Arial" w:eastAsia="Arial" w:hAnsi="Arial"/>
          <w:sz w:val="18"/>
          <w:szCs w:val="18"/>
          <w:i w:val="1"/>
          <w:iCs w:val="1"/>
          <w:color w:val="auto"/>
        </w:rPr>
        <w:t xml:space="preserve"> GasLog Salem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GasLog Chelsea</w:t>
      </w:r>
      <w:r>
        <w:rPr>
          <w:rFonts w:ascii="Arial" w:cs="Arial" w:eastAsia="Arial" w:hAnsi="Arial"/>
          <w:sz w:val="18"/>
          <w:szCs w:val="18"/>
          <w:color w:val="auto"/>
        </w:rPr>
        <w:t>. Citibank N.A, Credit Suisse AG and Nordea Bank</w:t>
      </w:r>
      <w:r>
        <w:rPr>
          <w:rFonts w:ascii="Arial" w:cs="Arial" w:eastAsia="Arial" w:hAnsi="Arial"/>
          <w:sz w:val="18"/>
          <w:szCs w:val="18"/>
          <w:i w:val="1"/>
          <w:iCs w:val="1"/>
          <w:color w:val="auto"/>
        </w:rPr>
        <w:t xml:space="preserve"> </w:t>
      </w:r>
      <w:r>
        <w:rPr>
          <w:rFonts w:ascii="Arial" w:cs="Arial" w:eastAsia="Arial" w:hAnsi="Arial"/>
          <w:sz w:val="18"/>
          <w:szCs w:val="18"/>
          <w:color w:val="auto"/>
        </w:rPr>
        <w:t>AB were mandated lead arrangers to the transaction.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Swap Termination</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July 18, 2016, the Group terminated interest rate swap agreements with an aggregate notional value of $874.9 million, associated with the six legacy facilities being re-financed by the Legacy Facility Re-financing. Concomitantly, GasLog entered into new interest rate swap agreements with a notional value of $870.0 million in aggregate, maturing between 2020 and 2022.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Retirement of Chief Operating Officer</w:t>
      </w:r>
    </w:p>
    <w:p>
      <w:pPr>
        <w:spacing w:after="0" w:line="229" w:lineRule="exact"/>
        <w:rPr>
          <w:sz w:val="20"/>
          <w:szCs w:val="20"/>
          <w:color w:val="auto"/>
        </w:rPr>
      </w:pPr>
    </w:p>
    <w:p>
      <w:pPr>
        <w:jc w:val="both"/>
        <w:ind w:firstLine="396"/>
        <w:spacing w:after="0" w:line="293" w:lineRule="auto"/>
        <w:rPr>
          <w:sz w:val="20"/>
          <w:szCs w:val="20"/>
          <w:color w:val="auto"/>
        </w:rPr>
      </w:pPr>
      <w:r>
        <w:rPr>
          <w:rFonts w:ascii="Arial" w:cs="Arial" w:eastAsia="Arial" w:hAnsi="Arial"/>
          <w:sz w:val="16"/>
          <w:szCs w:val="16"/>
          <w:color w:val="auto"/>
        </w:rPr>
        <w:t>In June 2016, Graham Westgarth, GasLog’s Chief Operating Officer (“COO”) informed the board of directors of his intention to retire as of May 2017. We anticipate that Mr. Westgarth will be nominated, following his retirement, to serve on the GasLog Board as part of the 2017 Annual General Meeting. By the time of his retirement Mr. Westgarth will have been at GasLog for over four years in his role as COO and has been instrumental in supporting the growth of the business over that time, with a prime focus on the continuation of GasLog’s exceptional safety record and safe effective delivery of its newbuilds. Mr. Westgarth has worked in the global shipping industry in various roles for over forty years, and for five of those years also served as Chairman of INTERTANKO. A search for Mr. Westgarth’s successor is well underway and the retirement date of May 2017 ensures a prudent handover period.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GasLog Partners Equity Offering</w:t>
      </w:r>
    </w:p>
    <w:p>
      <w:pPr>
        <w:spacing w:after="0" w:line="229" w:lineRule="exact"/>
        <w:rPr>
          <w:sz w:val="20"/>
          <w:szCs w:val="20"/>
          <w:color w:val="auto"/>
        </w:rPr>
      </w:pPr>
    </w:p>
    <w:p>
      <w:pPr>
        <w:jc w:val="both"/>
        <w:ind w:firstLine="396"/>
        <w:spacing w:after="0" w:line="279" w:lineRule="auto"/>
        <w:rPr>
          <w:sz w:val="20"/>
          <w:szCs w:val="20"/>
          <w:color w:val="auto"/>
        </w:rPr>
      </w:pPr>
      <w:r>
        <w:rPr>
          <w:rFonts w:ascii="Arial" w:cs="Arial" w:eastAsia="Arial" w:hAnsi="Arial"/>
          <w:sz w:val="17"/>
          <w:szCs w:val="17"/>
          <w:color w:val="auto"/>
        </w:rPr>
        <w:t>On August 1, 2016, GasLog Partners announced that it has priced its public offering of 2,750,000 common units at a price to the public of $19.50 per common unit. The Partnership plans to use the net proceeds from the public offering for general partnership purposes, which may include future acquisitions, debt repayment, capital expenditures and additions to working capital. We estimate that the gross proceeds from this offering will be $53.6 million (excluding $1.1 million from the sale of the general partner units to GasLog to maintain its 2.0% interest in the Partnership).</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Financial Summary</w:t>
            </w:r>
          </w:p>
        </w:tc>
        <w:tc>
          <w:tcPr>
            <w:tcW w:w="4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48"/>
        </w:trPr>
        <w:tc>
          <w:tcPr>
            <w:tcW w:w="57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 of U.S. dollars except per share data</w:t>
            </w:r>
          </w:p>
        </w:tc>
        <w:tc>
          <w:tcPr>
            <w:tcW w:w="2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6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For the three months ended</w:t>
            </w:r>
          </w:p>
        </w:tc>
      </w:tr>
      <w:tr>
        <w:trPr>
          <w:trHeight w:val="234"/>
        </w:trPr>
        <w:tc>
          <w:tcPr>
            <w:tcW w:w="154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2015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June 30, 2016</w:t>
            </w:r>
          </w:p>
        </w:tc>
      </w:tr>
      <w:tr>
        <w:trPr>
          <w:trHeight w:val="210"/>
        </w:trPr>
        <w:tc>
          <w:tcPr>
            <w:tcW w:w="572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8"/>
                <w:szCs w:val="18"/>
                <w:color w:val="auto"/>
              </w:rPr>
              <w:t>Revenues</w:t>
            </w:r>
          </w:p>
        </w:tc>
        <w:tc>
          <w:tcPr>
            <w:tcW w:w="218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auto"/>
            </w:tcBorders>
            <w:shd w:val="clear" w:color="auto" w:fill="E5FF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104.4</w:t>
            </w:r>
          </w:p>
        </w:tc>
        <w:tc>
          <w:tcPr>
            <w:tcW w:w="22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auto"/>
            </w:tcBorders>
            <w:shd w:val="clear" w:color="auto" w:fill="E5FF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Borders>
              <w:top w:val="single" w:sz="8" w:color="E5FFFF"/>
            </w:tcBorders>
            <w:shd w:val="clear" w:color="auto" w:fill="E5FFFF"/>
          </w:tcPr>
          <w:p>
            <w:pPr>
              <w:spacing w:after="0"/>
              <w:rPr>
                <w:sz w:val="18"/>
                <w:szCs w:val="18"/>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Profit</w:t>
            </w:r>
          </w:p>
        </w:tc>
        <w:tc>
          <w:tcPr>
            <w:tcW w:w="2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16.7</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r>
      <w:tr>
        <w:trPr>
          <w:trHeight w:val="257"/>
        </w:trPr>
        <w:tc>
          <w:tcPr>
            <w:tcW w:w="5720" w:type="dxa"/>
            <w:vAlign w:val="bottom"/>
            <w:gridSpan w:val="2"/>
            <w:shd w:val="clear" w:color="auto" w:fill="E5FFFF"/>
          </w:tcPr>
          <w:p>
            <w:pPr>
              <w:spacing w:after="0" w:line="256" w:lineRule="exact"/>
              <w:rPr>
                <w:sz w:val="20"/>
                <w:szCs w:val="20"/>
                <w:color w:val="auto"/>
              </w:rPr>
            </w:pPr>
            <w:r>
              <w:rPr>
                <w:rFonts w:ascii="Arial" w:cs="Arial" w:eastAsia="Arial" w:hAnsi="Arial"/>
                <w:sz w:val="18"/>
                <w:szCs w:val="18"/>
                <w:color w:val="auto"/>
              </w:rPr>
              <w:t>Adjusted Profit</w:t>
            </w:r>
            <w:r>
              <w:rPr>
                <w:rFonts w:ascii="Arial" w:cs="Arial" w:eastAsia="Arial" w:hAnsi="Arial"/>
                <w:sz w:val="29"/>
                <w:szCs w:val="29"/>
                <w:color w:val="auto"/>
                <w:vertAlign w:val="superscript"/>
              </w:rPr>
              <w:t>(1)</w:t>
            </w:r>
          </w:p>
        </w:tc>
        <w:tc>
          <w:tcPr>
            <w:tcW w:w="2340" w:type="dxa"/>
            <w:vAlign w:val="bottom"/>
            <w:gridSpan w:val="2"/>
            <w:shd w:val="clear" w:color="auto" w:fill="E5FFFF"/>
          </w:tcPr>
          <w:p>
            <w:pPr>
              <w:jc w:val="right"/>
              <w:ind w:right="5"/>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10.9</w:t>
            </w:r>
          </w:p>
        </w:tc>
        <w:tc>
          <w:tcPr>
            <w:tcW w:w="380" w:type="dxa"/>
            <w:vAlign w:val="bottom"/>
            <w:gridSpan w:val="2"/>
            <w:shd w:val="clear" w:color="auto" w:fill="E5FFFF"/>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12.9</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Profit/(loss) attributable to the owners of GasLog</w:t>
            </w:r>
          </w:p>
        </w:tc>
        <w:tc>
          <w:tcPr>
            <w:tcW w:w="2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8.2</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r>
      <w:tr>
        <w:trPr>
          <w:trHeight w:val="257"/>
        </w:trPr>
        <w:tc>
          <w:tcPr>
            <w:tcW w:w="5720" w:type="dxa"/>
            <w:vAlign w:val="bottom"/>
            <w:gridSpan w:val="2"/>
            <w:shd w:val="clear" w:color="auto" w:fill="E5FFFF"/>
          </w:tcPr>
          <w:p>
            <w:pPr>
              <w:spacing w:after="0" w:line="256" w:lineRule="exact"/>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(1)</w:t>
            </w:r>
          </w:p>
        </w:tc>
        <w:tc>
          <w:tcPr>
            <w:tcW w:w="2340" w:type="dxa"/>
            <w:vAlign w:val="bottom"/>
            <w:gridSpan w:val="2"/>
            <w:shd w:val="clear" w:color="auto" w:fill="E5FFFF"/>
          </w:tcPr>
          <w:p>
            <w:pPr>
              <w:jc w:val="right"/>
              <w:ind w:right="5"/>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66.5</w:t>
            </w:r>
          </w:p>
        </w:tc>
        <w:tc>
          <w:tcPr>
            <w:tcW w:w="380" w:type="dxa"/>
            <w:vAlign w:val="bottom"/>
            <w:gridSpan w:val="2"/>
            <w:shd w:val="clear" w:color="auto" w:fill="E5FFFF"/>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73.2</w:t>
            </w:r>
          </w:p>
        </w:tc>
      </w:tr>
      <w:tr>
        <w:trPr>
          <w:trHeight w:val="257"/>
        </w:trPr>
        <w:tc>
          <w:tcPr>
            <w:tcW w:w="5720" w:type="dxa"/>
            <w:vAlign w:val="bottom"/>
            <w:gridSpan w:val="2"/>
          </w:tcPr>
          <w:p>
            <w:pPr>
              <w:spacing w:after="0" w:line="256"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(1)</w:t>
            </w:r>
          </w:p>
        </w:tc>
        <w:tc>
          <w:tcPr>
            <w:tcW w:w="2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64.5</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73.7</w:t>
            </w:r>
          </w:p>
        </w:tc>
      </w:tr>
      <w:tr>
        <w:trPr>
          <w:trHeight w:val="216"/>
        </w:trPr>
        <w:tc>
          <w:tcPr>
            <w:tcW w:w="57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EPS</w:t>
            </w:r>
          </w:p>
        </w:tc>
        <w:tc>
          <w:tcPr>
            <w:tcW w:w="2340" w:type="dxa"/>
            <w:vAlign w:val="bottom"/>
            <w:gridSpan w:val="2"/>
            <w:shd w:val="clear" w:color="auto" w:fill="E5FFFF"/>
          </w:tcPr>
          <w:p>
            <w:pPr>
              <w:jc w:val="right"/>
              <w:ind w:right="5"/>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0.07</w:t>
            </w:r>
          </w:p>
        </w:tc>
        <w:tc>
          <w:tcPr>
            <w:tcW w:w="380" w:type="dxa"/>
            <w:vAlign w:val="bottom"/>
            <w:gridSpan w:val="2"/>
            <w:shd w:val="clear" w:color="auto" w:fill="E5FFFF"/>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(0.13)</w:t>
            </w:r>
          </w:p>
        </w:tc>
      </w:tr>
      <w:tr>
        <w:trPr>
          <w:trHeight w:val="390"/>
        </w:trPr>
        <w:tc>
          <w:tcPr>
            <w:tcW w:w="5720" w:type="dxa"/>
            <w:vAlign w:val="bottom"/>
            <w:gridSpan w:val="2"/>
          </w:tcPr>
          <w:p>
            <w:pPr>
              <w:spacing w:after="0"/>
              <w:rPr>
                <w:sz w:val="20"/>
                <w:szCs w:val="20"/>
                <w:color w:val="auto"/>
              </w:rPr>
            </w:pPr>
            <w:r>
              <w:rPr>
                <w:rFonts w:ascii="Arial" w:cs="Arial" w:eastAsia="Arial" w:hAnsi="Arial"/>
                <w:sz w:val="18"/>
                <w:szCs w:val="18"/>
                <w:color w:val="auto"/>
              </w:rPr>
              <w:t>Adjusted EPS</w:t>
            </w:r>
            <w:r>
              <w:rPr>
                <w:rFonts w:ascii="Arial" w:cs="Arial" w:eastAsia="Arial" w:hAnsi="Arial"/>
                <w:sz w:val="30"/>
                <w:szCs w:val="30"/>
                <w:color w:val="auto"/>
                <w:vertAlign w:val="superscript"/>
              </w:rPr>
              <w:t>(1)</w:t>
            </w:r>
          </w:p>
        </w:tc>
        <w:tc>
          <w:tcPr>
            <w:tcW w:w="2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r>
    </w:tbl>
    <w:p>
      <w:pPr>
        <w:sectPr>
          <w:pgSz w:w="11900" w:h="16936" w:orient="portrait"/>
          <w:cols w:equalWidth="0" w:num="1">
            <w:col w:w="11420"/>
          </w:cols>
          <w:pgMar w:left="240" w:top="405" w:right="239" w:bottom="0" w:gutter="0" w:footer="0" w:header="0"/>
        </w:sectPr>
      </w:pPr>
    </w:p>
    <w:bookmarkStart w:id="5" w:name="page6"/>
    <w:bookmarkEnd w:id="5"/>
    <w:p>
      <w:pPr>
        <w:ind w:left="232" w:hanging="232"/>
        <w:spacing w:after="0" w:line="238" w:lineRule="auto"/>
        <w:tabs>
          <w:tab w:leader="none" w:pos="232" w:val="left"/>
        </w:tabs>
        <w:numPr>
          <w:ilvl w:val="0"/>
          <w:numId w:val="5"/>
        </w:numPr>
        <w:rPr>
          <w:rFonts w:ascii="Arial" w:cs="Arial" w:eastAsia="Arial" w:hAnsi="Arial"/>
          <w:sz w:val="26"/>
          <w:szCs w:val="26"/>
          <w:color w:val="auto"/>
          <w:vertAlign w:val="superscript"/>
        </w:rPr>
      </w:pPr>
      <w:r>
        <w:rPr>
          <w:rFonts w:ascii="Arial" w:cs="Arial" w:eastAsia="Arial" w:hAnsi="Arial"/>
          <w:sz w:val="16"/>
          <w:szCs w:val="16"/>
          <w:color w:val="auto"/>
        </w:rPr>
        <w:t>Adjusted Profit, EBITDA, Adjusted EBITDA and Adjusted EPS are non-GAAP financial measures, and should not be used in isolation or as a substitute for GasLog’s financial results presented in accordance with IFRS. For definitions and reconciliations of these measurements to the most directly comparable financial measures calculated and presented in accordance with IFRS, please refer to Exhibit II at the end of this press release.</w:t>
      </w:r>
    </w:p>
    <w:p>
      <w:pPr>
        <w:spacing w:after="0" w:line="162"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52"/>
          </w:cols>
          <w:pgMar w:left="248" w:top="341" w:right="399" w:bottom="1440" w:gutter="0" w:footer="0" w:header="0"/>
        </w:sectPr>
      </w:pPr>
    </w:p>
    <w:bookmarkStart w:id="6" w:name="page7"/>
    <w:bookmarkEnd w:id="6"/>
    <w:p>
      <w:pPr>
        <w:ind w:right="120"/>
        <w:spacing w:after="0" w:line="264" w:lineRule="auto"/>
        <w:rPr>
          <w:sz w:val="20"/>
          <w:szCs w:val="20"/>
          <w:color w:val="auto"/>
        </w:rPr>
      </w:pPr>
      <w:r>
        <w:rPr>
          <w:rFonts w:ascii="Arial" w:cs="Arial" w:eastAsia="Arial" w:hAnsi="Arial"/>
          <w:sz w:val="18"/>
          <w:szCs w:val="18"/>
          <w:color w:val="auto"/>
        </w:rPr>
        <w:t xml:space="preserve">There were 1,793 operating days for the quarter ended June 30, 2016, as compared to 1,464 operating days for the quarter ended June 30, 2015. The increase in operating days resulted mainly from the deliveries of the </w:t>
      </w:r>
      <w:r>
        <w:rPr>
          <w:rFonts w:ascii="Arial" w:cs="Arial" w:eastAsia="Arial" w:hAnsi="Arial"/>
          <w:sz w:val="18"/>
          <w:szCs w:val="18"/>
          <w:i w:val="1"/>
          <w:iCs w:val="1"/>
          <w:color w:val="auto"/>
        </w:rPr>
        <w:t>GasLog Salem</w:t>
      </w:r>
      <w:r>
        <w:rPr>
          <w:rFonts w:ascii="Arial" w:cs="Arial" w:eastAsia="Arial" w:hAnsi="Arial"/>
          <w:sz w:val="18"/>
          <w:szCs w:val="18"/>
          <w:color w:val="auto"/>
        </w:rPr>
        <w:t xml:space="preserve"> on April 30, 2015,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on March 29, 2016 and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Glasgow </w:t>
      </w:r>
      <w:r>
        <w:rPr>
          <w:rFonts w:ascii="Arial" w:cs="Arial" w:eastAsia="Arial" w:hAnsi="Arial"/>
          <w:sz w:val="18"/>
          <w:szCs w:val="18"/>
          <w:color w:val="auto"/>
        </w:rPr>
        <w:t>on June 30, 2016.</w:t>
      </w:r>
    </w:p>
    <w:p>
      <w:pPr>
        <w:spacing w:after="0" w:line="18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Profit was $3.3 million for the quarter ended June 30, 2016 ($16.7 million profit for the quarter ended June 30, 2015). This decrease in profit is mainly attributable to four factors: the increased loss on swaps derived from the movement in the fair value of interest rate swaps carried at fair value through profit or loss; the recycling of accumulated loss from equity to the statement of profit or loss related to the CCS agreements that were terminated or modified in June 2016; the increased financial costs derived mainly from the write-off of unamortized bond fees; and the premium as a result of the bond re-purchase. These factors were partially offset by a net increase in profit from operations resulting mainly from the increase in operating days mitigated by a lower daily hire rate affected by the vessels operating in the spot market.</w:t>
      </w:r>
    </w:p>
    <w:p>
      <w:pPr>
        <w:spacing w:after="0" w:line="197" w:lineRule="exact"/>
        <w:rPr>
          <w:sz w:val="20"/>
          <w:szCs w:val="20"/>
          <w:color w:val="auto"/>
        </w:rPr>
      </w:pPr>
    </w:p>
    <w:p>
      <w:pPr>
        <w:jc w:val="both"/>
        <w:ind w:right="260"/>
        <w:spacing w:after="0"/>
        <w:rPr>
          <w:sz w:val="20"/>
          <w:szCs w:val="20"/>
          <w:color w:val="auto"/>
        </w:rPr>
      </w:pPr>
      <w:r>
        <w:rPr>
          <w:rFonts w:ascii="Arial" w:cs="Arial" w:eastAsia="Arial" w:hAnsi="Arial"/>
          <w:sz w:val="16"/>
          <w:szCs w:val="16"/>
          <w:color w:val="auto"/>
        </w:rPr>
        <w:t>Adjusted Profit</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was $12.9 million for the quarter ended June 30, 2016 ($10.9 million for the quarter ended June 30, 2015) adjusted for the effects of the non-cash gain/loss on swaps, the write-off and accelerated amortization of unamortized bond fees and premium, as well as the net foreign exchange losses.</w:t>
      </w:r>
    </w:p>
    <w:p>
      <w:pPr>
        <w:spacing w:after="0" w:line="20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Loss attributable to the owners of GasLog was $7.9 million ($8.2 million profit for the quarter ended June 30, 2015). The decrease in profit attributable to the owners of GasLog resulted from the decrease in profit mentioned above and the increase in profit attributable to the non-controlling interest (GasLog Partners’ third party owners) for the three months ended June 30, 2016 following the dropdown of three vessels to GasLog Partners on July 1, 2015.</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EBITDA</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was $73.2 million for the quarter ended June 30, 2016 ($66.5 million for the quarter ended June 30, 2015).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was $73.7 million for the quarter ended June 30, 2016 ($64.5 million for the quarter ended June 30, 2015).</w:t>
      </w:r>
    </w:p>
    <w:p>
      <w:pPr>
        <w:spacing w:after="0" w:line="14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EPS was a $0.13 loss for the quarter ended June 30, 2016 ($0.07 earnings for the quarter ended June 30, 2015). The decrease in EPS is mainly attributable to the decrease in profit and the increase in profit attributable to non-controlling unitholders of GasLog Partners following the dropdown of three vessels on July 1, 2015.</w:t>
      </w:r>
    </w:p>
    <w:p>
      <w:pPr>
        <w:spacing w:after="0" w:line="185"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Adjusted EPS</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was a $0.01 loss for the quarter ended June 30, 2016 ($0.00 for the quarter ended June 30, 2015). The decrease in Adjusted EPS is attributable to the decrease in profit and the increase in profit attributable to non-controlling interest in the quarter ended June 30, 2016.</w:t>
      </w:r>
    </w:p>
    <w:p>
      <w:pPr>
        <w:spacing w:after="0" w:line="20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Revenues were $114.5 million for the quarter ended June 30, 2016 ($104.4 million for the quarter ended June 30, 2015). The increase was mainly driven by the new deliveries in our fleet (</w:t>
      </w:r>
      <w:r>
        <w:rPr>
          <w:rFonts w:ascii="Arial" w:cs="Arial" w:eastAsia="Arial" w:hAnsi="Arial"/>
          <w:sz w:val="18"/>
          <w:szCs w:val="18"/>
          <w:i w:val="1"/>
          <w:iCs w:val="1"/>
          <w:color w:val="auto"/>
        </w:rPr>
        <w:t>GasLog Salem</w:t>
      </w:r>
      <w:r>
        <w:rPr>
          <w:rFonts w:ascii="Arial" w:cs="Arial" w:eastAsia="Arial" w:hAnsi="Arial"/>
          <w:sz w:val="18"/>
          <w:szCs w:val="18"/>
          <w:color w:val="auto"/>
        </w:rPr>
        <w:t xml:space="preserv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w:t>
      </w:r>
      <w:r>
        <w:rPr>
          <w:rFonts w:ascii="Arial" w:cs="Arial" w:eastAsia="Arial" w:hAnsi="Arial"/>
          <w:sz w:val="18"/>
          <w:szCs w:val="18"/>
          <w:i w:val="1"/>
          <w:iCs w:val="1"/>
          <w:color w:val="auto"/>
        </w:rPr>
        <w:t>GasLog Glasgow</w:t>
      </w:r>
      <w:r>
        <w:rPr>
          <w:rFonts w:ascii="Arial" w:cs="Arial" w:eastAsia="Arial" w:hAnsi="Arial"/>
          <w:sz w:val="18"/>
          <w:szCs w:val="18"/>
          <w:color w:val="auto"/>
        </w:rPr>
        <w:t>) and fewer off-hire days due to drydockings (one drydocking in the second quarter of 2016 as opposed to four for the same period in 2015).</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Vessel operating and supervision costs were $28.0 million for the quarter ended June 30, 2016 ($26.5 million for the quarter ended June 30, 2015).</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Voyage expenses and commissions were $3.3 million for the quarter ended June 30, 2016 ($3.4 million for the quarter ended June 30,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Depreciation of fixed assets was $29.5 million for the quarter ended June 30, 2016 ($27.3 million for the quarter ended June 30, 2015).</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increase in revenues, vessel operating and supervision costs, voyage expenses and commissions and depreciation of fixed assets was mainly attributable to the increase in operating and ownership days from our increased fleet as discussed above.</w:t>
      </w:r>
    </w:p>
    <w:p>
      <w:pPr>
        <w:spacing w:after="0" w:line="17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General and administrative expenses were $10.4 million for the quarter ended June 30, 2016 ($8.3 million for the quarter ended June 30, 2015). The increase is mainly attributable to a decrease in net foreign exchange gains, mainly due to the unfavorable movement of the EUR/USD and GBP/USD exchange rate in the three-month period ended June 30, 2016 as compared to the comparative period in 2015, partially offset by a decrease in legal fees and other professional services.</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Financial costs were $31.5 million for the quarter ended June 30, 2016 ($24.2 million for the quarter ended June 30, 2015). An analysis of financial costs is set forth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All amounts expressed in thousands of U.S. dollars</w:t>
            </w:r>
            <w:r>
              <w:rPr>
                <w:rFonts w:ascii="Arial" w:cs="Arial" w:eastAsia="Arial" w:hAnsi="Arial"/>
                <w:sz w:val="18"/>
                <w:szCs w:val="18"/>
                <w:color w:val="auto"/>
              </w:rPr>
              <w:t>)</w:t>
            </w: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60" w:type="dxa"/>
            <w:vAlign w:val="bottom"/>
            <w:gridSpan w:val="7"/>
          </w:tcPr>
          <w:p>
            <w:pPr>
              <w:ind w:left="480"/>
              <w:spacing w:after="0"/>
              <w:rPr>
                <w:sz w:val="20"/>
                <w:szCs w:val="20"/>
                <w:color w:val="auto"/>
              </w:rPr>
            </w:pPr>
            <w:r>
              <w:rPr>
                <w:rFonts w:ascii="Arial" w:cs="Arial" w:eastAsia="Arial" w:hAnsi="Arial"/>
                <w:sz w:val="18"/>
                <w:szCs w:val="18"/>
                <w:b w:val="1"/>
                <w:bCs w:val="1"/>
                <w:color w:val="auto"/>
              </w:rPr>
              <w:t>For the three months ended</w:t>
            </w:r>
          </w:p>
        </w:tc>
      </w:tr>
      <w:tr>
        <w:trPr>
          <w:trHeight w:val="234"/>
        </w:trPr>
        <w:tc>
          <w:tcPr>
            <w:tcW w:w="6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2015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3"/>
          </w:tcPr>
          <w:p>
            <w:pPr>
              <w:ind w:left="60"/>
              <w:spacing w:after="0"/>
              <w:rPr>
                <w:sz w:val="20"/>
                <w:szCs w:val="20"/>
                <w:color w:val="auto"/>
              </w:rPr>
            </w:pPr>
            <w:r>
              <w:rPr>
                <w:rFonts w:ascii="Arial" w:cs="Arial" w:eastAsia="Arial" w:hAnsi="Arial"/>
                <w:sz w:val="18"/>
                <w:szCs w:val="18"/>
                <w:b w:val="1"/>
                <w:bCs w:val="1"/>
                <w:color w:val="auto"/>
              </w:rPr>
              <w:t>June 30, 2016</w:t>
            </w:r>
          </w:p>
        </w:tc>
      </w:tr>
      <w:tr>
        <w:trPr>
          <w:trHeight w:val="210"/>
        </w:trPr>
        <w:tc>
          <w:tcPr>
            <w:tcW w:w="64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Financial costs</w:t>
            </w:r>
          </w:p>
        </w:tc>
        <w:tc>
          <w:tcPr>
            <w:tcW w:w="150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auto"/>
            </w:tcBorders>
            <w:shd w:val="clear" w:color="auto" w:fill="E5FFFF"/>
          </w:tcPr>
          <w:p>
            <w:pPr>
              <w:spacing w:after="0"/>
              <w:rPr>
                <w:sz w:val="18"/>
                <w:szCs w:val="18"/>
                <w:color w:val="auto"/>
              </w:rPr>
            </w:pPr>
          </w:p>
        </w:tc>
        <w:tc>
          <w:tcPr>
            <w:tcW w:w="1340" w:type="dxa"/>
            <w:vAlign w:val="bottom"/>
            <w:tcBorders>
              <w:top w:val="single" w:sz="8" w:color="auto"/>
            </w:tcBorders>
            <w:shd w:val="clear" w:color="auto" w:fill="E5FFFF"/>
          </w:tcPr>
          <w:p>
            <w:pPr>
              <w:spacing w:after="0"/>
              <w:rPr>
                <w:sz w:val="18"/>
                <w:szCs w:val="18"/>
                <w:color w:val="auto"/>
              </w:rPr>
            </w:pPr>
          </w:p>
        </w:tc>
        <w:tc>
          <w:tcPr>
            <w:tcW w:w="440" w:type="dxa"/>
            <w:vAlign w:val="bottom"/>
            <w:tcBorders>
              <w:top w:val="single" w:sz="8" w:color="E5FFFF"/>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spacing w:after="0"/>
              <w:rPr>
                <w:sz w:val="18"/>
                <w:szCs w:val="18"/>
                <w:color w:val="auto"/>
              </w:rPr>
            </w:pPr>
          </w:p>
        </w:tc>
        <w:tc>
          <w:tcPr>
            <w:tcW w:w="132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Amortization and write-off of deferred loan/bond fees and premium</w:t>
            </w:r>
          </w:p>
        </w:tc>
        <w:tc>
          <w:tcPr>
            <w:tcW w:w="16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440"/>
              <w:spacing w:after="0"/>
              <w:rPr>
                <w:sz w:val="20"/>
                <w:szCs w:val="20"/>
                <w:color w:val="auto"/>
              </w:rPr>
            </w:pPr>
            <w:r>
              <w:rPr>
                <w:rFonts w:ascii="Arial" w:cs="Arial" w:eastAsia="Arial" w:hAnsi="Arial"/>
                <w:sz w:val="18"/>
                <w:szCs w:val="18"/>
                <w:color w:val="auto"/>
              </w:rPr>
              <w:t>3,053</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5,330</w:t>
            </w:r>
          </w:p>
        </w:tc>
        <w:tc>
          <w:tcPr>
            <w:tcW w:w="80" w:type="dxa"/>
            <w:vAlign w:val="bottom"/>
          </w:tcPr>
          <w:p>
            <w:pPr>
              <w:spacing w:after="0"/>
              <w:rPr>
                <w:sz w:val="18"/>
                <w:szCs w:val="18"/>
                <w:color w:val="auto"/>
              </w:rPr>
            </w:pPr>
          </w:p>
        </w:tc>
      </w:tr>
      <w:tr>
        <w:trPr>
          <w:trHeight w:val="216"/>
        </w:trPr>
        <w:tc>
          <w:tcPr>
            <w:tcW w:w="6400" w:type="dxa"/>
            <w:vAlign w:val="bottom"/>
            <w:shd w:val="clear" w:color="auto" w:fill="E5FFFF"/>
          </w:tcPr>
          <w:p>
            <w:pPr>
              <w:spacing w:after="0"/>
              <w:rPr>
                <w:sz w:val="20"/>
                <w:szCs w:val="20"/>
                <w:color w:val="auto"/>
              </w:rPr>
            </w:pPr>
            <w:r>
              <w:rPr>
                <w:rFonts w:ascii="Arial" w:cs="Arial" w:eastAsia="Arial" w:hAnsi="Arial"/>
                <w:sz w:val="18"/>
                <w:szCs w:val="18"/>
                <w:color w:val="auto"/>
              </w:rPr>
              <w:t>Interest expense on loans and realized loss on cash flow hedges</w:t>
            </w:r>
          </w:p>
        </w:tc>
        <w:tc>
          <w:tcPr>
            <w:tcW w:w="15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7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18,064</w:t>
            </w: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17,977</w:t>
            </w:r>
          </w:p>
        </w:tc>
        <w:tc>
          <w:tcPr>
            <w:tcW w:w="80" w:type="dxa"/>
            <w:vAlign w:val="bottom"/>
            <w:shd w:val="clear" w:color="auto" w:fill="E5FF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Interest expense on bond and realized loss on cross-currency swaps</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440"/>
              <w:spacing w:after="0"/>
              <w:rPr>
                <w:sz w:val="20"/>
                <w:szCs w:val="20"/>
                <w:color w:val="auto"/>
              </w:rPr>
            </w:pPr>
            <w:r>
              <w:rPr>
                <w:rFonts w:ascii="Arial" w:cs="Arial" w:eastAsia="Arial" w:hAnsi="Arial"/>
                <w:sz w:val="18"/>
                <w:szCs w:val="18"/>
                <w:color w:val="auto"/>
              </w:rPr>
              <w:t>2,825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2,831</w:t>
            </w:r>
          </w:p>
        </w:tc>
        <w:tc>
          <w:tcPr>
            <w:tcW w:w="80" w:type="dxa"/>
            <w:vAlign w:val="bottom"/>
          </w:tcPr>
          <w:p>
            <w:pPr>
              <w:spacing w:after="0"/>
              <w:rPr>
                <w:sz w:val="18"/>
                <w:szCs w:val="18"/>
                <w:color w:val="auto"/>
              </w:rPr>
            </w:pPr>
          </w:p>
        </w:tc>
      </w:tr>
      <w:tr>
        <w:trPr>
          <w:trHeight w:val="216"/>
        </w:trPr>
        <w:tc>
          <w:tcPr>
            <w:tcW w:w="6400" w:type="dxa"/>
            <w:vAlign w:val="bottom"/>
            <w:shd w:val="clear" w:color="auto" w:fill="E5FFFF"/>
          </w:tcPr>
          <w:p>
            <w:pPr>
              <w:spacing w:after="0"/>
              <w:rPr>
                <w:sz w:val="20"/>
                <w:szCs w:val="20"/>
                <w:color w:val="auto"/>
              </w:rPr>
            </w:pPr>
            <w:r>
              <w:rPr>
                <w:rFonts w:ascii="Arial" w:cs="Arial" w:eastAsia="Arial" w:hAnsi="Arial"/>
                <w:sz w:val="18"/>
                <w:szCs w:val="18"/>
                <w:color w:val="auto"/>
              </w:rPr>
              <w:t>Finance lease charge</w:t>
            </w:r>
          </w:p>
        </w:tc>
        <w:tc>
          <w:tcPr>
            <w:tcW w:w="15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7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2,720</w:t>
            </w:r>
          </w:p>
        </w:tc>
        <w:tc>
          <w:tcPr>
            <w:tcW w:w="80" w:type="dxa"/>
            <w:vAlign w:val="bottom"/>
            <w:shd w:val="clear" w:color="auto" w:fill="E5FF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Loss arising on bond re-purchase at a premium</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2,120</w:t>
            </w:r>
          </w:p>
        </w:tc>
        <w:tc>
          <w:tcPr>
            <w:tcW w:w="80" w:type="dxa"/>
            <w:vAlign w:val="bottom"/>
          </w:tcPr>
          <w:p>
            <w:pPr>
              <w:spacing w:after="0"/>
              <w:rPr>
                <w:sz w:val="18"/>
                <w:szCs w:val="18"/>
                <w:color w:val="auto"/>
              </w:rPr>
            </w:pPr>
          </w:p>
        </w:tc>
      </w:tr>
      <w:tr>
        <w:trPr>
          <w:trHeight w:val="230"/>
        </w:trPr>
        <w:tc>
          <w:tcPr>
            <w:tcW w:w="6400" w:type="dxa"/>
            <w:vAlign w:val="bottom"/>
            <w:shd w:val="clear" w:color="auto" w:fill="E5FFFF"/>
          </w:tcPr>
          <w:p>
            <w:pPr>
              <w:spacing w:after="0"/>
              <w:rPr>
                <w:sz w:val="20"/>
                <w:szCs w:val="20"/>
                <w:color w:val="auto"/>
              </w:rPr>
            </w:pPr>
            <w:r>
              <w:rPr>
                <w:rFonts w:ascii="Arial" w:cs="Arial" w:eastAsia="Arial" w:hAnsi="Arial"/>
                <w:sz w:val="18"/>
                <w:szCs w:val="18"/>
                <w:color w:val="auto"/>
              </w:rPr>
              <w:t>Other financial costs</w:t>
            </w:r>
          </w:p>
        </w:tc>
        <w:tc>
          <w:tcPr>
            <w:tcW w:w="150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17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304</w:t>
            </w:r>
          </w:p>
        </w:tc>
        <w:tc>
          <w:tcPr>
            <w:tcW w:w="2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13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505</w:t>
            </w:r>
          </w:p>
        </w:tc>
        <w:tc>
          <w:tcPr>
            <w:tcW w:w="80" w:type="dxa"/>
            <w:vAlign w:val="bottom"/>
            <w:shd w:val="clear" w:color="auto" w:fill="E5FFFF"/>
          </w:tcPr>
          <w:p>
            <w:pPr>
              <w:spacing w:after="0"/>
              <w:rPr>
                <w:sz w:val="19"/>
                <w:szCs w:val="19"/>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5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24,246</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31,483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00"/>
        <w:spacing w:after="0" w:line="277" w:lineRule="auto"/>
        <w:rPr>
          <w:sz w:val="20"/>
          <w:szCs w:val="20"/>
          <w:color w:val="auto"/>
        </w:rPr>
      </w:pPr>
      <w:r>
        <w:rPr>
          <w:rFonts w:ascii="Arial" w:cs="Arial" w:eastAsia="Arial" w:hAnsi="Arial"/>
          <w:sz w:val="18"/>
          <w:szCs w:val="18"/>
          <w:color w:val="auto"/>
        </w:rPr>
        <w:t>Loss on swaps was $9.0 million for the quarter ended June 30, 2016 ($1.6 million gain for the quarter ended June 30, 2015). An analysis of (gain)/ loss on swaps is set forth below.</w:t>
      </w:r>
    </w:p>
    <w:p>
      <w:pPr>
        <w:sectPr>
          <w:pgSz w:w="11900" w:h="16838" w:orient="portrait"/>
          <w:cols w:equalWidth="0" w:num="1">
            <w:col w:w="11420"/>
          </w:cols>
          <w:pgMar w:left="240" w:top="409" w:right="239"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type w:val="continuous"/>
        </w:sectPr>
      </w:pPr>
    </w:p>
    <w:bookmarkStart w:id="7" w:name="page8"/>
    <w:bookmarkEnd w:id="7"/>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All amounts expressed in thousands of U.S. dollars</w:t>
      </w: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(Gain)/loss on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ind w:right="2820"/>
        <w:spacing w:after="0" w:line="281" w:lineRule="auto"/>
        <w:rPr>
          <w:sz w:val="20"/>
          <w:szCs w:val="20"/>
          <w:color w:val="auto"/>
        </w:rPr>
      </w:pPr>
      <w:r>
        <w:rPr>
          <w:rFonts w:ascii="Arial" w:cs="Arial" w:eastAsia="Arial" w:hAnsi="Arial"/>
          <w:sz w:val="16"/>
          <w:szCs w:val="16"/>
          <w:color w:val="auto"/>
        </w:rPr>
        <w:t>Realized loss on interest rate swaps held for trading Unrealized (gain)/loss on interest rate swaps held for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right="160" w:hanging="179"/>
        <w:spacing w:after="0" w:line="250" w:lineRule="auto"/>
        <w:rPr>
          <w:sz w:val="20"/>
          <w:szCs w:val="20"/>
          <w:color w:val="auto"/>
        </w:rPr>
      </w:pPr>
      <w:r>
        <w:rPr>
          <w:rFonts w:ascii="Arial" w:cs="Arial" w:eastAsia="Arial" w:hAnsi="Arial"/>
          <w:sz w:val="18"/>
          <w:szCs w:val="18"/>
          <w:color w:val="auto"/>
        </w:rPr>
        <w:t>Recycled loss of cash flow hedges reclassified to profit or loss in relation to derivatives no longer designated as hedges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Contracted Charter Revenues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60" w:type="dxa"/>
            <w:vAlign w:val="bottom"/>
            <w:gridSpan w:val="5"/>
          </w:tcPr>
          <w:p>
            <w:pPr>
              <w:jc w:val="right"/>
              <w:ind w:right="570"/>
              <w:spacing w:after="0"/>
              <w:rPr>
                <w:sz w:val="20"/>
                <w:szCs w:val="20"/>
                <w:color w:val="auto"/>
              </w:rPr>
            </w:pPr>
            <w:r>
              <w:rPr>
                <w:rFonts w:ascii="Arial" w:cs="Arial" w:eastAsia="Arial" w:hAnsi="Arial"/>
                <w:sz w:val="18"/>
                <w:szCs w:val="18"/>
                <w:b w:val="1"/>
                <w:bCs w:val="1"/>
                <w:color w:val="auto"/>
              </w:rPr>
              <w:t>For the three months ended</w:t>
            </w:r>
          </w:p>
        </w:tc>
      </w:tr>
      <w:tr>
        <w:trPr>
          <w:trHeight w:val="234"/>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June 30, 2015</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June 30, 2016</w:t>
            </w:r>
          </w:p>
        </w:tc>
      </w:tr>
      <w:tr>
        <w:trPr>
          <w:trHeight w:val="411"/>
        </w:trPr>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2,158</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1,740</w:t>
            </w: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(4,079)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1,372</w:t>
            </w:r>
          </w:p>
        </w:tc>
      </w:tr>
      <w:tr>
        <w:trPr>
          <w:trHeight w:val="446"/>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283</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5,927</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(1,638</w:t>
            </w:r>
          </w:p>
        </w:tc>
        <w:tc>
          <w:tcPr>
            <w:tcW w:w="440" w:type="dxa"/>
            <w:vAlign w:val="bottom"/>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9,039</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604" w:lineRule="exact"/>
        <w:rPr>
          <w:sz w:val="20"/>
          <w:szCs w:val="20"/>
          <w:color w:val="auto"/>
        </w:rPr>
      </w:pPr>
    </w:p>
    <w:p>
      <w:pPr>
        <w:sectPr>
          <w:pgSz w:w="11900" w:h="16838" w:orient="portrait"/>
          <w:cols w:equalWidth="0" w:num="2">
            <w:col w:w="7180" w:space="720"/>
            <w:col w:w="3520"/>
          </w:cols>
          <w:pgMar w:left="240" w:top="405" w:right="239" w:bottom="1440" w:gutter="0" w:footer="0" w:header="0"/>
        </w:sectPr>
      </w:pPr>
    </w:p>
    <w:p>
      <w:pPr>
        <w:spacing w:after="0" w:line="2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GasLog’s contracted charter revenues are estimated to increase from $412.5 million for the fiscal year 2015 to $482.9 million for the fiscal year 2017, based on contracts in effect as of June 30, 2016, without including any extension options. As of June 30, 2016, giving effect to the recently signed agreement with</w:t>
      </w:r>
    </w:p>
    <w:p>
      <w:pPr>
        <w:ind w:right="500"/>
        <w:spacing w:after="0" w:line="205" w:lineRule="auto"/>
        <w:rPr>
          <w:sz w:val="20"/>
          <w:szCs w:val="20"/>
          <w:color w:val="auto"/>
        </w:rPr>
      </w:pPr>
      <w:r>
        <w:rPr>
          <w:rFonts w:ascii="Arial" w:cs="Arial" w:eastAsia="Arial" w:hAnsi="Arial"/>
          <w:sz w:val="18"/>
          <w:szCs w:val="18"/>
          <w:color w:val="auto"/>
        </w:rPr>
        <w:t xml:space="preserve">Total, the total future firm contracted revenue stood at $3.65 billion </w:t>
      </w:r>
      <w:r>
        <w:rPr>
          <w:rFonts w:ascii="Arial" w:cs="Arial" w:eastAsia="Arial" w:hAnsi="Arial"/>
          <w:sz w:val="30"/>
          <w:szCs w:val="30"/>
          <w:color w:val="auto"/>
          <w:vertAlign w:val="superscript"/>
        </w:rPr>
        <w:t>(1)</w:t>
      </w:r>
      <w:r>
        <w:rPr>
          <w:rFonts w:ascii="Arial" w:cs="Arial" w:eastAsia="Arial" w:hAnsi="Arial"/>
          <w:sz w:val="18"/>
          <w:szCs w:val="18"/>
          <w:color w:val="auto"/>
        </w:rPr>
        <w:t>, including the eight vessels owned by GasLog Partners but excluding the vessels operating in the spot market.</w:t>
      </w:r>
    </w:p>
    <w:p>
      <w:pPr>
        <w:spacing w:after="0" w:line="244" w:lineRule="exact"/>
        <w:rPr>
          <w:sz w:val="20"/>
          <w:szCs w:val="20"/>
          <w:color w:val="auto"/>
        </w:rPr>
      </w:pPr>
    </w:p>
    <w:p>
      <w:pPr>
        <w:ind w:right="320" w:firstLine="8"/>
        <w:spacing w:after="0" w:line="227" w:lineRule="auto"/>
        <w:tabs>
          <w:tab w:leader="none" w:pos="212"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Contracted revenue calculations assume: (a) 365 revenue days per annum, with 30 off-hire days when the ship undergoes scheduled drydocking; (b) all LNG carriers on order are delivered on schedule; and (c) no exercise of any option to extend the terms of charters.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June 30, 2016, GasLog had $192.6 million of cash and cash equivalents, of which $56.3 million was held in time deposits and the remaining balance in current accounts. As of June 30, 2016, GasLog had $25.1 million in restricted cash in relation to cash held in blocked accounts mainly in order to comply with the covenants under two of its credit facilities, $23.5 million of which was reclassified from restricted cash to cash and cash equivalents following the completion of the Legacy Facility Re-financing in July 2016.</w:t>
      </w:r>
    </w:p>
    <w:p>
      <w:pPr>
        <w:spacing w:after="0" w:line="18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 xml:space="preserve">As of June 30, 2016, GasLog had an aggregate of $2.4 billion of indebtedness outstanding under its credit facilities and bond agreements, of which $179.4 million was repayable within one year, and a $220.8 million finance lease liability related to the sale and leaseback of the </w:t>
      </w:r>
      <w:r>
        <w:rPr>
          <w:rFonts w:ascii="Arial" w:cs="Arial" w:eastAsia="Arial" w:hAnsi="Arial"/>
          <w:sz w:val="16"/>
          <w:szCs w:val="16"/>
          <w:i w:val="1"/>
          <w:iCs w:val="1"/>
          <w:color w:val="auto"/>
        </w:rPr>
        <w:t>Methane Julia Louise</w:t>
      </w:r>
      <w:r>
        <w:rPr>
          <w:rFonts w:ascii="Arial" w:cs="Arial" w:eastAsia="Arial" w:hAnsi="Arial"/>
          <w:sz w:val="16"/>
          <w:szCs w:val="16"/>
          <w:color w:val="auto"/>
        </w:rPr>
        <w:t>.</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June 30, 2016, there was undrawn availability of $1.0 billion under the debt financing agreement entered into on October 16, 2015 with 14 international banks to partially finance the delivery of our six remaining newbuildings expected to be delivered in 2016, 2018 and 2019.</w:t>
      </w:r>
    </w:p>
    <w:p>
      <w:pPr>
        <w:spacing w:after="0" w:line="170"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On April 5, 2016, $395.4 million and $179.7 million under the senior and junior tranche, respectively, of the credit agreements that GasLog and GasLog Partners entered into on February 18, 2016, were drawn to partially refinance $644.0 million of the outstanding debt of GAS-eighteen Ltd., GAS-nineteen Ltd., GAS-twenty Ltd., GAS-twenty one Ltd. and GAS-twenty seven Ltd. The senior tranche facility provides for four advances of $72.3 million and a fifth advance of $106.3 million that shall be repaid in 20 quarterly equal installments commencing three months after the drawdown date. The junior tranche facility provides for four advances of $29.9 million and a fifth advance of $59.9 million that shall be repaid in full 24 months after the drawdown date. Amounts drawn bear interest at LIBOR plus a margin (variable margin for the junior tranche).</w:t>
      </w:r>
    </w:p>
    <w:p>
      <w:pPr>
        <w:spacing w:after="0" w:line="17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As of June 30, 2016, GasLog’s current assets totalled $237.0 million while current liabilities totalled $268.9 million, resulting in a negative working capital position of $31.9 million. Current liabilities include $35.0 million of time charter hires received in advance that are classified as liabilities until such time as the criteria for recognizing the revenue as earned are met.</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June 30, 2016, GasLog’s commitments for capital expenditures are related to the six LNG carriers on order, which have a gross aggregate contract price of approximately $1.23 billion. As of June 30, 2016, the total remaining balance of the contract prices of the six newbuildings was $1.1 billion that GasLog expects to be funded with the $1.0 billion undrawn amount under the financing agreement entered into on October 16, 2015, as well as cash balances and cash from operations.</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GasLog has hedged 38.9% of its expected floating interest rate exposure on its outstanding debt (including the finance lease liability) at a weighted average interest rate of approximately 4.7% (including margin) as of June 30,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Future Deliveries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GasLog has four newbuildings on order at Samsung and two newbuildings on order at Hyundai. Our vessels presently under construction are on schedule and within budget. The expected delivery dates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Hulls</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0"/>
              </w:rPr>
              <w:t>Delivery date</w:t>
            </w:r>
          </w:p>
        </w:tc>
      </w:tr>
      <w:tr>
        <w:trPr>
          <w:trHeight w:val="223"/>
        </w:trPr>
        <w:tc>
          <w:tcPr>
            <w:tcW w:w="20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5"/>
              </w:rPr>
              <w:t>Hull No. 2102</w:t>
            </w:r>
          </w:p>
        </w:tc>
        <w:tc>
          <w:tcPr>
            <w:tcW w:w="440" w:type="dxa"/>
            <w:vAlign w:val="bottom"/>
            <w:tcBorders>
              <w:top w:val="single" w:sz="8" w:color="E5FFFF"/>
            </w:tcBorders>
            <w:shd w:val="clear" w:color="auto" w:fill="E5FFFF"/>
          </w:tcPr>
          <w:p>
            <w:pPr>
              <w:spacing w:after="0"/>
              <w:rPr>
                <w:sz w:val="19"/>
                <w:szCs w:val="19"/>
                <w:color w:val="auto"/>
              </w:rPr>
            </w:pPr>
          </w:p>
        </w:tc>
        <w:tc>
          <w:tcPr>
            <w:tcW w:w="20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89"/>
              </w:rPr>
              <w:t>Q3 2016</w:t>
            </w:r>
          </w:p>
        </w:tc>
      </w:tr>
      <w:tr>
        <w:trPr>
          <w:trHeight w:val="230"/>
        </w:trPr>
        <w:tc>
          <w:tcPr>
            <w:tcW w:w="2520" w:type="dxa"/>
            <w:vAlign w:val="bottom"/>
            <w:gridSpan w:val="2"/>
          </w:tcPr>
          <w:p>
            <w:pPr>
              <w:jc w:val="center"/>
              <w:ind w:right="440"/>
              <w:spacing w:after="0"/>
              <w:rPr>
                <w:sz w:val="20"/>
                <w:szCs w:val="20"/>
                <w:color w:val="auto"/>
              </w:rPr>
            </w:pPr>
            <w:r>
              <w:rPr>
                <w:rFonts w:ascii="Arial" w:cs="Arial" w:eastAsia="Arial" w:hAnsi="Arial"/>
                <w:sz w:val="18"/>
                <w:szCs w:val="18"/>
                <w:color w:val="auto"/>
                <w:w w:val="95"/>
              </w:rPr>
              <w:t>Hull No. 2103</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Q4 2016</w:t>
            </w:r>
          </w:p>
        </w:tc>
      </w:tr>
      <w:tr>
        <w:trPr>
          <w:trHeight w:val="230"/>
        </w:trPr>
        <w:tc>
          <w:tcPr>
            <w:tcW w:w="2520" w:type="dxa"/>
            <w:vAlign w:val="bottom"/>
            <w:gridSpan w:val="2"/>
            <w:shd w:val="clear" w:color="auto" w:fill="E5FFFF"/>
          </w:tcPr>
          <w:p>
            <w:pPr>
              <w:jc w:val="center"/>
              <w:ind w:right="440"/>
              <w:spacing w:after="0"/>
              <w:rPr>
                <w:sz w:val="20"/>
                <w:szCs w:val="20"/>
                <w:color w:val="auto"/>
              </w:rPr>
            </w:pPr>
            <w:r>
              <w:rPr>
                <w:rFonts w:ascii="Arial" w:cs="Arial" w:eastAsia="Arial" w:hAnsi="Arial"/>
                <w:sz w:val="18"/>
                <w:szCs w:val="18"/>
                <w:color w:val="auto"/>
                <w:w w:val="95"/>
              </w:rPr>
              <w:t>Hull No. 2130</w:t>
            </w:r>
          </w:p>
        </w:tc>
        <w:tc>
          <w:tcPr>
            <w:tcW w:w="206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Q1 2018</w:t>
            </w:r>
          </w:p>
        </w:tc>
      </w:tr>
      <w:tr>
        <w:trPr>
          <w:trHeight w:val="230"/>
        </w:trPr>
        <w:tc>
          <w:tcPr>
            <w:tcW w:w="2520" w:type="dxa"/>
            <w:vAlign w:val="bottom"/>
            <w:gridSpan w:val="2"/>
          </w:tcPr>
          <w:p>
            <w:pPr>
              <w:jc w:val="center"/>
              <w:ind w:right="440"/>
              <w:spacing w:after="0"/>
              <w:rPr>
                <w:sz w:val="20"/>
                <w:szCs w:val="20"/>
                <w:color w:val="auto"/>
              </w:rPr>
            </w:pPr>
            <w:r>
              <w:rPr>
                <w:rFonts w:ascii="Arial" w:cs="Arial" w:eastAsia="Arial" w:hAnsi="Arial"/>
                <w:sz w:val="18"/>
                <w:szCs w:val="18"/>
                <w:color w:val="auto"/>
                <w:w w:val="95"/>
              </w:rPr>
              <w:t>Hull No. 2800</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Q1 2018</w:t>
            </w:r>
          </w:p>
        </w:tc>
      </w:tr>
      <w:tr>
        <w:trPr>
          <w:trHeight w:val="230"/>
        </w:trPr>
        <w:tc>
          <w:tcPr>
            <w:tcW w:w="2520" w:type="dxa"/>
            <w:vAlign w:val="bottom"/>
            <w:gridSpan w:val="2"/>
            <w:shd w:val="clear" w:color="auto" w:fill="E5FFFF"/>
          </w:tcPr>
          <w:p>
            <w:pPr>
              <w:jc w:val="center"/>
              <w:ind w:right="440"/>
              <w:spacing w:after="0"/>
              <w:rPr>
                <w:sz w:val="20"/>
                <w:szCs w:val="20"/>
                <w:color w:val="auto"/>
              </w:rPr>
            </w:pPr>
            <w:r>
              <w:rPr>
                <w:rFonts w:ascii="Arial" w:cs="Arial" w:eastAsia="Arial" w:hAnsi="Arial"/>
                <w:sz w:val="18"/>
                <w:szCs w:val="18"/>
                <w:color w:val="auto"/>
                <w:w w:val="95"/>
              </w:rPr>
              <w:t>Hull No. 2801</w:t>
            </w:r>
          </w:p>
        </w:tc>
        <w:tc>
          <w:tcPr>
            <w:tcW w:w="206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Q1 2018</w:t>
            </w:r>
          </w:p>
        </w:tc>
      </w:tr>
      <w:tr>
        <w:trPr>
          <w:trHeight w:val="230"/>
        </w:trPr>
        <w:tc>
          <w:tcPr>
            <w:tcW w:w="2520" w:type="dxa"/>
            <w:vAlign w:val="bottom"/>
            <w:gridSpan w:val="2"/>
          </w:tcPr>
          <w:p>
            <w:pPr>
              <w:jc w:val="center"/>
              <w:ind w:right="440"/>
              <w:spacing w:after="0"/>
              <w:rPr>
                <w:sz w:val="20"/>
                <w:szCs w:val="20"/>
                <w:color w:val="auto"/>
              </w:rPr>
            </w:pPr>
            <w:r>
              <w:rPr>
                <w:rFonts w:ascii="Arial" w:cs="Arial" w:eastAsia="Arial" w:hAnsi="Arial"/>
                <w:sz w:val="18"/>
                <w:szCs w:val="18"/>
                <w:color w:val="auto"/>
                <w:w w:val="95"/>
              </w:rPr>
              <w:t>Hull No. 2131</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Q1 2019</w:t>
            </w:r>
          </w:p>
        </w:tc>
      </w:tr>
    </w:tbl>
    <w:p>
      <w:pPr>
        <w:spacing w:after="0" w:line="174" w:lineRule="exact"/>
        <w:rPr>
          <w:sz w:val="20"/>
          <w:szCs w:val="20"/>
          <w:color w:val="auto"/>
        </w:rPr>
      </w:pPr>
    </w:p>
    <w:p>
      <w:pPr>
        <w:sectPr>
          <w:pgSz w:w="11900" w:h="16838" w:orient="portrait"/>
          <w:cols w:equalWidth="0" w:num="1">
            <w:col w:w="11420"/>
          </w:cols>
          <w:pgMar w:left="240" w:top="405" w:right="2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type w:val="continuous"/>
        </w:sectPr>
      </w:pPr>
    </w:p>
    <w:bookmarkStart w:id="8" w:name="page9"/>
    <w:bookmarkEnd w:id="8"/>
    <w:p>
      <w:pPr>
        <w:spacing w:after="0" w:line="259" w:lineRule="auto"/>
        <w:rPr>
          <w:sz w:val="20"/>
          <w:szCs w:val="20"/>
          <w:color w:val="auto"/>
        </w:rPr>
      </w:pPr>
      <w:r>
        <w:rPr>
          <w:rFonts w:ascii="Arial" w:cs="Arial" w:eastAsia="Arial" w:hAnsi="Arial"/>
          <w:sz w:val="18"/>
          <w:szCs w:val="18"/>
          <w:color w:val="auto"/>
        </w:rPr>
        <w:t>Our subsidiaries that own the vessels expected to be delivered in 2016 have signed seven-year time charters with MSL, a subsidiary of BG Group, now owned by Shell, at attractive rates. Our subsidiaries that own two of the vessels expected to be delivered in 2018 and one vessel expected to be delivered in 2019 have entered into 9.5 year time charters with MSL at similar rates. Finally, our subsidiary that owns the remaining vessel expected to be delivered in 2018 entered into a seven-year time charter with Total, also at attractive rates, in July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LNG Market Update and Outlook</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demand outlook for LNG carriers with long-term charters remains positive. On July 11, 2016, we announced a new seven-year time charter with Total at a rate that is consistent with GasLog’s long-term charter rates, demonstrating the resilience of long-term rates against the volatility of the shorter-term market. We continue to see a number of tenders for multi-year charters for vessels, which will be used to transport volumes from new liquefaction facilities coming online over the coming years.</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second quarter, there were several announcements highlighting the ongoing demand for LNG carriers. In May, PETRONAS’ floating liquefied natural gas (“FLNG”) facility was delivered for operation in Malaysia. The facility is the first of a number of FLNG projects that are scheduled to come online in the next few years. In June, Kinder Morgan received Federal Energy Regulatory Commission (“FERC”) approval for its Elba Island project (“Elba Island”). The 2.5 million tonnes per annum (“mtpa”) project is expected to come online in 2018 and is supported by a 20-year contract with Shell for 100% of the liquefaction capacity. Elba Island is one of several liquefaction projects that has not taken final investment decision (“FID”), but continues to make progress in the current commodity price environment. However, there have been other liquefaction projects, where timing of FID has been pushed back, such as Shell’s Lake Charles project.</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The expanded Panama Canal also was completed in June 2016 and has seen a number of vessel transits since completion. The opening of the expanded canal, which accommodates larger vessels including LNG carriers, should stimulate increased LNG trading activity between the Pacific and Atlantic basins due to greater destination optionality. On July 25, 2016, the first ever LNG carrier transit went through the expanded canal as the </w:t>
      </w:r>
      <w:r>
        <w:rPr>
          <w:rFonts w:ascii="Arial" w:cs="Arial" w:eastAsia="Arial" w:hAnsi="Arial"/>
          <w:sz w:val="18"/>
          <w:szCs w:val="18"/>
          <w:i w:val="1"/>
          <w:iCs w:val="1"/>
          <w:color w:val="auto"/>
        </w:rPr>
        <w:t>Maran Gas Apollonia</w:t>
      </w:r>
      <w:r>
        <w:rPr>
          <w:rFonts w:ascii="Arial" w:cs="Arial" w:eastAsia="Arial" w:hAnsi="Arial"/>
          <w:sz w:val="18"/>
          <w:szCs w:val="18"/>
          <w:color w:val="auto"/>
        </w:rPr>
        <w:t>, which is on charter to Shell, entered the locks on the Atlantic side carrying a cargo from the US Gulf Coast to Asia. Three more LNG transits have been booked in the next month.</w:t>
      </w:r>
    </w:p>
    <w:p>
      <w:pPr>
        <w:spacing w:after="0" w:line="18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New liquefaction projects representing approximately 140 million tonnes per annum of capacity have taken FID and are scheduled to come online between now and 2020. On the demand side, there have been sizeable year-on-year increases in import volumes from many new and existing nations looking to take advantage of low cost LNG. For example, for the six months to June 30, 2016, China and India have imported 29% and 45% more LNG, respectively, versus the same period in 2015. New importers such as Jordan, Egypt, Pakistan, and Lithuania have seen imports rise significantly in 2016 through the use of floating storage re-gasification units (“FSRUs”), which are typically quicker to market and offer greater flexibility than land-based terminals. We expect FSRUs to create additional demand in both new and existing markets for the new LNG coming online.</w:t>
      </w:r>
    </w:p>
    <w:p>
      <w:pPr>
        <w:spacing w:after="0" w:line="17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the shorter term market, spot market rates through 2016 have plateaued around multi-year lows. Whilst it is too early to predict a sustained increase in the spot market, there has been a marked uptick in spot charter terms in recent weeks, with slightly improved freight rates and the ability to achieve round-trip economics on a more frequent basis.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2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GasLog will host a conference call to discuss its results for the second quarter of 2016 at 8:30 a.m. EDT (1:30 p.m. BST) on Thursday, August 4, 2016. Paul Wogan, Chief Executive Officer and Simon Crowe, Chief Financial Officer, will review the Company’s operational and financial performance for the period. Management’s presentation will be followed by a Q&amp;A session.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dial-in numbers for the conference call are as follows:</w:t>
      </w:r>
    </w:p>
    <w:p>
      <w:pPr>
        <w:spacing w:after="0" w:line="225"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1 855 537 5839 (USA)</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44 20 3107 0289 (United Kingdom)</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33 1 70 80 71 53 (France)</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852 3011 4522 (Hong Kong)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Passcode for the call is: 51023262</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A live webcast of the conference call will also be available on the investor relations page of the Company’s website at </w:t>
      </w:r>
      <w:r>
        <w:rPr>
          <w:rFonts w:ascii="Arial" w:cs="Arial" w:eastAsia="Arial" w:hAnsi="Arial"/>
          <w:sz w:val="18"/>
          <w:szCs w:val="18"/>
          <w:u w:val="single" w:color="auto"/>
          <w:color w:val="auto"/>
        </w:rPr>
        <w:t>http://www.gaslogltd.com/investor-relations</w:t>
      </w:r>
      <w:r>
        <w:rPr>
          <w:rFonts w:ascii="Arial" w:cs="Arial" w:eastAsia="Arial" w:hAnsi="Arial"/>
          <w:sz w:val="18"/>
          <w:szCs w:val="18"/>
          <w:color w:val="auto"/>
        </w:rPr>
        <w:t>.</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those unable to participate in the conference call, a replay will also be available from 2:00 p.m. EDT (7:00 p.m. BST) on Thursday, August 4, 2016, until 11:59 p.m. EDT (5:59 a.m. BST) on Thursday, August 11,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replay dial-in numbers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+1 855 859 2056 (USA)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+44 20 3107 0235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 1 70 80 71 79 (France)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+852 3011 4541 (Hong Kong)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Replay passcode: 51023262</w:t>
      </w:r>
    </w:p>
    <w:p>
      <w:pPr>
        <w:sectPr>
          <w:pgSz w:w="11900" w:h="16838" w:orient="portrait"/>
          <w:cols w:equalWidth="0" w:num="1">
            <w:col w:w="11420"/>
          </w:cols>
          <w:pgMar w:left="240" w:top="40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660" w:right="10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long-term charter rates, ship values, factors affecting supply and demand of LNG and LNG shipping and technological advancements;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continued low prices for crude oil and petroleum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enter into time charters with new and existing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9" w:lineRule="exact"/>
        <w:rPr>
          <w:rFonts w:ascii="Arial" w:cs="Arial" w:eastAsia="Arial" w:hAnsi="Arial"/>
          <w:sz w:val="18"/>
          <w:szCs w:val="18"/>
          <w:color w:val="auto"/>
        </w:rPr>
      </w:pPr>
    </w:p>
    <w:p>
      <w:pPr>
        <w:ind w:left="660" w:right="88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ind w:left="660" w:right="54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 or operating expenses;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off-hire days, drydocking requirements and insurance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long-term relationships with major energy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maximize the use of our ships, including the re-employment or disposal of ships not under time charter commitments;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environmental and regulatory conditions, including changes in laws and regulations or actions taken by regulatory authorities;</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availability of skilled labor, ship crews and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ind w:left="660" w:right="54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other risks and uncertainties described in the Company’s Annual Report on Form 20-F filed with the SEC on March 14, 2016 and available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84"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7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Simon Crowe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Jamie Buckland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ir@gaslogltd.com</w:t>
      </w:r>
    </w:p>
    <w:p>
      <w:pPr>
        <w:sectPr>
          <w:pgSz w:w="11900" w:h="16838" w:orient="portrait"/>
          <w:cols w:equalWidth="0" w:num="1">
            <w:col w:w="11400"/>
          </w:cols>
          <w:pgMar w:left="240" w:top="405" w:right="25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5" w:right="25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r>
              <w:rPr>
                <w:rFonts w:ascii="Arial" w:cs="Arial" w:eastAsia="Arial" w:hAnsi="Arial"/>
                <w:sz w:val="18"/>
                <w:szCs w:val="18"/>
                <w:b w:val="1"/>
                <w:bCs w:val="1"/>
                <w:color w:val="auto"/>
              </w:rPr>
              <w:t>EXHIBIT I - Unaudited Interim Financial Information</w:t>
            </w:r>
          </w:p>
        </w:tc>
        <w:tc>
          <w:tcPr>
            <w:tcW w:w="25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380" w:type="dxa"/>
            <w:vAlign w:val="bottom"/>
          </w:tcPr>
          <w:p>
            <w:pPr>
              <w:spacing w:after="0"/>
              <w:rPr>
                <w:sz w:val="20"/>
                <w:szCs w:val="20"/>
                <w:color w:val="auto"/>
              </w:rPr>
            </w:pPr>
            <w:r>
              <w:rPr>
                <w:rFonts w:ascii="Arial" w:cs="Arial" w:eastAsia="Arial" w:hAnsi="Arial"/>
                <w:sz w:val="18"/>
                <w:szCs w:val="18"/>
                <w:b w:val="1"/>
                <w:bCs w:val="1"/>
                <w:color w:val="auto"/>
                <w:w w:val="92"/>
              </w:rPr>
              <w:t>Unaudited condensed consolidated statements of financial position</w:t>
            </w:r>
          </w:p>
        </w:tc>
        <w:tc>
          <w:tcPr>
            <w:tcW w:w="2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b w:val="1"/>
                <w:bCs w:val="1"/>
                <w:color w:val="auto"/>
              </w:rPr>
              <w:t>As of December 31, 2015 and June 30, 2016</w:t>
            </w:r>
          </w:p>
        </w:tc>
        <w:tc>
          <w:tcPr>
            <w:tcW w:w="2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r>
              <w:rPr>
                <w:rFonts w:ascii="Arial" w:cs="Arial" w:eastAsia="Arial" w:hAnsi="Arial"/>
                <w:sz w:val="18"/>
                <w:szCs w:val="18"/>
                <w:b w:val="1"/>
                <w:bCs w:val="1"/>
                <w:color w:val="auto"/>
              </w:rPr>
              <w:t>(Amounts expressed in thousands of U.S. Dollars)</w:t>
            </w:r>
          </w:p>
        </w:tc>
        <w:tc>
          <w:tcPr>
            <w:tcW w:w="25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3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9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0"/>
              </w:rPr>
              <w:t>December 31, 2015</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June 30, 2016</w:t>
            </w:r>
          </w:p>
        </w:tc>
        <w:tc>
          <w:tcPr>
            <w:tcW w:w="0" w:type="dxa"/>
            <w:vAlign w:val="bottom"/>
          </w:tcPr>
          <w:p>
            <w:pPr>
              <w:spacing w:after="0"/>
              <w:rPr>
                <w:sz w:val="1"/>
                <w:szCs w:val="1"/>
                <w:color w:val="auto"/>
              </w:rPr>
            </w:pPr>
          </w:p>
        </w:tc>
      </w:tr>
      <w:tr>
        <w:trPr>
          <w:trHeight w:val="210"/>
        </w:trPr>
        <w:tc>
          <w:tcPr>
            <w:tcW w:w="53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Assets</w:t>
            </w:r>
          </w:p>
        </w:tc>
        <w:tc>
          <w:tcPr>
            <w:tcW w:w="2520" w:type="dxa"/>
            <w:vAlign w:val="bottom"/>
            <w:tcBorders>
              <w:top w:val="single" w:sz="8" w:color="E5FFFF"/>
            </w:tcBorders>
            <w:shd w:val="clear" w:color="auto" w:fill="E5FFFF"/>
          </w:tcPr>
          <w:p>
            <w:pPr>
              <w:spacing w:after="0"/>
              <w:rPr>
                <w:sz w:val="18"/>
                <w:szCs w:val="18"/>
                <w:color w:val="auto"/>
              </w:rPr>
            </w:pPr>
          </w:p>
        </w:tc>
        <w:tc>
          <w:tcPr>
            <w:tcW w:w="1500" w:type="dxa"/>
            <w:vAlign w:val="bottom"/>
            <w:tcBorders>
              <w:top w:val="single" w:sz="8" w:color="auto"/>
            </w:tcBorders>
            <w:shd w:val="clear" w:color="auto" w:fill="E5FFFF"/>
          </w:tcPr>
          <w:p>
            <w:pPr>
              <w:spacing w:after="0"/>
              <w:rPr>
                <w:sz w:val="18"/>
                <w:szCs w:val="18"/>
                <w:color w:val="auto"/>
              </w:rPr>
            </w:pPr>
          </w:p>
        </w:tc>
        <w:tc>
          <w:tcPr>
            <w:tcW w:w="44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2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Goodwill</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9,511</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9,511</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Investment in associate and joint venture</w:t>
            </w:r>
          </w:p>
        </w:tc>
        <w:tc>
          <w:tcPr>
            <w:tcW w:w="4460" w:type="dxa"/>
            <w:vAlign w:val="bottom"/>
            <w:gridSpan w:val="3"/>
          </w:tcPr>
          <w:p>
            <w:pPr>
              <w:jc w:val="right"/>
              <w:ind w:right="440"/>
              <w:spacing w:after="0"/>
              <w:rPr>
                <w:sz w:val="20"/>
                <w:szCs w:val="20"/>
                <w:color w:val="auto"/>
              </w:rPr>
            </w:pPr>
            <w:r>
              <w:rPr>
                <w:rFonts w:ascii="Arial" w:cs="Arial" w:eastAsia="Arial" w:hAnsi="Arial"/>
                <w:sz w:val="18"/>
                <w:szCs w:val="18"/>
                <w:color w:val="auto"/>
              </w:rPr>
              <w:t>6,274</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6,257</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Deferred financing costs</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17,998</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20,197</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4460" w:type="dxa"/>
            <w:vAlign w:val="bottom"/>
            <w:gridSpan w:val="3"/>
          </w:tcPr>
          <w:p>
            <w:pPr>
              <w:jc w:val="right"/>
              <w:ind w:right="440"/>
              <w:spacing w:after="0"/>
              <w:rPr>
                <w:sz w:val="20"/>
                <w:szCs w:val="20"/>
                <w:color w:val="auto"/>
              </w:rPr>
            </w:pPr>
            <w:r>
              <w:rPr>
                <w:rFonts w:ascii="Arial" w:cs="Arial" w:eastAsia="Arial" w:hAnsi="Arial"/>
                <w:sz w:val="18"/>
                <w:szCs w:val="18"/>
                <w:color w:val="auto"/>
              </w:rPr>
              <w:t>28,957</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8,012</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Derivative financial instruments</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61</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Tangible fixed assets</w:t>
            </w:r>
          </w:p>
        </w:tc>
        <w:tc>
          <w:tcPr>
            <w:tcW w:w="4460" w:type="dxa"/>
            <w:vAlign w:val="bottom"/>
            <w:gridSpan w:val="3"/>
          </w:tcPr>
          <w:p>
            <w:pPr>
              <w:jc w:val="right"/>
              <w:ind w:right="440"/>
              <w:spacing w:after="0"/>
              <w:rPr>
                <w:sz w:val="20"/>
                <w:szCs w:val="20"/>
                <w:color w:val="auto"/>
              </w:rPr>
            </w:pPr>
            <w:r>
              <w:rPr>
                <w:rFonts w:ascii="Arial" w:cs="Arial" w:eastAsia="Arial" w:hAnsi="Arial"/>
                <w:sz w:val="18"/>
                <w:szCs w:val="18"/>
                <w:color w:val="auto"/>
              </w:rPr>
              <w:t>3,400,270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3,541,777</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Vessels under construction</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178,405</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135,825</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Vessel held under finance lease</w:t>
            </w:r>
          </w:p>
        </w:tc>
        <w:tc>
          <w:tcPr>
            <w:tcW w:w="2520" w:type="dxa"/>
            <w:vAlign w:val="bottom"/>
          </w:tcPr>
          <w:p>
            <w:pPr>
              <w:spacing w:after="0"/>
              <w:rPr>
                <w:sz w:val="19"/>
                <w:szCs w:val="19"/>
                <w:color w:val="auto"/>
              </w:rPr>
            </w:pP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225,861</w:t>
            </w:r>
          </w:p>
        </w:tc>
        <w:tc>
          <w:tcPr>
            <w:tcW w:w="0" w:type="dxa"/>
            <w:vAlign w:val="bottom"/>
          </w:tcPr>
          <w:p>
            <w:pPr>
              <w:spacing w:after="0"/>
              <w:rPr>
                <w:sz w:val="1"/>
                <w:szCs w:val="1"/>
                <w:color w:val="auto"/>
              </w:rPr>
            </w:pPr>
          </w:p>
        </w:tc>
      </w:tr>
      <w:tr>
        <w:trPr>
          <w:trHeight w:val="210"/>
        </w:trPr>
        <w:tc>
          <w:tcPr>
            <w:tcW w:w="53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non-current assets</w:t>
            </w:r>
          </w:p>
        </w:tc>
        <w:tc>
          <w:tcPr>
            <w:tcW w:w="2520" w:type="dxa"/>
            <w:vAlign w:val="bottom"/>
            <w:tcBorders>
              <w:top w:val="single" w:sz="8" w:color="E5FFFF"/>
            </w:tcBorders>
            <w:shd w:val="clear" w:color="auto" w:fill="E5FFFF"/>
          </w:tcPr>
          <w:p>
            <w:pPr>
              <w:spacing w:after="0"/>
              <w:rPr>
                <w:sz w:val="18"/>
                <w:szCs w:val="18"/>
                <w:color w:val="auto"/>
              </w:rPr>
            </w:pP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3,641,476</w:t>
            </w:r>
          </w:p>
        </w:tc>
        <w:tc>
          <w:tcPr>
            <w:tcW w:w="44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3,947,440</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Trade and other receivables</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16,079</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8,701</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Dividends receivable and due from related parties</w:t>
            </w:r>
          </w:p>
        </w:tc>
        <w:tc>
          <w:tcPr>
            <w:tcW w:w="4460" w:type="dxa"/>
            <w:vAlign w:val="bottom"/>
            <w:gridSpan w:val="3"/>
          </w:tcPr>
          <w:p>
            <w:pPr>
              <w:jc w:val="right"/>
              <w:ind w:right="440"/>
              <w:spacing w:after="0"/>
              <w:rPr>
                <w:sz w:val="20"/>
                <w:szCs w:val="20"/>
                <w:color w:val="auto"/>
              </w:rPr>
            </w:pPr>
            <w:r>
              <w:rPr>
                <w:rFonts w:ascii="Arial" w:cs="Arial" w:eastAsia="Arial" w:hAnsi="Arial"/>
                <w:sz w:val="18"/>
                <w:szCs w:val="18"/>
                <w:color w:val="auto"/>
              </w:rPr>
              <w:t>1,345</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Inventories</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6,496</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5,162</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4460" w:type="dxa"/>
            <w:vAlign w:val="bottom"/>
            <w:gridSpan w:val="3"/>
          </w:tcPr>
          <w:p>
            <w:pPr>
              <w:jc w:val="right"/>
              <w:ind w:right="440"/>
              <w:spacing w:after="0"/>
              <w:rPr>
                <w:sz w:val="20"/>
                <w:szCs w:val="20"/>
                <w:color w:val="auto"/>
              </w:rPr>
            </w:pPr>
            <w:r>
              <w:rPr>
                <w:rFonts w:ascii="Arial" w:cs="Arial" w:eastAsia="Arial" w:hAnsi="Arial"/>
                <w:sz w:val="18"/>
                <w:szCs w:val="18"/>
                <w:color w:val="auto"/>
              </w:rPr>
              <w:t>2,519</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3,592</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Short-term investments</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6,000</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Restricted cash</w:t>
            </w:r>
          </w:p>
        </w:tc>
        <w:tc>
          <w:tcPr>
            <w:tcW w:w="4460" w:type="dxa"/>
            <w:vAlign w:val="bottom"/>
            <w:gridSpan w:val="3"/>
          </w:tcPr>
          <w:p>
            <w:pPr>
              <w:jc w:val="right"/>
              <w:ind w:right="440"/>
              <w:spacing w:after="0"/>
              <w:rPr>
                <w:sz w:val="20"/>
                <w:szCs w:val="20"/>
                <w:color w:val="auto"/>
              </w:rPr>
            </w:pPr>
            <w:r>
              <w:rPr>
                <w:rFonts w:ascii="Arial" w:cs="Arial" w:eastAsia="Arial" w:hAnsi="Arial"/>
                <w:sz w:val="18"/>
                <w:szCs w:val="18"/>
                <w:color w:val="auto"/>
              </w:rPr>
              <w:t>62,718</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25,052</w:t>
            </w:r>
          </w:p>
        </w:tc>
        <w:tc>
          <w:tcPr>
            <w:tcW w:w="0" w:type="dxa"/>
            <w:vAlign w:val="bottom"/>
          </w:tcPr>
          <w:p>
            <w:pPr>
              <w:spacing w:after="0"/>
              <w:rPr>
                <w:sz w:val="1"/>
                <w:szCs w:val="1"/>
                <w:color w:val="auto"/>
              </w:rPr>
            </w:pPr>
          </w:p>
        </w:tc>
      </w:tr>
      <w:tr>
        <w:trPr>
          <w:trHeight w:val="230"/>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Cash and cash equivalents</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302,988</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192,601</w:t>
            </w:r>
          </w:p>
        </w:tc>
        <w:tc>
          <w:tcPr>
            <w:tcW w:w="0" w:type="dxa"/>
            <w:vAlign w:val="bottom"/>
          </w:tcPr>
          <w:p>
            <w:pPr>
              <w:spacing w:after="0"/>
              <w:rPr>
                <w:sz w:val="1"/>
                <w:szCs w:val="1"/>
                <w:color w:val="auto"/>
              </w:rPr>
            </w:pPr>
          </w:p>
        </w:tc>
      </w:tr>
      <w:tr>
        <w:trPr>
          <w:trHeight w:val="210"/>
        </w:trPr>
        <w:tc>
          <w:tcPr>
            <w:tcW w:w="538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current assets</w:t>
            </w:r>
          </w:p>
        </w:tc>
        <w:tc>
          <w:tcPr>
            <w:tcW w:w="2520" w:type="dxa"/>
            <w:vAlign w:val="bottom"/>
            <w:tcBorders>
              <w:bottom w:val="single" w:sz="8" w:color="E5FF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398,145</w:t>
            </w:r>
          </w:p>
        </w:tc>
        <w:tc>
          <w:tcPr>
            <w:tcW w:w="440" w:type="dxa"/>
            <w:vAlign w:val="bottom"/>
            <w:tcBorders>
              <w:bottom w:val="single" w:sz="8" w:color="E5FF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237,040</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assets</w:t>
            </w:r>
          </w:p>
        </w:tc>
        <w:tc>
          <w:tcPr>
            <w:tcW w:w="2520" w:type="dxa"/>
            <w:vAlign w:val="bottom"/>
            <w:tcBorders>
              <w:bottom w:val="single" w:sz="8" w:color="E5FFFF"/>
            </w:tcBorders>
            <w:shd w:val="clear" w:color="auto" w:fill="E5FFFF"/>
          </w:tcPr>
          <w:p>
            <w:pPr>
              <w:spacing w:after="0"/>
              <w:rPr>
                <w:sz w:val="19"/>
                <w:szCs w:val="19"/>
                <w:color w:val="auto"/>
              </w:rPr>
            </w:pP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4,039,621</w:t>
            </w:r>
          </w:p>
        </w:tc>
        <w:tc>
          <w:tcPr>
            <w:tcW w:w="440" w:type="dxa"/>
            <w:vAlign w:val="bottom"/>
            <w:tcBorders>
              <w:bottom w:val="single" w:sz="8" w:color="E5FFFF"/>
            </w:tcBorders>
            <w:shd w:val="clear" w:color="auto" w:fill="E5FFFF"/>
          </w:tcPr>
          <w:p>
            <w:pPr>
              <w:spacing w:after="0"/>
              <w:rPr>
                <w:sz w:val="19"/>
                <w:szCs w:val="19"/>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4,184,480</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25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vMerge w:val="continue"/>
          </w:tcPr>
          <w:p>
            <w:pPr>
              <w:spacing w:after="0"/>
              <w:rPr>
                <w:sz w:val="17"/>
                <w:szCs w:val="17"/>
                <w:color w:val="auto"/>
              </w:rPr>
            </w:pPr>
          </w:p>
        </w:tc>
        <w:tc>
          <w:tcPr>
            <w:tcW w:w="25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Equity</w:t>
            </w:r>
          </w:p>
        </w:tc>
        <w:tc>
          <w:tcPr>
            <w:tcW w:w="2520" w:type="dxa"/>
            <w:vAlign w:val="bottom"/>
            <w:shd w:val="clear" w:color="auto" w:fill="E5FFFF"/>
          </w:tcPr>
          <w:p>
            <w:pPr>
              <w:spacing w:after="0"/>
              <w:rPr>
                <w:sz w:val="18"/>
                <w:szCs w:val="18"/>
                <w:color w:val="auto"/>
              </w:rPr>
            </w:pPr>
          </w:p>
        </w:tc>
        <w:tc>
          <w:tcPr>
            <w:tcW w:w="150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Preferred stock</w:t>
            </w:r>
          </w:p>
        </w:tc>
        <w:tc>
          <w:tcPr>
            <w:tcW w:w="4460" w:type="dxa"/>
            <w:vAlign w:val="bottom"/>
            <w:gridSpan w:val="3"/>
          </w:tcPr>
          <w:p>
            <w:pPr>
              <w:jc w:val="right"/>
              <w:ind w:right="440"/>
              <w:spacing w:after="0"/>
              <w:rPr>
                <w:sz w:val="20"/>
                <w:szCs w:val="20"/>
                <w:color w:val="auto"/>
              </w:rPr>
            </w:pPr>
            <w:r>
              <w:rPr>
                <w:rFonts w:ascii="Arial" w:cs="Arial" w:eastAsia="Arial" w:hAnsi="Arial"/>
                <w:sz w:val="18"/>
                <w:szCs w:val="18"/>
                <w:color w:val="auto"/>
              </w:rPr>
              <w:t>46</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Share capital</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810</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Contributed surplus</w:t>
            </w:r>
          </w:p>
        </w:tc>
        <w:tc>
          <w:tcPr>
            <w:tcW w:w="4460" w:type="dxa"/>
            <w:vAlign w:val="bottom"/>
            <w:gridSpan w:val="3"/>
          </w:tcPr>
          <w:p>
            <w:pPr>
              <w:jc w:val="right"/>
              <w:ind w:right="440"/>
              <w:spacing w:after="0"/>
              <w:rPr>
                <w:sz w:val="20"/>
                <w:szCs w:val="20"/>
                <w:color w:val="auto"/>
              </w:rPr>
            </w:pPr>
            <w:r>
              <w:rPr>
                <w:rFonts w:ascii="Arial" w:cs="Arial" w:eastAsia="Arial" w:hAnsi="Arial"/>
                <w:sz w:val="18"/>
                <w:szCs w:val="18"/>
                <w:color w:val="auto"/>
              </w:rPr>
              <w:t>1,020,292</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994,560</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Reserves</w:t>
            </w:r>
          </w:p>
        </w:tc>
        <w:tc>
          <w:tcPr>
            <w:tcW w:w="4460" w:type="dxa"/>
            <w:vAlign w:val="bottom"/>
            <w:gridSpan w:val="3"/>
            <w:shd w:val="clear" w:color="auto" w:fill="E5FFFF"/>
          </w:tcPr>
          <w:p>
            <w:pPr>
              <w:jc w:val="right"/>
              <w:ind w:right="380"/>
              <w:spacing w:after="0"/>
              <w:rPr>
                <w:sz w:val="20"/>
                <w:szCs w:val="20"/>
                <w:color w:val="auto"/>
              </w:rPr>
            </w:pPr>
            <w:r>
              <w:rPr>
                <w:rFonts w:ascii="Arial" w:cs="Arial" w:eastAsia="Arial" w:hAnsi="Arial"/>
                <w:sz w:val="18"/>
                <w:szCs w:val="18"/>
                <w:color w:val="auto"/>
              </w:rPr>
              <w:t>(8,829)</w:t>
            </w:r>
          </w:p>
        </w:tc>
        <w:tc>
          <w:tcPr>
            <w:tcW w:w="158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(11,893)</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Treasury shares</w:t>
            </w:r>
          </w:p>
        </w:tc>
        <w:tc>
          <w:tcPr>
            <w:tcW w:w="4460" w:type="dxa"/>
            <w:vAlign w:val="bottom"/>
            <w:gridSpan w:val="3"/>
          </w:tcPr>
          <w:p>
            <w:pPr>
              <w:jc w:val="right"/>
              <w:ind w:right="380"/>
              <w:spacing w:after="0"/>
              <w:rPr>
                <w:sz w:val="20"/>
                <w:szCs w:val="20"/>
                <w:color w:val="auto"/>
              </w:rPr>
            </w:pPr>
            <w:r>
              <w:rPr>
                <w:rFonts w:ascii="Arial" w:cs="Arial" w:eastAsia="Arial" w:hAnsi="Arial"/>
                <w:sz w:val="18"/>
                <w:szCs w:val="18"/>
                <w:color w:val="auto"/>
              </w:rPr>
              <w:t>(12,491)</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(11,065)</w:t>
            </w:r>
          </w:p>
        </w:tc>
        <w:tc>
          <w:tcPr>
            <w:tcW w:w="0" w:type="dxa"/>
            <w:vAlign w:val="bottom"/>
          </w:tcPr>
          <w:p>
            <w:pPr>
              <w:spacing w:after="0"/>
              <w:rPr>
                <w:sz w:val="1"/>
                <w:szCs w:val="1"/>
                <w:color w:val="auto"/>
              </w:rPr>
            </w:pPr>
          </w:p>
        </w:tc>
      </w:tr>
      <w:tr>
        <w:trPr>
          <w:trHeight w:val="230"/>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Retained earnings/(accumulated deficit)</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1,846</w:t>
            </w:r>
          </w:p>
        </w:tc>
        <w:tc>
          <w:tcPr>
            <w:tcW w:w="158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(23,762)</w:t>
            </w:r>
          </w:p>
        </w:tc>
        <w:tc>
          <w:tcPr>
            <w:tcW w:w="0" w:type="dxa"/>
            <w:vAlign w:val="bottom"/>
          </w:tcPr>
          <w:p>
            <w:pPr>
              <w:spacing w:after="0"/>
              <w:rPr>
                <w:sz w:val="1"/>
                <w:szCs w:val="1"/>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8"/>
                <w:szCs w:val="18"/>
                <w:b w:val="1"/>
                <w:bCs w:val="1"/>
                <w:color w:val="auto"/>
              </w:rPr>
              <w:t>Equity attributable to owners of the Group</w:t>
            </w:r>
          </w:p>
        </w:tc>
        <w:tc>
          <w:tcPr>
            <w:tcW w:w="2520" w:type="dxa"/>
            <w:vAlign w:val="bottom"/>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1,001,674</w:t>
            </w:r>
          </w:p>
        </w:tc>
        <w:tc>
          <w:tcPr>
            <w:tcW w:w="44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948,696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Non-controlling interest</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506,246</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507,349</w:t>
            </w:r>
          </w:p>
        </w:tc>
        <w:tc>
          <w:tcPr>
            <w:tcW w:w="0" w:type="dxa"/>
            <w:vAlign w:val="bottom"/>
          </w:tcPr>
          <w:p>
            <w:pPr>
              <w:spacing w:after="0"/>
              <w:rPr>
                <w:sz w:val="1"/>
                <w:szCs w:val="1"/>
                <w:color w:val="auto"/>
              </w:rPr>
            </w:pPr>
          </w:p>
        </w:tc>
      </w:tr>
      <w:tr>
        <w:trPr>
          <w:trHeight w:val="210"/>
        </w:trPr>
        <w:tc>
          <w:tcPr>
            <w:tcW w:w="538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equity</w:t>
            </w:r>
          </w:p>
        </w:tc>
        <w:tc>
          <w:tcPr>
            <w:tcW w:w="2520" w:type="dxa"/>
            <w:vAlign w:val="bottom"/>
            <w:tcBorders>
              <w:bottom w:val="single" w:sz="8" w:color="E5FF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1,507,920</w:t>
            </w:r>
          </w:p>
        </w:tc>
        <w:tc>
          <w:tcPr>
            <w:tcW w:w="440" w:type="dxa"/>
            <w:vAlign w:val="bottom"/>
            <w:tcBorders>
              <w:bottom w:val="single" w:sz="8" w:color="E5FF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1,456,045</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Current liabilities</w:t>
            </w:r>
          </w:p>
        </w:tc>
        <w:tc>
          <w:tcPr>
            <w:tcW w:w="2520" w:type="dxa"/>
            <w:vAlign w:val="bottom"/>
            <w:shd w:val="clear" w:color="auto" w:fill="E5FFFF"/>
          </w:tcPr>
          <w:p>
            <w:pPr>
              <w:spacing w:after="0"/>
              <w:rPr>
                <w:sz w:val="18"/>
                <w:szCs w:val="18"/>
                <w:color w:val="auto"/>
              </w:rPr>
            </w:pPr>
          </w:p>
        </w:tc>
        <w:tc>
          <w:tcPr>
            <w:tcW w:w="150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Trade accounts payable</w:t>
            </w:r>
          </w:p>
        </w:tc>
        <w:tc>
          <w:tcPr>
            <w:tcW w:w="4460" w:type="dxa"/>
            <w:vAlign w:val="bottom"/>
            <w:gridSpan w:val="3"/>
          </w:tcPr>
          <w:p>
            <w:pPr>
              <w:jc w:val="right"/>
              <w:ind w:right="440"/>
              <w:spacing w:after="0"/>
              <w:rPr>
                <w:sz w:val="20"/>
                <w:szCs w:val="20"/>
                <w:color w:val="auto"/>
              </w:rPr>
            </w:pPr>
            <w:r>
              <w:rPr>
                <w:rFonts w:ascii="Arial" w:cs="Arial" w:eastAsia="Arial" w:hAnsi="Arial"/>
                <w:sz w:val="18"/>
                <w:szCs w:val="18"/>
                <w:color w:val="auto"/>
              </w:rPr>
              <w:t>12,391</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7,090</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Ship management creditors</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3,524</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4460" w:type="dxa"/>
            <w:vAlign w:val="bottom"/>
            <w:gridSpan w:val="3"/>
          </w:tcPr>
          <w:p>
            <w:pPr>
              <w:jc w:val="right"/>
              <w:ind w:right="440"/>
              <w:spacing w:after="0"/>
              <w:rPr>
                <w:sz w:val="20"/>
                <w:szCs w:val="20"/>
                <w:color w:val="auto"/>
              </w:rPr>
            </w:pPr>
            <w:r>
              <w:rPr>
                <w:rFonts w:ascii="Arial" w:cs="Arial" w:eastAsia="Arial" w:hAnsi="Arial"/>
                <w:sz w:val="18"/>
                <w:szCs w:val="18"/>
                <w:color w:val="auto"/>
              </w:rPr>
              <w:t>163</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Derivative financial instruments</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14,243</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13,911</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Other payables and accruals</w:t>
            </w:r>
          </w:p>
        </w:tc>
        <w:tc>
          <w:tcPr>
            <w:tcW w:w="4460" w:type="dxa"/>
            <w:vAlign w:val="bottom"/>
            <w:gridSpan w:val="3"/>
          </w:tcPr>
          <w:p>
            <w:pPr>
              <w:jc w:val="right"/>
              <w:ind w:right="440"/>
              <w:spacing w:after="0"/>
              <w:rPr>
                <w:sz w:val="20"/>
                <w:szCs w:val="20"/>
                <w:color w:val="auto"/>
              </w:rPr>
            </w:pPr>
            <w:r>
              <w:rPr>
                <w:rFonts w:ascii="Arial" w:cs="Arial" w:eastAsia="Arial" w:hAnsi="Arial"/>
                <w:sz w:val="18"/>
                <w:szCs w:val="18"/>
                <w:color w:val="auto"/>
              </w:rPr>
              <w:t>67,084</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74,724</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Borrowings, current portion</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636,987</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170,048</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Finance lease liability, current portion</w:t>
            </w:r>
          </w:p>
        </w:tc>
        <w:tc>
          <w:tcPr>
            <w:tcW w:w="2520" w:type="dxa"/>
            <w:vAlign w:val="bottom"/>
          </w:tcPr>
          <w:p>
            <w:pPr>
              <w:spacing w:after="0"/>
              <w:rPr>
                <w:sz w:val="19"/>
                <w:szCs w:val="19"/>
                <w:color w:val="auto"/>
              </w:rPr>
            </w:pP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10"/>
        </w:trPr>
        <w:tc>
          <w:tcPr>
            <w:tcW w:w="53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current liabilities</w:t>
            </w:r>
          </w:p>
        </w:tc>
        <w:tc>
          <w:tcPr>
            <w:tcW w:w="2520" w:type="dxa"/>
            <w:vAlign w:val="bottom"/>
            <w:tcBorders>
              <w:top w:val="single" w:sz="8" w:color="E5FFFF"/>
            </w:tcBorders>
            <w:shd w:val="clear" w:color="auto" w:fill="E5FFFF"/>
          </w:tcPr>
          <w:p>
            <w:pPr>
              <w:spacing w:after="0"/>
              <w:rPr>
                <w:sz w:val="18"/>
                <w:szCs w:val="18"/>
                <w:color w:val="auto"/>
              </w:rPr>
            </w:pP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734,392</w:t>
            </w:r>
          </w:p>
        </w:tc>
        <w:tc>
          <w:tcPr>
            <w:tcW w:w="44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268,856</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2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Derivative financial instruments</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58,531</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40,879</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Borrowings, non-current portion</w:t>
            </w:r>
          </w:p>
        </w:tc>
        <w:tc>
          <w:tcPr>
            <w:tcW w:w="4460" w:type="dxa"/>
            <w:vAlign w:val="bottom"/>
            <w:gridSpan w:val="3"/>
          </w:tcPr>
          <w:p>
            <w:pPr>
              <w:jc w:val="right"/>
              <w:ind w:right="440"/>
              <w:spacing w:after="0"/>
              <w:rPr>
                <w:sz w:val="20"/>
                <w:szCs w:val="20"/>
                <w:color w:val="auto"/>
              </w:rPr>
            </w:pPr>
            <w:r>
              <w:rPr>
                <w:rFonts w:ascii="Arial" w:cs="Arial" w:eastAsia="Arial" w:hAnsi="Arial"/>
                <w:sz w:val="18"/>
                <w:szCs w:val="18"/>
                <w:color w:val="auto"/>
              </w:rPr>
              <w:t>1,737,500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2,199,672</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Finance lease liability, non-current portion</w:t>
            </w:r>
          </w:p>
        </w:tc>
        <w:tc>
          <w:tcPr>
            <w:tcW w:w="2520" w:type="dxa"/>
            <w:vAlign w:val="bottom"/>
            <w:shd w:val="clear" w:color="auto" w:fill="E5FFFF"/>
          </w:tcPr>
          <w:p>
            <w:pPr>
              <w:spacing w:after="0"/>
              <w:rPr>
                <w:sz w:val="18"/>
                <w:szCs w:val="18"/>
                <w:color w:val="auto"/>
              </w:rPr>
            </w:pPr>
          </w:p>
        </w:tc>
        <w:tc>
          <w:tcPr>
            <w:tcW w:w="19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218,015</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4460" w:type="dxa"/>
            <w:vAlign w:val="bottom"/>
            <w:gridSpan w:val="3"/>
          </w:tcPr>
          <w:p>
            <w:pPr>
              <w:jc w:val="right"/>
              <w:ind w:right="440"/>
              <w:spacing w:after="0"/>
              <w:rPr>
                <w:sz w:val="20"/>
                <w:szCs w:val="20"/>
                <w:color w:val="auto"/>
              </w:rPr>
            </w:pPr>
            <w:r>
              <w:rPr>
                <w:rFonts w:ascii="Arial" w:cs="Arial" w:eastAsia="Arial" w:hAnsi="Arial"/>
                <w:sz w:val="18"/>
                <w:szCs w:val="18"/>
                <w:color w:val="auto"/>
              </w:rPr>
              <w:t>1,278</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0"/>
        </w:trPr>
        <w:tc>
          <w:tcPr>
            <w:tcW w:w="53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non-current liabilities</w:t>
            </w:r>
          </w:p>
        </w:tc>
        <w:tc>
          <w:tcPr>
            <w:tcW w:w="2520" w:type="dxa"/>
            <w:vAlign w:val="bottom"/>
            <w:tcBorders>
              <w:top w:val="single" w:sz="8" w:color="E5FFFF"/>
            </w:tcBorders>
            <w:shd w:val="clear" w:color="auto" w:fill="E5FFFF"/>
          </w:tcPr>
          <w:p>
            <w:pPr>
              <w:spacing w:after="0"/>
              <w:rPr>
                <w:sz w:val="18"/>
                <w:szCs w:val="18"/>
                <w:color w:val="auto"/>
              </w:rPr>
            </w:pP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1,797,309</w:t>
            </w:r>
          </w:p>
        </w:tc>
        <w:tc>
          <w:tcPr>
            <w:tcW w:w="44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2,459,579</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25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4,039,621</w:t>
            </w:r>
          </w:p>
        </w:tc>
        <w:tc>
          <w:tcPr>
            <w:tcW w:w="44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4,184,480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520" w:type="dxa"/>
            <w:vAlign w:val="bottom"/>
            <w:vMerge w:val="restart"/>
          </w:tcPr>
          <w:p>
            <w:pPr>
              <w:jc w:val="right"/>
              <w:ind w:right="2050"/>
              <w:spacing w:after="0"/>
              <w:rPr>
                <w:sz w:val="20"/>
                <w:szCs w:val="20"/>
                <w:color w:val="auto"/>
              </w:rPr>
            </w:pPr>
            <w:r>
              <w:rPr>
                <w:rFonts w:ascii="Arial" w:cs="Arial" w:eastAsia="Arial" w:hAnsi="Arial"/>
                <w:sz w:val="18"/>
                <w:szCs w:val="18"/>
                <w:color w:val="auto"/>
              </w:rPr>
              <w:t>7</w:t>
            </w:r>
          </w:p>
        </w:tc>
        <w:tc>
          <w:tcPr>
            <w:tcW w:w="1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38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0C0C0"/>
            </w:tcBorders>
          </w:tcPr>
          <w:p>
            <w:pPr>
              <w:spacing w:after="0"/>
              <w:rPr>
                <w:sz w:val="21"/>
                <w:szCs w:val="21"/>
                <w:color w:val="auto"/>
              </w:rPr>
            </w:pPr>
          </w:p>
        </w:tc>
        <w:tc>
          <w:tcPr>
            <w:tcW w:w="2520" w:type="dxa"/>
            <w:vAlign w:val="bottom"/>
            <w:tcBorders>
              <w:bottom w:val="single" w:sz="8" w:color="C0C0C0"/>
            </w:tcBorders>
          </w:tcPr>
          <w:p>
            <w:pPr>
              <w:spacing w:after="0"/>
              <w:rPr>
                <w:sz w:val="21"/>
                <w:szCs w:val="21"/>
                <w:color w:val="auto"/>
              </w:rPr>
            </w:pPr>
          </w:p>
        </w:tc>
        <w:tc>
          <w:tcPr>
            <w:tcW w:w="150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148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Unaudited condensed consolidated statements of profit or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68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For the three months ended</w:t>
            </w:r>
          </w:p>
        </w:tc>
        <w:tc>
          <w:tcPr>
            <w:tcW w:w="338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8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June 30, 2015</w:t>
            </w:r>
          </w:p>
        </w:tc>
        <w:tc>
          <w:tcPr>
            <w:tcW w:w="18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June 30, 2016</w:t>
            </w:r>
          </w:p>
        </w:tc>
        <w:tc>
          <w:tcPr>
            <w:tcW w:w="18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June 30, 2015</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June 30,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Revenues</w:t>
            </w:r>
          </w:p>
        </w:tc>
        <w:tc>
          <w:tcPr>
            <w:tcW w:w="1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104,440</w:t>
            </w:r>
          </w:p>
        </w:tc>
        <w:tc>
          <w:tcPr>
            <w:tcW w:w="340" w:type="dxa"/>
            <w:vAlign w:val="bottom"/>
            <w:tcBorders>
              <w:top w:val="single" w:sz="8" w:color="E5FFFF"/>
            </w:tcBorders>
            <w:shd w:val="clear" w:color="auto" w:fill="E5FFFF"/>
          </w:tcPr>
          <w:p>
            <w:pPr>
              <w:spacing w:after="0"/>
              <w:rPr>
                <w:sz w:val="18"/>
                <w:szCs w:val="18"/>
                <w:color w:val="auto"/>
              </w:rPr>
            </w:pPr>
          </w:p>
        </w:tc>
        <w:tc>
          <w:tcPr>
            <w:tcW w:w="1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114,474</w:t>
            </w:r>
          </w:p>
        </w:tc>
        <w:tc>
          <w:tcPr>
            <w:tcW w:w="34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201,766</w:t>
            </w:r>
          </w:p>
        </w:tc>
        <w:tc>
          <w:tcPr>
            <w:tcW w:w="32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218,851</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Vessel operating and supervision costs</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(26,521)</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(27,964)</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(48,415)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(56,421)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5FFFF"/>
          </w:tcPr>
          <w:p>
            <w:pPr>
              <w:spacing w:after="0"/>
              <w:rPr>
                <w:sz w:val="20"/>
                <w:szCs w:val="20"/>
                <w:color w:val="auto"/>
              </w:rPr>
            </w:pPr>
            <w:r>
              <w:rPr>
                <w:rFonts w:ascii="Arial" w:cs="Arial" w:eastAsia="Arial" w:hAnsi="Arial"/>
                <w:sz w:val="18"/>
                <w:szCs w:val="18"/>
                <w:color w:val="auto"/>
              </w:rPr>
              <w:t>Voyage expenses and commissions</w:t>
            </w:r>
          </w:p>
        </w:tc>
        <w:tc>
          <w:tcPr>
            <w:tcW w:w="184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(3,426)</w:t>
            </w:r>
          </w:p>
        </w:tc>
        <w:tc>
          <w:tcPr>
            <w:tcW w:w="184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(3,256)</w:t>
            </w:r>
          </w:p>
        </w:tc>
        <w:tc>
          <w:tcPr>
            <w:tcW w:w="180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(6,155)</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(8,519)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Depreciation of fixed assets</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(27,274)</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(29,484)</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(49,969)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(57,648)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E5FFFF"/>
          </w:tcPr>
          <w:p>
            <w:pPr>
              <w:spacing w:after="0"/>
              <w:rPr>
                <w:sz w:val="20"/>
                <w:szCs w:val="20"/>
                <w:color w:val="auto"/>
              </w:rPr>
            </w:pPr>
            <w:r>
              <w:rPr>
                <w:rFonts w:ascii="Arial" w:cs="Arial" w:eastAsia="Arial" w:hAnsi="Arial"/>
                <w:sz w:val="18"/>
                <w:szCs w:val="18"/>
                <w:color w:val="auto"/>
              </w:rPr>
              <w:t>General and administrative expenses</w:t>
            </w:r>
          </w:p>
        </w:tc>
        <w:tc>
          <w:tcPr>
            <w:tcW w:w="184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(8,339)</w:t>
            </w:r>
          </w:p>
        </w:tc>
        <w:tc>
          <w:tcPr>
            <w:tcW w:w="184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(10,355)</w:t>
            </w:r>
          </w:p>
        </w:tc>
        <w:tc>
          <w:tcPr>
            <w:tcW w:w="180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(19,498)</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(19,089)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Profit from operations</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38,880</w:t>
            </w:r>
          </w:p>
        </w:tc>
        <w:tc>
          <w:tcPr>
            <w:tcW w:w="34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43,415</w:t>
            </w:r>
          </w:p>
        </w:tc>
        <w:tc>
          <w:tcPr>
            <w:tcW w:w="34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77,729</w:t>
            </w:r>
          </w:p>
        </w:tc>
        <w:tc>
          <w:tcPr>
            <w:tcW w:w="3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184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(24,246)</w:t>
            </w:r>
          </w:p>
        </w:tc>
        <w:tc>
          <w:tcPr>
            <w:tcW w:w="184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(31,483)</w:t>
            </w:r>
          </w:p>
        </w:tc>
        <w:tc>
          <w:tcPr>
            <w:tcW w:w="180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(42,774)</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(60,662)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Financial income</w:t>
            </w:r>
          </w:p>
        </w:tc>
        <w:tc>
          <w:tcPr>
            <w:tcW w:w="1500" w:type="dxa"/>
            <w:vAlign w:val="bottom"/>
          </w:tcPr>
          <w:p>
            <w:pPr>
              <w:jc w:val="right"/>
              <w:spacing w:after="0"/>
              <w:rPr>
                <w:sz w:val="20"/>
                <w:szCs w:val="20"/>
                <w:color w:val="auto"/>
              </w:rPr>
            </w:pPr>
            <w:r>
              <w:rPr>
                <w:rFonts w:ascii="Arial" w:cs="Arial" w:eastAsia="Arial" w:hAnsi="Arial"/>
                <w:sz w:val="18"/>
                <w:szCs w:val="18"/>
                <w:color w:val="auto"/>
              </w:rPr>
              <w:t>86</w:t>
            </w:r>
          </w:p>
        </w:tc>
        <w:tc>
          <w:tcPr>
            <w:tcW w:w="340" w:type="dxa"/>
            <w:vAlign w:val="bottom"/>
          </w:tcPr>
          <w:p>
            <w:pPr>
              <w:spacing w:after="0"/>
              <w:rPr>
                <w:sz w:val="18"/>
                <w:szCs w:val="18"/>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124</w:t>
            </w: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149</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5FFFF"/>
          </w:tcPr>
          <w:p>
            <w:pPr>
              <w:spacing w:after="0"/>
              <w:rPr>
                <w:sz w:val="20"/>
                <w:szCs w:val="20"/>
                <w:color w:val="auto"/>
              </w:rPr>
            </w:pPr>
            <w:r>
              <w:rPr>
                <w:rFonts w:ascii="Arial" w:cs="Arial" w:eastAsia="Arial" w:hAnsi="Arial"/>
                <w:sz w:val="18"/>
                <w:szCs w:val="18"/>
                <w:color w:val="auto"/>
              </w:rPr>
              <w:t>Gain/(loss) on swaps</w:t>
            </w:r>
          </w:p>
        </w:tc>
        <w:tc>
          <w:tcPr>
            <w:tcW w:w="15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1,638</w:t>
            </w:r>
          </w:p>
        </w:tc>
        <w:tc>
          <w:tcPr>
            <w:tcW w:w="340" w:type="dxa"/>
            <w:vAlign w:val="bottom"/>
            <w:shd w:val="clear" w:color="auto" w:fill="E5FFFF"/>
          </w:tcPr>
          <w:p>
            <w:pPr>
              <w:spacing w:after="0"/>
              <w:rPr>
                <w:sz w:val="18"/>
                <w:szCs w:val="18"/>
                <w:color w:val="auto"/>
              </w:rPr>
            </w:pPr>
          </w:p>
        </w:tc>
        <w:tc>
          <w:tcPr>
            <w:tcW w:w="184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(9,039)</w:t>
            </w:r>
          </w:p>
        </w:tc>
        <w:tc>
          <w:tcPr>
            <w:tcW w:w="180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(5,341)</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(19,453)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Share of profit of associate</w:t>
            </w: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343</w:t>
            </w: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329</w:t>
            </w: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790</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other expenses, net</w:t>
            </w: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(22,179</w:t>
            </w:r>
          </w:p>
        </w:tc>
        <w:tc>
          <w:tcPr>
            <w:tcW w:w="340" w:type="dxa"/>
            <w:vAlign w:val="bottom"/>
            <w:tcBorders>
              <w:top w:val="single" w:sz="8" w:color="E5FFFF"/>
            </w:tcBorders>
            <w:shd w:val="clear" w:color="auto" w:fill="E5FFFF"/>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(40,069</w:t>
            </w:r>
          </w:p>
        </w:tc>
        <w:tc>
          <w:tcPr>
            <w:tcW w:w="340" w:type="dxa"/>
            <w:vAlign w:val="bottom"/>
            <w:tcBorders>
              <w:top w:val="single" w:sz="8" w:color="E5FFFF"/>
            </w:tcBorders>
            <w:shd w:val="clear" w:color="auto" w:fill="E5FFFF"/>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(47,176</w:t>
            </w:r>
          </w:p>
        </w:tc>
        <w:tc>
          <w:tcPr>
            <w:tcW w:w="320" w:type="dxa"/>
            <w:vAlign w:val="bottom"/>
            <w:tcBorders>
              <w:top w:val="single" w:sz="8" w:color="E5FFFF"/>
            </w:tcBorders>
            <w:shd w:val="clear" w:color="auto" w:fill="E5FFFF"/>
          </w:tcPr>
          <w:p>
            <w:pPr>
              <w:jc w:val="right"/>
              <w:ind w:right="180"/>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(79,126</w:t>
            </w:r>
          </w:p>
        </w:tc>
        <w:tc>
          <w:tcPr>
            <w:tcW w:w="100" w:type="dxa"/>
            <w:vAlign w:val="bottom"/>
            <w:tcBorders>
              <w:top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4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Profit/(loss) for the period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16,701</w:t>
            </w:r>
          </w:p>
        </w:tc>
        <w:tc>
          <w:tcPr>
            <w:tcW w:w="340" w:type="dxa"/>
            <w:vAlign w:val="bottom"/>
            <w:tcBorders>
              <w:bottom w:val="single" w:sz="8" w:color="E5FFFF"/>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3,346</w:t>
            </w:r>
          </w:p>
        </w:tc>
        <w:tc>
          <w:tcPr>
            <w:tcW w:w="340" w:type="dxa"/>
            <w:vAlign w:val="bottom"/>
            <w:tcBorders>
              <w:bottom w:val="single" w:sz="8" w:color="E5FF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30,553</w:t>
            </w:r>
          </w:p>
        </w:tc>
        <w:tc>
          <w:tcPr>
            <w:tcW w:w="320" w:type="dxa"/>
            <w:vAlign w:val="bottom"/>
            <w:tcBorders>
              <w:bottom w:val="single" w:sz="8" w:color="E5FF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(1,952</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4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Attributable to:</w:t>
            </w:r>
          </w:p>
        </w:tc>
        <w:tc>
          <w:tcPr>
            <w:tcW w:w="15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5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Owners of the Group</w:t>
            </w:r>
          </w:p>
        </w:tc>
        <w:tc>
          <w:tcPr>
            <w:tcW w:w="1500" w:type="dxa"/>
            <w:vAlign w:val="bottom"/>
          </w:tcPr>
          <w:p>
            <w:pPr>
              <w:jc w:val="right"/>
              <w:spacing w:after="0"/>
              <w:rPr>
                <w:sz w:val="20"/>
                <w:szCs w:val="20"/>
                <w:color w:val="auto"/>
              </w:rPr>
            </w:pPr>
            <w:r>
              <w:rPr>
                <w:rFonts w:ascii="Arial" w:cs="Arial" w:eastAsia="Arial" w:hAnsi="Arial"/>
                <w:sz w:val="18"/>
                <w:szCs w:val="18"/>
                <w:color w:val="auto"/>
              </w:rPr>
              <w:t>8,240</w:t>
            </w:r>
          </w:p>
        </w:tc>
        <w:tc>
          <w:tcPr>
            <w:tcW w:w="34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(7,864)</w:t>
            </w: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12,582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(23,762)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E5FFFF"/>
          </w:tcPr>
          <w:p>
            <w:pPr>
              <w:spacing w:after="0"/>
              <w:rPr>
                <w:sz w:val="20"/>
                <w:szCs w:val="20"/>
                <w:color w:val="auto"/>
              </w:rPr>
            </w:pPr>
            <w:r>
              <w:rPr>
                <w:rFonts w:ascii="Arial" w:cs="Arial" w:eastAsia="Arial" w:hAnsi="Arial"/>
                <w:sz w:val="18"/>
                <w:szCs w:val="18"/>
                <w:color w:val="auto"/>
              </w:rPr>
              <w:t>Non-controlling interest</w:t>
            </w:r>
          </w:p>
        </w:tc>
        <w:tc>
          <w:tcPr>
            <w:tcW w:w="15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8,461</w:t>
            </w:r>
          </w:p>
        </w:tc>
        <w:tc>
          <w:tcPr>
            <w:tcW w:w="340" w:type="dxa"/>
            <w:vAlign w:val="bottom"/>
            <w:shd w:val="clear" w:color="auto" w:fill="E5FFFF"/>
          </w:tcPr>
          <w:p>
            <w:pPr>
              <w:spacing w:after="0"/>
              <w:rPr>
                <w:sz w:val="19"/>
                <w:szCs w:val="19"/>
                <w:color w:val="auto"/>
              </w:rPr>
            </w:pPr>
          </w:p>
        </w:tc>
        <w:tc>
          <w:tcPr>
            <w:tcW w:w="15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11,210</w:t>
            </w:r>
          </w:p>
        </w:tc>
        <w:tc>
          <w:tcPr>
            <w:tcW w:w="340" w:type="dxa"/>
            <w:vAlign w:val="bottom"/>
            <w:shd w:val="clear" w:color="auto" w:fill="E5FFFF"/>
          </w:tcPr>
          <w:p>
            <w:pPr>
              <w:spacing w:after="0"/>
              <w:rPr>
                <w:sz w:val="19"/>
                <w:szCs w:val="19"/>
                <w:color w:val="auto"/>
              </w:rPr>
            </w:pPr>
          </w:p>
        </w:tc>
        <w:tc>
          <w:tcPr>
            <w:tcW w:w="180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17,971</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21,810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16,701</w:t>
            </w:r>
          </w:p>
        </w:tc>
        <w:tc>
          <w:tcPr>
            <w:tcW w:w="34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3,346</w:t>
            </w:r>
          </w:p>
        </w:tc>
        <w:tc>
          <w:tcPr>
            <w:tcW w:w="34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30,553</w:t>
            </w:r>
          </w:p>
        </w:tc>
        <w:tc>
          <w:tcPr>
            <w:tcW w:w="32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(1,952</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Earnings/(loss) per share – basic and diluted</w:t>
            </w:r>
          </w:p>
        </w:tc>
        <w:tc>
          <w:tcPr>
            <w:tcW w:w="184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0.07</w:t>
            </w:r>
          </w:p>
        </w:tc>
        <w:tc>
          <w:tcPr>
            <w:tcW w:w="184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(0.13)</w:t>
            </w:r>
          </w:p>
        </w:tc>
        <w:tc>
          <w:tcPr>
            <w:tcW w:w="180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0.13</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40" w:type="dxa"/>
            <w:vAlign w:val="bottom"/>
            <w:tcBorders>
              <w:bottom w:val="single" w:sz="8" w:color="C0C0C0"/>
            </w:tcBorders>
          </w:tcPr>
          <w:p>
            <w:pPr>
              <w:spacing w:after="0"/>
              <w:rPr>
                <w:sz w:val="21"/>
                <w:szCs w:val="21"/>
                <w:color w:val="auto"/>
              </w:rPr>
            </w:pPr>
          </w:p>
        </w:tc>
        <w:tc>
          <w:tcPr>
            <w:tcW w:w="1500" w:type="dxa"/>
            <w:vAlign w:val="bottom"/>
            <w:tcBorders>
              <w:bottom w:val="single" w:sz="8" w:color="C0C0C0"/>
            </w:tcBorders>
          </w:tcPr>
          <w:p>
            <w:pPr>
              <w:spacing w:after="0"/>
              <w:rPr>
                <w:sz w:val="21"/>
                <w:szCs w:val="21"/>
                <w:color w:val="auto"/>
              </w:rPr>
            </w:pPr>
          </w:p>
        </w:tc>
        <w:tc>
          <w:tcPr>
            <w:tcW w:w="340" w:type="dxa"/>
            <w:vAlign w:val="bottom"/>
            <w:tcBorders>
              <w:bottom w:val="single" w:sz="8" w:color="C0C0C0"/>
            </w:tcBorders>
          </w:tcPr>
          <w:p>
            <w:pPr>
              <w:spacing w:after="0"/>
              <w:rPr>
                <w:sz w:val="21"/>
                <w:szCs w:val="21"/>
                <w:color w:val="auto"/>
              </w:rPr>
            </w:pPr>
          </w:p>
        </w:tc>
        <w:tc>
          <w:tcPr>
            <w:tcW w:w="1500" w:type="dxa"/>
            <w:vAlign w:val="bottom"/>
            <w:tcBorders>
              <w:bottom w:val="single" w:sz="8" w:color="C0C0C0"/>
            </w:tcBorders>
          </w:tcPr>
          <w:p>
            <w:pPr>
              <w:spacing w:after="0"/>
              <w:rPr>
                <w:sz w:val="21"/>
                <w:szCs w:val="21"/>
                <w:color w:val="auto"/>
              </w:rPr>
            </w:pPr>
          </w:p>
        </w:tc>
        <w:tc>
          <w:tcPr>
            <w:tcW w:w="340" w:type="dxa"/>
            <w:vAlign w:val="bottom"/>
            <w:tcBorders>
              <w:bottom w:val="single" w:sz="8" w:color="C0C0C0"/>
            </w:tcBorders>
          </w:tcPr>
          <w:p>
            <w:pPr>
              <w:spacing w:after="0"/>
              <w:rPr>
                <w:sz w:val="21"/>
                <w:szCs w:val="21"/>
                <w:color w:val="auto"/>
              </w:rPr>
            </w:pPr>
          </w:p>
        </w:tc>
        <w:tc>
          <w:tcPr>
            <w:tcW w:w="1480" w:type="dxa"/>
            <w:vAlign w:val="bottom"/>
            <w:tcBorders>
              <w:bottom w:val="single" w:sz="8" w:color="C0C0C0"/>
            </w:tcBorders>
          </w:tcPr>
          <w:p>
            <w:pPr>
              <w:spacing w:after="0"/>
              <w:rPr>
                <w:sz w:val="21"/>
                <w:szCs w:val="21"/>
                <w:color w:val="auto"/>
              </w:rPr>
            </w:pPr>
          </w:p>
        </w:tc>
        <w:tc>
          <w:tcPr>
            <w:tcW w:w="320" w:type="dxa"/>
            <w:vAlign w:val="bottom"/>
            <w:tcBorders>
              <w:bottom w:val="single" w:sz="8" w:color="C0C0C0"/>
            </w:tcBorders>
          </w:tcPr>
          <w:p>
            <w:pPr>
              <w:spacing w:after="0"/>
              <w:rPr>
                <w:sz w:val="21"/>
                <w:szCs w:val="21"/>
                <w:color w:val="auto"/>
              </w:rPr>
            </w:pPr>
          </w:p>
        </w:tc>
        <w:tc>
          <w:tcPr>
            <w:tcW w:w="148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19"/>
                <w:szCs w:val="19"/>
                <w:color w:val="auto"/>
              </w:rPr>
            </w:pPr>
          </w:p>
        </w:tc>
        <w:tc>
          <w:tcPr>
            <w:tcW w:w="352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34"/>
        </w:trPr>
        <w:tc>
          <w:tcPr>
            <w:tcW w:w="7900" w:type="dxa"/>
            <w:vAlign w:val="bottom"/>
          </w:tcPr>
          <w:p>
            <w:pPr>
              <w:spacing w:after="0"/>
              <w:rPr>
                <w:sz w:val="20"/>
                <w:szCs w:val="20"/>
                <w:color w:val="auto"/>
              </w:rPr>
            </w:pPr>
          </w:p>
        </w:tc>
        <w:tc>
          <w:tcPr>
            <w:tcW w:w="19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June 30, 2015</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June 30, 2016</w:t>
            </w:r>
          </w:p>
        </w:tc>
        <w:tc>
          <w:tcPr>
            <w:tcW w:w="0" w:type="dxa"/>
            <w:vAlign w:val="bottom"/>
          </w:tcPr>
          <w:p>
            <w:pPr>
              <w:spacing w:after="0"/>
              <w:rPr>
                <w:sz w:val="1"/>
                <w:szCs w:val="1"/>
                <w:color w:val="auto"/>
              </w:rPr>
            </w:pPr>
          </w:p>
        </w:tc>
      </w:tr>
      <w:tr>
        <w:trPr>
          <w:trHeight w:val="210"/>
        </w:trPr>
        <w:tc>
          <w:tcPr>
            <w:tcW w:w="79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500" w:type="dxa"/>
            <w:vAlign w:val="bottom"/>
            <w:tcBorders>
              <w:top w:val="single" w:sz="8" w:color="auto"/>
            </w:tcBorders>
            <w:shd w:val="clear" w:color="auto" w:fill="E5FFFF"/>
          </w:tcPr>
          <w:p>
            <w:pPr>
              <w:spacing w:after="0"/>
              <w:rPr>
                <w:sz w:val="18"/>
                <w:szCs w:val="18"/>
                <w:color w:val="auto"/>
              </w:rPr>
            </w:pPr>
          </w:p>
        </w:tc>
        <w:tc>
          <w:tcPr>
            <w:tcW w:w="44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Profit/(loss) for the period</w:t>
            </w: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30,553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Adjustments for:</w:t>
            </w:r>
          </w:p>
        </w:tc>
        <w:tc>
          <w:tcPr>
            <w:tcW w:w="150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Depreciation of fixed assets</w:t>
            </w: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49,969</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57,648</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Share of profit of associate</w:t>
            </w:r>
          </w:p>
        </w:tc>
        <w:tc>
          <w:tcPr>
            <w:tcW w:w="194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(790)</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Financial income</w:t>
            </w: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(149)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42,774</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60,662</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w w:val="97"/>
              </w:rPr>
              <w:t>Unrealized foreign exchange (gains)/losses on cash and cash equivalents and short-term investments</w:t>
            </w: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(427)</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w w:val="96"/>
              </w:rPr>
              <w:t>Unrealized loss on interest rate swaps held for trading including ineffective portion of cash flow hedges</w:t>
            </w: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419</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9,509</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Recycled loss of cash flow hedges reclassified to profit or loss</w:t>
            </w: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567</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6,276</w:t>
            </w:r>
          </w:p>
        </w:tc>
        <w:tc>
          <w:tcPr>
            <w:tcW w:w="0" w:type="dxa"/>
            <w:vAlign w:val="bottom"/>
          </w:tcPr>
          <w:p>
            <w:pPr>
              <w:spacing w:after="0"/>
              <w:rPr>
                <w:sz w:val="1"/>
                <w:szCs w:val="1"/>
                <w:color w:val="auto"/>
              </w:rPr>
            </w:pPr>
          </w:p>
        </w:tc>
      </w:tr>
      <w:tr>
        <w:trPr>
          <w:trHeight w:val="230"/>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Share-based compensation</w:t>
            </w: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1,274</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E5FF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124,190</w:t>
            </w:r>
          </w:p>
        </w:tc>
        <w:tc>
          <w:tcPr>
            <w:tcW w:w="440" w:type="dxa"/>
            <w:vAlign w:val="bottom"/>
            <w:tcBorders>
              <w:bottom w:val="single" w:sz="8" w:color="E5FF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133,073</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Movements in working capital</w:t>
            </w: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(10,244</w:t>
            </w:r>
          </w:p>
        </w:tc>
        <w:tc>
          <w:tcPr>
            <w:tcW w:w="440" w:type="dxa"/>
            <w:vAlign w:val="bottom"/>
            <w:shd w:val="clear" w:color="auto" w:fill="E5FFFF"/>
          </w:tcPr>
          <w:p>
            <w:pPr>
              <w:jc w:val="right"/>
              <w:ind w:right="300"/>
              <w:spacing w:after="0"/>
              <w:rPr>
                <w:sz w:val="20"/>
                <w:szCs w:val="20"/>
                <w:color w:val="auto"/>
              </w:rPr>
            </w:pPr>
            <w:r>
              <w:rPr>
                <w:rFonts w:ascii="Arial" w:cs="Arial" w:eastAsia="Arial" w:hAnsi="Arial"/>
                <w:sz w:val="16"/>
                <w:szCs w:val="16"/>
                <w:color w:val="auto"/>
                <w:w w:val="74"/>
              </w:rPr>
              <w:t>)</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25,681</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Cash provided by operations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113,946</w:t>
            </w:r>
          </w:p>
        </w:tc>
        <w:tc>
          <w:tcPr>
            <w:tcW w:w="440" w:type="dxa"/>
            <w:vAlign w:val="bottom"/>
            <w:tcBorders>
              <w:bottom w:val="single" w:sz="8" w:color="E5FF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158,754</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Interest paid</w:t>
            </w: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(35,985</w:t>
            </w:r>
          </w:p>
        </w:tc>
        <w:tc>
          <w:tcPr>
            <w:tcW w:w="440" w:type="dxa"/>
            <w:vAlign w:val="bottom"/>
            <w:shd w:val="clear" w:color="auto" w:fill="E5FFFF"/>
          </w:tcPr>
          <w:p>
            <w:pPr>
              <w:jc w:val="right"/>
              <w:ind w:right="300"/>
              <w:spacing w:after="0"/>
              <w:rPr>
                <w:sz w:val="20"/>
                <w:szCs w:val="20"/>
                <w:color w:val="auto"/>
              </w:rPr>
            </w:pPr>
            <w:r>
              <w:rPr>
                <w:rFonts w:ascii="Arial" w:cs="Arial" w:eastAsia="Arial" w:hAnsi="Arial"/>
                <w:sz w:val="16"/>
                <w:szCs w:val="16"/>
                <w:color w:val="auto"/>
                <w:w w:val="74"/>
              </w:rPr>
              <w:t>)</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(39,467</w:t>
            </w:r>
          </w:p>
        </w:tc>
        <w:tc>
          <w:tcPr>
            <w:tcW w:w="100" w:type="dxa"/>
            <w:vAlign w:val="bottom"/>
            <w:shd w:val="clear" w:color="auto" w:fill="E5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77,961</w:t>
            </w:r>
          </w:p>
        </w:tc>
        <w:tc>
          <w:tcPr>
            <w:tcW w:w="440" w:type="dxa"/>
            <w:vAlign w:val="bottom"/>
            <w:tcBorders>
              <w:bottom w:val="single" w:sz="8" w:color="E5FF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119,287</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50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Payments for tangible fixed assets and vessels under construction</w:t>
            </w: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(679,129)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(390,202)</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Dividends received from associate</w:t>
            </w: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1,675</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Return of contributed capital from associate</w:t>
            </w: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Purchase of short-term investments</w:t>
            </w:r>
          </w:p>
        </w:tc>
        <w:tc>
          <w:tcPr>
            <w:tcW w:w="194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(18,592)</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Maturity of short-term investments</w:t>
            </w: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44,007</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30"/>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Financial income received</w:t>
            </w: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136</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(651,903</w:t>
            </w:r>
          </w:p>
        </w:tc>
        <w:tc>
          <w:tcPr>
            <w:tcW w:w="440" w:type="dxa"/>
            <w:vAlign w:val="bottom"/>
            <w:tcBorders>
              <w:bottom w:val="single" w:sz="8" w:color="E5FFFF"/>
            </w:tcBorders>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(382,697</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790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50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Proceeds from bank loans and bonds</w:t>
            </w: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606,000</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991,284</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Proceeds from sale and finance leaseback</w:t>
            </w: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217,000</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Bank loans and bonds repayments</w:t>
            </w: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(39,824)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(988,562)</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Payment for CCSs’ termination/modification</w:t>
            </w: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(31,986)</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Payment for bond re-purchase at a premium</w:t>
            </w: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Payment of loan issuance costs</w:t>
            </w:r>
          </w:p>
        </w:tc>
        <w:tc>
          <w:tcPr>
            <w:tcW w:w="194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(5,166)</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(21,186)</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Payment of equity raising costs</w:t>
            </w: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(1,045)</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(Increase)/decrease in restricted cash</w:t>
            </w:r>
          </w:p>
        </w:tc>
        <w:tc>
          <w:tcPr>
            <w:tcW w:w="194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(23,190)</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37,711</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Dividends paid</w:t>
            </w: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(37,193)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(48,285)</w:t>
            </w:r>
          </w:p>
        </w:tc>
        <w:tc>
          <w:tcPr>
            <w:tcW w:w="0" w:type="dxa"/>
            <w:vAlign w:val="bottom"/>
          </w:tcPr>
          <w:p>
            <w:pPr>
              <w:spacing w:after="0"/>
              <w:rPr>
                <w:sz w:val="1"/>
                <w:szCs w:val="1"/>
                <w:color w:val="auto"/>
              </w:rPr>
            </w:pPr>
          </w:p>
        </w:tc>
      </w:tr>
      <w:tr>
        <w:trPr>
          <w:trHeight w:val="230"/>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Payments for vessel held under finance lease</w:t>
            </w: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783,835</w:t>
            </w:r>
          </w:p>
        </w:tc>
        <w:tc>
          <w:tcPr>
            <w:tcW w:w="440" w:type="dxa"/>
            <w:vAlign w:val="bottom"/>
            <w:tcBorders>
              <w:bottom w:val="single" w:sz="8" w:color="E5FF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153,142</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115</w:t>
            </w:r>
          </w:p>
        </w:tc>
        <w:tc>
          <w:tcPr>
            <w:tcW w:w="440" w:type="dxa"/>
            <w:vAlign w:val="bottom"/>
            <w:shd w:val="clear" w:color="auto" w:fill="E5FFFF"/>
          </w:tcPr>
          <w:p>
            <w:pPr>
              <w:spacing w:after="0"/>
              <w:rPr>
                <w:sz w:val="18"/>
                <w:szCs w:val="18"/>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E5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Increase/(decrease) in cash and cash equivalents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210,008</w:t>
            </w:r>
          </w:p>
        </w:tc>
        <w:tc>
          <w:tcPr>
            <w:tcW w:w="440" w:type="dxa"/>
            <w:vAlign w:val="bottom"/>
            <w:tcBorders>
              <w:bottom w:val="single" w:sz="8" w:color="E5FF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(110,387</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Cash and cash equivalents, beginning of the period</w:t>
            </w: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211,974</w:t>
            </w:r>
          </w:p>
        </w:tc>
        <w:tc>
          <w:tcPr>
            <w:tcW w:w="440" w:type="dxa"/>
            <w:vAlign w:val="bottom"/>
            <w:shd w:val="clear" w:color="auto" w:fill="E5FFFF"/>
          </w:tcPr>
          <w:p>
            <w:pPr>
              <w:spacing w:after="0"/>
              <w:rPr>
                <w:sz w:val="18"/>
                <w:szCs w:val="18"/>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302,988</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the period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421,982</w:t>
            </w:r>
          </w:p>
        </w:tc>
        <w:tc>
          <w:tcPr>
            <w:tcW w:w="44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192,601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ind w:left="5660"/>
              <w:spacing w:after="0"/>
              <w:rPr>
                <w:sz w:val="20"/>
                <w:szCs w:val="20"/>
                <w:color w:val="auto"/>
              </w:rPr>
            </w:pPr>
            <w:r>
              <w:rPr>
                <w:rFonts w:ascii="Arial" w:cs="Arial" w:eastAsia="Arial" w:hAnsi="Arial"/>
                <w:sz w:val="18"/>
                <w:szCs w:val="18"/>
                <w:color w:val="auto"/>
              </w:rPr>
              <w:t>9</w:t>
            </w:r>
          </w:p>
        </w:tc>
        <w:tc>
          <w:tcPr>
            <w:tcW w:w="1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9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0C0C0"/>
            </w:tcBorders>
          </w:tcPr>
          <w:p>
            <w:pPr>
              <w:spacing w:after="0"/>
              <w:rPr>
                <w:sz w:val="21"/>
                <w:szCs w:val="21"/>
                <w:color w:val="auto"/>
              </w:rPr>
            </w:pPr>
          </w:p>
        </w:tc>
        <w:tc>
          <w:tcPr>
            <w:tcW w:w="150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148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EXHIBIT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Adjusted EBITDA, Adjusted Profit and Adjusted EPS</w:t>
      </w:r>
    </w:p>
    <w:p>
      <w:pPr>
        <w:spacing w:after="0" w:line="229"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EBITDA is defined as earnings before depreciation, amortization, interest income and expense, gain/loss on swaps and taxes. Adjusted EBITDA is defined as EBITDA before foreign exchange gains/losses. Adjusted Profit represents earnings before write-off and accelerated amortization of unamortized loan/bond fees and premium, foreign exchange gains/losses and non-cash gain/loss on swaps that includes (if any) (a) unrealized gain/loss on swaps held for trading, (b) recycled loss of cash flow hedges reclassified to profit or loss in relation to derivatives no longer designated as hedges and (c) ineffective portion of cash flow hedges. Adjusted EPS represents earnings attributable to owners of the Group before non-cash gain/loss on swaps as defined above, foreign exchange gains/losses and write-off and accelerated amortization of unamortized loan/bond fees and premium, divided by the weighted average number of shares outstanding. EBITDA, Adjusted EBITDA, Adjusted Profit and Adjusted EPS are non-GAAP financial measures that are used as supplemental financial measures by management and external users of financial statements, such as investors, to assess our financial and operating performance. We believe that these non-GAAP financial measures assist our management and investors by increasing the comparability of our performance from period to period. We believe that including EBITDA, Adjusted EBITDA, Adjusted Profit and Adjusted EPS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continue to hold our common shares. This is achieved by excluding the potentially disparate effects between periods of, in the case of EBITDA and Adjusted EBITDA, interest, gain/loss on swaps, taxes, depreciation and amortization, in the case of Adjusted EBITDA, foreign exchange gains/losses, and in the case of Adjusted Profit and Adjusted EPS, non-cash gain/loss on swaps, foreign exchange gains/losses and write-off and accelerated amortization of unamortized loan/bond fees and premium, which items are affected by various and possibly changing financing methods, capital structure and historical cost basis and which items may significantly affect results of operations between periods.</w:t>
      </w:r>
    </w:p>
    <w:p>
      <w:pPr>
        <w:spacing w:after="0" w:line="19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EBITDA, Adjusted EBITDA, Adjusted Profit and Adjusted EPS have limitations as analytical tools and should not be considered as alternatives to, or as substitutes for, or superior to profit, profit from operations, earnings per share or any other measure of financial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significant interest expense, or the cash requirements necessary to service interest or principal payments, on our debt. Although depreciation and amortization are non-cash charges, the assets being depreciated and amortized will have to be replaced in the future, and EBITDA and Adjusted EBITDA do not reflect any cash requirements for such replacements. EBITDA, Adjusted EBITDA, Adjusted Profit and Adjusted EPS are not adjusted for all non-cash income or expense items that are reflected in our statements of cash flows and other companies in our industry may calculate these measures differently than we do, limiting their usefulness as a comparative measure.</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evaluating Adjusted EBITDA, Adjusted Profit and Adjusted EPS, you should be aware that in the future we may incur expenses that are the same as or similar to some of the adjustments in this presentation. Our presentation of Adjusted EBITDA, Adjusted Profit and Adjusted EPS should not be construed as an inference that our future results will be unaffected by the excluded items. Therefore, the non-GAAP financial measures as presented below may not be comparable to similarly titled measures of other companies in the shipping or other industries.</w:t>
      </w:r>
    </w:p>
    <w:p>
      <w:pPr>
        <w:spacing w:after="0" w:line="18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For the eight newbuilds, annualized in-built EBITDA during the period in which all eight newbuilds are operating under active charters, following the fixture of Hull 2801 to a subsidiary of Total Gas &amp; Power Chartering Limited, is based on the following assumptions:</w:t>
      </w:r>
    </w:p>
    <w:p>
      <w:pPr>
        <w:spacing w:after="0" w:line="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eight newbuilds’ charters have commenced and none have expired or been terminated;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timely receipt of charter hire specified in the charter contracts;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utilization of 363 days per year and no drydocking;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vessel operating and supervision costs and charter commissions per current internal estimates;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and administrative expenses based on management’s current internal estimates.</w:t>
      </w:r>
    </w:p>
    <w:p>
      <w:pPr>
        <w:spacing w:after="0" w:line="21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consider the above assumptions to be reasonable as of the date of this press release, but if these assumptions prove to be incorrect, actual EBITDA for the entities owning the vessels could differ materially from our estimates. The prospective financial information was not prepared with a view toward public disclosure or with a view toward complying with the guidelines established by the American Institute of Certified Public Accountants, but, in the view of the Company’s management, was prepared on a reasonable basis and reflects the best currently available estimates and judgments. However, this information is not fact and should not be relied upon as being necessarily indicative of future results, and readers of this press release are cautioned not to place undue reliance on the prospective financial information.</w:t>
      </w:r>
    </w:p>
    <w:p>
      <w:pPr>
        <w:spacing w:after="0" w:line="193" w:lineRule="exact"/>
        <w:rPr>
          <w:sz w:val="20"/>
          <w:szCs w:val="20"/>
          <w:color w:val="auto"/>
        </w:rPr>
      </w:pPr>
    </w:p>
    <w:p>
      <w:pPr>
        <w:ind w:right="780"/>
        <w:spacing w:after="0" w:line="312" w:lineRule="auto"/>
        <w:rPr>
          <w:sz w:val="20"/>
          <w:szCs w:val="20"/>
          <w:color w:val="auto"/>
        </w:rPr>
      </w:pPr>
      <w:r>
        <w:rPr>
          <w:rFonts w:ascii="Arial" w:cs="Arial" w:eastAsia="Arial" w:hAnsi="Arial"/>
          <w:sz w:val="16"/>
          <w:szCs w:val="16"/>
          <w:color w:val="auto"/>
        </w:rPr>
        <w:t>Neither our independent auditors nor any other independent accountants have compiled, examined, or performed any procedures with respect to the prospective financial information contained above, nor have they expressed any opinion or any other form of assurance on such information or its achievability and assume no responsibility for, and disclaim any association with, such prospective financial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EBITDA and Adjusted EBITDA to Profit: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19"/>
                <w:szCs w:val="19"/>
                <w:color w:val="auto"/>
              </w:rPr>
            </w:pPr>
          </w:p>
        </w:tc>
        <w:tc>
          <w:tcPr>
            <w:tcW w:w="352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For the three months ended</w:t>
            </w:r>
          </w:p>
        </w:tc>
      </w:tr>
      <w:tr>
        <w:trPr>
          <w:trHeight w:val="234"/>
        </w:trPr>
        <w:tc>
          <w:tcPr>
            <w:tcW w:w="7900" w:type="dxa"/>
            <w:vAlign w:val="bottom"/>
          </w:tcPr>
          <w:p>
            <w:pPr>
              <w:spacing w:after="0"/>
              <w:rPr>
                <w:sz w:val="20"/>
                <w:szCs w:val="20"/>
                <w:color w:val="auto"/>
              </w:rPr>
            </w:pPr>
          </w:p>
        </w:tc>
        <w:tc>
          <w:tcPr>
            <w:tcW w:w="19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June 30, 2015</w:t>
            </w:r>
          </w:p>
        </w:tc>
        <w:tc>
          <w:tcPr>
            <w:tcW w:w="15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June 30, 2016</w:t>
            </w:r>
          </w:p>
        </w:tc>
      </w:tr>
      <w:tr>
        <w:trPr>
          <w:trHeight w:val="210"/>
        </w:trPr>
        <w:tc>
          <w:tcPr>
            <w:tcW w:w="79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Profit for the period</w:t>
            </w:r>
          </w:p>
        </w:tc>
        <w:tc>
          <w:tcPr>
            <w:tcW w:w="1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16,701</w:t>
            </w:r>
          </w:p>
        </w:tc>
        <w:tc>
          <w:tcPr>
            <w:tcW w:w="44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3,346</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Depreciation of fixed assets</w:t>
            </w: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27,274</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29,484</w:t>
            </w:r>
          </w:p>
        </w:tc>
        <w:tc>
          <w:tcPr>
            <w:tcW w:w="80" w:type="dxa"/>
            <w:vAlign w:val="bottom"/>
          </w:tcPr>
          <w:p>
            <w:pPr>
              <w:spacing w:after="0"/>
              <w:rPr>
                <w:sz w:val="18"/>
                <w:szCs w:val="18"/>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24,246</w:t>
            </w:r>
          </w:p>
        </w:tc>
        <w:tc>
          <w:tcPr>
            <w:tcW w:w="15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31,483</w:t>
            </w:r>
          </w:p>
        </w:tc>
        <w:tc>
          <w:tcPr>
            <w:tcW w:w="80" w:type="dxa"/>
            <w:vAlign w:val="bottom"/>
            <w:shd w:val="clear" w:color="auto" w:fill="E5FF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Financial income</w:t>
            </w: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(86)</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(124)</w:t>
            </w:r>
          </w:p>
        </w:tc>
      </w:tr>
      <w:tr>
        <w:trPr>
          <w:trHeight w:val="230"/>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(Gain)/loss on swaps</w:t>
            </w:r>
          </w:p>
        </w:tc>
        <w:tc>
          <w:tcPr>
            <w:tcW w:w="194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(1,638)</w:t>
            </w:r>
          </w:p>
        </w:tc>
        <w:tc>
          <w:tcPr>
            <w:tcW w:w="15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9,039</w:t>
            </w:r>
          </w:p>
        </w:tc>
        <w:tc>
          <w:tcPr>
            <w:tcW w:w="80" w:type="dxa"/>
            <w:vAlign w:val="bottom"/>
            <w:shd w:val="clear" w:color="auto" w:fill="E5FFFF"/>
          </w:tcPr>
          <w:p>
            <w:pPr>
              <w:spacing w:after="0"/>
              <w:rPr>
                <w:sz w:val="19"/>
                <w:szCs w:val="19"/>
                <w:color w:val="auto"/>
              </w:rPr>
            </w:pPr>
          </w:p>
        </w:tc>
      </w:tr>
      <w:tr>
        <w:trPr>
          <w:trHeight w:val="210"/>
        </w:trPr>
        <w:tc>
          <w:tcPr>
            <w:tcW w:w="790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EBITDA</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66,497</w:t>
            </w:r>
          </w:p>
        </w:tc>
        <w:tc>
          <w:tcPr>
            <w:tcW w:w="440" w:type="dxa"/>
            <w:vAlign w:val="bottom"/>
            <w:tcBorders>
              <w:bottom w:val="single" w:sz="8" w:color="E5FF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73,228</w:t>
            </w:r>
          </w:p>
        </w:tc>
        <w:tc>
          <w:tcPr>
            <w:tcW w:w="2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r>
      <w:tr>
        <w:trPr>
          <w:trHeight w:val="210"/>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Foreign exchange (gains)/losses, net</w:t>
            </w: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(2,002</w:t>
            </w:r>
          </w:p>
        </w:tc>
        <w:tc>
          <w:tcPr>
            <w:tcW w:w="440" w:type="dxa"/>
            <w:vAlign w:val="bottom"/>
            <w:shd w:val="clear" w:color="auto" w:fill="E5FFFF"/>
          </w:tcPr>
          <w:p>
            <w:pPr>
              <w:jc w:val="right"/>
              <w:ind w:right="300"/>
              <w:spacing w:after="0"/>
              <w:rPr>
                <w:sz w:val="20"/>
                <w:szCs w:val="20"/>
                <w:color w:val="auto"/>
              </w:rPr>
            </w:pPr>
            <w:r>
              <w:rPr>
                <w:rFonts w:ascii="Arial" w:cs="Arial" w:eastAsia="Arial" w:hAnsi="Arial"/>
                <w:sz w:val="16"/>
                <w:szCs w:val="16"/>
                <w:color w:val="auto"/>
                <w:w w:val="74"/>
              </w:rPr>
              <w:t>)</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442</w:t>
            </w: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64,495</w:t>
            </w:r>
          </w:p>
        </w:tc>
        <w:tc>
          <w:tcPr>
            <w:tcW w:w="44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73,670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1">
            <w:col w:w="11420"/>
          </w:cols>
          <w:pgMar w:left="240" w:top="405" w:right="239" w:bottom="231" w:gutter="0" w:footer="0" w:header="0"/>
        </w:sect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231"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Reconciliation of Adjusted Profit to Profit: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Profit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Non-cash (gain)/loss on swaps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Write-off of unamortized bond fees and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Foreign exchange (gains)/losses,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Adjusted Earnings/(Loss) Per Share to Earnings/(Loss) Per Share: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 except shares and per share 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June 30, 2015</w:t>
            </w:r>
          </w:p>
        </w:tc>
        <w:tc>
          <w:tcPr>
            <w:tcW w:w="150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2016</w:t>
            </w:r>
          </w:p>
        </w:tc>
      </w:tr>
      <w:tr>
        <w:trPr>
          <w:trHeight w:val="195"/>
        </w:trPr>
        <w:tc>
          <w:tcPr>
            <w:tcW w:w="1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16,701</w:t>
            </w:r>
          </w:p>
        </w:tc>
        <w:tc>
          <w:tcPr>
            <w:tcW w:w="44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3,346</w:t>
            </w:r>
          </w:p>
        </w:tc>
        <w:tc>
          <w:tcPr>
            <w:tcW w:w="20" w:type="dxa"/>
            <w:vAlign w:val="bottom"/>
          </w:tcPr>
          <w:p>
            <w:pPr>
              <w:spacing w:after="0"/>
              <w:rPr>
                <w:sz w:val="16"/>
                <w:szCs w:val="16"/>
                <w:color w:val="auto"/>
              </w:rPr>
            </w:pPr>
          </w:p>
        </w:tc>
      </w:tr>
      <w:tr>
        <w:trPr>
          <w:trHeight w:val="216"/>
        </w:trPr>
        <w:tc>
          <w:tcPr>
            <w:tcW w:w="1940" w:type="dxa"/>
            <w:vAlign w:val="bottom"/>
            <w:gridSpan w:val="2"/>
          </w:tcPr>
          <w:p>
            <w:pPr>
              <w:jc w:val="right"/>
              <w:ind w:right="380"/>
              <w:spacing w:after="0"/>
              <w:rPr>
                <w:sz w:val="20"/>
                <w:szCs w:val="20"/>
                <w:color w:val="auto"/>
              </w:rPr>
            </w:pPr>
            <w:r>
              <w:rPr>
                <w:rFonts w:ascii="Arial" w:cs="Arial" w:eastAsia="Arial" w:hAnsi="Arial"/>
                <w:sz w:val="18"/>
                <w:szCs w:val="18"/>
                <w:color w:val="auto"/>
              </w:rPr>
              <w:t>(3,796)</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7,299</w:t>
            </w:r>
          </w:p>
        </w:tc>
      </w:tr>
      <w:tr>
        <w:trPr>
          <w:trHeight w:val="216"/>
        </w:trPr>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1,836</w:t>
            </w:r>
          </w:p>
        </w:tc>
      </w:tr>
      <w:tr>
        <w:trPr>
          <w:trHeight w:val="244"/>
        </w:trPr>
        <w:tc>
          <w:tcPr>
            <w:tcW w:w="1940" w:type="dxa"/>
            <w:vAlign w:val="bottom"/>
            <w:gridSpan w:val="2"/>
          </w:tcPr>
          <w:p>
            <w:pPr>
              <w:jc w:val="right"/>
              <w:ind w:right="380"/>
              <w:spacing w:after="0"/>
              <w:rPr>
                <w:sz w:val="20"/>
                <w:szCs w:val="20"/>
                <w:color w:val="auto"/>
              </w:rPr>
            </w:pPr>
            <w:r>
              <w:rPr>
                <w:rFonts w:ascii="Arial" w:cs="Arial" w:eastAsia="Arial" w:hAnsi="Arial"/>
                <w:sz w:val="18"/>
                <w:szCs w:val="18"/>
                <w:color w:val="auto"/>
              </w:rPr>
              <w:t>(2,002)</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442</w:t>
            </w:r>
          </w:p>
        </w:tc>
      </w:tr>
      <w:tr>
        <w:trPr>
          <w:trHeight w:val="223"/>
        </w:trPr>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10,903</w:t>
            </w:r>
          </w:p>
        </w:tc>
        <w:tc>
          <w:tcPr>
            <w:tcW w:w="440" w:type="dxa"/>
            <w:vAlign w:val="bottom"/>
          </w:tcPr>
          <w:p>
            <w:pPr>
              <w:spacing w:after="0"/>
              <w:rPr>
                <w:sz w:val="19"/>
                <w:szCs w:val="19"/>
                <w:color w:val="auto"/>
              </w:rPr>
            </w:pPr>
          </w:p>
        </w:tc>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12,923</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16" w:lineRule="exact"/>
        <w:rPr>
          <w:sz w:val="20"/>
          <w:szCs w:val="20"/>
          <w:color w:val="auto"/>
        </w:rPr>
      </w:pPr>
    </w:p>
    <w:p>
      <w:pPr>
        <w:sectPr>
          <w:pgSz w:w="11900" w:h="16838" w:orient="portrait"/>
          <w:cols w:equalWidth="0" w:num="2">
            <w:col w:w="7180" w:space="720"/>
            <w:col w:w="3520"/>
          </w:cols>
          <w:pgMar w:left="240" w:top="405" w:right="2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right="2700"/>
        <w:spacing w:after="0" w:line="258" w:lineRule="auto"/>
        <w:rPr>
          <w:sz w:val="20"/>
          <w:szCs w:val="20"/>
          <w:color w:val="auto"/>
        </w:rPr>
      </w:pPr>
      <w:r>
        <w:rPr>
          <w:rFonts w:ascii="Arial" w:cs="Arial" w:eastAsia="Arial" w:hAnsi="Arial"/>
          <w:sz w:val="18"/>
          <w:szCs w:val="18"/>
          <w:color w:val="auto"/>
        </w:rPr>
        <w:t>Profit/(loss) for the period attributable to owners of the Group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Dividend on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right="1120"/>
        <w:spacing w:after="0" w:line="266" w:lineRule="auto"/>
        <w:rPr>
          <w:sz w:val="20"/>
          <w:szCs w:val="20"/>
          <w:color w:val="auto"/>
        </w:rPr>
      </w:pPr>
      <w:r>
        <w:rPr>
          <w:rFonts w:ascii="Arial" w:cs="Arial" w:eastAsia="Arial" w:hAnsi="Arial"/>
          <w:sz w:val="18"/>
          <w:szCs w:val="18"/>
          <w:color w:val="auto"/>
        </w:rPr>
        <w:t>Profit/(loss) for the period available to owners of the Group used in EPS calculation Weighted average number of shares outstanding,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Earnings/(loss)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Profit/(loss) for the period available to owners of the Group used in EPS calculation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Non-cash (gain)/loss on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Write-off of unamortized bond fees and premium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Foreign exchange (gains)/losses,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ind w:left="220"/>
        <w:spacing w:after="0"/>
        <w:tabs>
          <w:tab w:leader="none" w:pos="2140" w:val="left"/>
        </w:tabs>
        <w:rPr>
          <w:sz w:val="20"/>
          <w:szCs w:val="20"/>
          <w:color w:val="auto"/>
        </w:rPr>
      </w:pPr>
      <w:r>
        <w:rPr>
          <w:rFonts w:ascii="Arial" w:cs="Arial" w:eastAsia="Arial" w:hAnsi="Arial"/>
          <w:sz w:val="18"/>
          <w:szCs w:val="18"/>
          <w:b w:val="1"/>
          <w:bCs w:val="1"/>
          <w:color w:val="auto"/>
        </w:rPr>
        <w:t>June 30, 2015</w:t>
      </w:r>
      <w:r>
        <w:rPr>
          <w:sz w:val="20"/>
          <w:szCs w:val="20"/>
          <w:color w:val="auto"/>
        </w:rPr>
        <w:tab/>
      </w:r>
      <w:r>
        <w:rPr>
          <w:rFonts w:ascii="Arial" w:cs="Arial" w:eastAsia="Arial" w:hAnsi="Arial"/>
          <w:sz w:val="15"/>
          <w:szCs w:val="15"/>
          <w:b w:val="1"/>
          <w:bCs w:val="1"/>
          <w:color w:val="auto"/>
        </w:rPr>
        <w:t>June 30, 2016</w:t>
      </w:r>
    </w:p>
    <w:p>
      <w:pPr>
        <w:spacing w:after="0" w:line="23" w:lineRule="exact"/>
        <w:rPr>
          <w:sz w:val="20"/>
          <w:szCs w:val="20"/>
          <w:color w:val="auto"/>
        </w:rPr>
      </w:pPr>
    </w:p>
    <w:p>
      <w:pPr>
        <w:jc w:val="both"/>
        <w:ind w:left="1080"/>
        <w:spacing w:after="0"/>
        <w:tabs>
          <w:tab w:leader="none" w:pos="2920" w:val="left"/>
        </w:tabs>
        <w:rPr>
          <w:sz w:val="20"/>
          <w:szCs w:val="20"/>
          <w:color w:val="auto"/>
        </w:rPr>
      </w:pPr>
      <w:r>
        <w:rPr>
          <w:rFonts w:ascii="Arial" w:cs="Arial" w:eastAsia="Arial" w:hAnsi="Arial"/>
          <w:sz w:val="18"/>
          <w:szCs w:val="18"/>
          <w:color w:val="auto"/>
        </w:rPr>
        <w:t>8,240</w:t>
      </w:r>
      <w:r>
        <w:rPr>
          <w:sz w:val="20"/>
          <w:szCs w:val="20"/>
          <w:color w:val="auto"/>
        </w:rPr>
        <w:tab/>
      </w:r>
      <w:r>
        <w:rPr>
          <w:rFonts w:ascii="Arial" w:cs="Arial" w:eastAsia="Arial" w:hAnsi="Arial"/>
          <w:sz w:val="18"/>
          <w:szCs w:val="18"/>
          <w:color w:val="auto"/>
        </w:rPr>
        <w:t>(7,864)</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940" w:type="dxa"/>
            <w:vAlign w:val="bottom"/>
            <w:gridSpan w:val="2"/>
          </w:tcPr>
          <w:p>
            <w:pPr>
              <w:jc w:val="right"/>
              <w:ind w:right="380"/>
              <w:spacing w:after="0"/>
              <w:rPr>
                <w:sz w:val="20"/>
                <w:szCs w:val="20"/>
                <w:color w:val="auto"/>
              </w:rPr>
            </w:pPr>
            <w:r>
              <w:rPr>
                <w:rFonts w:ascii="Arial" w:cs="Arial" w:eastAsia="Arial" w:hAnsi="Arial"/>
                <w:sz w:val="18"/>
                <w:szCs w:val="18"/>
                <w:color w:val="auto"/>
              </w:rPr>
              <w:t>(2,348)</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(2,516)</w:t>
            </w:r>
          </w:p>
        </w:tc>
        <w:tc>
          <w:tcPr>
            <w:tcW w:w="0" w:type="dxa"/>
            <w:vAlign w:val="bottom"/>
          </w:tcPr>
          <w:p>
            <w:pPr>
              <w:spacing w:after="0"/>
              <w:rPr>
                <w:sz w:val="1"/>
                <w:szCs w:val="1"/>
                <w:color w:val="auto"/>
              </w:rPr>
            </w:pPr>
          </w:p>
        </w:tc>
      </w:tr>
      <w:tr>
        <w:trPr>
          <w:trHeight w:val="210"/>
        </w:trPr>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5,892</w:t>
            </w:r>
          </w:p>
        </w:tc>
        <w:tc>
          <w:tcPr>
            <w:tcW w:w="440" w:type="dxa"/>
            <w:vAlign w:val="bottom"/>
          </w:tcPr>
          <w:p>
            <w:pPr>
              <w:spacing w:after="0"/>
              <w:rPr>
                <w:sz w:val="18"/>
                <w:szCs w:val="18"/>
                <w:color w:val="auto"/>
              </w:rPr>
            </w:pPr>
          </w:p>
        </w:tc>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(10,380</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80,496,499</w:t>
            </w:r>
          </w:p>
        </w:tc>
        <w:tc>
          <w:tcPr>
            <w:tcW w:w="440" w:type="dxa"/>
            <w:vAlign w:val="bottom"/>
          </w:tcPr>
          <w:p>
            <w:pPr>
              <w:spacing w:after="0"/>
              <w:rPr>
                <w:sz w:val="18"/>
                <w:szCs w:val="18"/>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80,535,156</w:t>
            </w:r>
          </w:p>
        </w:tc>
        <w:tc>
          <w:tcPr>
            <w:tcW w:w="40" w:type="dxa"/>
            <w:vAlign w:val="bottom"/>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23"/>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0.07</w:t>
            </w:r>
          </w:p>
        </w:tc>
        <w:tc>
          <w:tcPr>
            <w:tcW w:w="440" w:type="dxa"/>
            <w:vAlign w:val="bottom"/>
          </w:tcPr>
          <w:p>
            <w:pPr>
              <w:spacing w:after="0"/>
              <w:rPr>
                <w:sz w:val="19"/>
                <w:szCs w:val="19"/>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(0.13</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500" w:type="dxa"/>
            <w:vAlign w:val="bottom"/>
          </w:tcPr>
          <w:p>
            <w:pPr>
              <w:jc w:val="right"/>
              <w:spacing w:after="0"/>
              <w:rPr>
                <w:sz w:val="20"/>
                <w:szCs w:val="20"/>
                <w:color w:val="auto"/>
              </w:rPr>
            </w:pPr>
            <w:r>
              <w:rPr>
                <w:rFonts w:ascii="Arial" w:cs="Arial" w:eastAsia="Arial" w:hAnsi="Arial"/>
                <w:sz w:val="18"/>
                <w:szCs w:val="18"/>
                <w:color w:val="auto"/>
              </w:rPr>
              <w:t>5,892</w:t>
            </w:r>
          </w:p>
        </w:tc>
        <w:tc>
          <w:tcPr>
            <w:tcW w:w="440" w:type="dxa"/>
            <w:vAlign w:val="bottom"/>
            <w:vMerge w:val="continue"/>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(10,380)</w:t>
            </w:r>
          </w:p>
        </w:tc>
        <w:tc>
          <w:tcPr>
            <w:tcW w:w="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1940" w:type="dxa"/>
            <w:vAlign w:val="bottom"/>
            <w:gridSpan w:val="2"/>
          </w:tcPr>
          <w:p>
            <w:pPr>
              <w:jc w:val="right"/>
              <w:ind w:right="380"/>
              <w:spacing w:after="0"/>
              <w:rPr>
                <w:sz w:val="20"/>
                <w:szCs w:val="20"/>
                <w:color w:val="auto"/>
              </w:rPr>
            </w:pPr>
            <w:r>
              <w:rPr>
                <w:rFonts w:ascii="Arial" w:cs="Arial" w:eastAsia="Arial" w:hAnsi="Arial"/>
                <w:sz w:val="18"/>
                <w:szCs w:val="18"/>
                <w:color w:val="auto"/>
              </w:rPr>
              <w:t>(3,796)</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7,299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1,836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940" w:type="dxa"/>
            <w:vAlign w:val="bottom"/>
            <w:gridSpan w:val="2"/>
          </w:tcPr>
          <w:p>
            <w:pPr>
              <w:jc w:val="right"/>
              <w:ind w:right="380"/>
              <w:spacing w:after="0"/>
              <w:rPr>
                <w:sz w:val="20"/>
                <w:szCs w:val="20"/>
                <w:color w:val="auto"/>
              </w:rPr>
            </w:pPr>
            <w:r>
              <w:rPr>
                <w:rFonts w:ascii="Arial" w:cs="Arial" w:eastAsia="Arial" w:hAnsi="Arial"/>
                <w:sz w:val="18"/>
                <w:szCs w:val="18"/>
                <w:color w:val="auto"/>
              </w:rPr>
              <w:t>(2,002)</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442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180" w:space="720"/>
            <w:col w:w="3520"/>
          </w:cols>
          <w:pgMar w:left="240" w:top="405"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880" w:type="dxa"/>
            <w:vAlign w:val="bottom"/>
          </w:tcPr>
          <w:p>
            <w:pPr>
              <w:spacing w:after="0"/>
              <w:rPr>
                <w:sz w:val="20"/>
                <w:szCs w:val="20"/>
                <w:color w:val="auto"/>
              </w:rPr>
            </w:pPr>
            <w:r>
              <w:rPr>
                <w:rFonts w:ascii="Arial" w:cs="Arial" w:eastAsia="Arial" w:hAnsi="Arial"/>
                <w:sz w:val="18"/>
                <w:szCs w:val="18"/>
                <w:color w:val="auto"/>
              </w:rPr>
              <w:t>Adjusted profit/(loss) attributable to owners of the Group</w:t>
            </w:r>
          </w:p>
        </w:tc>
        <w:tc>
          <w:tcPr>
            <w:tcW w:w="3020" w:type="dxa"/>
            <w:vAlign w:val="bottom"/>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440" w:type="dxa"/>
            <w:vAlign w:val="bottom"/>
          </w:tcPr>
          <w:p>
            <w:pPr>
              <w:spacing w:after="0"/>
              <w:rPr>
                <w:sz w:val="18"/>
                <w:szCs w:val="18"/>
                <w:color w:val="auto"/>
              </w:rPr>
            </w:pPr>
          </w:p>
        </w:tc>
        <w:tc>
          <w:tcPr>
            <w:tcW w:w="1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(803</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48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Weighted average number of shares outstanding, basic</w:t>
            </w:r>
          </w:p>
        </w:tc>
        <w:tc>
          <w:tcPr>
            <w:tcW w:w="3020" w:type="dxa"/>
            <w:vAlign w:val="bottom"/>
            <w:tcBorders>
              <w:top w:val="single" w:sz="8" w:color="E5FFFF"/>
            </w:tcBorders>
            <w:shd w:val="clear" w:color="auto" w:fill="E5FFFF"/>
          </w:tcPr>
          <w:p>
            <w:pPr>
              <w:spacing w:after="0"/>
              <w:rPr>
                <w:sz w:val="18"/>
                <w:szCs w:val="18"/>
                <w:color w:val="auto"/>
              </w:rPr>
            </w:pP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80,496,499</w:t>
            </w:r>
          </w:p>
        </w:tc>
        <w:tc>
          <w:tcPr>
            <w:tcW w:w="44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80,535,156</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Adjusted earnings/(loss) per share</w:t>
            </w:r>
          </w:p>
        </w:tc>
        <w:tc>
          <w:tcPr>
            <w:tcW w:w="30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44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(0.01</w:t>
            </w:r>
          </w:p>
        </w:tc>
        <w:tc>
          <w:tcPr>
            <w:tcW w:w="100" w:type="dxa"/>
            <w:vAlign w:val="bottom"/>
            <w:gridSpan w:val="2"/>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020" w:type="dxa"/>
            <w:vAlign w:val="bottom"/>
            <w:vMerge w:val="restart"/>
          </w:tcPr>
          <w:p>
            <w:pPr>
              <w:jc w:val="right"/>
              <w:ind w:right="2010"/>
              <w:spacing w:after="0"/>
              <w:rPr>
                <w:sz w:val="20"/>
                <w:szCs w:val="20"/>
                <w:color w:val="auto"/>
              </w:rPr>
            </w:pPr>
            <w:r>
              <w:rPr>
                <w:rFonts w:ascii="Arial" w:cs="Arial" w:eastAsia="Arial" w:hAnsi="Arial"/>
                <w:sz w:val="18"/>
                <w:szCs w:val="18"/>
                <w:color w:val="auto"/>
              </w:rPr>
              <w:t>11</w:t>
            </w:r>
          </w:p>
        </w:tc>
        <w:tc>
          <w:tcPr>
            <w:tcW w:w="1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88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80" w:type="dxa"/>
            <w:vAlign w:val="bottom"/>
            <w:tcBorders>
              <w:bottom w:val="single" w:sz="8" w:color="C0C0C0"/>
            </w:tcBorders>
          </w:tcPr>
          <w:p>
            <w:pPr>
              <w:spacing w:after="0"/>
              <w:rPr>
                <w:sz w:val="21"/>
                <w:szCs w:val="21"/>
                <w:color w:val="auto"/>
              </w:rPr>
            </w:pPr>
          </w:p>
        </w:tc>
        <w:tc>
          <w:tcPr>
            <w:tcW w:w="3020" w:type="dxa"/>
            <w:vAlign w:val="bottom"/>
            <w:tcBorders>
              <w:bottom w:val="single" w:sz="8" w:color="C0C0C0"/>
            </w:tcBorders>
          </w:tcPr>
          <w:p>
            <w:pPr>
              <w:spacing w:after="0"/>
              <w:rPr>
                <w:sz w:val="21"/>
                <w:szCs w:val="21"/>
                <w:color w:val="auto"/>
              </w:rPr>
            </w:pPr>
          </w:p>
        </w:tc>
        <w:tc>
          <w:tcPr>
            <w:tcW w:w="150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1480" w:type="dxa"/>
            <w:vAlign w:val="bottom"/>
            <w:tcBorders>
              <w:bottom w:val="single" w:sz="8" w:color="C0C0C0"/>
            </w:tcBorders>
          </w:tcPr>
          <w:p>
            <w:pPr>
              <w:spacing w:after="0"/>
              <w:rPr>
                <w:sz w:val="21"/>
                <w:szCs w:val="21"/>
                <w:color w:val="auto"/>
              </w:rPr>
            </w:pPr>
          </w:p>
        </w:tc>
        <w:tc>
          <w:tcPr>
            <w:tcW w:w="2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type w:val="continuous"/>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99.2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Financial Report for the Three and Six Months Ended June 30, 2016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w:t>
      </w:r>
    </w:p>
    <w:p>
      <w:pPr>
        <w:spacing w:after="0" w:line="229" w:lineRule="exact"/>
        <w:rPr>
          <w:sz w:val="20"/>
          <w:szCs w:val="20"/>
          <w:color w:val="auto"/>
        </w:rPr>
      </w:pPr>
    </w:p>
    <w:p>
      <w:pPr>
        <w:ind w:right="20" w:firstLine="356"/>
        <w:spacing w:after="0" w:line="271" w:lineRule="auto"/>
        <w:rPr>
          <w:sz w:val="20"/>
          <w:szCs w:val="20"/>
          <w:color w:val="auto"/>
        </w:rPr>
      </w:pPr>
      <w:r>
        <w:rPr>
          <w:rFonts w:ascii="Arial" w:cs="Arial" w:eastAsia="Arial" w:hAnsi="Arial"/>
          <w:sz w:val="17"/>
          <w:szCs w:val="17"/>
          <w:color w:val="auto"/>
        </w:rPr>
        <w:t>The following is a discussion of our financial condition and results of operations for the three and six-month periods ended June 30, 2016 and June 30, 2015. Unless otherwise specified herein, references to “GasLog”, the “Company”, the “Group”, “we”, “our” or “us” shall include GasLog Ltd. and its subsidiaries. You should read this section in conjunction with our unaudited condensed consolidated financial statements and related notes included elsewhere in this report. For additional information relating to our management’s discussion and analysis of financial condition and results of operation, please see our Annual Report on Form 20-F filed with the U.S. Securities and Exchange Commission (the “SEC”) on March 14, 2016. This discussion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 See also discussion in the section entitled “Forward-Looking Statements” below.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All statements in this report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660" w:right="660" w:hanging="328"/>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liquefied natural gas (“LNG”) shipping market conditions and trends, including spot and long-term charter rates, ship values, factors affecting supply and demand of LNG and LNG shipping and technological advancements;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continued low prices for crude oil and petroleum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enter into time charters with new and existing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9" w:lineRule="exact"/>
        <w:rPr>
          <w:rFonts w:ascii="Arial" w:cs="Arial" w:eastAsia="Arial" w:hAnsi="Arial"/>
          <w:sz w:val="18"/>
          <w:szCs w:val="18"/>
          <w:color w:val="auto"/>
        </w:rPr>
      </w:pPr>
    </w:p>
    <w:p>
      <w:pPr>
        <w:ind w:left="660" w:right="90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ind w:left="660" w:right="5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 or operating expenses;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off-hire days, drydocking requirements and insurance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long-term relationships with major energy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maximize the use of our ships, including the re-employment or disposal of ships not under time charter commitments;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environmental and regulatory conditions, including changes in laws and regulations or actions taken by regulatory authorities;</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of skilled labor, ship crews and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ind w:left="660" w:right="56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other risks and uncertainties described in the Company’s Annual Report on Form 20-F filed with the SEC on March 14, 2016 and available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84"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We undertake no obligation to update or revise any forward-looking statements contained in this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71" w:lineRule="exact"/>
        <w:rPr>
          <w:sz w:val="20"/>
          <w:szCs w:val="20"/>
          <w:color w:val="auto"/>
        </w:rPr>
      </w:pPr>
    </w:p>
    <w:p>
      <w:pPr>
        <w:ind w:right="20" w:firstLine="356"/>
        <w:spacing w:after="0" w:line="264" w:lineRule="auto"/>
        <w:rPr>
          <w:sz w:val="20"/>
          <w:szCs w:val="20"/>
          <w:color w:val="auto"/>
        </w:rPr>
      </w:pPr>
      <w:r>
        <w:rPr>
          <w:rFonts w:ascii="Arial" w:cs="Arial" w:eastAsia="Arial" w:hAnsi="Arial"/>
          <w:sz w:val="18"/>
          <w:szCs w:val="18"/>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are an international owner, operator and manager of LNG carriers. Our wholly owned fleet consists of 18 LNG carriers, including twelve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ind w:right="40"/>
        <w:spacing w:after="0" w:line="290" w:lineRule="auto"/>
        <w:rPr>
          <w:sz w:val="20"/>
          <w:szCs w:val="20"/>
          <w:color w:val="auto"/>
        </w:rPr>
      </w:pPr>
      <w:r>
        <w:rPr>
          <w:rFonts w:ascii="Arial" w:cs="Arial" w:eastAsia="Arial" w:hAnsi="Arial"/>
          <w:sz w:val="16"/>
          <w:szCs w:val="16"/>
          <w:color w:val="auto"/>
        </w:rPr>
        <w:t>ships in operation, four LNG carriers on order at Samsung Heavy Industries Co., Ltd. (“Samsung”) and two LNG carriers on order at Hyundai Heavy Industries Co., Ltd. (“Hyundai”). GasLog is also the general and controlling partner in GasLog Partners LP (“GasLog Partners” or the “Partnership”), a publicly traded master limited partnership, which owns eight LNG carriers. In addition, GasLog has leased back under a bareboat charter the vessel sold in February 2016 to a subsidiary of Mitsui Co. Ltd. (“Mitsui”). GasLog has the option to re-purchase the vessel on pre-agreed terms no earlier than the end of year ten and no later than the end of year 17 of the bareboat charter. We currently manage and operate 24 LNG carriers including eleven of our wholly owned ships in operation (one is managed by a subsidiary of Royal Dutch Shell plc (“Shell”)), the eight ships contributed or sold to the Partnership, the bareboat vessel, three ships owned by Methane Services Limited (“MSL”), a subsidiary of BG Group plc. (“BG Group”) and one additional LNG carrier in which we have a 25% interest. BG Group was acquired by Shell on February 15, 2016. We are also supervising the construction of our newbuildings.</w:t>
      </w:r>
    </w:p>
    <w:p>
      <w:pPr>
        <w:spacing w:after="0" w:line="166" w:lineRule="exact"/>
        <w:rPr>
          <w:sz w:val="20"/>
          <w:szCs w:val="20"/>
          <w:color w:val="auto"/>
        </w:rPr>
      </w:pPr>
    </w:p>
    <w:p>
      <w:pPr>
        <w:ind w:right="40" w:firstLine="356"/>
        <w:spacing w:after="0" w:line="288" w:lineRule="auto"/>
        <w:rPr>
          <w:sz w:val="20"/>
          <w:szCs w:val="20"/>
          <w:color w:val="auto"/>
        </w:rPr>
      </w:pPr>
      <w:r>
        <w:rPr>
          <w:rFonts w:ascii="Arial" w:cs="Arial" w:eastAsia="Arial" w:hAnsi="Arial"/>
          <w:sz w:val="16"/>
          <w:szCs w:val="16"/>
          <w:color w:val="auto"/>
        </w:rPr>
        <w:t>We have secured multi-year and seasonal time charter contracts for nine of our operating ships, the eight ships owned by the Partnership, the bareboat vessel and our six newbuildings on order. As of June 30, 2016, after giving effect to the charter party agreement with Total Gas &amp; Power Chartering Limited (“Total”) described below, these contracts are expected to provide total contracted revenue of approximately $3.66 billion during their initial terms, which expire between 2016 and 2029. Contracted revenue calculations assume: (a) 365 revenue days per annum, with 30 off-hire days when the ship undergoes scheduled drydocking, (b) all LNG carriers on order are delivered on schedule, and (c) no exercise of any option to extend the term of charters. Three of our ships are currently operating in the spot/short-term market. GasLog has entered into a pool agreement (the “Pool Agreement”) with Dynagas Ltd. (“Dynagas”) and Golar LNG Ltd. (“Golar”) establishing the Cool Pool Limited (the “Cool Pool”) to market their vessels, which are currently operating in the LNG shipping spot market. The Cool Pool allows the participating owners to optimize the operation of the pool vessels through improved scheduling ability, cost efficiencies and common marketing. The objective of the Cool Pool is to serve the transportation requirements of a rapidly growing LNG shipping market by providing customers with reliable, yet flexible, and innovative solutions to meet their increasingly complex shipping requirements.</w:t>
      </w:r>
    </w:p>
    <w:p>
      <w:pPr>
        <w:spacing w:after="0" w:line="16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We also have a 25% interest in an additional ship, the </w:t>
      </w:r>
      <w:r>
        <w:rPr>
          <w:rFonts w:ascii="Arial" w:cs="Arial" w:eastAsia="Arial" w:hAnsi="Arial"/>
          <w:sz w:val="18"/>
          <w:szCs w:val="18"/>
          <w:i w:val="1"/>
          <w:iCs w:val="1"/>
          <w:color w:val="auto"/>
        </w:rPr>
        <w:t>Methane Nile Eagle</w:t>
      </w:r>
      <w:r>
        <w:rPr>
          <w:rFonts w:ascii="Arial" w:cs="Arial" w:eastAsia="Arial" w:hAnsi="Arial"/>
          <w:sz w:val="18"/>
          <w:szCs w:val="18"/>
          <w:color w:val="auto"/>
        </w:rPr>
        <w:t xml:space="preserve">, a 2007-built LNG carrier owned by Egypt LNG Shipping Ltd. (“Egypt LNG”) and technically managed by us. It is currently operating under a 20-year time charter to MSL. On October 29, 2015, Egypt LNG and BG Group mutually agreed to lay up the </w:t>
      </w:r>
      <w:r>
        <w:rPr>
          <w:rFonts w:ascii="Arial" w:cs="Arial" w:eastAsia="Arial" w:hAnsi="Arial"/>
          <w:sz w:val="18"/>
          <w:szCs w:val="18"/>
          <w:i w:val="1"/>
          <w:iCs w:val="1"/>
          <w:color w:val="auto"/>
        </w:rPr>
        <w:t>Methane Nile Eagle</w:t>
      </w:r>
      <w:r>
        <w:rPr>
          <w:rFonts w:ascii="Arial" w:cs="Arial" w:eastAsia="Arial" w:hAnsi="Arial"/>
          <w:sz w:val="18"/>
          <w:szCs w:val="18"/>
          <w:color w:val="auto"/>
        </w:rPr>
        <w:t xml:space="preserve"> for a period of approximately one year. The charterer continues to pay charter hire costs adjusted for net savings in operating expenses and insurance as a result of the vessel being laid up.</w:t>
      </w:r>
    </w:p>
    <w:p>
      <w:pPr>
        <w:spacing w:after="0" w:line="187" w:lineRule="exact"/>
        <w:rPr>
          <w:sz w:val="20"/>
          <w:szCs w:val="20"/>
          <w:color w:val="auto"/>
        </w:rPr>
      </w:pPr>
    </w:p>
    <w:p>
      <w:pPr>
        <w:ind w:right="140" w:firstLine="356"/>
        <w:spacing w:after="0" w:line="286" w:lineRule="auto"/>
        <w:rPr>
          <w:sz w:val="20"/>
          <w:szCs w:val="20"/>
          <w:color w:val="auto"/>
        </w:rPr>
      </w:pPr>
      <w:r>
        <w:rPr>
          <w:rFonts w:ascii="Arial" w:cs="Arial" w:eastAsia="Arial" w:hAnsi="Arial"/>
          <w:sz w:val="17"/>
          <w:szCs w:val="17"/>
          <w:color w:val="auto"/>
        </w:rPr>
        <w:t>We generate revenues by chartering our ships to customers on multi-year charters, seasonal time charters and spot/short-term charters and by providing technical ship management services, including crewing, training, maintenance, regulatory and classification compliance and health, safety, security and environmental (“HSSE”) management and reporting through our wholly owned subsidiary GasLog LNG Services Ltd.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 Declaration</w:t>
      </w:r>
    </w:p>
    <w:p>
      <w:pPr>
        <w:spacing w:after="0" w:line="229" w:lineRule="exact"/>
        <w:rPr>
          <w:sz w:val="20"/>
          <w:szCs w:val="20"/>
          <w:color w:val="auto"/>
        </w:rPr>
      </w:pPr>
    </w:p>
    <w:p>
      <w:pPr>
        <w:ind w:right="60" w:firstLine="383"/>
        <w:spacing w:after="0" w:line="342" w:lineRule="auto"/>
        <w:rPr>
          <w:sz w:val="20"/>
          <w:szCs w:val="20"/>
          <w:color w:val="auto"/>
        </w:rPr>
      </w:pPr>
      <w:r>
        <w:rPr>
          <w:rFonts w:ascii="Arial" w:cs="Arial" w:eastAsia="Arial" w:hAnsi="Arial"/>
          <w:sz w:val="16"/>
          <w:szCs w:val="16"/>
          <w:color w:val="auto"/>
        </w:rPr>
        <w:t>On May 5, 2016, the board of directors declared a dividend on the Series A Preference Shares of $0.546875 per share, or $2.52 million in the aggregate, payable on July 1, 2016 to holders of record as of June 30, 2016. GasLog paid the declared dividend to the transfer agent on June 28, 2016.</w:t>
      </w:r>
    </w:p>
    <w:p>
      <w:pPr>
        <w:spacing w:after="0" w:line="124" w:lineRule="exact"/>
        <w:rPr>
          <w:sz w:val="20"/>
          <w:szCs w:val="20"/>
          <w:color w:val="auto"/>
        </w:rPr>
      </w:pPr>
    </w:p>
    <w:p>
      <w:pPr>
        <w:ind w:right="60" w:firstLine="383"/>
        <w:spacing w:after="0" w:line="277" w:lineRule="auto"/>
        <w:rPr>
          <w:sz w:val="20"/>
          <w:szCs w:val="20"/>
          <w:color w:val="auto"/>
        </w:rPr>
      </w:pPr>
      <w:r>
        <w:rPr>
          <w:rFonts w:ascii="Arial" w:cs="Arial" w:eastAsia="Arial" w:hAnsi="Arial"/>
          <w:sz w:val="18"/>
          <w:szCs w:val="18"/>
          <w:color w:val="auto"/>
        </w:rPr>
        <w:t>On August 3, 2016, the board of directors declared a quarterly cash dividend of $0.14 per common share payable on August 25, 2016 to shareholders of record as of August 15,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Bond Issuance</w:t>
      </w:r>
    </w:p>
    <w:p>
      <w:pPr>
        <w:spacing w:after="0" w:line="229" w:lineRule="exact"/>
        <w:rPr>
          <w:sz w:val="20"/>
          <w:szCs w:val="20"/>
          <w:color w:val="auto"/>
        </w:rPr>
      </w:pPr>
    </w:p>
    <w:p>
      <w:pPr>
        <w:ind w:right="180" w:firstLine="383"/>
        <w:spacing w:after="0" w:line="302" w:lineRule="auto"/>
        <w:rPr>
          <w:sz w:val="20"/>
          <w:szCs w:val="20"/>
          <w:color w:val="auto"/>
        </w:rPr>
      </w:pPr>
      <w:r>
        <w:rPr>
          <w:rFonts w:ascii="Arial" w:cs="Arial" w:eastAsia="Arial" w:hAnsi="Arial"/>
          <w:sz w:val="16"/>
          <w:szCs w:val="16"/>
          <w:color w:val="auto"/>
        </w:rPr>
        <w:t>On June 27, 2016, GasLog completed the issuance of NOK 750 million (equivalent to $90.2 million) of new senior unsecured bonds in the Norwegian bond market. The bonds will mature in May 2021 and have a coupon of 6.9% over 3 month NIBOR. The proceeds from the issuance were used to partly refinance GasLog’s existing bonds maturing in June 2018. Simultaneously with the aforementioned bond issuance, GasLog re-purchased and cancelled GasLog’s NOK 588 million of bonds from a total NOK 1 billion of bonds issued in June 27, 2013 and May 2, 2014 at a price of 103% of par value.</w:t>
      </w:r>
    </w:p>
    <w:p>
      <w:pPr>
        <w:spacing w:after="0" w:line="154" w:lineRule="exact"/>
        <w:rPr>
          <w:sz w:val="20"/>
          <w:szCs w:val="20"/>
          <w:color w:val="auto"/>
        </w:rPr>
      </w:pPr>
    </w:p>
    <w:p>
      <w:pPr>
        <w:ind w:right="60" w:firstLine="383"/>
        <w:spacing w:after="0" w:line="264" w:lineRule="auto"/>
        <w:rPr>
          <w:sz w:val="20"/>
          <w:szCs w:val="20"/>
          <w:color w:val="auto"/>
        </w:rPr>
      </w:pPr>
      <w:r>
        <w:rPr>
          <w:rFonts w:ascii="Arial" w:cs="Arial" w:eastAsia="Arial" w:hAnsi="Arial"/>
          <w:sz w:val="18"/>
          <w:szCs w:val="18"/>
          <w:color w:val="auto"/>
        </w:rPr>
        <w:t>In addition, GasLog entered into three cross currency swaps (“CCSs”) to exchange interest payments and principal on maturity on the same terms as the NOK 750 million bonds, terminated three of its existing CCSs and decreased the notional amount of its remaining three CCSs to mirror the remaining NOK 412 million of bonds maturing in June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Delivery of the </w:t>
      </w:r>
      <w:r>
        <w:rPr>
          <w:rFonts w:ascii="Arial" w:cs="Arial" w:eastAsia="Arial" w:hAnsi="Arial"/>
          <w:sz w:val="18"/>
          <w:szCs w:val="18"/>
          <w:b w:val="1"/>
          <w:bCs w:val="1"/>
          <w:i w:val="1"/>
          <w:iCs w:val="1"/>
          <w:u w:val="single" w:color="auto"/>
          <w:color w:val="auto"/>
        </w:rPr>
        <w:t>GasLog Glasgow</w:t>
      </w:r>
    </w:p>
    <w:p>
      <w:pPr>
        <w:spacing w:after="0" w:line="229" w:lineRule="exact"/>
        <w:rPr>
          <w:sz w:val="20"/>
          <w:szCs w:val="20"/>
          <w:color w:val="auto"/>
        </w:rPr>
      </w:pPr>
    </w:p>
    <w:p>
      <w:pPr>
        <w:ind w:firstLine="383"/>
        <w:spacing w:after="0" w:line="264" w:lineRule="auto"/>
        <w:rPr>
          <w:sz w:val="20"/>
          <w:szCs w:val="20"/>
          <w:color w:val="auto"/>
        </w:rPr>
      </w:pPr>
      <w:r>
        <w:rPr>
          <w:rFonts w:ascii="Arial" w:cs="Arial" w:eastAsia="Arial" w:hAnsi="Arial"/>
          <w:sz w:val="18"/>
          <w:szCs w:val="18"/>
          <w:color w:val="auto"/>
        </w:rPr>
        <w:t xml:space="preserve">On June 30, 2016, GasLog took delivery of the </w:t>
      </w:r>
      <w:r>
        <w:rPr>
          <w:rFonts w:ascii="Arial" w:cs="Arial" w:eastAsia="Arial" w:hAnsi="Arial"/>
          <w:sz w:val="18"/>
          <w:szCs w:val="18"/>
          <w:i w:val="1"/>
          <w:iCs w:val="1"/>
          <w:color w:val="auto"/>
        </w:rPr>
        <w:t>GasLog Glasgow</w:t>
      </w:r>
      <w:r>
        <w:rPr>
          <w:rFonts w:ascii="Arial" w:cs="Arial" w:eastAsia="Arial" w:hAnsi="Arial"/>
          <w:sz w:val="18"/>
          <w:szCs w:val="18"/>
          <w:color w:val="auto"/>
        </w:rPr>
        <w:t>, an LNG carrier of 174,000 cubic meters capacity with tri-fuel diesel electric propulsion constructed by Samsung. The vessel is chartered out to MSL, a subsidiary of BG Group, now owned by Shell, from its delivery until 2026, with an option for the charterer to extend the terms of the charter at specified rates.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Charter Party Agreement with Total</w:t>
      </w:r>
    </w:p>
    <w:p>
      <w:pPr>
        <w:spacing w:after="0" w:line="229" w:lineRule="exact"/>
        <w:rPr>
          <w:sz w:val="20"/>
          <w:szCs w:val="20"/>
          <w:color w:val="auto"/>
        </w:rPr>
      </w:pPr>
    </w:p>
    <w:p>
      <w:pPr>
        <w:ind w:right="40" w:firstLine="383"/>
        <w:spacing w:after="0" w:line="264" w:lineRule="auto"/>
        <w:rPr>
          <w:sz w:val="20"/>
          <w:szCs w:val="20"/>
          <w:color w:val="auto"/>
        </w:rPr>
      </w:pPr>
      <w:r>
        <w:rPr>
          <w:rFonts w:ascii="Arial" w:cs="Arial" w:eastAsia="Arial" w:hAnsi="Arial"/>
          <w:sz w:val="18"/>
          <w:szCs w:val="18"/>
          <w:color w:val="auto"/>
        </w:rPr>
        <w:t>On July 11, 2016, GasLog entered a time charter party agreement with Total to charter Hull No. 2801 for a period of seven years, commencing in mid-2018 at a date to be finalized ahead of the commencement of the charter. A further option period of three years has been granted at the charterer’s option. The vessel is currently under construction at Hyundai in South Korea and is due to be delivered in 2018.</w:t>
      </w:r>
    </w:p>
    <w:p>
      <w:pPr>
        <w:sectPr>
          <w:pgSz w:w="11900" w:h="16838" w:orient="portrait"/>
          <w:cols w:equalWidth="0" w:num="1">
            <w:col w:w="11400"/>
          </w:cols>
          <w:pgMar w:left="240" w:top="409" w:right="259" w:bottom="1440" w:gutter="0" w:footer="0" w:header="0"/>
        </w:sectPr>
      </w:pP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type w:val="continuous"/>
        </w:sectPr>
      </w:pPr>
    </w:p>
    <w:bookmarkStart w:id="17" w:name="page18"/>
    <w:bookmarkEnd w:id="17"/>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Refinancing</w:t>
      </w:r>
    </w:p>
    <w:p>
      <w:pPr>
        <w:spacing w:after="0" w:line="229" w:lineRule="exact"/>
        <w:rPr>
          <w:sz w:val="20"/>
          <w:szCs w:val="20"/>
          <w:color w:val="auto"/>
        </w:rPr>
      </w:pPr>
    </w:p>
    <w:p>
      <w:pPr>
        <w:ind w:right="120" w:firstLine="383"/>
        <w:spacing w:after="0" w:line="257" w:lineRule="auto"/>
        <w:rPr>
          <w:sz w:val="20"/>
          <w:szCs w:val="20"/>
          <w:color w:val="auto"/>
        </w:rPr>
      </w:pPr>
      <w:r>
        <w:rPr>
          <w:rFonts w:ascii="Arial" w:cs="Arial" w:eastAsia="Arial" w:hAnsi="Arial"/>
          <w:sz w:val="18"/>
          <w:szCs w:val="18"/>
          <w:color w:val="auto"/>
        </w:rPr>
        <w:t xml:space="preserve">On July 19, 2016, GasLog entered into a credit agreement to refinance the existing indebtedness on eight of its on-the-water vessels of up to $1.05 billion (the “Legacy Facility Re-financing”) with a number of international banks. It is comprised of a five-year facility of up to $950.0 million and a revolving credit facility of up to $100.0 million. The vessels covered by the Legacy Facility Re-financing are the </w:t>
      </w:r>
      <w:r>
        <w:rPr>
          <w:rFonts w:ascii="Arial" w:cs="Arial" w:eastAsia="Arial" w:hAnsi="Arial"/>
          <w:sz w:val="18"/>
          <w:szCs w:val="18"/>
          <w:i w:val="1"/>
          <w:iCs w:val="1"/>
          <w:color w:val="auto"/>
        </w:rPr>
        <w:t>GasLog Savannah</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Singapore</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Skagen</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Saratoga</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Salem</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Chelsea</w:t>
      </w:r>
      <w:r>
        <w:rPr>
          <w:rFonts w:ascii="Arial" w:cs="Arial" w:eastAsia="Arial" w:hAnsi="Arial"/>
          <w:sz w:val="18"/>
          <w:szCs w:val="18"/>
          <w:color w:val="auto"/>
        </w:rPr>
        <w:t>. Citibank N.A, Credit Suisse AG and Nordea Bank AB were mandated lead arrangers to the transaction.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Swap Termination</w:t>
      </w:r>
    </w:p>
    <w:p>
      <w:pPr>
        <w:spacing w:after="0" w:line="229" w:lineRule="exact"/>
        <w:rPr>
          <w:sz w:val="20"/>
          <w:szCs w:val="20"/>
          <w:color w:val="auto"/>
        </w:rPr>
      </w:pPr>
    </w:p>
    <w:p>
      <w:pPr>
        <w:ind w:right="500" w:firstLine="383"/>
        <w:spacing w:after="0" w:line="264" w:lineRule="auto"/>
        <w:rPr>
          <w:sz w:val="20"/>
          <w:szCs w:val="20"/>
          <w:color w:val="auto"/>
        </w:rPr>
      </w:pPr>
      <w:r>
        <w:rPr>
          <w:rFonts w:ascii="Arial" w:cs="Arial" w:eastAsia="Arial" w:hAnsi="Arial"/>
          <w:sz w:val="18"/>
          <w:szCs w:val="18"/>
          <w:color w:val="auto"/>
        </w:rPr>
        <w:t>On July 18, 2016, the Group terminated interest rate swap agreements with an aggregate notional value of $874.92 million, associated with the six legacy facilities being re-financed by the Legacy Facility Re-financing. Concomitantly, GasLog entered into new interest rate swap agreements with a notional value of $870.0 million in aggregate, maturing between 2020 and 2022.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Retirement of Chief Operating Officer</w:t>
      </w:r>
    </w:p>
    <w:p>
      <w:pPr>
        <w:spacing w:after="0" w:line="229" w:lineRule="exact"/>
        <w:rPr>
          <w:sz w:val="20"/>
          <w:szCs w:val="20"/>
          <w:color w:val="auto"/>
        </w:rPr>
      </w:pPr>
    </w:p>
    <w:p>
      <w:pPr>
        <w:ind w:right="100" w:firstLine="383"/>
        <w:spacing w:after="0" w:line="293" w:lineRule="auto"/>
        <w:rPr>
          <w:sz w:val="20"/>
          <w:szCs w:val="20"/>
          <w:color w:val="auto"/>
        </w:rPr>
      </w:pPr>
      <w:r>
        <w:rPr>
          <w:rFonts w:ascii="Arial" w:cs="Arial" w:eastAsia="Arial" w:hAnsi="Arial"/>
          <w:sz w:val="16"/>
          <w:szCs w:val="16"/>
          <w:color w:val="auto"/>
        </w:rPr>
        <w:t>In June 2016, Graham Westgarth, GasLog’s Chief Operating Officer (“COO”) informed the board of directors of his intention to retire as of May 2017. We anticipate that Mr. Westgarth will be nominated, following his retirement, to serve on the GasLog Board as part of the 2017 Annual General Meeting. By the time of his retirement Mr. Westgarth will have been at GasLog for over four years in his role as COO and has been instrumental in supporting the growth of the business over that time, with a prime focus on the continuation of GasLog’s exceptional safety record and safe effective delivery of its newbuilds. Mr. Westgarth has worked in the global shipping industry in various roles for over forty years, and for five of those years also served as Chairman of INTERTANKO. A search for Mr. Westgarth’s successor is well underway and the retirement date of May 2017 ensures a prudent handover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GasLog Partners Equity Offering</w:t>
      </w:r>
    </w:p>
    <w:p>
      <w:pPr>
        <w:spacing w:after="0" w:line="216" w:lineRule="exact"/>
        <w:rPr>
          <w:sz w:val="20"/>
          <w:szCs w:val="20"/>
          <w:color w:val="auto"/>
        </w:rPr>
      </w:pPr>
    </w:p>
    <w:p>
      <w:pPr>
        <w:ind w:right="80" w:firstLine="383"/>
        <w:spacing w:after="0" w:line="279" w:lineRule="auto"/>
        <w:rPr>
          <w:sz w:val="20"/>
          <w:szCs w:val="20"/>
          <w:color w:val="auto"/>
        </w:rPr>
      </w:pPr>
      <w:r>
        <w:rPr>
          <w:rFonts w:ascii="Arial" w:cs="Arial" w:eastAsia="Arial" w:hAnsi="Arial"/>
          <w:sz w:val="17"/>
          <w:szCs w:val="17"/>
          <w:color w:val="auto"/>
        </w:rPr>
        <w:t>On August 1, 2016, GasLog Partners announced that it has priced its public offering of 2,750,000 common units at a price to the public of $19.50 per common unit. The Partnership plans to use the net proceeds from the public offering for general partnership purposes, which may include future acquisitions, debt repayment, capital expenditures and additions to working capital. We estimate that the gross proceeds from this offering will be $53.63 million (excluding $1.09 million from the sale of the general partner units to GasLog to maintain its 2.0% interest in the Partnership).</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Fleet Update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Owned Fleet</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June 30, 2016, our wholly owned fleet consists of the following vessels: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Cargo</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0"/>
        </w:trPr>
        <w:tc>
          <w:tcPr>
            <w:tcW w:w="2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b w:val="1"/>
                <w:bCs w:val="1"/>
                <w:color w:val="auto"/>
              </w:rPr>
              <w:t>Year</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Capacity</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Charter</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Optional</w:t>
            </w:r>
          </w:p>
        </w:tc>
      </w:tr>
      <w:tr>
        <w:trPr>
          <w:trHeight w:val="271"/>
        </w:trPr>
        <w:tc>
          <w:tcPr>
            <w:tcW w:w="280" w:type="dxa"/>
            <w:vAlign w:val="bottom"/>
            <w:tcBorders>
              <w:bottom w:val="single" w:sz="8" w:color="auto"/>
            </w:tcBorders>
          </w:tcPr>
          <w:p>
            <w:pPr>
              <w:spacing w:after="0"/>
              <w:rPr>
                <w:sz w:val="23"/>
                <w:szCs w:val="23"/>
                <w:color w:val="auto"/>
              </w:rPr>
            </w:pPr>
          </w:p>
        </w:tc>
        <w:tc>
          <w:tcPr>
            <w:tcW w:w="328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Vessel Name</w:t>
            </w:r>
          </w:p>
        </w:tc>
        <w:tc>
          <w:tcPr>
            <w:tcW w:w="120" w:type="dxa"/>
            <w:vAlign w:val="bottom"/>
            <w:tcBorders>
              <w:bottom w:val="single" w:sz="8" w:color="E5FFFF"/>
            </w:tcBorders>
          </w:tcPr>
          <w:p>
            <w:pPr>
              <w:spacing w:after="0"/>
              <w:rPr>
                <w:sz w:val="23"/>
                <w:szCs w:val="23"/>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Built</w:t>
            </w:r>
          </w:p>
        </w:tc>
        <w:tc>
          <w:tcPr>
            <w:tcW w:w="120" w:type="dxa"/>
            <w:vAlign w:val="bottom"/>
            <w:tcBorders>
              <w:bottom w:val="single" w:sz="8" w:color="E5FFFF"/>
            </w:tcBorders>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(cbm)</w:t>
            </w:r>
          </w:p>
        </w:tc>
        <w:tc>
          <w:tcPr>
            <w:tcW w:w="120" w:type="dxa"/>
            <w:vAlign w:val="bottom"/>
            <w:tcBorders>
              <w:bottom w:val="single" w:sz="8" w:color="E5FFFF"/>
            </w:tcBorders>
          </w:tcPr>
          <w:p>
            <w:pPr>
              <w:spacing w:after="0"/>
              <w:rPr>
                <w:sz w:val="23"/>
                <w:szCs w:val="2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Charterer</w:t>
            </w:r>
          </w:p>
        </w:tc>
        <w:tc>
          <w:tcPr>
            <w:tcW w:w="100" w:type="dxa"/>
            <w:vAlign w:val="bottom"/>
            <w:tcBorders>
              <w:bottom w:val="single" w:sz="8" w:color="E5FFFF"/>
            </w:tcBorders>
          </w:tcPr>
          <w:p>
            <w:pPr>
              <w:spacing w:after="0"/>
              <w:rPr>
                <w:sz w:val="23"/>
                <w:szCs w:val="2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Propulsion</w:t>
            </w:r>
          </w:p>
        </w:tc>
        <w:tc>
          <w:tcPr>
            <w:tcW w:w="100" w:type="dxa"/>
            <w:vAlign w:val="bottom"/>
            <w:tcBorders>
              <w:bottom w:val="single" w:sz="8" w:color="E5FFFF"/>
            </w:tcBorders>
          </w:tcPr>
          <w:p>
            <w:pPr>
              <w:spacing w:after="0"/>
              <w:rPr>
                <w:sz w:val="23"/>
                <w:szCs w:val="23"/>
                <w:color w:val="auto"/>
              </w:rPr>
            </w:pPr>
          </w:p>
        </w:tc>
        <w:tc>
          <w:tcPr>
            <w:tcW w:w="1920" w:type="dxa"/>
            <w:vAlign w:val="bottom"/>
            <w:tcBorders>
              <w:bottom w:val="single" w:sz="8" w:color="auto"/>
            </w:tcBorders>
          </w:tcPr>
          <w:p>
            <w:pPr>
              <w:jc w:val="center"/>
              <w:spacing w:after="0" w:line="271" w:lineRule="exact"/>
              <w:rPr>
                <w:sz w:val="20"/>
                <w:szCs w:val="20"/>
                <w:color w:val="auto"/>
              </w:rPr>
            </w:pPr>
            <w:r>
              <w:rPr>
                <w:rFonts w:ascii="Arial" w:cs="Arial" w:eastAsia="Arial" w:hAnsi="Arial"/>
                <w:sz w:val="18"/>
                <w:szCs w:val="18"/>
                <w:b w:val="1"/>
                <w:bCs w:val="1"/>
                <w:color w:val="auto"/>
                <w:w w:val="88"/>
              </w:rPr>
              <w:t>Expiration</w:t>
            </w:r>
            <w:r>
              <w:rPr>
                <w:rFonts w:ascii="Arial" w:cs="Arial" w:eastAsia="Arial" w:hAnsi="Arial"/>
                <w:sz w:val="30"/>
                <w:szCs w:val="30"/>
                <w:b w:val="1"/>
                <w:bCs w:val="1"/>
                <w:color w:val="auto"/>
                <w:w w:val="88"/>
                <w:vertAlign w:val="superscript"/>
              </w:rPr>
              <w:t>(2)</w:t>
            </w:r>
          </w:p>
        </w:tc>
        <w:tc>
          <w:tcPr>
            <w:tcW w:w="120" w:type="dxa"/>
            <w:vAlign w:val="bottom"/>
            <w:tcBorders>
              <w:bottom w:val="single" w:sz="8" w:color="E5FFFF"/>
            </w:tcBorders>
          </w:tcPr>
          <w:p>
            <w:pPr>
              <w:spacing w:after="0"/>
              <w:rPr>
                <w:sz w:val="23"/>
                <w:szCs w:val="23"/>
                <w:color w:val="auto"/>
              </w:rPr>
            </w:pPr>
          </w:p>
        </w:tc>
        <w:tc>
          <w:tcPr>
            <w:tcW w:w="1240" w:type="dxa"/>
            <w:vAlign w:val="bottom"/>
            <w:tcBorders>
              <w:bottom w:val="single" w:sz="8" w:color="auto"/>
            </w:tcBorders>
          </w:tcPr>
          <w:p>
            <w:pPr>
              <w:jc w:val="center"/>
              <w:spacing w:after="0" w:line="271" w:lineRule="exact"/>
              <w:rPr>
                <w:sz w:val="20"/>
                <w:szCs w:val="20"/>
                <w:color w:val="auto"/>
              </w:rPr>
            </w:pPr>
            <w:r>
              <w:rPr>
                <w:rFonts w:ascii="Arial" w:cs="Arial" w:eastAsia="Arial" w:hAnsi="Arial"/>
                <w:sz w:val="18"/>
                <w:szCs w:val="18"/>
                <w:b w:val="1"/>
                <w:bCs w:val="1"/>
                <w:color w:val="auto"/>
                <w:w w:val="84"/>
              </w:rPr>
              <w:t>Period</w:t>
            </w:r>
            <w:r>
              <w:rPr>
                <w:rFonts w:ascii="Arial" w:cs="Arial" w:eastAsia="Arial" w:hAnsi="Arial"/>
                <w:sz w:val="30"/>
                <w:szCs w:val="30"/>
                <w:b w:val="1"/>
                <w:bCs w:val="1"/>
                <w:color w:val="auto"/>
                <w:w w:val="84"/>
                <w:vertAlign w:val="superscript"/>
              </w:rPr>
              <w:t>(3)</w:t>
            </w:r>
          </w:p>
        </w:tc>
      </w:tr>
      <w:tr>
        <w:trPr>
          <w:trHeight w:val="250"/>
        </w:trPr>
        <w:tc>
          <w:tcPr>
            <w:tcW w:w="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1</w:t>
            </w:r>
          </w:p>
        </w:tc>
        <w:tc>
          <w:tcPr>
            <w:tcW w:w="3400" w:type="dxa"/>
            <w:vAlign w:val="bottom"/>
            <w:gridSpan w:val="2"/>
            <w:shd w:val="clear" w:color="auto" w:fill="E5FFFF"/>
          </w:tcPr>
          <w:p>
            <w:pPr>
              <w:ind w:left="80"/>
              <w:spacing w:after="0"/>
              <w:rPr>
                <w:sz w:val="20"/>
                <w:szCs w:val="20"/>
                <w:color w:val="auto"/>
              </w:rPr>
            </w:pPr>
            <w:r>
              <w:rPr>
                <w:rFonts w:ascii="Arial" w:cs="Arial" w:eastAsia="Arial" w:hAnsi="Arial"/>
                <w:sz w:val="18"/>
                <w:szCs w:val="18"/>
                <w:i w:val="1"/>
                <w:iCs w:val="1"/>
                <w:color w:val="auto"/>
              </w:rPr>
              <w:t>GasLog Savannah</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2010</w:t>
            </w:r>
          </w:p>
        </w:tc>
        <w:tc>
          <w:tcPr>
            <w:tcW w:w="120" w:type="dxa"/>
            <w:vAlign w:val="bottom"/>
            <w:shd w:val="clear" w:color="auto" w:fill="E5FFFF"/>
          </w:tcPr>
          <w:p>
            <w:pPr>
              <w:spacing w:after="0"/>
              <w:rPr>
                <w:sz w:val="21"/>
                <w:szCs w:val="21"/>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155,000</w:t>
            </w:r>
          </w:p>
        </w:tc>
        <w:tc>
          <w:tcPr>
            <w:tcW w:w="120" w:type="dxa"/>
            <w:vAlign w:val="bottom"/>
            <w:shd w:val="clear" w:color="auto" w:fill="E5FFFF"/>
          </w:tcPr>
          <w:p>
            <w:pPr>
              <w:spacing w:after="0"/>
              <w:rPr>
                <w:sz w:val="21"/>
                <w:szCs w:val="21"/>
                <w:color w:val="auto"/>
              </w:rPr>
            </w:pPr>
          </w:p>
        </w:tc>
        <w:tc>
          <w:tcPr>
            <w:tcW w:w="1480" w:type="dxa"/>
            <w:vAlign w:val="bottom"/>
            <w:shd w:val="clear" w:color="auto" w:fill="E5FFFF"/>
          </w:tcPr>
          <w:p>
            <w:pPr>
              <w:jc w:val="center"/>
              <w:spacing w:after="0" w:line="250" w:lineRule="exact"/>
              <w:rPr>
                <w:sz w:val="20"/>
                <w:szCs w:val="20"/>
                <w:color w:val="auto"/>
              </w:rPr>
            </w:pPr>
            <w:r>
              <w:rPr>
                <w:rFonts w:ascii="Arial" w:cs="Arial" w:eastAsia="Arial" w:hAnsi="Arial"/>
                <w:sz w:val="17"/>
                <w:szCs w:val="17"/>
                <w:color w:val="auto"/>
                <w:w w:val="92"/>
              </w:rPr>
              <w:t>Shell</w:t>
            </w:r>
            <w:r>
              <w:rPr>
                <w:rFonts w:ascii="Arial" w:cs="Arial" w:eastAsia="Arial" w:hAnsi="Arial"/>
                <w:sz w:val="28"/>
                <w:szCs w:val="28"/>
                <w:color w:val="auto"/>
                <w:w w:val="92"/>
                <w:vertAlign w:val="superscript"/>
              </w:rPr>
              <w:t>(1)</w:t>
            </w:r>
          </w:p>
        </w:tc>
        <w:tc>
          <w:tcPr>
            <w:tcW w:w="100" w:type="dxa"/>
            <w:vAlign w:val="bottom"/>
            <w:shd w:val="clear" w:color="auto" w:fill="E5FFFF"/>
          </w:tcPr>
          <w:p>
            <w:pPr>
              <w:spacing w:after="0"/>
              <w:rPr>
                <w:sz w:val="21"/>
                <w:szCs w:val="21"/>
                <w:color w:val="auto"/>
              </w:rPr>
            </w:pP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0"/>
              </w:rPr>
              <w:t>August 2016</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w:t>
            </w:r>
          </w:p>
        </w:tc>
      </w:tr>
      <w:tr>
        <w:trPr>
          <w:trHeight w:val="257"/>
        </w:trPr>
        <w:tc>
          <w:tcPr>
            <w:tcW w:w="280" w:type="dxa"/>
            <w:vAlign w:val="bottom"/>
          </w:tcPr>
          <w:p>
            <w:pPr>
              <w:spacing w:after="0"/>
              <w:rPr>
                <w:sz w:val="20"/>
                <w:szCs w:val="20"/>
                <w:color w:val="auto"/>
              </w:rPr>
            </w:pPr>
            <w:r>
              <w:rPr>
                <w:rFonts w:ascii="Arial" w:cs="Arial" w:eastAsia="Arial" w:hAnsi="Arial"/>
                <w:sz w:val="18"/>
                <w:szCs w:val="18"/>
                <w:b w:val="1"/>
                <w:bCs w:val="1"/>
                <w:color w:val="auto"/>
              </w:rPr>
              <w:t>2</w:t>
            </w:r>
          </w:p>
        </w:tc>
        <w:tc>
          <w:tcPr>
            <w:tcW w:w="3400" w:type="dxa"/>
            <w:vAlign w:val="bottom"/>
            <w:gridSpan w:val="2"/>
          </w:tcPr>
          <w:p>
            <w:pPr>
              <w:ind w:left="80"/>
              <w:spacing w:after="0"/>
              <w:rPr>
                <w:sz w:val="20"/>
                <w:szCs w:val="20"/>
                <w:color w:val="auto"/>
              </w:rPr>
            </w:pPr>
            <w:r>
              <w:rPr>
                <w:rFonts w:ascii="Arial" w:cs="Arial" w:eastAsia="Arial" w:hAnsi="Arial"/>
                <w:sz w:val="18"/>
                <w:szCs w:val="18"/>
                <w:i w:val="1"/>
                <w:iCs w:val="1"/>
                <w:color w:val="auto"/>
              </w:rPr>
              <w:t>GasLog Singapore</w:t>
            </w:r>
          </w:p>
        </w:tc>
        <w:tc>
          <w:tcPr>
            <w:tcW w:w="580" w:type="dxa"/>
            <w:vAlign w:val="bottom"/>
          </w:tcPr>
          <w:p>
            <w:pPr>
              <w:ind w:left="12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155,000</w:t>
            </w:r>
          </w:p>
        </w:tc>
        <w:tc>
          <w:tcPr>
            <w:tcW w:w="120" w:type="dxa"/>
            <w:vAlign w:val="bottom"/>
          </w:tcPr>
          <w:p>
            <w:pPr>
              <w:spacing w:after="0"/>
              <w:rPr>
                <w:sz w:val="22"/>
                <w:szCs w:val="22"/>
                <w:color w:val="auto"/>
              </w:rPr>
            </w:pPr>
          </w:p>
        </w:tc>
        <w:tc>
          <w:tcPr>
            <w:tcW w:w="1580" w:type="dxa"/>
            <w:vAlign w:val="bottom"/>
            <w:gridSpan w:val="2"/>
          </w:tcPr>
          <w:p>
            <w:pPr>
              <w:jc w:val="center"/>
              <w:ind w:right="100"/>
              <w:spacing w:after="0" w:line="256" w:lineRule="exact"/>
              <w:rPr>
                <w:sz w:val="20"/>
                <w:szCs w:val="20"/>
                <w:color w:val="auto"/>
              </w:rPr>
            </w:pPr>
            <w:r>
              <w:rPr>
                <w:rFonts w:ascii="Arial" w:cs="Arial" w:eastAsia="Arial" w:hAnsi="Arial"/>
                <w:sz w:val="18"/>
                <w:szCs w:val="18"/>
                <w:color w:val="auto"/>
                <w:w w:val="87"/>
              </w:rPr>
              <w:t xml:space="preserve">Shell </w:t>
            </w:r>
            <w:r>
              <w:rPr>
                <w:rFonts w:ascii="Arial" w:cs="Arial" w:eastAsia="Arial" w:hAnsi="Arial"/>
                <w:sz w:val="29"/>
                <w:szCs w:val="29"/>
                <w:color w:val="auto"/>
                <w:w w:val="87"/>
                <w:vertAlign w:val="superscript"/>
              </w:rPr>
              <w:t>(1)</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September 2016</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57"/>
        </w:trPr>
        <w:tc>
          <w:tcPr>
            <w:tcW w:w="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3</w:t>
            </w:r>
          </w:p>
        </w:tc>
        <w:tc>
          <w:tcPr>
            <w:tcW w:w="3400" w:type="dxa"/>
            <w:vAlign w:val="bottom"/>
            <w:gridSpan w:val="2"/>
            <w:shd w:val="clear" w:color="auto" w:fill="E5FFFF"/>
          </w:tcPr>
          <w:p>
            <w:pPr>
              <w:ind w:left="80"/>
              <w:spacing w:after="0"/>
              <w:rPr>
                <w:sz w:val="20"/>
                <w:szCs w:val="20"/>
                <w:color w:val="auto"/>
              </w:rPr>
            </w:pPr>
            <w:r>
              <w:rPr>
                <w:rFonts w:ascii="Arial" w:cs="Arial" w:eastAsia="Arial" w:hAnsi="Arial"/>
                <w:sz w:val="18"/>
                <w:szCs w:val="18"/>
                <w:i w:val="1"/>
                <w:iCs w:val="1"/>
                <w:color w:val="auto"/>
              </w:rPr>
              <w:t>GasLog Skagen</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E5FFFF"/>
          </w:tcPr>
          <w:p>
            <w:pPr>
              <w:spacing w:after="0"/>
              <w:rPr>
                <w:sz w:val="22"/>
                <w:szCs w:val="22"/>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155,000</w:t>
            </w:r>
          </w:p>
        </w:tc>
        <w:tc>
          <w:tcPr>
            <w:tcW w:w="120" w:type="dxa"/>
            <w:vAlign w:val="bottom"/>
            <w:shd w:val="clear" w:color="auto" w:fill="E5FFFF"/>
          </w:tcPr>
          <w:p>
            <w:pPr>
              <w:spacing w:after="0"/>
              <w:rPr>
                <w:sz w:val="22"/>
                <w:szCs w:val="22"/>
                <w:color w:val="auto"/>
              </w:rPr>
            </w:pPr>
          </w:p>
        </w:tc>
        <w:tc>
          <w:tcPr>
            <w:tcW w:w="1580" w:type="dxa"/>
            <w:vAlign w:val="bottom"/>
            <w:gridSpan w:val="2"/>
            <w:shd w:val="clear" w:color="auto" w:fill="E5FFFF"/>
          </w:tcPr>
          <w:p>
            <w:pPr>
              <w:jc w:val="center"/>
              <w:ind w:right="100"/>
              <w:spacing w:after="0" w:line="256" w:lineRule="exact"/>
              <w:rPr>
                <w:sz w:val="20"/>
                <w:szCs w:val="20"/>
                <w:color w:val="auto"/>
              </w:rPr>
            </w:pPr>
            <w:r>
              <w:rPr>
                <w:rFonts w:ascii="Arial" w:cs="Arial" w:eastAsia="Arial" w:hAnsi="Arial"/>
                <w:sz w:val="18"/>
                <w:szCs w:val="18"/>
                <w:color w:val="auto"/>
                <w:w w:val="87"/>
              </w:rPr>
              <w:t xml:space="preserve">Shell </w:t>
            </w:r>
            <w:r>
              <w:rPr>
                <w:rFonts w:ascii="Arial" w:cs="Arial" w:eastAsia="Arial" w:hAnsi="Arial"/>
                <w:sz w:val="29"/>
                <w:szCs w:val="29"/>
                <w:color w:val="auto"/>
                <w:w w:val="87"/>
                <w:vertAlign w:val="superscript"/>
              </w:rPr>
              <w:t>(1)</w:t>
            </w: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shd w:val="clear" w:color="auto" w:fill="E5FFFF"/>
          </w:tcPr>
          <w:p>
            <w:pPr>
              <w:jc w:val="center"/>
              <w:ind w:right="120"/>
              <w:spacing w:after="0" w:line="256" w:lineRule="exact"/>
              <w:rPr>
                <w:sz w:val="20"/>
                <w:szCs w:val="20"/>
                <w:color w:val="auto"/>
              </w:rPr>
            </w:pPr>
            <w:r>
              <w:rPr>
                <w:rFonts w:ascii="Arial" w:cs="Arial" w:eastAsia="Arial" w:hAnsi="Arial"/>
                <w:sz w:val="18"/>
                <w:szCs w:val="18"/>
                <w:color w:val="auto"/>
                <w:w w:val="91"/>
              </w:rPr>
              <w:t>April 2021</w:t>
            </w:r>
            <w:r>
              <w:rPr>
                <w:rFonts w:ascii="Arial" w:cs="Arial" w:eastAsia="Arial" w:hAnsi="Arial"/>
                <w:sz w:val="29"/>
                <w:szCs w:val="29"/>
                <w:color w:val="auto"/>
                <w:w w:val="91"/>
                <w:vertAlign w:val="superscript"/>
              </w:rPr>
              <w:t>(4)</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2026-2031</w:t>
            </w:r>
          </w:p>
        </w:tc>
      </w:tr>
      <w:tr>
        <w:trPr>
          <w:trHeight w:val="257"/>
        </w:trPr>
        <w:tc>
          <w:tcPr>
            <w:tcW w:w="280" w:type="dxa"/>
            <w:vAlign w:val="bottom"/>
          </w:tcPr>
          <w:p>
            <w:pPr>
              <w:spacing w:after="0"/>
              <w:rPr>
                <w:sz w:val="20"/>
                <w:szCs w:val="20"/>
                <w:color w:val="auto"/>
              </w:rPr>
            </w:pPr>
            <w:r>
              <w:rPr>
                <w:rFonts w:ascii="Arial" w:cs="Arial" w:eastAsia="Arial" w:hAnsi="Arial"/>
                <w:sz w:val="18"/>
                <w:szCs w:val="18"/>
                <w:b w:val="1"/>
                <w:bCs w:val="1"/>
                <w:color w:val="auto"/>
              </w:rPr>
              <w:t>4</w:t>
            </w:r>
          </w:p>
        </w:tc>
        <w:tc>
          <w:tcPr>
            <w:tcW w:w="3400" w:type="dxa"/>
            <w:vAlign w:val="bottom"/>
            <w:gridSpan w:val="2"/>
          </w:tcPr>
          <w:p>
            <w:pPr>
              <w:ind w:left="80"/>
              <w:spacing w:after="0"/>
              <w:rPr>
                <w:sz w:val="20"/>
                <w:szCs w:val="20"/>
                <w:color w:val="auto"/>
              </w:rPr>
            </w:pPr>
            <w:r>
              <w:rPr>
                <w:rFonts w:ascii="Arial" w:cs="Arial" w:eastAsia="Arial" w:hAnsi="Arial"/>
                <w:sz w:val="18"/>
                <w:szCs w:val="18"/>
                <w:i w:val="1"/>
                <w:iCs w:val="1"/>
                <w:color w:val="auto"/>
              </w:rPr>
              <w:t>GasLog Chelsea</w:t>
            </w:r>
          </w:p>
        </w:tc>
        <w:tc>
          <w:tcPr>
            <w:tcW w:w="580" w:type="dxa"/>
            <w:vAlign w:val="bottom"/>
          </w:tcPr>
          <w:p>
            <w:pPr>
              <w:ind w:left="12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153,600</w:t>
            </w:r>
          </w:p>
        </w:tc>
        <w:tc>
          <w:tcPr>
            <w:tcW w:w="120" w:type="dxa"/>
            <w:vAlign w:val="bottom"/>
          </w:tcPr>
          <w:p>
            <w:pPr>
              <w:spacing w:after="0"/>
              <w:rPr>
                <w:sz w:val="22"/>
                <w:szCs w:val="22"/>
                <w:color w:val="auto"/>
              </w:rPr>
            </w:pPr>
          </w:p>
        </w:tc>
        <w:tc>
          <w:tcPr>
            <w:tcW w:w="1580" w:type="dxa"/>
            <w:vAlign w:val="bottom"/>
            <w:gridSpan w:val="2"/>
          </w:tcPr>
          <w:p>
            <w:pPr>
              <w:jc w:val="center"/>
              <w:ind w:right="100"/>
              <w:spacing w:after="0" w:line="256" w:lineRule="exact"/>
              <w:rPr>
                <w:sz w:val="20"/>
                <w:szCs w:val="20"/>
                <w:color w:val="auto"/>
              </w:rPr>
            </w:pPr>
            <w:r>
              <w:rPr>
                <w:rFonts w:ascii="Arial" w:cs="Arial" w:eastAsia="Arial" w:hAnsi="Arial"/>
                <w:sz w:val="18"/>
                <w:szCs w:val="18"/>
                <w:color w:val="auto"/>
                <w:w w:val="89"/>
              </w:rPr>
              <w:t>Spot Market</w:t>
            </w:r>
            <w:r>
              <w:rPr>
                <w:rFonts w:ascii="Arial" w:cs="Arial" w:eastAsia="Arial" w:hAnsi="Arial"/>
                <w:sz w:val="29"/>
                <w:szCs w:val="29"/>
                <w:color w:val="auto"/>
                <w:w w:val="89"/>
                <w:vertAlign w:val="superscript"/>
              </w:rPr>
              <w:t>(5)</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124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5</w:t>
            </w:r>
          </w:p>
        </w:tc>
        <w:tc>
          <w:tcPr>
            <w:tcW w:w="3400" w:type="dxa"/>
            <w:vAlign w:val="bottom"/>
            <w:gridSpan w:val="2"/>
            <w:shd w:val="clear" w:color="auto" w:fill="E5FFFF"/>
          </w:tcPr>
          <w:p>
            <w:pPr>
              <w:ind w:left="80"/>
              <w:spacing w:after="0"/>
              <w:rPr>
                <w:sz w:val="20"/>
                <w:szCs w:val="20"/>
                <w:color w:val="auto"/>
              </w:rPr>
            </w:pPr>
            <w:r>
              <w:rPr>
                <w:rFonts w:ascii="Arial" w:cs="Arial" w:eastAsia="Arial" w:hAnsi="Arial"/>
                <w:sz w:val="18"/>
                <w:szCs w:val="18"/>
                <w:i w:val="1"/>
                <w:iCs w:val="1"/>
                <w:color w:val="auto"/>
              </w:rPr>
              <w:t>GasLog Seattle</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E5FFFF"/>
          </w:tcPr>
          <w:p>
            <w:pPr>
              <w:spacing w:after="0"/>
              <w:rPr>
                <w:sz w:val="18"/>
                <w:szCs w:val="18"/>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155,000</w:t>
            </w:r>
          </w:p>
        </w:tc>
        <w:tc>
          <w:tcPr>
            <w:tcW w:w="12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8"/>
              </w:rPr>
              <w:t>December 2020</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2025-2030</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6</w:t>
            </w:r>
          </w:p>
        </w:tc>
        <w:tc>
          <w:tcPr>
            <w:tcW w:w="3400" w:type="dxa"/>
            <w:vAlign w:val="bottom"/>
            <w:gridSpan w:val="2"/>
          </w:tcPr>
          <w:p>
            <w:pPr>
              <w:ind w:left="80"/>
              <w:spacing w:after="0"/>
              <w:rPr>
                <w:sz w:val="20"/>
                <w:szCs w:val="20"/>
                <w:color w:val="auto"/>
              </w:rPr>
            </w:pPr>
            <w:r>
              <w:rPr>
                <w:rFonts w:ascii="Arial" w:cs="Arial" w:eastAsia="Arial" w:hAnsi="Arial"/>
                <w:sz w:val="18"/>
                <w:szCs w:val="18"/>
                <w:i w:val="1"/>
                <w:iCs w:val="1"/>
                <w:color w:val="auto"/>
              </w:rPr>
              <w:t>Solaris</w:t>
            </w:r>
          </w:p>
        </w:tc>
        <w:tc>
          <w:tcPr>
            <w:tcW w:w="580" w:type="dxa"/>
            <w:vAlign w:val="bottom"/>
          </w:tcPr>
          <w:p>
            <w:pPr>
              <w:ind w:left="12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155,000</w:t>
            </w: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2021</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2026-2031</w:t>
            </w:r>
          </w:p>
        </w:tc>
      </w:tr>
      <w:tr>
        <w:trPr>
          <w:trHeight w:val="257"/>
        </w:trPr>
        <w:tc>
          <w:tcPr>
            <w:tcW w:w="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7</w:t>
            </w:r>
          </w:p>
        </w:tc>
        <w:tc>
          <w:tcPr>
            <w:tcW w:w="3400" w:type="dxa"/>
            <w:vAlign w:val="bottom"/>
            <w:gridSpan w:val="2"/>
            <w:shd w:val="clear" w:color="auto" w:fill="E5FFFF"/>
          </w:tcPr>
          <w:p>
            <w:pPr>
              <w:ind w:left="80"/>
              <w:spacing w:after="0"/>
              <w:rPr>
                <w:sz w:val="20"/>
                <w:szCs w:val="20"/>
                <w:color w:val="auto"/>
              </w:rPr>
            </w:pPr>
            <w:r>
              <w:rPr>
                <w:rFonts w:ascii="Arial" w:cs="Arial" w:eastAsia="Arial" w:hAnsi="Arial"/>
                <w:sz w:val="18"/>
                <w:szCs w:val="18"/>
                <w:i w:val="1"/>
                <w:iCs w:val="1"/>
                <w:color w:val="auto"/>
              </w:rPr>
              <w:t>GasLog Saratoga</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E5FFFF"/>
          </w:tcPr>
          <w:p>
            <w:pPr>
              <w:spacing w:after="0"/>
              <w:rPr>
                <w:sz w:val="22"/>
                <w:szCs w:val="22"/>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155,000</w:t>
            </w:r>
          </w:p>
        </w:tc>
        <w:tc>
          <w:tcPr>
            <w:tcW w:w="120" w:type="dxa"/>
            <w:vAlign w:val="bottom"/>
            <w:shd w:val="clear" w:color="auto" w:fill="E5FFFF"/>
          </w:tcPr>
          <w:p>
            <w:pPr>
              <w:spacing w:after="0"/>
              <w:rPr>
                <w:sz w:val="22"/>
                <w:szCs w:val="22"/>
                <w:color w:val="auto"/>
              </w:rPr>
            </w:pPr>
          </w:p>
        </w:tc>
        <w:tc>
          <w:tcPr>
            <w:tcW w:w="1580" w:type="dxa"/>
            <w:vAlign w:val="bottom"/>
            <w:gridSpan w:val="2"/>
            <w:shd w:val="clear" w:color="auto" w:fill="E5FFFF"/>
          </w:tcPr>
          <w:p>
            <w:pPr>
              <w:jc w:val="center"/>
              <w:ind w:right="100"/>
              <w:spacing w:after="0" w:line="256" w:lineRule="exact"/>
              <w:rPr>
                <w:sz w:val="20"/>
                <w:szCs w:val="20"/>
                <w:color w:val="auto"/>
              </w:rPr>
            </w:pPr>
            <w:r>
              <w:rPr>
                <w:rFonts w:ascii="Arial" w:cs="Arial" w:eastAsia="Arial" w:hAnsi="Arial"/>
                <w:sz w:val="18"/>
                <w:szCs w:val="18"/>
                <w:color w:val="auto"/>
                <w:w w:val="89"/>
              </w:rPr>
              <w:t>Spot Market</w:t>
            </w:r>
            <w:r>
              <w:rPr>
                <w:rFonts w:ascii="Arial" w:cs="Arial" w:eastAsia="Arial" w:hAnsi="Arial"/>
                <w:sz w:val="29"/>
                <w:szCs w:val="29"/>
                <w:color w:val="auto"/>
                <w:w w:val="89"/>
                <w:vertAlign w:val="superscript"/>
              </w:rPr>
              <w:t>(5)</w:t>
            </w: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rPr>
              <w:t>N/A</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rPr>
              <w:t>N/A</w:t>
            </w:r>
          </w:p>
        </w:tc>
      </w:tr>
      <w:tr>
        <w:trPr>
          <w:trHeight w:val="257"/>
        </w:trPr>
        <w:tc>
          <w:tcPr>
            <w:tcW w:w="280" w:type="dxa"/>
            <w:vAlign w:val="bottom"/>
          </w:tcPr>
          <w:p>
            <w:pPr>
              <w:spacing w:after="0"/>
              <w:rPr>
                <w:sz w:val="20"/>
                <w:szCs w:val="20"/>
                <w:color w:val="auto"/>
              </w:rPr>
            </w:pPr>
            <w:r>
              <w:rPr>
                <w:rFonts w:ascii="Arial" w:cs="Arial" w:eastAsia="Arial" w:hAnsi="Arial"/>
                <w:sz w:val="18"/>
                <w:szCs w:val="18"/>
                <w:b w:val="1"/>
                <w:bCs w:val="1"/>
                <w:color w:val="auto"/>
              </w:rPr>
              <w:t>8</w:t>
            </w:r>
          </w:p>
        </w:tc>
        <w:tc>
          <w:tcPr>
            <w:tcW w:w="3400" w:type="dxa"/>
            <w:vAlign w:val="bottom"/>
            <w:gridSpan w:val="2"/>
          </w:tcPr>
          <w:p>
            <w:pPr>
              <w:ind w:left="80"/>
              <w:spacing w:after="0"/>
              <w:rPr>
                <w:sz w:val="20"/>
                <w:szCs w:val="20"/>
                <w:color w:val="auto"/>
              </w:rPr>
            </w:pPr>
            <w:r>
              <w:rPr>
                <w:rFonts w:ascii="Arial" w:cs="Arial" w:eastAsia="Arial" w:hAnsi="Arial"/>
                <w:sz w:val="18"/>
                <w:szCs w:val="18"/>
                <w:i w:val="1"/>
                <w:iCs w:val="1"/>
                <w:color w:val="auto"/>
              </w:rPr>
              <w:t>Methane Lydon Volney</w:t>
            </w:r>
          </w:p>
        </w:tc>
        <w:tc>
          <w:tcPr>
            <w:tcW w:w="580" w:type="dxa"/>
            <w:vAlign w:val="bottom"/>
          </w:tcPr>
          <w:p>
            <w:pPr>
              <w:ind w:left="12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145,000</w:t>
            </w:r>
          </w:p>
        </w:tc>
        <w:tc>
          <w:tcPr>
            <w:tcW w:w="120" w:type="dxa"/>
            <w:vAlign w:val="bottom"/>
          </w:tcPr>
          <w:p>
            <w:pPr>
              <w:spacing w:after="0"/>
              <w:rPr>
                <w:sz w:val="22"/>
                <w:szCs w:val="22"/>
                <w:color w:val="auto"/>
              </w:rPr>
            </w:pPr>
          </w:p>
        </w:tc>
        <w:tc>
          <w:tcPr>
            <w:tcW w:w="1580" w:type="dxa"/>
            <w:vAlign w:val="bottom"/>
            <w:gridSpan w:val="2"/>
          </w:tcPr>
          <w:p>
            <w:pPr>
              <w:jc w:val="center"/>
              <w:ind w:right="100"/>
              <w:spacing w:after="0" w:line="256" w:lineRule="exact"/>
              <w:rPr>
                <w:sz w:val="20"/>
                <w:szCs w:val="20"/>
                <w:color w:val="auto"/>
              </w:rPr>
            </w:pPr>
            <w:r>
              <w:rPr>
                <w:rFonts w:ascii="Arial" w:cs="Arial" w:eastAsia="Arial" w:hAnsi="Arial"/>
                <w:sz w:val="18"/>
                <w:szCs w:val="18"/>
                <w:color w:val="auto"/>
                <w:w w:val="87"/>
              </w:rPr>
              <w:t xml:space="preserve">Shell </w:t>
            </w:r>
            <w:r>
              <w:rPr>
                <w:rFonts w:ascii="Arial" w:cs="Arial" w:eastAsia="Arial" w:hAnsi="Arial"/>
                <w:sz w:val="29"/>
                <w:szCs w:val="29"/>
                <w:color w:val="auto"/>
                <w:w w:val="87"/>
                <w:vertAlign w:val="superscript"/>
              </w:rPr>
              <w:t>(1)</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Steam</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October 2020</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2023-2025</w:t>
            </w:r>
          </w:p>
        </w:tc>
      </w:tr>
      <w:tr>
        <w:trPr>
          <w:trHeight w:val="257"/>
        </w:trPr>
        <w:tc>
          <w:tcPr>
            <w:tcW w:w="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9</w:t>
            </w:r>
          </w:p>
        </w:tc>
        <w:tc>
          <w:tcPr>
            <w:tcW w:w="3400" w:type="dxa"/>
            <w:vAlign w:val="bottom"/>
            <w:gridSpan w:val="2"/>
            <w:shd w:val="clear" w:color="auto" w:fill="E5FFFF"/>
          </w:tcPr>
          <w:p>
            <w:pPr>
              <w:ind w:left="80"/>
              <w:spacing w:after="0"/>
              <w:rPr>
                <w:sz w:val="20"/>
                <w:szCs w:val="20"/>
                <w:color w:val="auto"/>
              </w:rPr>
            </w:pPr>
            <w:r>
              <w:rPr>
                <w:rFonts w:ascii="Arial" w:cs="Arial" w:eastAsia="Arial" w:hAnsi="Arial"/>
                <w:sz w:val="18"/>
                <w:szCs w:val="18"/>
                <w:i w:val="1"/>
                <w:iCs w:val="1"/>
                <w:color w:val="auto"/>
              </w:rPr>
              <w:t>Methane Becki Anne</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2010</w:t>
            </w:r>
          </w:p>
        </w:tc>
        <w:tc>
          <w:tcPr>
            <w:tcW w:w="120" w:type="dxa"/>
            <w:vAlign w:val="bottom"/>
            <w:shd w:val="clear" w:color="auto" w:fill="E5FFFF"/>
          </w:tcPr>
          <w:p>
            <w:pPr>
              <w:spacing w:after="0"/>
              <w:rPr>
                <w:sz w:val="22"/>
                <w:szCs w:val="22"/>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170,000</w:t>
            </w:r>
          </w:p>
        </w:tc>
        <w:tc>
          <w:tcPr>
            <w:tcW w:w="120" w:type="dxa"/>
            <w:vAlign w:val="bottom"/>
            <w:shd w:val="clear" w:color="auto" w:fill="E5FFFF"/>
          </w:tcPr>
          <w:p>
            <w:pPr>
              <w:spacing w:after="0"/>
              <w:rPr>
                <w:sz w:val="22"/>
                <w:szCs w:val="22"/>
                <w:color w:val="auto"/>
              </w:rPr>
            </w:pPr>
          </w:p>
        </w:tc>
        <w:tc>
          <w:tcPr>
            <w:tcW w:w="1580" w:type="dxa"/>
            <w:vAlign w:val="bottom"/>
            <w:gridSpan w:val="2"/>
            <w:shd w:val="clear" w:color="auto" w:fill="E5FFFF"/>
          </w:tcPr>
          <w:p>
            <w:pPr>
              <w:jc w:val="center"/>
              <w:ind w:right="100"/>
              <w:spacing w:after="0" w:line="256" w:lineRule="exact"/>
              <w:rPr>
                <w:sz w:val="20"/>
                <w:szCs w:val="20"/>
                <w:color w:val="auto"/>
              </w:rPr>
            </w:pPr>
            <w:r>
              <w:rPr>
                <w:rFonts w:ascii="Arial" w:cs="Arial" w:eastAsia="Arial" w:hAnsi="Arial"/>
                <w:sz w:val="18"/>
                <w:szCs w:val="18"/>
                <w:color w:val="auto"/>
                <w:w w:val="87"/>
              </w:rPr>
              <w:t xml:space="preserve">Shell </w:t>
            </w:r>
            <w:r>
              <w:rPr>
                <w:rFonts w:ascii="Arial" w:cs="Arial" w:eastAsia="Arial" w:hAnsi="Arial"/>
                <w:sz w:val="29"/>
                <w:szCs w:val="29"/>
                <w:color w:val="auto"/>
                <w:w w:val="87"/>
                <w:vertAlign w:val="superscript"/>
              </w:rPr>
              <w:t>(1)</w:t>
            </w: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2"/>
              </w:rPr>
              <w:t>March 2024</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2027-2029</w:t>
            </w:r>
          </w:p>
        </w:tc>
      </w:tr>
      <w:tr>
        <w:trPr>
          <w:trHeight w:val="257"/>
        </w:trPr>
        <w:tc>
          <w:tcPr>
            <w:tcW w:w="2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3400" w:type="dxa"/>
            <w:vAlign w:val="bottom"/>
            <w:gridSpan w:val="2"/>
          </w:tcPr>
          <w:p>
            <w:pPr>
              <w:ind w:left="80"/>
              <w:spacing w:after="0"/>
              <w:rPr>
                <w:sz w:val="20"/>
                <w:szCs w:val="20"/>
                <w:color w:val="auto"/>
              </w:rPr>
            </w:pPr>
            <w:r>
              <w:rPr>
                <w:rFonts w:ascii="Arial" w:cs="Arial" w:eastAsia="Arial" w:hAnsi="Arial"/>
                <w:sz w:val="18"/>
                <w:szCs w:val="18"/>
                <w:i w:val="1"/>
                <w:iCs w:val="1"/>
                <w:color w:val="auto"/>
              </w:rPr>
              <w:t>GasLog Salem</w:t>
            </w:r>
          </w:p>
        </w:tc>
        <w:tc>
          <w:tcPr>
            <w:tcW w:w="580" w:type="dxa"/>
            <w:vAlign w:val="bottom"/>
          </w:tcPr>
          <w:p>
            <w:pPr>
              <w:ind w:left="12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155,000</w:t>
            </w:r>
          </w:p>
        </w:tc>
        <w:tc>
          <w:tcPr>
            <w:tcW w:w="120" w:type="dxa"/>
            <w:vAlign w:val="bottom"/>
          </w:tcPr>
          <w:p>
            <w:pPr>
              <w:spacing w:after="0"/>
              <w:rPr>
                <w:sz w:val="22"/>
                <w:szCs w:val="22"/>
                <w:color w:val="auto"/>
              </w:rPr>
            </w:pPr>
          </w:p>
        </w:tc>
        <w:tc>
          <w:tcPr>
            <w:tcW w:w="1580" w:type="dxa"/>
            <w:vAlign w:val="bottom"/>
            <w:gridSpan w:val="2"/>
          </w:tcPr>
          <w:p>
            <w:pPr>
              <w:jc w:val="center"/>
              <w:ind w:right="100"/>
              <w:spacing w:after="0" w:line="256" w:lineRule="exact"/>
              <w:rPr>
                <w:sz w:val="20"/>
                <w:szCs w:val="20"/>
                <w:color w:val="auto"/>
              </w:rPr>
            </w:pPr>
            <w:r>
              <w:rPr>
                <w:rFonts w:ascii="Arial" w:cs="Arial" w:eastAsia="Arial" w:hAnsi="Arial"/>
                <w:sz w:val="18"/>
                <w:szCs w:val="18"/>
                <w:color w:val="auto"/>
                <w:w w:val="89"/>
              </w:rPr>
              <w:t>Spot Market</w:t>
            </w:r>
            <w:r>
              <w:rPr>
                <w:rFonts w:ascii="Arial" w:cs="Arial" w:eastAsia="Arial" w:hAnsi="Arial"/>
                <w:sz w:val="29"/>
                <w:szCs w:val="29"/>
                <w:color w:val="auto"/>
                <w:w w:val="89"/>
                <w:vertAlign w:val="superscript"/>
              </w:rPr>
              <w:t>(5)</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124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57"/>
        </w:trPr>
        <w:tc>
          <w:tcPr>
            <w:tcW w:w="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11</w:t>
            </w:r>
          </w:p>
        </w:tc>
        <w:tc>
          <w:tcPr>
            <w:tcW w:w="3400" w:type="dxa"/>
            <w:vAlign w:val="bottom"/>
            <w:gridSpan w:val="2"/>
            <w:shd w:val="clear" w:color="auto" w:fill="E5FFFF"/>
          </w:tcPr>
          <w:p>
            <w:pPr>
              <w:ind w:left="80"/>
              <w:spacing w:after="0"/>
              <w:rPr>
                <w:sz w:val="20"/>
                <w:szCs w:val="20"/>
                <w:color w:val="auto"/>
              </w:rPr>
            </w:pPr>
            <w:r>
              <w:rPr>
                <w:rFonts w:ascii="Arial" w:cs="Arial" w:eastAsia="Arial" w:hAnsi="Arial"/>
                <w:sz w:val="18"/>
                <w:szCs w:val="18"/>
                <w:i w:val="1"/>
                <w:iCs w:val="1"/>
                <w:color w:val="auto"/>
              </w:rPr>
              <w:t>GasLog Greece</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E5FFFF"/>
          </w:tcPr>
          <w:p>
            <w:pPr>
              <w:spacing w:after="0"/>
              <w:rPr>
                <w:sz w:val="22"/>
                <w:szCs w:val="22"/>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174,000</w:t>
            </w:r>
          </w:p>
        </w:tc>
        <w:tc>
          <w:tcPr>
            <w:tcW w:w="120" w:type="dxa"/>
            <w:vAlign w:val="bottom"/>
            <w:shd w:val="clear" w:color="auto" w:fill="E5FFFF"/>
          </w:tcPr>
          <w:p>
            <w:pPr>
              <w:spacing w:after="0"/>
              <w:rPr>
                <w:sz w:val="22"/>
                <w:szCs w:val="22"/>
                <w:color w:val="auto"/>
              </w:rPr>
            </w:pPr>
          </w:p>
        </w:tc>
        <w:tc>
          <w:tcPr>
            <w:tcW w:w="1580" w:type="dxa"/>
            <w:vAlign w:val="bottom"/>
            <w:gridSpan w:val="2"/>
            <w:shd w:val="clear" w:color="auto" w:fill="E5FFFF"/>
          </w:tcPr>
          <w:p>
            <w:pPr>
              <w:jc w:val="center"/>
              <w:ind w:right="100"/>
              <w:spacing w:after="0" w:line="256" w:lineRule="exact"/>
              <w:rPr>
                <w:sz w:val="20"/>
                <w:szCs w:val="20"/>
                <w:color w:val="auto"/>
              </w:rPr>
            </w:pPr>
            <w:r>
              <w:rPr>
                <w:rFonts w:ascii="Arial" w:cs="Arial" w:eastAsia="Arial" w:hAnsi="Arial"/>
                <w:sz w:val="18"/>
                <w:szCs w:val="18"/>
                <w:color w:val="auto"/>
                <w:w w:val="87"/>
              </w:rPr>
              <w:t xml:space="preserve">Shell </w:t>
            </w:r>
            <w:r>
              <w:rPr>
                <w:rFonts w:ascii="Arial" w:cs="Arial" w:eastAsia="Arial" w:hAnsi="Arial"/>
                <w:sz w:val="29"/>
                <w:szCs w:val="29"/>
                <w:color w:val="auto"/>
                <w:w w:val="87"/>
                <w:vertAlign w:val="superscript"/>
              </w:rPr>
              <w:t>(1)</w:t>
            </w: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2"/>
              </w:rPr>
              <w:t>March 2026</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2031</w:t>
            </w:r>
          </w:p>
        </w:tc>
      </w:tr>
      <w:tr>
        <w:trPr>
          <w:trHeight w:val="390"/>
        </w:trPr>
        <w:tc>
          <w:tcPr>
            <w:tcW w:w="280" w:type="dxa"/>
            <w:vAlign w:val="bottom"/>
          </w:tcPr>
          <w:p>
            <w:pPr>
              <w:spacing w:after="0"/>
              <w:rPr>
                <w:sz w:val="20"/>
                <w:szCs w:val="20"/>
                <w:color w:val="auto"/>
              </w:rPr>
            </w:pPr>
            <w:r>
              <w:rPr>
                <w:rFonts w:ascii="Arial" w:cs="Arial" w:eastAsia="Arial" w:hAnsi="Arial"/>
                <w:sz w:val="18"/>
                <w:szCs w:val="18"/>
                <w:b w:val="1"/>
                <w:bCs w:val="1"/>
                <w:color w:val="auto"/>
              </w:rPr>
              <w:t>12</w:t>
            </w:r>
          </w:p>
        </w:tc>
        <w:tc>
          <w:tcPr>
            <w:tcW w:w="3400" w:type="dxa"/>
            <w:vAlign w:val="bottom"/>
            <w:gridSpan w:val="2"/>
          </w:tcPr>
          <w:p>
            <w:pPr>
              <w:ind w:left="80"/>
              <w:spacing w:after="0"/>
              <w:rPr>
                <w:sz w:val="20"/>
                <w:szCs w:val="20"/>
                <w:color w:val="auto"/>
              </w:rPr>
            </w:pPr>
            <w:r>
              <w:rPr>
                <w:rFonts w:ascii="Arial" w:cs="Arial" w:eastAsia="Arial" w:hAnsi="Arial"/>
                <w:sz w:val="18"/>
                <w:szCs w:val="18"/>
                <w:i w:val="1"/>
                <w:iCs w:val="1"/>
                <w:color w:val="auto"/>
              </w:rPr>
              <w:t>GasLog Glasgow</w:t>
            </w:r>
          </w:p>
        </w:tc>
        <w:tc>
          <w:tcPr>
            <w:tcW w:w="580" w:type="dxa"/>
            <w:vAlign w:val="bottom"/>
          </w:tcPr>
          <w:p>
            <w:pPr>
              <w:ind w:left="12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174,000</w:t>
            </w:r>
          </w:p>
        </w:tc>
        <w:tc>
          <w:tcPr>
            <w:tcW w:w="12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 xml:space="preserve">Shell </w:t>
            </w:r>
            <w:r>
              <w:rPr>
                <w:rFonts w:ascii="Arial" w:cs="Arial" w:eastAsia="Arial" w:hAnsi="Arial"/>
                <w:sz w:val="30"/>
                <w:szCs w:val="30"/>
                <w:color w:val="auto"/>
                <w:w w:val="86"/>
                <w:vertAlign w:val="superscript"/>
              </w:rPr>
              <w:t>(1)</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2026</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2031</w:t>
            </w:r>
          </w:p>
        </w:tc>
      </w:tr>
    </w:tbl>
    <w:p>
      <w:pPr>
        <w:spacing w:after="0" w:line="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Partnership’s fleet consists of the following vessels: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Cargo</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0"/>
        </w:trPr>
        <w:tc>
          <w:tcPr>
            <w:tcW w:w="2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b w:val="1"/>
                <w:bCs w:val="1"/>
                <w:color w:val="auto"/>
              </w:rPr>
              <w:t>Year</w:t>
            </w: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Capacity</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Charter</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Optional</w:t>
            </w:r>
          </w:p>
        </w:tc>
      </w:tr>
      <w:tr>
        <w:trPr>
          <w:trHeight w:val="271"/>
        </w:trPr>
        <w:tc>
          <w:tcPr>
            <w:tcW w:w="220" w:type="dxa"/>
            <w:vAlign w:val="bottom"/>
            <w:tcBorders>
              <w:bottom w:val="single" w:sz="8" w:color="auto"/>
            </w:tcBorders>
          </w:tcPr>
          <w:p>
            <w:pPr>
              <w:spacing w:after="0"/>
              <w:rPr>
                <w:sz w:val="23"/>
                <w:szCs w:val="23"/>
                <w:color w:val="auto"/>
              </w:rPr>
            </w:pPr>
          </w:p>
        </w:tc>
        <w:tc>
          <w:tcPr>
            <w:tcW w:w="334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Vessel Name</w:t>
            </w:r>
          </w:p>
        </w:tc>
        <w:tc>
          <w:tcPr>
            <w:tcW w:w="120" w:type="dxa"/>
            <w:vAlign w:val="bottom"/>
            <w:tcBorders>
              <w:bottom w:val="single" w:sz="8" w:color="E5FFFF"/>
            </w:tcBorders>
          </w:tcPr>
          <w:p>
            <w:pPr>
              <w:spacing w:after="0"/>
              <w:rPr>
                <w:sz w:val="23"/>
                <w:szCs w:val="23"/>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Built</w:t>
            </w:r>
          </w:p>
        </w:tc>
        <w:tc>
          <w:tcPr>
            <w:tcW w:w="120" w:type="dxa"/>
            <w:vAlign w:val="bottom"/>
            <w:tcBorders>
              <w:bottom w:val="single" w:sz="8" w:color="E5FFFF"/>
            </w:tcBorders>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(cbm)</w:t>
            </w:r>
          </w:p>
        </w:tc>
        <w:tc>
          <w:tcPr>
            <w:tcW w:w="120" w:type="dxa"/>
            <w:vAlign w:val="bottom"/>
            <w:tcBorders>
              <w:bottom w:val="single" w:sz="8" w:color="E5FFFF"/>
            </w:tcBorders>
          </w:tcPr>
          <w:p>
            <w:pPr>
              <w:spacing w:after="0"/>
              <w:rPr>
                <w:sz w:val="23"/>
                <w:szCs w:val="2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Charterer</w:t>
            </w:r>
          </w:p>
        </w:tc>
        <w:tc>
          <w:tcPr>
            <w:tcW w:w="100" w:type="dxa"/>
            <w:vAlign w:val="bottom"/>
            <w:tcBorders>
              <w:bottom w:val="single" w:sz="8" w:color="E5FFFF"/>
            </w:tcBorders>
          </w:tcPr>
          <w:p>
            <w:pPr>
              <w:spacing w:after="0"/>
              <w:rPr>
                <w:sz w:val="23"/>
                <w:szCs w:val="2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Propulsion</w:t>
            </w:r>
          </w:p>
        </w:tc>
        <w:tc>
          <w:tcPr>
            <w:tcW w:w="100" w:type="dxa"/>
            <w:vAlign w:val="bottom"/>
            <w:tcBorders>
              <w:bottom w:val="single" w:sz="8" w:color="E5FFFF"/>
            </w:tcBorders>
          </w:tcPr>
          <w:p>
            <w:pPr>
              <w:spacing w:after="0"/>
              <w:rPr>
                <w:sz w:val="23"/>
                <w:szCs w:val="23"/>
                <w:color w:val="auto"/>
              </w:rPr>
            </w:pPr>
          </w:p>
        </w:tc>
        <w:tc>
          <w:tcPr>
            <w:tcW w:w="1920" w:type="dxa"/>
            <w:vAlign w:val="bottom"/>
            <w:tcBorders>
              <w:bottom w:val="single" w:sz="8" w:color="auto"/>
            </w:tcBorders>
          </w:tcPr>
          <w:p>
            <w:pPr>
              <w:jc w:val="center"/>
              <w:spacing w:after="0" w:line="271" w:lineRule="exact"/>
              <w:rPr>
                <w:sz w:val="20"/>
                <w:szCs w:val="20"/>
                <w:color w:val="auto"/>
              </w:rPr>
            </w:pPr>
            <w:r>
              <w:rPr>
                <w:rFonts w:ascii="Arial" w:cs="Arial" w:eastAsia="Arial" w:hAnsi="Arial"/>
                <w:sz w:val="18"/>
                <w:szCs w:val="18"/>
                <w:b w:val="1"/>
                <w:bCs w:val="1"/>
                <w:color w:val="auto"/>
                <w:w w:val="88"/>
              </w:rPr>
              <w:t>Expiration</w:t>
            </w:r>
            <w:r>
              <w:rPr>
                <w:rFonts w:ascii="Arial" w:cs="Arial" w:eastAsia="Arial" w:hAnsi="Arial"/>
                <w:sz w:val="30"/>
                <w:szCs w:val="30"/>
                <w:b w:val="1"/>
                <w:bCs w:val="1"/>
                <w:color w:val="auto"/>
                <w:w w:val="88"/>
                <w:vertAlign w:val="superscript"/>
              </w:rPr>
              <w:t>(2)</w:t>
            </w:r>
          </w:p>
        </w:tc>
        <w:tc>
          <w:tcPr>
            <w:tcW w:w="120" w:type="dxa"/>
            <w:vAlign w:val="bottom"/>
            <w:tcBorders>
              <w:bottom w:val="single" w:sz="8" w:color="E5FFFF"/>
            </w:tcBorders>
          </w:tcPr>
          <w:p>
            <w:pPr>
              <w:spacing w:after="0"/>
              <w:rPr>
                <w:sz w:val="23"/>
                <w:szCs w:val="23"/>
                <w:color w:val="auto"/>
              </w:rPr>
            </w:pPr>
          </w:p>
        </w:tc>
        <w:tc>
          <w:tcPr>
            <w:tcW w:w="1240" w:type="dxa"/>
            <w:vAlign w:val="bottom"/>
            <w:tcBorders>
              <w:bottom w:val="single" w:sz="8" w:color="auto"/>
            </w:tcBorders>
          </w:tcPr>
          <w:p>
            <w:pPr>
              <w:jc w:val="center"/>
              <w:spacing w:after="0" w:line="271" w:lineRule="exact"/>
              <w:rPr>
                <w:sz w:val="20"/>
                <w:szCs w:val="20"/>
                <w:color w:val="auto"/>
              </w:rPr>
            </w:pPr>
            <w:r>
              <w:rPr>
                <w:rFonts w:ascii="Arial" w:cs="Arial" w:eastAsia="Arial" w:hAnsi="Arial"/>
                <w:sz w:val="18"/>
                <w:szCs w:val="18"/>
                <w:b w:val="1"/>
                <w:bCs w:val="1"/>
                <w:color w:val="auto"/>
                <w:w w:val="84"/>
              </w:rPr>
              <w:t>Period</w:t>
            </w:r>
            <w:r>
              <w:rPr>
                <w:rFonts w:ascii="Arial" w:cs="Arial" w:eastAsia="Arial" w:hAnsi="Arial"/>
                <w:sz w:val="30"/>
                <w:szCs w:val="30"/>
                <w:b w:val="1"/>
                <w:bCs w:val="1"/>
                <w:color w:val="auto"/>
                <w:w w:val="84"/>
                <w:vertAlign w:val="superscript"/>
              </w:rPr>
              <w:t>(3)</w:t>
            </w:r>
          </w:p>
        </w:tc>
      </w:tr>
      <w:tr>
        <w:trPr>
          <w:trHeight w:val="250"/>
        </w:trPr>
        <w:tc>
          <w:tcPr>
            <w:tcW w:w="2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1</w:t>
            </w:r>
          </w:p>
        </w:tc>
        <w:tc>
          <w:tcPr>
            <w:tcW w:w="3460" w:type="dxa"/>
            <w:vAlign w:val="bottom"/>
            <w:gridSpan w:val="2"/>
            <w:shd w:val="clear" w:color="auto" w:fill="E5FFFF"/>
          </w:tcPr>
          <w:p>
            <w:pPr>
              <w:ind w:left="140"/>
              <w:spacing w:after="0"/>
              <w:rPr>
                <w:sz w:val="20"/>
                <w:szCs w:val="20"/>
                <w:color w:val="auto"/>
              </w:rPr>
            </w:pPr>
            <w:r>
              <w:rPr>
                <w:rFonts w:ascii="Arial" w:cs="Arial" w:eastAsia="Arial" w:hAnsi="Arial"/>
                <w:sz w:val="18"/>
                <w:szCs w:val="18"/>
                <w:i w:val="1"/>
                <w:iCs w:val="1"/>
                <w:color w:val="auto"/>
              </w:rPr>
              <w:t>GasLog Shanghai</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E5FFFF"/>
          </w:tcPr>
          <w:p>
            <w:pPr>
              <w:spacing w:after="0"/>
              <w:rPr>
                <w:sz w:val="21"/>
                <w:szCs w:val="21"/>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155,000</w:t>
            </w:r>
          </w:p>
        </w:tc>
        <w:tc>
          <w:tcPr>
            <w:tcW w:w="120" w:type="dxa"/>
            <w:vAlign w:val="bottom"/>
            <w:shd w:val="clear" w:color="auto" w:fill="E5FFFF"/>
          </w:tcPr>
          <w:p>
            <w:pPr>
              <w:spacing w:after="0"/>
              <w:rPr>
                <w:sz w:val="21"/>
                <w:szCs w:val="21"/>
                <w:color w:val="auto"/>
              </w:rPr>
            </w:pPr>
          </w:p>
        </w:tc>
        <w:tc>
          <w:tcPr>
            <w:tcW w:w="1480" w:type="dxa"/>
            <w:vAlign w:val="bottom"/>
            <w:shd w:val="clear" w:color="auto" w:fill="E5FFFF"/>
          </w:tcPr>
          <w:p>
            <w:pPr>
              <w:jc w:val="center"/>
              <w:spacing w:after="0" w:line="250" w:lineRule="exact"/>
              <w:rPr>
                <w:sz w:val="20"/>
                <w:szCs w:val="20"/>
                <w:color w:val="auto"/>
              </w:rPr>
            </w:pPr>
            <w:r>
              <w:rPr>
                <w:rFonts w:ascii="Arial" w:cs="Arial" w:eastAsia="Arial" w:hAnsi="Arial"/>
                <w:sz w:val="17"/>
                <w:szCs w:val="17"/>
                <w:color w:val="auto"/>
                <w:w w:val="91"/>
              </w:rPr>
              <w:t xml:space="preserve">Shell </w:t>
            </w:r>
            <w:r>
              <w:rPr>
                <w:rFonts w:ascii="Arial" w:cs="Arial" w:eastAsia="Arial" w:hAnsi="Arial"/>
                <w:sz w:val="28"/>
                <w:szCs w:val="28"/>
                <w:color w:val="auto"/>
                <w:w w:val="91"/>
                <w:vertAlign w:val="superscript"/>
              </w:rPr>
              <w:t>(1)</w:t>
            </w:r>
          </w:p>
        </w:tc>
        <w:tc>
          <w:tcPr>
            <w:tcW w:w="100" w:type="dxa"/>
            <w:vAlign w:val="bottom"/>
            <w:shd w:val="clear" w:color="auto" w:fill="E5FFFF"/>
          </w:tcPr>
          <w:p>
            <w:pPr>
              <w:spacing w:after="0"/>
              <w:rPr>
                <w:sz w:val="21"/>
                <w:szCs w:val="21"/>
                <w:color w:val="auto"/>
              </w:rPr>
            </w:pP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3"/>
              </w:rPr>
              <w:t>TFDE</w:t>
            </w:r>
          </w:p>
        </w:tc>
        <w:tc>
          <w:tcPr>
            <w:tcW w:w="1920" w:type="dxa"/>
            <w:vAlign w:val="bottom"/>
            <w:shd w:val="clear" w:color="auto" w:fill="E5FFFF"/>
          </w:tcPr>
          <w:p>
            <w:pPr>
              <w:jc w:val="center"/>
              <w:spacing w:after="0" w:line="250" w:lineRule="exact"/>
              <w:rPr>
                <w:sz w:val="20"/>
                <w:szCs w:val="20"/>
                <w:color w:val="auto"/>
              </w:rPr>
            </w:pPr>
            <w:r>
              <w:rPr>
                <w:rFonts w:ascii="Arial" w:cs="Arial" w:eastAsia="Arial" w:hAnsi="Arial"/>
                <w:sz w:val="17"/>
                <w:szCs w:val="17"/>
                <w:color w:val="auto"/>
                <w:w w:val="94"/>
              </w:rPr>
              <w:t>May 2018</w:t>
            </w:r>
            <w:r>
              <w:rPr>
                <w:rFonts w:ascii="Arial" w:cs="Arial" w:eastAsia="Arial" w:hAnsi="Arial"/>
                <w:sz w:val="28"/>
                <w:szCs w:val="28"/>
                <w:color w:val="auto"/>
                <w:w w:val="94"/>
                <w:vertAlign w:val="superscript"/>
              </w:rPr>
              <w:t>(6)</w:t>
            </w:r>
          </w:p>
        </w:tc>
        <w:tc>
          <w:tcPr>
            <w:tcW w:w="120" w:type="dxa"/>
            <w:vAlign w:val="bottom"/>
            <w:shd w:val="clear" w:color="auto" w:fill="E5FFFF"/>
          </w:tcPr>
          <w:p>
            <w:pPr>
              <w:spacing w:after="0"/>
              <w:rPr>
                <w:sz w:val="21"/>
                <w:szCs w:val="21"/>
                <w:color w:val="auto"/>
              </w:rPr>
            </w:pP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2021-2026</w:t>
            </w:r>
          </w:p>
        </w:tc>
      </w:tr>
      <w:tr>
        <w:trPr>
          <w:trHeight w:val="257"/>
        </w:trPr>
        <w:tc>
          <w:tcPr>
            <w:tcW w:w="220" w:type="dxa"/>
            <w:vAlign w:val="bottom"/>
          </w:tcPr>
          <w:p>
            <w:pPr>
              <w:spacing w:after="0"/>
              <w:rPr>
                <w:sz w:val="20"/>
                <w:szCs w:val="20"/>
                <w:color w:val="auto"/>
              </w:rPr>
            </w:pPr>
            <w:r>
              <w:rPr>
                <w:rFonts w:ascii="Arial" w:cs="Arial" w:eastAsia="Arial" w:hAnsi="Arial"/>
                <w:sz w:val="18"/>
                <w:szCs w:val="18"/>
                <w:b w:val="1"/>
                <w:bCs w:val="1"/>
                <w:color w:val="auto"/>
              </w:rPr>
              <w:t>2</w:t>
            </w:r>
          </w:p>
        </w:tc>
        <w:tc>
          <w:tcPr>
            <w:tcW w:w="3460" w:type="dxa"/>
            <w:vAlign w:val="bottom"/>
            <w:gridSpan w:val="2"/>
          </w:tcPr>
          <w:p>
            <w:pPr>
              <w:ind w:left="140"/>
              <w:spacing w:after="0"/>
              <w:rPr>
                <w:sz w:val="20"/>
                <w:szCs w:val="20"/>
                <w:color w:val="auto"/>
              </w:rPr>
            </w:pPr>
            <w:r>
              <w:rPr>
                <w:rFonts w:ascii="Arial" w:cs="Arial" w:eastAsia="Arial" w:hAnsi="Arial"/>
                <w:sz w:val="18"/>
                <w:szCs w:val="18"/>
                <w:i w:val="1"/>
                <w:iCs w:val="1"/>
                <w:color w:val="auto"/>
              </w:rPr>
              <w:t>GasLog Santiago</w:t>
            </w:r>
          </w:p>
        </w:tc>
        <w:tc>
          <w:tcPr>
            <w:tcW w:w="580" w:type="dxa"/>
            <w:vAlign w:val="bottom"/>
          </w:tcPr>
          <w:p>
            <w:pPr>
              <w:ind w:left="12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155,000</w:t>
            </w:r>
          </w:p>
        </w:tc>
        <w:tc>
          <w:tcPr>
            <w:tcW w:w="120" w:type="dxa"/>
            <w:vAlign w:val="bottom"/>
          </w:tcPr>
          <w:p>
            <w:pPr>
              <w:spacing w:after="0"/>
              <w:rPr>
                <w:sz w:val="22"/>
                <w:szCs w:val="22"/>
                <w:color w:val="auto"/>
              </w:rPr>
            </w:pPr>
          </w:p>
        </w:tc>
        <w:tc>
          <w:tcPr>
            <w:tcW w:w="1580" w:type="dxa"/>
            <w:vAlign w:val="bottom"/>
            <w:gridSpan w:val="2"/>
          </w:tcPr>
          <w:p>
            <w:pPr>
              <w:jc w:val="center"/>
              <w:ind w:right="100"/>
              <w:spacing w:after="0" w:line="256" w:lineRule="exact"/>
              <w:rPr>
                <w:sz w:val="20"/>
                <w:szCs w:val="20"/>
                <w:color w:val="auto"/>
              </w:rPr>
            </w:pPr>
            <w:r>
              <w:rPr>
                <w:rFonts w:ascii="Arial" w:cs="Arial" w:eastAsia="Arial" w:hAnsi="Arial"/>
                <w:sz w:val="18"/>
                <w:szCs w:val="18"/>
                <w:color w:val="auto"/>
                <w:w w:val="87"/>
              </w:rPr>
              <w:t xml:space="preserve">Shell </w:t>
            </w:r>
            <w:r>
              <w:rPr>
                <w:rFonts w:ascii="Arial" w:cs="Arial" w:eastAsia="Arial" w:hAnsi="Arial"/>
                <w:sz w:val="29"/>
                <w:szCs w:val="29"/>
                <w:color w:val="auto"/>
                <w:w w:val="87"/>
                <w:vertAlign w:val="superscript"/>
              </w:rPr>
              <w:t>(1)</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tcPr>
          <w:p>
            <w:pPr>
              <w:jc w:val="center"/>
              <w:ind w:right="120"/>
              <w:spacing w:after="0" w:line="256" w:lineRule="exact"/>
              <w:rPr>
                <w:sz w:val="20"/>
                <w:szCs w:val="20"/>
                <w:color w:val="auto"/>
              </w:rPr>
            </w:pPr>
            <w:r>
              <w:rPr>
                <w:rFonts w:ascii="Arial" w:cs="Arial" w:eastAsia="Arial" w:hAnsi="Arial"/>
                <w:sz w:val="18"/>
                <w:szCs w:val="18"/>
                <w:color w:val="auto"/>
                <w:w w:val="87"/>
              </w:rPr>
              <w:t>July 2018</w:t>
            </w:r>
            <w:r>
              <w:rPr>
                <w:rFonts w:ascii="Arial" w:cs="Arial" w:eastAsia="Arial" w:hAnsi="Arial"/>
                <w:sz w:val="29"/>
                <w:szCs w:val="29"/>
                <w:color w:val="auto"/>
                <w:w w:val="87"/>
                <w:vertAlign w:val="superscript"/>
              </w:rPr>
              <w:t>(6)</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2021-2026</w:t>
            </w:r>
          </w:p>
        </w:tc>
      </w:tr>
      <w:tr>
        <w:trPr>
          <w:trHeight w:val="257"/>
        </w:trPr>
        <w:tc>
          <w:tcPr>
            <w:tcW w:w="2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3</w:t>
            </w:r>
          </w:p>
        </w:tc>
        <w:tc>
          <w:tcPr>
            <w:tcW w:w="3460" w:type="dxa"/>
            <w:vAlign w:val="bottom"/>
            <w:gridSpan w:val="2"/>
            <w:shd w:val="clear" w:color="auto" w:fill="E5FFFF"/>
          </w:tcPr>
          <w:p>
            <w:pPr>
              <w:ind w:left="140"/>
              <w:spacing w:after="0"/>
              <w:rPr>
                <w:sz w:val="20"/>
                <w:szCs w:val="20"/>
                <w:color w:val="auto"/>
              </w:rPr>
            </w:pPr>
            <w:r>
              <w:rPr>
                <w:rFonts w:ascii="Arial" w:cs="Arial" w:eastAsia="Arial" w:hAnsi="Arial"/>
                <w:sz w:val="18"/>
                <w:szCs w:val="18"/>
                <w:i w:val="1"/>
                <w:iCs w:val="1"/>
                <w:color w:val="auto"/>
              </w:rPr>
              <w:t>GasLog Sydney</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E5FFFF"/>
          </w:tcPr>
          <w:p>
            <w:pPr>
              <w:spacing w:after="0"/>
              <w:rPr>
                <w:sz w:val="22"/>
                <w:szCs w:val="22"/>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155,000</w:t>
            </w:r>
          </w:p>
        </w:tc>
        <w:tc>
          <w:tcPr>
            <w:tcW w:w="120" w:type="dxa"/>
            <w:vAlign w:val="bottom"/>
            <w:shd w:val="clear" w:color="auto" w:fill="E5FFFF"/>
          </w:tcPr>
          <w:p>
            <w:pPr>
              <w:spacing w:after="0"/>
              <w:rPr>
                <w:sz w:val="22"/>
                <w:szCs w:val="22"/>
                <w:color w:val="auto"/>
              </w:rPr>
            </w:pPr>
          </w:p>
        </w:tc>
        <w:tc>
          <w:tcPr>
            <w:tcW w:w="1580" w:type="dxa"/>
            <w:vAlign w:val="bottom"/>
            <w:gridSpan w:val="2"/>
            <w:shd w:val="clear" w:color="auto" w:fill="E5FFFF"/>
          </w:tcPr>
          <w:p>
            <w:pPr>
              <w:jc w:val="center"/>
              <w:ind w:right="100"/>
              <w:spacing w:after="0" w:line="256" w:lineRule="exact"/>
              <w:rPr>
                <w:sz w:val="20"/>
                <w:szCs w:val="20"/>
                <w:color w:val="auto"/>
              </w:rPr>
            </w:pPr>
            <w:r>
              <w:rPr>
                <w:rFonts w:ascii="Arial" w:cs="Arial" w:eastAsia="Arial" w:hAnsi="Arial"/>
                <w:sz w:val="18"/>
                <w:szCs w:val="18"/>
                <w:color w:val="auto"/>
                <w:w w:val="87"/>
              </w:rPr>
              <w:t xml:space="preserve">Shell </w:t>
            </w:r>
            <w:r>
              <w:rPr>
                <w:rFonts w:ascii="Arial" w:cs="Arial" w:eastAsia="Arial" w:hAnsi="Arial"/>
                <w:sz w:val="29"/>
                <w:szCs w:val="29"/>
                <w:color w:val="auto"/>
                <w:w w:val="87"/>
                <w:vertAlign w:val="superscript"/>
              </w:rPr>
              <w:t>(1)</w:t>
            </w: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shd w:val="clear" w:color="auto" w:fill="E5FFFF"/>
          </w:tcPr>
          <w:p>
            <w:pPr>
              <w:jc w:val="center"/>
              <w:ind w:right="120"/>
              <w:spacing w:after="0" w:line="256" w:lineRule="exact"/>
              <w:rPr>
                <w:sz w:val="20"/>
                <w:szCs w:val="20"/>
                <w:color w:val="auto"/>
              </w:rPr>
            </w:pPr>
            <w:r>
              <w:rPr>
                <w:rFonts w:ascii="Arial" w:cs="Arial" w:eastAsia="Arial" w:hAnsi="Arial"/>
                <w:sz w:val="18"/>
                <w:szCs w:val="18"/>
                <w:color w:val="auto"/>
                <w:w w:val="86"/>
              </w:rPr>
              <w:t>September 2018</w:t>
            </w:r>
            <w:r>
              <w:rPr>
                <w:rFonts w:ascii="Arial" w:cs="Arial" w:eastAsia="Arial" w:hAnsi="Arial"/>
                <w:sz w:val="29"/>
                <w:szCs w:val="29"/>
                <w:color w:val="auto"/>
                <w:w w:val="86"/>
                <w:vertAlign w:val="superscript"/>
              </w:rPr>
              <w:t>(6)</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2021-2026</w:t>
            </w:r>
          </w:p>
        </w:tc>
      </w:tr>
      <w:tr>
        <w:trPr>
          <w:trHeight w:val="257"/>
        </w:trPr>
        <w:tc>
          <w:tcPr>
            <w:tcW w:w="220" w:type="dxa"/>
            <w:vAlign w:val="bottom"/>
          </w:tcPr>
          <w:p>
            <w:pPr>
              <w:spacing w:after="0"/>
              <w:rPr>
                <w:sz w:val="20"/>
                <w:szCs w:val="20"/>
                <w:color w:val="auto"/>
              </w:rPr>
            </w:pPr>
            <w:r>
              <w:rPr>
                <w:rFonts w:ascii="Arial" w:cs="Arial" w:eastAsia="Arial" w:hAnsi="Arial"/>
                <w:sz w:val="18"/>
                <w:szCs w:val="18"/>
                <w:b w:val="1"/>
                <w:bCs w:val="1"/>
                <w:color w:val="auto"/>
              </w:rPr>
              <w:t>4</w:t>
            </w:r>
          </w:p>
        </w:tc>
        <w:tc>
          <w:tcPr>
            <w:tcW w:w="3460" w:type="dxa"/>
            <w:vAlign w:val="bottom"/>
            <w:gridSpan w:val="2"/>
          </w:tcPr>
          <w:p>
            <w:pPr>
              <w:ind w:left="140"/>
              <w:spacing w:after="0"/>
              <w:rPr>
                <w:sz w:val="20"/>
                <w:szCs w:val="20"/>
                <w:color w:val="auto"/>
              </w:rPr>
            </w:pPr>
            <w:r>
              <w:rPr>
                <w:rFonts w:ascii="Arial" w:cs="Arial" w:eastAsia="Arial" w:hAnsi="Arial"/>
                <w:sz w:val="18"/>
                <w:szCs w:val="18"/>
                <w:i w:val="1"/>
                <w:iCs w:val="1"/>
                <w:color w:val="auto"/>
              </w:rPr>
              <w:t>Methane Rita Andrea</w:t>
            </w:r>
          </w:p>
        </w:tc>
        <w:tc>
          <w:tcPr>
            <w:tcW w:w="580" w:type="dxa"/>
            <w:vAlign w:val="bottom"/>
          </w:tcPr>
          <w:p>
            <w:pPr>
              <w:ind w:left="12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145,000</w:t>
            </w:r>
          </w:p>
        </w:tc>
        <w:tc>
          <w:tcPr>
            <w:tcW w:w="120" w:type="dxa"/>
            <w:vAlign w:val="bottom"/>
          </w:tcPr>
          <w:p>
            <w:pPr>
              <w:spacing w:after="0"/>
              <w:rPr>
                <w:sz w:val="22"/>
                <w:szCs w:val="22"/>
                <w:color w:val="auto"/>
              </w:rPr>
            </w:pPr>
          </w:p>
        </w:tc>
        <w:tc>
          <w:tcPr>
            <w:tcW w:w="1580" w:type="dxa"/>
            <w:vAlign w:val="bottom"/>
            <w:gridSpan w:val="2"/>
          </w:tcPr>
          <w:p>
            <w:pPr>
              <w:jc w:val="center"/>
              <w:ind w:right="100"/>
              <w:spacing w:after="0" w:line="256" w:lineRule="exact"/>
              <w:rPr>
                <w:sz w:val="20"/>
                <w:szCs w:val="20"/>
                <w:color w:val="auto"/>
              </w:rPr>
            </w:pPr>
            <w:r>
              <w:rPr>
                <w:rFonts w:ascii="Arial" w:cs="Arial" w:eastAsia="Arial" w:hAnsi="Arial"/>
                <w:sz w:val="18"/>
                <w:szCs w:val="18"/>
                <w:color w:val="auto"/>
                <w:w w:val="87"/>
              </w:rPr>
              <w:t xml:space="preserve">Shell </w:t>
            </w:r>
            <w:r>
              <w:rPr>
                <w:rFonts w:ascii="Arial" w:cs="Arial" w:eastAsia="Arial" w:hAnsi="Arial"/>
                <w:sz w:val="29"/>
                <w:szCs w:val="29"/>
                <w:color w:val="auto"/>
                <w:w w:val="87"/>
                <w:vertAlign w:val="superscript"/>
              </w:rPr>
              <w:t>(1)</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Steam</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April 2020</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2023-2025</w:t>
            </w:r>
          </w:p>
        </w:tc>
      </w:tr>
      <w:tr>
        <w:trPr>
          <w:trHeight w:val="257"/>
        </w:trPr>
        <w:tc>
          <w:tcPr>
            <w:tcW w:w="2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5</w:t>
            </w:r>
          </w:p>
        </w:tc>
        <w:tc>
          <w:tcPr>
            <w:tcW w:w="3460" w:type="dxa"/>
            <w:vAlign w:val="bottom"/>
            <w:gridSpan w:val="2"/>
            <w:shd w:val="clear" w:color="auto" w:fill="E5FFFF"/>
          </w:tcPr>
          <w:p>
            <w:pPr>
              <w:ind w:left="140"/>
              <w:spacing w:after="0"/>
              <w:rPr>
                <w:sz w:val="20"/>
                <w:szCs w:val="20"/>
                <w:color w:val="auto"/>
              </w:rPr>
            </w:pPr>
            <w:r>
              <w:rPr>
                <w:rFonts w:ascii="Arial" w:cs="Arial" w:eastAsia="Arial" w:hAnsi="Arial"/>
                <w:sz w:val="18"/>
                <w:szCs w:val="18"/>
                <w:i w:val="1"/>
                <w:iCs w:val="1"/>
                <w:color w:val="auto"/>
              </w:rPr>
              <w:t>Methane Jane Elizabeth</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2006</w:t>
            </w:r>
          </w:p>
        </w:tc>
        <w:tc>
          <w:tcPr>
            <w:tcW w:w="120" w:type="dxa"/>
            <w:vAlign w:val="bottom"/>
            <w:shd w:val="clear" w:color="auto" w:fill="E5FFFF"/>
          </w:tcPr>
          <w:p>
            <w:pPr>
              <w:spacing w:after="0"/>
              <w:rPr>
                <w:sz w:val="22"/>
                <w:szCs w:val="22"/>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145,000</w:t>
            </w:r>
          </w:p>
        </w:tc>
        <w:tc>
          <w:tcPr>
            <w:tcW w:w="120" w:type="dxa"/>
            <w:vAlign w:val="bottom"/>
            <w:shd w:val="clear" w:color="auto" w:fill="E5FFFF"/>
          </w:tcPr>
          <w:p>
            <w:pPr>
              <w:spacing w:after="0"/>
              <w:rPr>
                <w:sz w:val="22"/>
                <w:szCs w:val="22"/>
                <w:color w:val="auto"/>
              </w:rPr>
            </w:pPr>
          </w:p>
        </w:tc>
        <w:tc>
          <w:tcPr>
            <w:tcW w:w="1580" w:type="dxa"/>
            <w:vAlign w:val="bottom"/>
            <w:gridSpan w:val="2"/>
            <w:shd w:val="clear" w:color="auto" w:fill="E5FFFF"/>
          </w:tcPr>
          <w:p>
            <w:pPr>
              <w:jc w:val="center"/>
              <w:ind w:right="100"/>
              <w:spacing w:after="0" w:line="256" w:lineRule="exact"/>
              <w:rPr>
                <w:sz w:val="20"/>
                <w:szCs w:val="20"/>
                <w:color w:val="auto"/>
              </w:rPr>
            </w:pPr>
            <w:r>
              <w:rPr>
                <w:rFonts w:ascii="Arial" w:cs="Arial" w:eastAsia="Arial" w:hAnsi="Arial"/>
                <w:sz w:val="18"/>
                <w:szCs w:val="18"/>
                <w:color w:val="auto"/>
                <w:w w:val="87"/>
              </w:rPr>
              <w:t xml:space="preserve">Shell </w:t>
            </w:r>
            <w:r>
              <w:rPr>
                <w:rFonts w:ascii="Arial" w:cs="Arial" w:eastAsia="Arial" w:hAnsi="Arial"/>
                <w:sz w:val="29"/>
                <w:szCs w:val="29"/>
                <w:color w:val="auto"/>
                <w:w w:val="87"/>
                <w:vertAlign w:val="superscript"/>
              </w:rPr>
              <w:t>(1)</w:t>
            </w: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4"/>
              </w:rPr>
              <w:t>Steam</w:t>
            </w:r>
          </w:p>
        </w:tc>
        <w:tc>
          <w:tcPr>
            <w:tcW w:w="20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9"/>
              </w:rPr>
              <w:t>October 2019</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2022-2024</w:t>
            </w:r>
          </w:p>
        </w:tc>
      </w:tr>
      <w:tr>
        <w:trPr>
          <w:trHeight w:val="257"/>
        </w:trPr>
        <w:tc>
          <w:tcPr>
            <w:tcW w:w="220" w:type="dxa"/>
            <w:vAlign w:val="bottom"/>
          </w:tcPr>
          <w:p>
            <w:pPr>
              <w:spacing w:after="0"/>
              <w:rPr>
                <w:sz w:val="20"/>
                <w:szCs w:val="20"/>
                <w:color w:val="auto"/>
              </w:rPr>
            </w:pPr>
            <w:r>
              <w:rPr>
                <w:rFonts w:ascii="Arial" w:cs="Arial" w:eastAsia="Arial" w:hAnsi="Arial"/>
                <w:sz w:val="18"/>
                <w:szCs w:val="18"/>
                <w:b w:val="1"/>
                <w:bCs w:val="1"/>
                <w:color w:val="auto"/>
              </w:rPr>
              <w:t>6</w:t>
            </w:r>
          </w:p>
        </w:tc>
        <w:tc>
          <w:tcPr>
            <w:tcW w:w="3460" w:type="dxa"/>
            <w:vAlign w:val="bottom"/>
            <w:gridSpan w:val="2"/>
          </w:tcPr>
          <w:p>
            <w:pPr>
              <w:ind w:left="140"/>
              <w:spacing w:after="0"/>
              <w:rPr>
                <w:sz w:val="20"/>
                <w:szCs w:val="20"/>
                <w:color w:val="auto"/>
              </w:rPr>
            </w:pPr>
            <w:r>
              <w:rPr>
                <w:rFonts w:ascii="Arial" w:cs="Arial" w:eastAsia="Arial" w:hAnsi="Arial"/>
                <w:sz w:val="18"/>
                <w:szCs w:val="18"/>
                <w:i w:val="1"/>
                <w:iCs w:val="1"/>
                <w:color w:val="auto"/>
              </w:rPr>
              <w:t>Methane Shirley Elisabeth</w:t>
            </w:r>
          </w:p>
        </w:tc>
        <w:tc>
          <w:tcPr>
            <w:tcW w:w="580" w:type="dxa"/>
            <w:vAlign w:val="bottom"/>
          </w:tcPr>
          <w:p>
            <w:pPr>
              <w:ind w:left="120"/>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145,000</w:t>
            </w:r>
          </w:p>
        </w:tc>
        <w:tc>
          <w:tcPr>
            <w:tcW w:w="120" w:type="dxa"/>
            <w:vAlign w:val="bottom"/>
          </w:tcPr>
          <w:p>
            <w:pPr>
              <w:spacing w:after="0"/>
              <w:rPr>
                <w:sz w:val="22"/>
                <w:szCs w:val="22"/>
                <w:color w:val="auto"/>
              </w:rPr>
            </w:pPr>
          </w:p>
        </w:tc>
        <w:tc>
          <w:tcPr>
            <w:tcW w:w="1580" w:type="dxa"/>
            <w:vAlign w:val="bottom"/>
            <w:gridSpan w:val="2"/>
          </w:tcPr>
          <w:p>
            <w:pPr>
              <w:jc w:val="center"/>
              <w:ind w:right="100"/>
              <w:spacing w:after="0" w:line="256" w:lineRule="exact"/>
              <w:rPr>
                <w:sz w:val="20"/>
                <w:szCs w:val="20"/>
                <w:color w:val="auto"/>
              </w:rPr>
            </w:pPr>
            <w:r>
              <w:rPr>
                <w:rFonts w:ascii="Arial" w:cs="Arial" w:eastAsia="Arial" w:hAnsi="Arial"/>
                <w:sz w:val="18"/>
                <w:szCs w:val="18"/>
                <w:color w:val="auto"/>
                <w:w w:val="87"/>
              </w:rPr>
              <w:t xml:space="preserve">Shell </w:t>
            </w:r>
            <w:r>
              <w:rPr>
                <w:rFonts w:ascii="Arial" w:cs="Arial" w:eastAsia="Arial" w:hAnsi="Arial"/>
                <w:sz w:val="29"/>
                <w:szCs w:val="29"/>
                <w:color w:val="auto"/>
                <w:w w:val="87"/>
                <w:vertAlign w:val="superscript"/>
              </w:rPr>
              <w:t>(1)</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Steam</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2020</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2023-2025</w:t>
            </w:r>
          </w:p>
        </w:tc>
      </w:tr>
      <w:tr>
        <w:trPr>
          <w:trHeight w:val="257"/>
        </w:trPr>
        <w:tc>
          <w:tcPr>
            <w:tcW w:w="2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7</w:t>
            </w:r>
          </w:p>
        </w:tc>
        <w:tc>
          <w:tcPr>
            <w:tcW w:w="3460" w:type="dxa"/>
            <w:vAlign w:val="bottom"/>
            <w:gridSpan w:val="2"/>
            <w:shd w:val="clear" w:color="auto" w:fill="E5FFFF"/>
          </w:tcPr>
          <w:p>
            <w:pPr>
              <w:ind w:left="140"/>
              <w:spacing w:after="0"/>
              <w:rPr>
                <w:sz w:val="20"/>
                <w:szCs w:val="20"/>
                <w:color w:val="auto"/>
              </w:rPr>
            </w:pPr>
            <w:r>
              <w:rPr>
                <w:rFonts w:ascii="Arial" w:cs="Arial" w:eastAsia="Arial" w:hAnsi="Arial"/>
                <w:sz w:val="18"/>
                <w:szCs w:val="18"/>
                <w:i w:val="1"/>
                <w:iCs w:val="1"/>
                <w:color w:val="auto"/>
              </w:rPr>
              <w:t>Methane Alison Victoria</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2007</w:t>
            </w:r>
          </w:p>
        </w:tc>
        <w:tc>
          <w:tcPr>
            <w:tcW w:w="120" w:type="dxa"/>
            <w:vAlign w:val="bottom"/>
            <w:shd w:val="clear" w:color="auto" w:fill="E5FFFF"/>
          </w:tcPr>
          <w:p>
            <w:pPr>
              <w:spacing w:after="0"/>
              <w:rPr>
                <w:sz w:val="22"/>
                <w:szCs w:val="22"/>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145,000</w:t>
            </w:r>
          </w:p>
        </w:tc>
        <w:tc>
          <w:tcPr>
            <w:tcW w:w="120" w:type="dxa"/>
            <w:vAlign w:val="bottom"/>
            <w:shd w:val="clear" w:color="auto" w:fill="E5FFFF"/>
          </w:tcPr>
          <w:p>
            <w:pPr>
              <w:spacing w:after="0"/>
              <w:rPr>
                <w:sz w:val="22"/>
                <w:szCs w:val="22"/>
                <w:color w:val="auto"/>
              </w:rPr>
            </w:pPr>
          </w:p>
        </w:tc>
        <w:tc>
          <w:tcPr>
            <w:tcW w:w="1580" w:type="dxa"/>
            <w:vAlign w:val="bottom"/>
            <w:gridSpan w:val="2"/>
            <w:shd w:val="clear" w:color="auto" w:fill="E5FFFF"/>
          </w:tcPr>
          <w:p>
            <w:pPr>
              <w:jc w:val="center"/>
              <w:ind w:right="100"/>
              <w:spacing w:after="0" w:line="256" w:lineRule="exact"/>
              <w:rPr>
                <w:sz w:val="20"/>
                <w:szCs w:val="20"/>
                <w:color w:val="auto"/>
              </w:rPr>
            </w:pPr>
            <w:r>
              <w:rPr>
                <w:rFonts w:ascii="Arial" w:cs="Arial" w:eastAsia="Arial" w:hAnsi="Arial"/>
                <w:sz w:val="18"/>
                <w:szCs w:val="18"/>
                <w:color w:val="auto"/>
                <w:w w:val="87"/>
              </w:rPr>
              <w:t xml:space="preserve">Shell </w:t>
            </w:r>
            <w:r>
              <w:rPr>
                <w:rFonts w:ascii="Arial" w:cs="Arial" w:eastAsia="Arial" w:hAnsi="Arial"/>
                <w:sz w:val="29"/>
                <w:szCs w:val="29"/>
                <w:color w:val="auto"/>
                <w:w w:val="87"/>
                <w:vertAlign w:val="superscript"/>
              </w:rPr>
              <w:t>(1)</w:t>
            </w: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4"/>
              </w:rPr>
              <w:t>Steam</w:t>
            </w:r>
          </w:p>
        </w:tc>
        <w:tc>
          <w:tcPr>
            <w:tcW w:w="20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8"/>
              </w:rPr>
              <w:t>December 2019</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2022-2024</w:t>
            </w:r>
          </w:p>
        </w:tc>
      </w:tr>
      <w:tr>
        <w:trPr>
          <w:trHeight w:val="390"/>
        </w:trPr>
        <w:tc>
          <w:tcPr>
            <w:tcW w:w="220" w:type="dxa"/>
            <w:vAlign w:val="bottom"/>
          </w:tcPr>
          <w:p>
            <w:pPr>
              <w:spacing w:after="0"/>
              <w:rPr>
                <w:sz w:val="20"/>
                <w:szCs w:val="20"/>
                <w:color w:val="auto"/>
              </w:rPr>
            </w:pPr>
            <w:r>
              <w:rPr>
                <w:rFonts w:ascii="Arial" w:cs="Arial" w:eastAsia="Arial" w:hAnsi="Arial"/>
                <w:sz w:val="18"/>
                <w:szCs w:val="18"/>
                <w:b w:val="1"/>
                <w:bCs w:val="1"/>
                <w:color w:val="auto"/>
              </w:rPr>
              <w:t>8</w:t>
            </w:r>
          </w:p>
        </w:tc>
        <w:tc>
          <w:tcPr>
            <w:tcW w:w="3460" w:type="dxa"/>
            <w:vAlign w:val="bottom"/>
            <w:gridSpan w:val="2"/>
          </w:tcPr>
          <w:p>
            <w:pPr>
              <w:ind w:left="140"/>
              <w:spacing w:after="0"/>
              <w:rPr>
                <w:sz w:val="20"/>
                <w:szCs w:val="20"/>
                <w:color w:val="auto"/>
              </w:rPr>
            </w:pPr>
            <w:r>
              <w:rPr>
                <w:rFonts w:ascii="Arial" w:cs="Arial" w:eastAsia="Arial" w:hAnsi="Arial"/>
                <w:sz w:val="18"/>
                <w:szCs w:val="18"/>
                <w:i w:val="1"/>
                <w:iCs w:val="1"/>
                <w:color w:val="auto"/>
              </w:rPr>
              <w:t>Methane Heather Sally</w:t>
            </w:r>
          </w:p>
        </w:tc>
        <w:tc>
          <w:tcPr>
            <w:tcW w:w="580" w:type="dxa"/>
            <w:vAlign w:val="bottom"/>
          </w:tcPr>
          <w:p>
            <w:pPr>
              <w:ind w:left="120"/>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145,000</w:t>
            </w:r>
          </w:p>
        </w:tc>
        <w:tc>
          <w:tcPr>
            <w:tcW w:w="12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 xml:space="preserve">Shell </w:t>
            </w:r>
            <w:r>
              <w:rPr>
                <w:rFonts w:ascii="Arial" w:cs="Arial" w:eastAsia="Arial" w:hAnsi="Arial"/>
                <w:sz w:val="30"/>
                <w:szCs w:val="30"/>
                <w:color w:val="auto"/>
                <w:w w:val="86"/>
                <w:vertAlign w:val="superscript"/>
              </w:rPr>
              <w:t>(1)</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Steam</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December 2020</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2023-2025</w:t>
            </w:r>
          </w:p>
        </w:tc>
      </w:tr>
      <w:tr>
        <w:trPr>
          <w:trHeight w:val="299"/>
        </w:trPr>
        <w:tc>
          <w:tcPr>
            <w:tcW w:w="36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Bareboat Vessel</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4"/>
        </w:trPr>
        <w:tc>
          <w:tcPr>
            <w:tcW w:w="2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Cargo</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0"/>
        </w:trPr>
        <w:tc>
          <w:tcPr>
            <w:tcW w:w="2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b w:val="1"/>
                <w:bCs w:val="1"/>
                <w:color w:val="auto"/>
              </w:rPr>
              <w:t>Year</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Capacity</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Charter</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Optional</w:t>
            </w:r>
          </w:p>
        </w:tc>
      </w:tr>
      <w:tr>
        <w:trPr>
          <w:trHeight w:val="271"/>
        </w:trPr>
        <w:tc>
          <w:tcPr>
            <w:tcW w:w="220" w:type="dxa"/>
            <w:vAlign w:val="bottom"/>
            <w:tcBorders>
              <w:bottom w:val="single" w:sz="8" w:color="auto"/>
            </w:tcBorders>
          </w:tcPr>
          <w:p>
            <w:pPr>
              <w:spacing w:after="0"/>
              <w:rPr>
                <w:sz w:val="23"/>
                <w:szCs w:val="23"/>
                <w:color w:val="auto"/>
              </w:rPr>
            </w:pPr>
          </w:p>
        </w:tc>
        <w:tc>
          <w:tcPr>
            <w:tcW w:w="334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Vessel Name</w:t>
            </w:r>
          </w:p>
        </w:tc>
        <w:tc>
          <w:tcPr>
            <w:tcW w:w="120" w:type="dxa"/>
            <w:vAlign w:val="bottom"/>
          </w:tcPr>
          <w:p>
            <w:pPr>
              <w:spacing w:after="0"/>
              <w:rPr>
                <w:sz w:val="23"/>
                <w:szCs w:val="23"/>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Built</w:t>
            </w:r>
          </w:p>
        </w:tc>
        <w:tc>
          <w:tcPr>
            <w:tcW w:w="120" w:type="dxa"/>
            <w:vAlign w:val="bottom"/>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(cbm)</w:t>
            </w:r>
          </w:p>
        </w:tc>
        <w:tc>
          <w:tcPr>
            <w:tcW w:w="120" w:type="dxa"/>
            <w:vAlign w:val="bottom"/>
          </w:tcPr>
          <w:p>
            <w:pPr>
              <w:spacing w:after="0"/>
              <w:rPr>
                <w:sz w:val="23"/>
                <w:szCs w:val="2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Charterer</w:t>
            </w:r>
          </w:p>
        </w:tc>
        <w:tc>
          <w:tcPr>
            <w:tcW w:w="100" w:type="dxa"/>
            <w:vAlign w:val="bottom"/>
          </w:tcPr>
          <w:p>
            <w:pPr>
              <w:spacing w:after="0"/>
              <w:rPr>
                <w:sz w:val="23"/>
                <w:szCs w:val="2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Propulsion</w:t>
            </w:r>
          </w:p>
        </w:tc>
        <w:tc>
          <w:tcPr>
            <w:tcW w:w="100" w:type="dxa"/>
            <w:vAlign w:val="bottom"/>
          </w:tcPr>
          <w:p>
            <w:pPr>
              <w:spacing w:after="0"/>
              <w:rPr>
                <w:sz w:val="23"/>
                <w:szCs w:val="23"/>
                <w:color w:val="auto"/>
              </w:rPr>
            </w:pPr>
          </w:p>
        </w:tc>
        <w:tc>
          <w:tcPr>
            <w:tcW w:w="1920" w:type="dxa"/>
            <w:vAlign w:val="bottom"/>
            <w:tcBorders>
              <w:bottom w:val="single" w:sz="8" w:color="auto"/>
            </w:tcBorders>
          </w:tcPr>
          <w:p>
            <w:pPr>
              <w:jc w:val="center"/>
              <w:spacing w:after="0" w:line="271" w:lineRule="exact"/>
              <w:rPr>
                <w:sz w:val="20"/>
                <w:szCs w:val="20"/>
                <w:color w:val="auto"/>
              </w:rPr>
            </w:pPr>
            <w:r>
              <w:rPr>
                <w:rFonts w:ascii="Arial" w:cs="Arial" w:eastAsia="Arial" w:hAnsi="Arial"/>
                <w:sz w:val="18"/>
                <w:szCs w:val="18"/>
                <w:b w:val="1"/>
                <w:bCs w:val="1"/>
                <w:color w:val="auto"/>
                <w:w w:val="88"/>
              </w:rPr>
              <w:t>Expiration</w:t>
            </w:r>
            <w:r>
              <w:rPr>
                <w:rFonts w:ascii="Arial" w:cs="Arial" w:eastAsia="Arial" w:hAnsi="Arial"/>
                <w:sz w:val="30"/>
                <w:szCs w:val="30"/>
                <w:b w:val="1"/>
                <w:bCs w:val="1"/>
                <w:color w:val="auto"/>
                <w:w w:val="88"/>
                <w:vertAlign w:val="superscript"/>
              </w:rPr>
              <w:t>(2)</w:t>
            </w:r>
          </w:p>
        </w:tc>
        <w:tc>
          <w:tcPr>
            <w:tcW w:w="120" w:type="dxa"/>
            <w:vAlign w:val="bottom"/>
          </w:tcPr>
          <w:p>
            <w:pPr>
              <w:spacing w:after="0"/>
              <w:rPr>
                <w:sz w:val="23"/>
                <w:szCs w:val="23"/>
                <w:color w:val="auto"/>
              </w:rPr>
            </w:pPr>
          </w:p>
        </w:tc>
        <w:tc>
          <w:tcPr>
            <w:tcW w:w="1240" w:type="dxa"/>
            <w:vAlign w:val="bottom"/>
            <w:tcBorders>
              <w:bottom w:val="single" w:sz="8" w:color="auto"/>
            </w:tcBorders>
          </w:tcPr>
          <w:p>
            <w:pPr>
              <w:jc w:val="center"/>
              <w:spacing w:after="0" w:line="271" w:lineRule="exact"/>
              <w:rPr>
                <w:sz w:val="20"/>
                <w:szCs w:val="20"/>
                <w:color w:val="auto"/>
              </w:rPr>
            </w:pPr>
            <w:r>
              <w:rPr>
                <w:rFonts w:ascii="Arial" w:cs="Arial" w:eastAsia="Arial" w:hAnsi="Arial"/>
                <w:sz w:val="18"/>
                <w:szCs w:val="18"/>
                <w:b w:val="1"/>
                <w:bCs w:val="1"/>
                <w:color w:val="auto"/>
                <w:w w:val="84"/>
              </w:rPr>
              <w:t>Period</w:t>
            </w:r>
            <w:r>
              <w:rPr>
                <w:rFonts w:ascii="Arial" w:cs="Arial" w:eastAsia="Arial" w:hAnsi="Arial"/>
                <w:sz w:val="30"/>
                <w:szCs w:val="30"/>
                <w:b w:val="1"/>
                <w:bCs w:val="1"/>
                <w:color w:val="auto"/>
                <w:w w:val="84"/>
                <w:vertAlign w:val="superscript"/>
              </w:rPr>
              <w:t>(3)</w:t>
            </w:r>
          </w:p>
        </w:tc>
      </w:tr>
    </w:tbl>
    <w:p>
      <w:pPr>
        <w:sectPr>
          <w:pgSz w:w="11900" w:h="16843" w:orient="portrait"/>
          <w:cols w:equalWidth="0" w:num="1">
            <w:col w:w="11420"/>
          </w:cols>
          <w:pgMar w:left="240" w:top="405" w:right="239" w:bottom="0" w:gutter="0" w:footer="0" w:header="0"/>
        </w:sectPr>
      </w:pPr>
    </w:p>
    <w:bookmarkStart w:id="18" w:name="page19"/>
    <w:bookmarkEnd w:id="18"/>
    <w:p>
      <w:pPr>
        <w:spacing w:after="0"/>
        <w:tabs>
          <w:tab w:leader="none" w:pos="340" w:val="left"/>
          <w:tab w:leader="none" w:pos="3780" w:val="left"/>
          <w:tab w:leader="none" w:pos="4540" w:val="left"/>
          <w:tab w:leader="none" w:pos="5840" w:val="left"/>
          <w:tab w:leader="none" w:pos="7280" w:val="left"/>
          <w:tab w:leader="none" w:pos="8640" w:val="left"/>
          <w:tab w:leader="none" w:pos="1038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36"/>
          <w:szCs w:val="36"/>
          <w:i w:val="1"/>
          <w:iCs w:val="1"/>
          <w:color w:val="auto"/>
          <w:vertAlign w:val="subscript"/>
        </w:rPr>
        <w:t>Methane Julia Louise</w:t>
      </w:r>
      <w:r>
        <w:rPr>
          <w:rFonts w:ascii="Arial" w:cs="Arial" w:eastAsia="Arial" w:hAnsi="Arial"/>
          <w:sz w:val="18"/>
          <w:szCs w:val="18"/>
          <w:color w:val="auto"/>
        </w:rPr>
        <w:t xml:space="preserve"> </w:t>
      </w:r>
      <w:r>
        <w:rPr>
          <w:rFonts w:ascii="Arial" w:cs="Arial" w:eastAsia="Arial" w:hAnsi="Arial"/>
          <w:sz w:val="30"/>
          <w:szCs w:val="30"/>
          <w:color w:val="auto"/>
          <w:vertAlign w:val="superscript"/>
        </w:rPr>
        <w:t>(7)</w:t>
      </w:r>
      <w:r>
        <w:rPr>
          <w:sz w:val="20"/>
          <w:szCs w:val="20"/>
          <w:color w:val="auto"/>
        </w:rPr>
        <w:tab/>
      </w:r>
      <w:r>
        <w:rPr>
          <w:rFonts w:ascii="Arial" w:cs="Arial" w:eastAsia="Arial" w:hAnsi="Arial"/>
          <w:sz w:val="18"/>
          <w:szCs w:val="18"/>
          <w:color w:val="auto"/>
        </w:rPr>
        <w:t>2010</w:t>
      </w:r>
      <w:r>
        <w:rPr>
          <w:sz w:val="20"/>
          <w:szCs w:val="20"/>
          <w:color w:val="auto"/>
        </w:rPr>
        <w:tab/>
      </w:r>
      <w:r>
        <w:rPr>
          <w:rFonts w:ascii="Arial" w:cs="Arial" w:eastAsia="Arial" w:hAnsi="Arial"/>
          <w:sz w:val="18"/>
          <w:szCs w:val="18"/>
          <w:color w:val="auto"/>
        </w:rPr>
        <w:t>170,000</w:t>
      </w:r>
      <w:r>
        <w:rPr>
          <w:sz w:val="20"/>
          <w:szCs w:val="20"/>
          <w:color w:val="auto"/>
        </w:rPr>
        <w:tab/>
      </w:r>
      <w:r>
        <w:rPr>
          <w:rFonts w:ascii="Arial" w:cs="Arial" w:eastAsia="Arial" w:hAnsi="Arial"/>
          <w:sz w:val="36"/>
          <w:szCs w:val="36"/>
          <w:color w:val="auto"/>
          <w:vertAlign w:val="subscript"/>
        </w:rPr>
        <w:t xml:space="preserve">Shell </w:t>
      </w:r>
      <w:r>
        <w:rPr>
          <w:rFonts w:ascii="Arial" w:cs="Arial" w:eastAsia="Arial" w:hAnsi="Arial"/>
          <w:sz w:val="30"/>
          <w:szCs w:val="30"/>
          <w:color w:val="auto"/>
          <w:vertAlign w:val="superscript"/>
        </w:rPr>
        <w:t>(1)</w:t>
      </w:r>
      <w:r>
        <w:rPr>
          <w:sz w:val="20"/>
          <w:szCs w:val="20"/>
          <w:color w:val="auto"/>
        </w:rPr>
        <w:tab/>
      </w:r>
      <w:r>
        <w:rPr>
          <w:rFonts w:ascii="Arial" w:cs="Arial" w:eastAsia="Arial" w:hAnsi="Arial"/>
          <w:sz w:val="18"/>
          <w:szCs w:val="18"/>
          <w:color w:val="auto"/>
        </w:rPr>
        <w:t>TFDE</w:t>
      </w:r>
      <w:r>
        <w:rPr>
          <w:sz w:val="20"/>
          <w:szCs w:val="20"/>
          <w:color w:val="auto"/>
        </w:rPr>
        <w:tab/>
      </w:r>
      <w:r>
        <w:rPr>
          <w:rFonts w:ascii="Arial" w:cs="Arial" w:eastAsia="Arial" w:hAnsi="Arial"/>
          <w:sz w:val="18"/>
          <w:szCs w:val="18"/>
          <w:color w:val="auto"/>
        </w:rPr>
        <w:t>March 2026</w:t>
      </w:r>
      <w:r>
        <w:rPr>
          <w:sz w:val="20"/>
          <w:szCs w:val="20"/>
          <w:color w:val="auto"/>
        </w:rPr>
        <w:tab/>
      </w:r>
      <w:r>
        <w:rPr>
          <w:rFonts w:ascii="Arial" w:cs="Arial" w:eastAsia="Arial" w:hAnsi="Arial"/>
          <w:sz w:val="16"/>
          <w:szCs w:val="16"/>
          <w:color w:val="auto"/>
        </w:rPr>
        <w:t>2029-2031</w:t>
      </w:r>
    </w:p>
    <w:p>
      <w:pPr>
        <w:spacing w:after="0" w:line="180" w:lineRule="exact"/>
        <w:rPr>
          <w:sz w:val="20"/>
          <w:szCs w:val="20"/>
          <w:color w:val="auto"/>
        </w:rPr>
      </w:pPr>
    </w:p>
    <w:p>
      <w:pPr>
        <w:ind w:left="240" w:hanging="232"/>
        <w:spacing w:after="0"/>
        <w:tabs>
          <w:tab w:leader="none" w:pos="240" w:val="left"/>
        </w:tabs>
        <w:numPr>
          <w:ilvl w:val="0"/>
          <w:numId w:val="11"/>
        </w:numPr>
        <w:rPr>
          <w:rFonts w:ascii="Arial" w:cs="Arial" w:eastAsia="Arial" w:hAnsi="Arial"/>
          <w:sz w:val="12"/>
          <w:szCs w:val="12"/>
          <w:color w:val="auto"/>
        </w:rPr>
      </w:pPr>
      <w:r>
        <w:rPr>
          <w:rFonts w:ascii="Arial" w:cs="Arial" w:eastAsia="Arial" w:hAnsi="Arial"/>
          <w:sz w:val="14"/>
          <w:szCs w:val="14"/>
          <w:color w:val="auto"/>
        </w:rPr>
        <w:t>Vessels are chartered to MSL, a wholly owned subsidiary of BG Group, now owned by Shell.</w:t>
      </w:r>
    </w:p>
    <w:p>
      <w:pPr>
        <w:spacing w:after="0" w:line="13" w:lineRule="exact"/>
        <w:rPr>
          <w:rFonts w:ascii="Arial" w:cs="Arial" w:eastAsia="Arial" w:hAnsi="Arial"/>
          <w:sz w:val="12"/>
          <w:szCs w:val="12"/>
          <w:color w:val="auto"/>
        </w:rPr>
      </w:pPr>
    </w:p>
    <w:p>
      <w:pPr>
        <w:ind w:left="240" w:hanging="232"/>
        <w:spacing w:after="0"/>
        <w:tabs>
          <w:tab w:leader="none" w:pos="240" w:val="left"/>
        </w:tabs>
        <w:numPr>
          <w:ilvl w:val="0"/>
          <w:numId w:val="11"/>
        </w:numPr>
        <w:rPr>
          <w:rFonts w:ascii="Arial" w:cs="Arial" w:eastAsia="Arial" w:hAnsi="Arial"/>
          <w:sz w:val="12"/>
          <w:szCs w:val="12"/>
          <w:color w:val="auto"/>
        </w:rPr>
      </w:pPr>
      <w:r>
        <w:rPr>
          <w:rFonts w:ascii="Arial" w:cs="Arial" w:eastAsia="Arial" w:hAnsi="Arial"/>
          <w:sz w:val="14"/>
          <w:szCs w:val="14"/>
          <w:color w:val="auto"/>
        </w:rPr>
        <w:t>Indicates the expiration of the initial term.</w:t>
      </w:r>
    </w:p>
    <w:p>
      <w:pPr>
        <w:spacing w:after="0" w:line="1" w:lineRule="exact"/>
        <w:rPr>
          <w:rFonts w:ascii="Arial" w:cs="Arial" w:eastAsia="Arial" w:hAnsi="Arial"/>
          <w:sz w:val="12"/>
          <w:szCs w:val="12"/>
          <w:color w:val="auto"/>
        </w:rPr>
      </w:pPr>
    </w:p>
    <w:p>
      <w:pPr>
        <w:ind w:left="240" w:hanging="232"/>
        <w:spacing w:after="0" w:line="241" w:lineRule="auto"/>
        <w:tabs>
          <w:tab w:leader="none" w:pos="240" w:val="left"/>
        </w:tabs>
        <w:numPr>
          <w:ilvl w:val="0"/>
          <w:numId w:val="11"/>
        </w:numPr>
        <w:rPr>
          <w:rFonts w:ascii="Arial" w:cs="Arial" w:eastAsia="Arial" w:hAnsi="Arial"/>
          <w:sz w:val="11"/>
          <w:szCs w:val="11"/>
          <w:color w:val="auto"/>
        </w:rPr>
      </w:pPr>
      <w:r>
        <w:rPr>
          <w:rFonts w:ascii="Arial" w:cs="Arial" w:eastAsia="Arial" w:hAnsi="Arial"/>
          <w:sz w:val="13"/>
          <w:szCs w:val="13"/>
          <w:color w:val="auto"/>
        </w:rPr>
        <w:t xml:space="preserve">The period shown reflects the expiration of the minimum optional period and the maximum optional period. The charterer of the </w:t>
      </w:r>
      <w:r>
        <w:rPr>
          <w:rFonts w:ascii="Arial" w:cs="Arial" w:eastAsia="Arial" w:hAnsi="Arial"/>
          <w:sz w:val="13"/>
          <w:szCs w:val="13"/>
          <w:i w:val="1"/>
          <w:iCs w:val="1"/>
          <w:color w:val="auto"/>
        </w:rPr>
        <w:t>GasLog Savannah</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GasLog Singapore</w:t>
      </w:r>
      <w:r>
        <w:rPr>
          <w:rFonts w:ascii="Arial" w:cs="Arial" w:eastAsia="Arial" w:hAnsi="Arial"/>
          <w:sz w:val="13"/>
          <w:szCs w:val="13"/>
          <w:color w:val="auto"/>
        </w:rPr>
        <w:t xml:space="preserve"> has declared redelivery notices to GasLog in accordance with the relevant charter parties. The charterer of the </w:t>
      </w:r>
      <w:r>
        <w:rPr>
          <w:rFonts w:ascii="Arial" w:cs="Arial" w:eastAsia="Arial" w:hAnsi="Arial"/>
          <w:sz w:val="13"/>
          <w:szCs w:val="13"/>
          <w:i w:val="1"/>
          <w:iCs w:val="1"/>
          <w:color w:val="auto"/>
        </w:rPr>
        <w:t>GasLog Skagen</w:t>
      </w:r>
      <w:r>
        <w:rPr>
          <w:rFonts w:ascii="Arial" w:cs="Arial" w:eastAsia="Arial" w:hAnsi="Arial"/>
          <w:sz w:val="13"/>
          <w:szCs w:val="13"/>
          <w:color w:val="auto"/>
        </w:rPr>
        <w:t xml:space="preserve"> has unilateral options to extend the term of the charter for up to ten years, on a seasonal charter basis. The charterer of the </w:t>
      </w:r>
      <w:r>
        <w:rPr>
          <w:rFonts w:ascii="Arial" w:cs="Arial" w:eastAsia="Arial" w:hAnsi="Arial"/>
          <w:sz w:val="13"/>
          <w:szCs w:val="13"/>
          <w:i w:val="1"/>
          <w:iCs w:val="1"/>
          <w:color w:val="auto"/>
        </w:rPr>
        <w:t>GasLog Seattle</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Solaris</w:t>
      </w:r>
      <w:r>
        <w:rPr>
          <w:rFonts w:ascii="Arial" w:cs="Arial" w:eastAsia="Arial" w:hAnsi="Arial"/>
          <w:sz w:val="13"/>
          <w:szCs w:val="13"/>
          <w:color w:val="auto"/>
        </w:rPr>
        <w:t xml:space="preserve"> has unilateral options to extend the term of the time charter for periods ranging from 5 to 10 years, provided that the charterer provides us with advance notice of declaration of any option in accordance with the terms of the applicable charter. The charterer of the </w:t>
      </w:r>
      <w:r>
        <w:rPr>
          <w:rFonts w:ascii="Arial" w:cs="Arial" w:eastAsia="Arial" w:hAnsi="Arial"/>
          <w:sz w:val="13"/>
          <w:szCs w:val="13"/>
          <w:i w:val="1"/>
          <w:iCs w:val="1"/>
          <w:color w:val="auto"/>
        </w:rPr>
        <w:t>Methane Lydon Volney</w:t>
      </w:r>
      <w:r>
        <w:rPr>
          <w:rFonts w:ascii="Arial" w:cs="Arial" w:eastAsia="Arial" w:hAnsi="Arial"/>
          <w:sz w:val="13"/>
          <w:szCs w:val="13"/>
          <w:color w:val="auto"/>
        </w:rPr>
        <w:t xml:space="preserve"> has a unilateral option to extend the term for a period of either three or five years at its election. In addition, the charterer of the </w:t>
      </w:r>
      <w:r>
        <w:rPr>
          <w:rFonts w:ascii="Arial" w:cs="Arial" w:eastAsia="Arial" w:hAnsi="Arial"/>
          <w:sz w:val="13"/>
          <w:szCs w:val="13"/>
          <w:i w:val="1"/>
          <w:iCs w:val="1"/>
          <w:color w:val="auto"/>
        </w:rPr>
        <w:t>Methane Shirley Elisabeth</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Heather Sally</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Methane Alison Victoria</w:t>
      </w:r>
      <w:r>
        <w:rPr>
          <w:rFonts w:ascii="Arial" w:cs="Arial" w:eastAsia="Arial" w:hAnsi="Arial"/>
          <w:sz w:val="13"/>
          <w:szCs w:val="13"/>
          <w:color w:val="auto"/>
        </w:rPr>
        <w:t xml:space="preserve"> has a unilateral option to extend the term of two of the related time charters for a period of either three or five years at its election. The charter of the </w:t>
      </w:r>
      <w:r>
        <w:rPr>
          <w:rFonts w:ascii="Arial" w:cs="Arial" w:eastAsia="Arial" w:hAnsi="Arial"/>
          <w:sz w:val="13"/>
          <w:szCs w:val="13"/>
          <w:i w:val="1"/>
          <w:iCs w:val="1"/>
          <w:color w:val="auto"/>
        </w:rPr>
        <w:t>GasLog Shanghai</w:t>
      </w:r>
      <w:r>
        <w:rPr>
          <w:rFonts w:ascii="Arial" w:cs="Arial" w:eastAsia="Arial" w:hAnsi="Arial"/>
          <w:sz w:val="13"/>
          <w:szCs w:val="13"/>
          <w:color w:val="auto"/>
        </w:rPr>
        <w:t xml:space="preserve">, </w:t>
      </w:r>
      <w:r>
        <w:rPr>
          <w:rFonts w:ascii="Arial" w:cs="Arial" w:eastAsia="Arial" w:hAnsi="Arial"/>
          <w:sz w:val="13"/>
          <w:szCs w:val="13"/>
          <w:i w:val="1"/>
          <w:iCs w:val="1"/>
          <w:color w:val="auto"/>
        </w:rPr>
        <w:t>GasLog Santiago</w:t>
      </w:r>
      <w:r>
        <w:rPr>
          <w:rFonts w:ascii="Arial" w:cs="Arial" w:eastAsia="Arial" w:hAnsi="Arial"/>
          <w:sz w:val="13"/>
          <w:szCs w:val="13"/>
          <w:color w:val="auto"/>
        </w:rPr>
        <w:t xml:space="preserve"> and </w:t>
      </w:r>
      <w:r>
        <w:rPr>
          <w:rFonts w:ascii="Arial" w:cs="Arial" w:eastAsia="Arial" w:hAnsi="Arial"/>
          <w:sz w:val="13"/>
          <w:szCs w:val="13"/>
          <w:i w:val="1"/>
          <w:iCs w:val="1"/>
          <w:color w:val="auto"/>
        </w:rPr>
        <w:t xml:space="preserve">GasLog Sydney </w:t>
      </w:r>
      <w:r>
        <w:rPr>
          <w:rFonts w:ascii="Arial" w:cs="Arial" w:eastAsia="Arial" w:hAnsi="Arial"/>
          <w:sz w:val="13"/>
          <w:szCs w:val="13"/>
          <w:color w:val="auto"/>
        </w:rPr>
        <w:t>may be extended for up to two extension periods of three or four years at the charterer’s option, and each charter requires that the charterer provide us with 90 days’ notice before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the charter expiration and 18 months’ notice of its exercise of any extension option. The charterer of the </w:t>
      </w:r>
      <w:r>
        <w:rPr>
          <w:rFonts w:ascii="Arial" w:cs="Arial" w:eastAsia="Arial" w:hAnsi="Arial"/>
          <w:sz w:val="13"/>
          <w:szCs w:val="13"/>
          <w:i w:val="1"/>
          <w:iCs w:val="1"/>
          <w:color w:val="auto"/>
        </w:rPr>
        <w:t>Methane Rita Andrea</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Methane Jane Elizabeth</w:t>
      </w:r>
      <w:r>
        <w:rPr>
          <w:rFonts w:ascii="Arial" w:cs="Arial" w:eastAsia="Arial" w:hAnsi="Arial"/>
          <w:sz w:val="13"/>
          <w:szCs w:val="13"/>
          <w:color w:val="auto"/>
        </w:rPr>
        <w:t xml:space="preserve"> may extend either or both of these charters for one extension period of three or five years, and each charter requires that the charterer provide us with advance notice of its exercise of any extension option. The charterer of the </w:t>
      </w:r>
      <w:r>
        <w:rPr>
          <w:rFonts w:ascii="Arial" w:cs="Arial" w:eastAsia="Arial" w:hAnsi="Arial"/>
          <w:sz w:val="13"/>
          <w:szCs w:val="13"/>
          <w:i w:val="1"/>
          <w:iCs w:val="1"/>
          <w:color w:val="auto"/>
        </w:rPr>
        <w:t xml:space="preserve">Methane Becki Anne </w:t>
      </w:r>
      <w:r>
        <w:rPr>
          <w:rFonts w:ascii="Arial" w:cs="Arial" w:eastAsia="Arial" w:hAnsi="Arial"/>
          <w:sz w:val="13"/>
          <w:szCs w:val="13"/>
          <w:color w:val="auto"/>
        </w:rPr>
        <w:t>and the</w:t>
      </w:r>
      <w:r>
        <w:rPr>
          <w:rFonts w:ascii="Arial" w:cs="Arial" w:eastAsia="Arial" w:hAnsi="Arial"/>
          <w:sz w:val="13"/>
          <w:szCs w:val="13"/>
          <w:i w:val="1"/>
          <w:iCs w:val="1"/>
          <w:color w:val="auto"/>
        </w:rPr>
        <w:t xml:space="preserve"> Methane Julia Louise </w:t>
      </w:r>
      <w:r>
        <w:rPr>
          <w:rFonts w:ascii="Arial" w:cs="Arial" w:eastAsia="Arial" w:hAnsi="Arial"/>
          <w:sz w:val="13"/>
          <w:szCs w:val="13"/>
          <w:color w:val="auto"/>
        </w:rPr>
        <w:t>has a unilateral option to extend the term of the time charters for a period of either three or five years at its election. The charterer of the</w:t>
      </w:r>
      <w:r>
        <w:rPr>
          <w:rFonts w:ascii="Arial" w:cs="Arial" w:eastAsia="Arial" w:hAnsi="Arial"/>
          <w:sz w:val="13"/>
          <w:szCs w:val="13"/>
          <w:i w:val="1"/>
          <w:iCs w:val="1"/>
          <w:color w:val="auto"/>
        </w:rPr>
        <w:t xml:space="preserve"> GasLog Greece </w:t>
      </w:r>
      <w:r>
        <w:rPr>
          <w:rFonts w:ascii="Arial" w:cs="Arial" w:eastAsia="Arial" w:hAnsi="Arial"/>
          <w:sz w:val="13"/>
          <w:szCs w:val="13"/>
          <w:color w:val="auto"/>
        </w:rPr>
        <w:t>and the</w:t>
      </w:r>
      <w:r>
        <w:rPr>
          <w:rFonts w:ascii="Arial" w:cs="Arial" w:eastAsia="Arial" w:hAnsi="Arial"/>
          <w:sz w:val="13"/>
          <w:szCs w:val="13"/>
          <w:i w:val="1"/>
          <w:iCs w:val="1"/>
          <w:color w:val="auto"/>
        </w:rPr>
        <w:t xml:space="preserve"> GasLog Glasgow </w:t>
      </w:r>
      <w:r>
        <w:rPr>
          <w:rFonts w:ascii="Arial" w:cs="Arial" w:eastAsia="Arial" w:hAnsi="Arial"/>
          <w:sz w:val="13"/>
          <w:szCs w:val="13"/>
          <w:color w:val="auto"/>
        </w:rPr>
        <w:t>has the right to extend the charters for a period of five years at the charterer’s option.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0" w:right="259" w:bottom="1440" w:gutter="0" w:footer="0" w:header="0"/>
        </w:sectPr>
      </w:pPr>
    </w:p>
    <w:bookmarkStart w:id="19" w:name="page20"/>
    <w:bookmarkEnd w:id="19"/>
    <w:p>
      <w:pPr>
        <w:ind w:left="240" w:right="160" w:hanging="232"/>
        <w:spacing w:after="0" w:line="230" w:lineRule="auto"/>
        <w:tabs>
          <w:tab w:leader="none" w:pos="240" w:val="left"/>
        </w:tabs>
        <w:numPr>
          <w:ilvl w:val="0"/>
          <w:numId w:val="12"/>
        </w:numPr>
        <w:rPr>
          <w:rFonts w:ascii="Arial" w:cs="Arial" w:eastAsia="Arial" w:hAnsi="Arial"/>
          <w:sz w:val="12"/>
          <w:szCs w:val="12"/>
          <w:color w:val="auto"/>
        </w:rPr>
      </w:pPr>
      <w:r>
        <w:rPr>
          <w:rFonts w:ascii="Arial" w:cs="Arial" w:eastAsia="Arial" w:hAnsi="Arial"/>
          <w:sz w:val="14"/>
          <w:szCs w:val="14"/>
          <w:color w:val="auto"/>
        </w:rPr>
        <w:t>Time charter provides for full employment for three years and a subsequent five year seasonal charter under which the ship is employed for seven months and available to accept other charters for five months.</w:t>
      </w:r>
    </w:p>
    <w:p>
      <w:pPr>
        <w:ind w:left="240" w:hanging="232"/>
        <w:spacing w:after="0"/>
        <w:tabs>
          <w:tab w:leader="none" w:pos="240" w:val="left"/>
        </w:tabs>
        <w:numPr>
          <w:ilvl w:val="0"/>
          <w:numId w:val="12"/>
        </w:numPr>
        <w:rPr>
          <w:rFonts w:ascii="Arial" w:cs="Arial" w:eastAsia="Arial" w:hAnsi="Arial"/>
          <w:sz w:val="12"/>
          <w:szCs w:val="12"/>
          <w:color w:val="auto"/>
        </w:rPr>
      </w:pPr>
      <w:r>
        <w:rPr>
          <w:rFonts w:ascii="Arial" w:cs="Arial" w:eastAsia="Arial" w:hAnsi="Arial"/>
          <w:sz w:val="14"/>
          <w:szCs w:val="14"/>
          <w:color w:val="auto"/>
        </w:rPr>
        <w:t>Vessels operating in the spot market that have been contributed to the Cool Pool.</w:t>
      </w:r>
    </w:p>
    <w:p>
      <w:pPr>
        <w:spacing w:after="0" w:line="1" w:lineRule="exact"/>
        <w:rPr>
          <w:rFonts w:ascii="Arial" w:cs="Arial" w:eastAsia="Arial" w:hAnsi="Arial"/>
          <w:sz w:val="12"/>
          <w:szCs w:val="12"/>
          <w:color w:val="auto"/>
        </w:rPr>
      </w:pPr>
    </w:p>
    <w:p>
      <w:pPr>
        <w:ind w:left="240" w:right="320" w:hanging="232"/>
        <w:spacing w:after="0" w:line="238" w:lineRule="auto"/>
        <w:tabs>
          <w:tab w:leader="none" w:pos="240" w:val="left"/>
        </w:tabs>
        <w:numPr>
          <w:ilvl w:val="0"/>
          <w:numId w:val="12"/>
        </w:numPr>
        <w:rPr>
          <w:rFonts w:ascii="Arial" w:cs="Arial" w:eastAsia="Arial" w:hAnsi="Arial"/>
          <w:sz w:val="11"/>
          <w:szCs w:val="11"/>
          <w:color w:val="auto"/>
        </w:rPr>
      </w:pPr>
      <w:r>
        <w:rPr>
          <w:rFonts w:ascii="Arial" w:cs="Arial" w:eastAsia="Arial" w:hAnsi="Arial"/>
          <w:sz w:val="13"/>
          <w:szCs w:val="13"/>
          <w:color w:val="auto"/>
        </w:rPr>
        <w:t xml:space="preserve">Charter expiration was amended based on the agreement signed with MSL on April 21, 2015. With respect to the </w:t>
      </w:r>
      <w:r>
        <w:rPr>
          <w:rFonts w:ascii="Arial" w:cs="Arial" w:eastAsia="Arial" w:hAnsi="Arial"/>
          <w:sz w:val="13"/>
          <w:szCs w:val="13"/>
          <w:i w:val="1"/>
          <w:iCs w:val="1"/>
          <w:color w:val="auto"/>
        </w:rPr>
        <w:t>GasLog Sydney</w:t>
      </w:r>
      <w:r>
        <w:rPr>
          <w:rFonts w:ascii="Arial" w:cs="Arial" w:eastAsia="Arial" w:hAnsi="Arial"/>
          <w:sz w:val="13"/>
          <w:szCs w:val="13"/>
          <w:color w:val="auto"/>
        </w:rPr>
        <w:t xml:space="preserve">, whose charter was shortened by eight months under such agreement, if MSL does not exercise the charter extension options for the </w:t>
      </w:r>
      <w:r>
        <w:rPr>
          <w:rFonts w:ascii="Arial" w:cs="Arial" w:eastAsia="Arial" w:hAnsi="Arial"/>
          <w:sz w:val="13"/>
          <w:szCs w:val="13"/>
          <w:i w:val="1"/>
          <w:iCs w:val="1"/>
          <w:color w:val="auto"/>
        </w:rPr>
        <w:t>GasLog Sydney</w:t>
      </w:r>
      <w:r>
        <w:rPr>
          <w:rFonts w:ascii="Arial" w:cs="Arial" w:eastAsia="Arial" w:hAnsi="Arial"/>
          <w:sz w:val="13"/>
          <w:szCs w:val="13"/>
          <w:color w:val="auto"/>
        </w:rPr>
        <w:t xml:space="preserve">, and GasLog Partners does not enter into a third-party charter for the </w:t>
      </w:r>
      <w:r>
        <w:rPr>
          <w:rFonts w:ascii="Arial" w:cs="Arial" w:eastAsia="Arial" w:hAnsi="Arial"/>
          <w:sz w:val="13"/>
          <w:szCs w:val="13"/>
          <w:i w:val="1"/>
          <w:iCs w:val="1"/>
          <w:color w:val="auto"/>
        </w:rPr>
        <w:t>GasLog Sydney</w:t>
      </w:r>
      <w:r>
        <w:rPr>
          <w:rFonts w:ascii="Arial" w:cs="Arial" w:eastAsia="Arial" w:hAnsi="Arial"/>
          <w:sz w:val="13"/>
          <w:szCs w:val="13"/>
          <w:color w:val="auto"/>
        </w:rPr>
        <w:t>, GasLog and GasLog Partners intend to enter into a bareboat or time charter arrangement that is designed to guarantee the total cash distribution from the vessel for any period of charter shortening.</w:t>
      </w:r>
    </w:p>
    <w:p>
      <w:pPr>
        <w:ind w:left="240" w:right="20" w:hanging="232"/>
        <w:spacing w:after="0" w:line="229" w:lineRule="auto"/>
        <w:tabs>
          <w:tab w:leader="none" w:pos="240" w:val="left"/>
        </w:tabs>
        <w:numPr>
          <w:ilvl w:val="0"/>
          <w:numId w:val="12"/>
        </w:numPr>
        <w:rPr>
          <w:rFonts w:ascii="Arial" w:cs="Arial" w:eastAsia="Arial" w:hAnsi="Arial"/>
          <w:sz w:val="12"/>
          <w:szCs w:val="12"/>
          <w:color w:val="auto"/>
        </w:rPr>
      </w:pPr>
      <w:r>
        <w:rPr>
          <w:rFonts w:ascii="Arial" w:cs="Arial" w:eastAsia="Arial" w:hAnsi="Arial"/>
          <w:sz w:val="14"/>
          <w:szCs w:val="14"/>
          <w:color w:val="auto"/>
        </w:rPr>
        <w:t xml:space="preserve">On February 24, 2016, GasLog’s subsidiary, GAS-twenty six Ltd., completed the sale and leaseback of the </w:t>
      </w:r>
      <w:r>
        <w:rPr>
          <w:rFonts w:ascii="Arial" w:cs="Arial" w:eastAsia="Arial" w:hAnsi="Arial"/>
          <w:sz w:val="14"/>
          <w:szCs w:val="14"/>
          <w:i w:val="1"/>
          <w:iCs w:val="1"/>
          <w:color w:val="auto"/>
        </w:rPr>
        <w:t>Methane Julia Louise</w:t>
      </w:r>
      <w:r>
        <w:rPr>
          <w:rFonts w:ascii="Arial" w:cs="Arial" w:eastAsia="Arial" w:hAnsi="Arial"/>
          <w:sz w:val="14"/>
          <w:szCs w:val="14"/>
          <w:color w:val="auto"/>
        </w:rPr>
        <w:t xml:space="preserve"> with a subsidiary of Mitsui. Mitsui has the right to on-sell and lease back the vessel. The vessel was sold to Mitsui for a cash consideration of $217.0 million. GasLog has leased back the vessel under a bareboat charter from Mitsui for a period of up to 20 years, having a payment holiday for the first 210 days. GasLog has the option to re-purchase the vessel on pre-agreed terms no earlier than the end of year ten and no later than the end of year 17 of the bareboat charter. The vessel remains on its eleven year charter with MSL.</w:t>
      </w:r>
    </w:p>
    <w:p>
      <w:pPr>
        <w:spacing w:after="0" w:line="121" w:lineRule="exact"/>
        <w:rPr>
          <w:sz w:val="20"/>
          <w:szCs w:val="20"/>
          <w:color w:val="auto"/>
        </w:rPr>
      </w:pPr>
    </w:p>
    <w:p>
      <w:pPr>
        <w:ind w:right="80" w:firstLine="383"/>
        <w:spacing w:after="0" w:line="255" w:lineRule="auto"/>
        <w:rPr>
          <w:sz w:val="20"/>
          <w:szCs w:val="20"/>
          <w:color w:val="auto"/>
        </w:rPr>
      </w:pPr>
      <w:r>
        <w:rPr>
          <w:rFonts w:ascii="Arial" w:cs="Arial" w:eastAsia="Arial" w:hAnsi="Arial"/>
          <w:sz w:val="18"/>
          <w:szCs w:val="18"/>
          <w:color w:val="auto"/>
        </w:rPr>
        <w:t xml:space="preserve">Under the omnibus agreement entered into with GasLog Partners and certain of its subsidiaries in connection with the Partnership’s initial public offering, GasLog Partners has the option to purchase from us: (i)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Glasgow</w:t>
      </w:r>
      <w:r>
        <w:rPr>
          <w:rFonts w:ascii="Arial" w:cs="Arial" w:eastAsia="Arial" w:hAnsi="Arial"/>
          <w:sz w:val="18"/>
          <w:szCs w:val="18"/>
          <w:color w:val="auto"/>
        </w:rPr>
        <w:t xml:space="preserve"> and Hull Nos. 2102 and 2103 within 36 months after we notify the Partnership’s board of directors of the vessel’s acceptance by its charterer, (ii)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Lydon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Volney </w:t>
      </w:r>
      <w:r>
        <w:rPr>
          <w:rFonts w:ascii="Arial" w:cs="Arial" w:eastAsia="Arial" w:hAnsi="Arial"/>
          <w:sz w:val="18"/>
          <w:szCs w:val="18"/>
          <w:color w:val="auto"/>
        </w:rPr>
        <w:t>within 36 months after the closing of GasLog Partners’ initial public offering on May 12, 2014 and (iii) the</w:t>
      </w:r>
      <w:r>
        <w:rPr>
          <w:rFonts w:ascii="Arial" w:cs="Arial" w:eastAsia="Arial" w:hAnsi="Arial"/>
          <w:sz w:val="18"/>
          <w:szCs w:val="18"/>
          <w:i w:val="1"/>
          <w:iCs w:val="1"/>
          <w:color w:val="auto"/>
        </w:rPr>
        <w:t xml:space="preserve"> Methane Becki Anne </w:t>
      </w:r>
      <w:r>
        <w:rPr>
          <w:rFonts w:ascii="Arial" w:cs="Arial" w:eastAsia="Arial" w:hAnsi="Arial"/>
          <w:sz w:val="18"/>
          <w:szCs w:val="18"/>
          <w:color w:val="auto"/>
        </w:rPr>
        <w:t>and the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acquire GAS-twenty six Ltd. with its long-term bareboat charter of (and the right to acquire)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(which is subject to a multi-year charter to MSL) within 36 months after the completion of its acquisition by GasLog on March 31, 2015. In each case, GasLog Partners’ option to purchase is at fair market value as determined pursuant to the omnibus agreement.</w:t>
      </w:r>
    </w:p>
    <w:p>
      <w:pPr>
        <w:spacing w:after="0" w:line="189" w:lineRule="exact"/>
        <w:rPr>
          <w:sz w:val="20"/>
          <w:szCs w:val="20"/>
          <w:color w:val="auto"/>
        </w:rPr>
      </w:pPr>
    </w:p>
    <w:p>
      <w:pPr>
        <w:ind w:right="60" w:firstLine="356"/>
        <w:spacing w:after="0" w:line="255" w:lineRule="auto"/>
        <w:rPr>
          <w:sz w:val="20"/>
          <w:szCs w:val="20"/>
          <w:color w:val="auto"/>
        </w:rPr>
      </w:pPr>
      <w:r>
        <w:rPr>
          <w:rFonts w:ascii="Arial" w:cs="Arial" w:eastAsia="Arial" w:hAnsi="Arial"/>
          <w:sz w:val="18"/>
          <w:szCs w:val="18"/>
          <w:color w:val="auto"/>
        </w:rPr>
        <w:t>GasLog Partners also has a right of first offer from us to purchase any other LNG carriers with cargo capacities greater than 75,000 cbm engaged in ongoing LNG transportation under charters of five full years or more that we own or acquire (the “Five Year Vessels”) either at their acquisition cost plus certain break up costs (in the case of a newly acquired Five Year Vessel) or at their fair market value (in the case of a previously owned vessel that becomes a Five Year Vessel). The remaining four newbuildings (Hull Nos. 2130, 2131, 2800 and 2801) will each qualify as a Five Year Vessel upon commencement of their charters, and we will be required to offer to GasLog Partners an opportunity to purchase each vessel at fair market value within 30 days of the commencement of its charter. Generally, GasLog Partners must exercise this right of first offer within 30 days following the notice from us that the vessel has been acquired or has become a Five Year Vessel.</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60" w:type="dxa"/>
            <w:vAlign w:val="bottom"/>
          </w:tcPr>
          <w:p>
            <w:pPr>
              <w:spacing w:after="0"/>
              <w:rPr>
                <w:sz w:val="20"/>
                <w:szCs w:val="20"/>
                <w:color w:val="auto"/>
              </w:rPr>
            </w:pPr>
            <w:r>
              <w:rPr>
                <w:rFonts w:ascii="Arial" w:cs="Arial" w:eastAsia="Arial" w:hAnsi="Arial"/>
                <w:sz w:val="18"/>
                <w:szCs w:val="18"/>
                <w:b w:val="1"/>
                <w:bCs w:val="1"/>
                <w:i w:val="1"/>
                <w:iCs w:val="1"/>
                <w:color w:val="auto"/>
                <w:w w:val="98"/>
              </w:rPr>
              <w:t>Three-month period ended June 30, 2015 compared to the three-month period ended June 30, 2016</w:t>
            </w: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360" w:type="dxa"/>
            <w:vAlign w:val="bottom"/>
          </w:tcPr>
          <w:p>
            <w:pPr>
              <w:spacing w:after="0"/>
              <w:rPr>
                <w:sz w:val="24"/>
                <w:szCs w:val="24"/>
                <w:color w:val="auto"/>
              </w:rPr>
            </w:pPr>
          </w:p>
        </w:tc>
        <w:tc>
          <w:tcPr>
            <w:tcW w:w="306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17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June 30,</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34"/>
        </w:trPr>
        <w:tc>
          <w:tcPr>
            <w:tcW w:w="8360" w:type="dxa"/>
            <w:vAlign w:val="bottom"/>
            <w:tcBorders>
              <w:bottom w:val="single" w:sz="8" w:color="E5FFFF"/>
            </w:tcBorders>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440" w:type="dxa"/>
            <w:vAlign w:val="bottom"/>
            <w:tcBorders>
              <w:bottom w:val="single" w:sz="8" w:color="E5FFFF"/>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360" w:type="dxa"/>
            <w:vAlign w:val="bottom"/>
            <w:shd w:val="clear" w:color="auto" w:fill="E5FFFF"/>
          </w:tcPr>
          <w:p>
            <w:pPr>
              <w:spacing w:after="0"/>
              <w:rPr>
                <w:sz w:val="20"/>
                <w:szCs w:val="20"/>
                <w:color w:val="auto"/>
              </w:rPr>
            </w:pPr>
            <w:r>
              <w:rPr>
                <w:rFonts w:ascii="Arial" w:cs="Arial" w:eastAsia="Arial" w:hAnsi="Arial"/>
                <w:sz w:val="18"/>
                <w:szCs w:val="18"/>
                <w:b w:val="1"/>
                <w:bCs w:val="1"/>
                <w:i w:val="1"/>
                <w:iCs w:val="1"/>
                <w:color w:val="auto"/>
              </w:rPr>
              <w:t>Amounts in thousands of U.S. Dollars</w:t>
            </w:r>
          </w:p>
        </w:tc>
        <w:tc>
          <w:tcPr>
            <w:tcW w:w="126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Revenues</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104,440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114,474</w:t>
            </w:r>
          </w:p>
        </w:tc>
        <w:tc>
          <w:tcPr>
            <w:tcW w:w="0" w:type="dxa"/>
            <w:vAlign w:val="bottom"/>
          </w:tcPr>
          <w:p>
            <w:pPr>
              <w:spacing w:after="0"/>
              <w:rPr>
                <w:sz w:val="1"/>
                <w:szCs w:val="1"/>
                <w:color w:val="auto"/>
              </w:rPr>
            </w:pP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Vessel operating and supervision costs</w:t>
            </w:r>
          </w:p>
        </w:tc>
        <w:tc>
          <w:tcPr>
            <w:tcW w:w="17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(26,521)</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(27,964)</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Voyage expenses and commissions</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(3,426)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(3,256)</w:t>
            </w:r>
          </w:p>
        </w:tc>
        <w:tc>
          <w:tcPr>
            <w:tcW w:w="0" w:type="dxa"/>
            <w:vAlign w:val="bottom"/>
          </w:tcPr>
          <w:p>
            <w:pPr>
              <w:spacing w:after="0"/>
              <w:rPr>
                <w:sz w:val="1"/>
                <w:szCs w:val="1"/>
                <w:color w:val="auto"/>
              </w:rPr>
            </w:pP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Depreciation of fixed assets</w:t>
            </w:r>
          </w:p>
        </w:tc>
        <w:tc>
          <w:tcPr>
            <w:tcW w:w="17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(27,274)</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(29,484)</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(8,339)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(10,355)</w:t>
            </w:r>
          </w:p>
        </w:tc>
        <w:tc>
          <w:tcPr>
            <w:tcW w:w="0" w:type="dxa"/>
            <w:vAlign w:val="bottom"/>
          </w:tcPr>
          <w:p>
            <w:pPr>
              <w:spacing w:after="0"/>
              <w:rPr>
                <w:sz w:val="1"/>
                <w:szCs w:val="1"/>
                <w:color w:val="auto"/>
              </w:rPr>
            </w:pPr>
          </w:p>
        </w:tc>
      </w:tr>
      <w:tr>
        <w:trPr>
          <w:trHeight w:val="210"/>
        </w:trPr>
        <w:tc>
          <w:tcPr>
            <w:tcW w:w="83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Profit from operations</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38,880</w:t>
            </w:r>
          </w:p>
        </w:tc>
        <w:tc>
          <w:tcPr>
            <w:tcW w:w="44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43,415</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color w:val="auto"/>
              </w:rPr>
              <w:t>Financial costs</w:t>
            </w:r>
          </w:p>
        </w:tc>
        <w:tc>
          <w:tcPr>
            <w:tcW w:w="1260" w:type="dxa"/>
            <w:vAlign w:val="bottom"/>
          </w:tcPr>
          <w:p>
            <w:pPr>
              <w:jc w:val="right"/>
              <w:spacing w:after="0"/>
              <w:rPr>
                <w:sz w:val="20"/>
                <w:szCs w:val="20"/>
                <w:color w:val="auto"/>
              </w:rPr>
            </w:pPr>
            <w:r>
              <w:rPr>
                <w:rFonts w:ascii="Arial" w:cs="Arial" w:eastAsia="Arial" w:hAnsi="Arial"/>
                <w:sz w:val="18"/>
                <w:szCs w:val="18"/>
                <w:color w:val="auto"/>
              </w:rPr>
              <w:t>(24,246)</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(31,483)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Financial income</w:t>
            </w: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86</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Gain/(loss) on swaps</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1,638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(9,039)</w:t>
            </w:r>
          </w:p>
        </w:tc>
        <w:tc>
          <w:tcPr>
            <w:tcW w:w="0" w:type="dxa"/>
            <w:vAlign w:val="bottom"/>
          </w:tcPr>
          <w:p>
            <w:pPr>
              <w:spacing w:after="0"/>
              <w:rPr>
                <w:sz w:val="1"/>
                <w:szCs w:val="1"/>
                <w:color w:val="auto"/>
              </w:rPr>
            </w:pPr>
          </w:p>
        </w:tc>
      </w:tr>
      <w:tr>
        <w:trPr>
          <w:trHeight w:val="230"/>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Share of profit of associate</w:t>
            </w: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343</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0"/>
        </w:trPr>
        <w:tc>
          <w:tcPr>
            <w:tcW w:w="83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other expenses, net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(22,179</w:t>
            </w:r>
          </w:p>
        </w:tc>
        <w:tc>
          <w:tcPr>
            <w:tcW w:w="440" w:type="dxa"/>
            <w:vAlign w:val="bottom"/>
            <w:tcBorders>
              <w:bottom w:val="single" w:sz="8" w:color="E5FFFF"/>
            </w:tcBorders>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(40,069</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Profit for the period</w:t>
            </w: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16,701</w:t>
            </w:r>
          </w:p>
        </w:tc>
        <w:tc>
          <w:tcPr>
            <w:tcW w:w="440" w:type="dxa"/>
            <w:vAlign w:val="bottom"/>
            <w:tcBorders>
              <w:bottom w:val="single" w:sz="8" w:color="E5FFFF"/>
            </w:tcBorders>
            <w:shd w:val="clear" w:color="auto" w:fill="E5FFFF"/>
          </w:tcPr>
          <w:p>
            <w:pPr>
              <w:spacing w:after="0"/>
              <w:rPr>
                <w:sz w:val="19"/>
                <w:szCs w:val="19"/>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3,346</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Non-controlling interest</w:t>
            </w: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vMerge w:val="restart"/>
          </w:tcPr>
          <w:p>
            <w:pPr>
              <w:jc w:val="right"/>
              <w:ind w:right="300"/>
              <w:spacing w:after="0"/>
              <w:rPr>
                <w:sz w:val="20"/>
                <w:szCs w:val="20"/>
                <w:color w:val="auto"/>
              </w:rPr>
            </w:pPr>
            <w:r>
              <w:rPr>
                <w:rFonts w:ascii="Arial" w:cs="Arial" w:eastAsia="Arial" w:hAnsi="Arial"/>
                <w:sz w:val="16"/>
                <w:szCs w:val="16"/>
                <w:color w:val="auto"/>
                <w:w w:val="74"/>
              </w:rPr>
              <w:t>)</w:t>
            </w: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8360" w:type="dxa"/>
            <w:vAlign w:val="bottom"/>
            <w:tcBorders>
              <w:bottom w:val="single" w:sz="8" w:color="E5FFFF"/>
            </w:tcBorders>
            <w:vMerge w:val="continue"/>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(8,461</w:t>
            </w:r>
          </w:p>
        </w:tc>
        <w:tc>
          <w:tcPr>
            <w:tcW w:w="440" w:type="dxa"/>
            <w:vAlign w:val="bottom"/>
            <w:tcBorders>
              <w:bottom w:val="single" w:sz="8" w:color="E5FFFF"/>
            </w:tcBorders>
            <w:vMerge w:val="continue"/>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(11,210</w:t>
            </w:r>
          </w:p>
        </w:tc>
        <w:tc>
          <w:tcPr>
            <w:tcW w:w="100" w:type="dxa"/>
            <w:vAlign w:val="bottom"/>
            <w:tcBorders>
              <w:bottom w:val="single" w:sz="8" w:color="E5FF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3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Profit/(loss) attributable to owners of the Group</w:t>
            </w: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8,240</w:t>
            </w:r>
          </w:p>
        </w:tc>
        <w:tc>
          <w:tcPr>
            <w:tcW w:w="440" w:type="dxa"/>
            <w:vAlign w:val="bottom"/>
            <w:tcBorders>
              <w:bottom w:val="single" w:sz="8" w:color="E5FFFF"/>
            </w:tcBorders>
            <w:shd w:val="clear" w:color="auto" w:fill="E5FFFF"/>
          </w:tcPr>
          <w:p>
            <w:pPr>
              <w:spacing w:after="0"/>
              <w:rPr>
                <w:sz w:val="19"/>
                <w:szCs w:val="19"/>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(7,864</w:t>
            </w:r>
          </w:p>
        </w:tc>
        <w:tc>
          <w:tcPr>
            <w:tcW w:w="100" w:type="dxa"/>
            <w:vAlign w:val="bottom"/>
            <w:tcBorders>
              <w:bottom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During the three-month period ended June 30, 2015, we had an average of 18.7 ships operating in our owned fleet (including ships owned by the Partnership), having 1,464 operating days and an average of 21.7 ships operating under our technical management (including our 17.7 owned ships). During the three-month period ended June 30, 2016, we had an average of 20.0 ships operating in our owned and bareboat fleet (including ships owned by the Partnership), having 1,793 operating days and an average of 23.0 ships operating under our technical management (including our 19.0 owned and bareboat ships).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 xml:space="preserve">Revenues increased by 9.60%, or $10.03 million, from $104.44 million during the three-month period ended June 30, 2015, to $114.47 million during the three-month period ended June 30, 2016. The increase is attributable to an increase in revenues by $7.65 million due to the delivery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on March 29, 2016, resulting in an increase in operating days, an increase of $4.93 million caused mainly by the lower off-hire days due to drydocking of one of our vessels in the second quarter of 2016 as opposed to four vessels for the same period in 2015, as well as an increase of $1.36 million in revenues of three vessels operating in the spot market and this increase was partially offset by a decrease of $3.79 million from all other vessels. The daily hire rate for the three-month period ended June 30, 2015 was $70,976 as compared to $63,613 for the three-month period ended June 30, 2016 affected by the decrease in the spot market. Furthermore, there was a decrease of $0.12 million in revenues from technical management services mainly due to the decrease in the number of the managed vessels owned by third parties following the acquisition of two vessels from BG Group and the completion of a project with another customer.</w:t>
      </w:r>
    </w:p>
    <w:p>
      <w:pPr>
        <w:sectPr>
          <w:pgSz w:w="11900" w:h="16838" w:orient="portrait"/>
          <w:cols w:equalWidth="0" w:num="1">
            <w:col w:w="11420"/>
          </w:cols>
          <w:pgMar w:left="240" w:top="404" w:right="239"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Vessel Operating and Supervision Costs:</w:t>
      </w:r>
    </w:p>
    <w:p>
      <w:pPr>
        <w:spacing w:after="0" w:line="225" w:lineRule="exact"/>
        <w:rPr>
          <w:sz w:val="20"/>
          <w:szCs w:val="20"/>
          <w:color w:val="auto"/>
        </w:rPr>
      </w:pPr>
    </w:p>
    <w:p>
      <w:pPr>
        <w:jc w:val="both"/>
        <w:ind w:right="60" w:firstLine="356"/>
        <w:spacing w:after="0" w:line="302" w:lineRule="auto"/>
        <w:rPr>
          <w:sz w:val="20"/>
          <w:szCs w:val="20"/>
          <w:color w:val="auto"/>
        </w:rPr>
      </w:pPr>
      <w:r>
        <w:rPr>
          <w:rFonts w:ascii="Arial" w:cs="Arial" w:eastAsia="Arial" w:hAnsi="Arial"/>
          <w:sz w:val="16"/>
          <w:szCs w:val="16"/>
          <w:color w:val="auto"/>
        </w:rPr>
        <w:t>Vessel operating and supervision costs increased by 5.43%, or $1.44 million, from $26.52 million during the three-month period ended June 30, 2015, to $27.96 million during the three-month period ended June 30, 2016. The increase is primarily attributable to the increase in our fleet in the three-month period ended June 30, 2016, compared to the same period of 2015, as described above, partially offset by the decrease in vessels’ tax. Daily operating cost per vessel decreased from $15,601 per day during the three-month period ended June 30, 2015 to $15,365 per day during the three-month period ended June 30,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Voyage Expenses and Commissions:</w:t>
      </w:r>
    </w:p>
    <w:p>
      <w:pPr>
        <w:spacing w:after="0" w:line="225" w:lineRule="exact"/>
        <w:rPr>
          <w:sz w:val="20"/>
          <w:szCs w:val="20"/>
          <w:color w:val="auto"/>
        </w:rPr>
      </w:pPr>
    </w:p>
    <w:p>
      <w:pPr>
        <w:ind w:firstLine="356"/>
        <w:spacing w:after="0" w:line="279" w:lineRule="auto"/>
        <w:rPr>
          <w:sz w:val="20"/>
          <w:szCs w:val="20"/>
          <w:color w:val="auto"/>
        </w:rPr>
      </w:pPr>
      <w:r>
        <w:rPr>
          <w:rFonts w:ascii="Arial" w:cs="Arial" w:eastAsia="Arial" w:hAnsi="Arial"/>
          <w:sz w:val="17"/>
          <w:szCs w:val="17"/>
          <w:color w:val="auto"/>
        </w:rPr>
        <w:t>Voyage expenses and commissions decreased marginally by 4.96%, or $0.17 million, from $3.43 million during the three-month period ended June 30, 2015, to $3.26 million during the three-month period ended June 30, 2016. The decrease is attributable to the decrease of $1.35 million in bunkers consumption of the vessels operating in the spot market, partially offset by the net allocation of the Cool Pool results in the three-month period ended June 30, 2016 of $1.18 million in accordance with the profit sharing terms specified in the Pool Agreement entered into with Dynagas and Golar.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225" w:lineRule="exact"/>
        <w:rPr>
          <w:sz w:val="20"/>
          <w:szCs w:val="20"/>
          <w:color w:val="auto"/>
        </w:rPr>
      </w:pPr>
    </w:p>
    <w:p>
      <w:pPr>
        <w:ind w:right="20" w:firstLine="356"/>
        <w:spacing w:after="0" w:line="264" w:lineRule="auto"/>
        <w:rPr>
          <w:sz w:val="20"/>
          <w:szCs w:val="20"/>
          <w:color w:val="auto"/>
        </w:rPr>
      </w:pPr>
      <w:r>
        <w:rPr>
          <w:rFonts w:ascii="Arial" w:cs="Arial" w:eastAsia="Arial" w:hAnsi="Arial"/>
          <w:sz w:val="18"/>
          <w:szCs w:val="18"/>
          <w:color w:val="auto"/>
        </w:rPr>
        <w:t>Depreciation increased by 8.10%, or $2.21 million, from $27.27 million during the three-month period ended June 30, 2015, to $29.48 million during the three-month period ended June 30, 2016. The increase in depreciation resulted mainly from the increase in the average number of vessels in our fleet in the three-month period ended June 30, 2016, compared to the same period of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120" w:firstLine="356"/>
        <w:spacing w:after="0" w:line="297" w:lineRule="auto"/>
        <w:rPr>
          <w:sz w:val="20"/>
          <w:szCs w:val="20"/>
          <w:color w:val="auto"/>
        </w:rPr>
      </w:pPr>
      <w:r>
        <w:rPr>
          <w:rFonts w:ascii="Arial" w:cs="Arial" w:eastAsia="Arial" w:hAnsi="Arial"/>
          <w:sz w:val="16"/>
          <w:szCs w:val="16"/>
          <w:color w:val="auto"/>
        </w:rPr>
        <w:t>General and administrative expenses increased by 24.22%, or $2.02 million, from $8.34 million during the three-month period ended June 30, 2015, to $10.36 million during the three-month period ended June 30, 2016. The increase is mainly attributable to a decrease of $2.14 million in net foreign exchange gains, mainly due to the unfavorable movement of the EUR/USD and GBP/USD exchange rates in the three-month period ended June 30, 2016 as compared to the comparative period of 2015, an increase of $0.35 million in employee costs, an increase of $0.26 million in non-cash share-based compensation expense and an increase of $0.18 million in all other expenses, partially offset by a decrease of $0.91 million in legal fees and other professional services.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Costs:</w:t>
      </w:r>
    </w:p>
    <w:p>
      <w:pPr>
        <w:spacing w:after="0" w:line="225" w:lineRule="exact"/>
        <w:rPr>
          <w:sz w:val="20"/>
          <w:szCs w:val="20"/>
          <w:color w:val="auto"/>
        </w:rPr>
      </w:pPr>
    </w:p>
    <w:p>
      <w:pPr>
        <w:ind w:right="40" w:firstLine="356"/>
        <w:spacing w:after="0" w:line="270" w:lineRule="auto"/>
        <w:rPr>
          <w:sz w:val="20"/>
          <w:szCs w:val="20"/>
          <w:color w:val="auto"/>
        </w:rPr>
      </w:pPr>
      <w:r>
        <w:rPr>
          <w:rFonts w:ascii="Arial" w:cs="Arial" w:eastAsia="Arial" w:hAnsi="Arial"/>
          <w:sz w:val="17"/>
          <w:szCs w:val="17"/>
          <w:color w:val="auto"/>
        </w:rPr>
        <w:t>Financial costs increased by 29.81%, or $7.23 million, from $24.25 million during the three-month period ended June 30, 2015, to $31.48 million during the three-month period ended June 30, 2016. The increase is attributable to an increase of $2.72 million due to finance lease charges in 2016, an increase of $2.28 million in the amortization of deferred loan fees, mainly driven by a $1.84 million write-off of unamortized bond fees and premium as a result of the June 2016 bond re-purchase, a loss of $2.12 million arising upon the re-purchase of the existing bonds at a premium in June 2016 and an increase of $0.20 million in other financial costs, partially offset by a marginal decrease of $0.09 million in interest expense on loans, bond and cash flow hedges. During the three-month period ended June 30, 2015, we had an average of $2,497.23 million of outstanding indebtedness, with a weighted average interest rate of 3.34% and during the three-month period ended June 30, 2016, we had an average of $2,307.16 million of outstanding indebtedness including our NOK bond agreements, having an aggregate weighted average interest rate of 3.57%. These weighted average interest rates include interest expense on loans and cash flow hedges and interest expense on bonds and CCSs.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Gain/(loss) on Swaps:</w:t>
      </w:r>
    </w:p>
    <w:p>
      <w:pPr>
        <w:spacing w:after="0" w:line="225" w:lineRule="exact"/>
        <w:rPr>
          <w:sz w:val="20"/>
          <w:szCs w:val="20"/>
          <w:color w:val="auto"/>
        </w:rPr>
      </w:pPr>
    </w:p>
    <w:p>
      <w:pPr>
        <w:ind w:right="260" w:firstLine="356"/>
        <w:spacing w:after="0" w:line="297" w:lineRule="auto"/>
        <w:rPr>
          <w:sz w:val="20"/>
          <w:szCs w:val="20"/>
          <w:color w:val="auto"/>
        </w:rPr>
      </w:pPr>
      <w:r>
        <w:rPr>
          <w:rFonts w:ascii="Arial" w:cs="Arial" w:eastAsia="Arial" w:hAnsi="Arial"/>
          <w:sz w:val="16"/>
          <w:szCs w:val="16"/>
          <w:color w:val="auto"/>
        </w:rPr>
        <w:t>Gain/(loss) on swaps decreased by $10.68 million, from a gain of $1.64 million during the three-month period ended June 30, 2015, to a loss of $9.04 million during the three-month period ended June 30, 2016. The increase is mainly attributable to an increase of $5.45 million in loss from mark-to-market valuation of our interest rate swaps carried at fair value through profit or loss and an increase of $5.64 million in recycled loss that was reclassified from equity to the statement of profit or loss, $5.58 million of which related to the CCS agreements that were terminated or modified in June 2016 as part of the NOK bond re-purchase, which was partially offset by a decrease of $0.41 million in realized loss from interest rate swaps held for trading.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 for the Period:</w:t>
      </w:r>
    </w:p>
    <w:p>
      <w:pPr>
        <w:spacing w:after="0" w:line="225" w:lineRule="exact"/>
        <w:rPr>
          <w:sz w:val="20"/>
          <w:szCs w:val="20"/>
          <w:color w:val="auto"/>
        </w:rPr>
      </w:pPr>
    </w:p>
    <w:p>
      <w:pPr>
        <w:ind w:right="180" w:firstLine="356"/>
        <w:spacing w:after="0" w:line="277" w:lineRule="auto"/>
        <w:rPr>
          <w:sz w:val="20"/>
          <w:szCs w:val="20"/>
          <w:color w:val="auto"/>
        </w:rPr>
      </w:pPr>
      <w:r>
        <w:rPr>
          <w:rFonts w:ascii="Arial" w:cs="Arial" w:eastAsia="Arial" w:hAnsi="Arial"/>
          <w:sz w:val="18"/>
          <w:szCs w:val="18"/>
          <w:color w:val="auto"/>
        </w:rPr>
        <w:t>Profit for the period decreased by 79.94%, or $13.35 million, from $16.70 million for the three-month period ended June 30, 2015, to $3.35 million for the three-month period ended June 30, 2016, as a result of the aforementioned factors.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Profit/(Loss) Attributable to Owners of the Group:</w:t>
      </w:r>
    </w:p>
    <w:p>
      <w:pPr>
        <w:spacing w:after="0" w:line="225" w:lineRule="exact"/>
        <w:rPr>
          <w:sz w:val="20"/>
          <w:szCs w:val="20"/>
          <w:color w:val="auto"/>
        </w:rPr>
      </w:pPr>
    </w:p>
    <w:p>
      <w:pPr>
        <w:ind w:right="60" w:firstLine="356"/>
        <w:spacing w:after="0" w:line="279" w:lineRule="auto"/>
        <w:rPr>
          <w:sz w:val="20"/>
          <w:szCs w:val="20"/>
          <w:color w:val="auto"/>
        </w:rPr>
      </w:pPr>
      <w:r>
        <w:rPr>
          <w:rFonts w:ascii="Arial" w:cs="Arial" w:eastAsia="Arial" w:hAnsi="Arial"/>
          <w:sz w:val="17"/>
          <w:szCs w:val="17"/>
          <w:color w:val="auto"/>
        </w:rPr>
        <w:t>Profit attributable to owners of the Group decreased by $16.10 million, from a profit of $8.24 million for the three-month period ended June 30, 2015, to a loss of $7.86 million for the three-month period ended June 30, 2016. The decrease in profit attributable to the owners of the Group resulted from the decrease in profit mentioned above and the increase in profit attributable to the non-controlling interest (GasLog Partners’ third party owners) for the three-month period ended June 30, 2016 following the dropdown of three vessels to GasLog Partners on July 1, 2015.</w:t>
      </w:r>
    </w:p>
    <w:p>
      <w:pPr>
        <w:sectPr>
          <w:pgSz w:w="11900" w:h="16838" w:orient="portrait"/>
          <w:cols w:equalWidth="0" w:num="1">
            <w:col w:w="11420"/>
          </w:cols>
          <w:pgMar w:left="240" w:top="409" w:right="239"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8360" w:type="dxa"/>
            <w:vAlign w:val="bottom"/>
          </w:tcPr>
          <w:p>
            <w:pPr>
              <w:spacing w:after="0"/>
              <w:rPr>
                <w:sz w:val="20"/>
                <w:szCs w:val="20"/>
                <w:color w:val="auto"/>
              </w:rPr>
            </w:pPr>
            <w:r>
              <w:rPr>
                <w:rFonts w:ascii="Arial" w:cs="Arial" w:eastAsia="Arial" w:hAnsi="Arial"/>
                <w:sz w:val="18"/>
                <w:szCs w:val="18"/>
                <w:b w:val="1"/>
                <w:bCs w:val="1"/>
                <w:i w:val="1"/>
                <w:iCs w:val="1"/>
                <w:color w:val="auto"/>
              </w:rPr>
              <w:t>Six-month period ended June 30, 2015 compared to the six-month period ended June 30, 2016</w:t>
            </w: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360" w:type="dxa"/>
            <w:vAlign w:val="bottom"/>
          </w:tcPr>
          <w:p>
            <w:pPr>
              <w:spacing w:after="0"/>
              <w:rPr>
                <w:sz w:val="24"/>
                <w:szCs w:val="24"/>
                <w:color w:val="auto"/>
              </w:rPr>
            </w:pPr>
          </w:p>
        </w:tc>
        <w:tc>
          <w:tcPr>
            <w:tcW w:w="306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17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June 30,</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34"/>
        </w:trPr>
        <w:tc>
          <w:tcPr>
            <w:tcW w:w="8360" w:type="dxa"/>
            <w:vAlign w:val="bottom"/>
            <w:tcBorders>
              <w:bottom w:val="single" w:sz="8" w:color="E5FFFF"/>
            </w:tcBorders>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440" w:type="dxa"/>
            <w:vAlign w:val="bottom"/>
            <w:tcBorders>
              <w:bottom w:val="single" w:sz="8" w:color="E5FFFF"/>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360" w:type="dxa"/>
            <w:vAlign w:val="bottom"/>
            <w:shd w:val="clear" w:color="auto" w:fill="E5FFFF"/>
          </w:tcPr>
          <w:p>
            <w:pPr>
              <w:spacing w:after="0"/>
              <w:rPr>
                <w:sz w:val="20"/>
                <w:szCs w:val="20"/>
                <w:color w:val="auto"/>
              </w:rPr>
            </w:pPr>
            <w:r>
              <w:rPr>
                <w:rFonts w:ascii="Arial" w:cs="Arial" w:eastAsia="Arial" w:hAnsi="Arial"/>
                <w:sz w:val="18"/>
                <w:szCs w:val="18"/>
                <w:b w:val="1"/>
                <w:bCs w:val="1"/>
                <w:i w:val="1"/>
                <w:iCs w:val="1"/>
                <w:color w:val="auto"/>
              </w:rPr>
              <w:t>Amounts in thousands of U.S. Dollars</w:t>
            </w:r>
          </w:p>
        </w:tc>
        <w:tc>
          <w:tcPr>
            <w:tcW w:w="126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Revenues</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201,766</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218,851</w:t>
            </w:r>
          </w:p>
        </w:tc>
        <w:tc>
          <w:tcPr>
            <w:tcW w:w="0" w:type="dxa"/>
            <w:vAlign w:val="bottom"/>
          </w:tcPr>
          <w:p>
            <w:pPr>
              <w:spacing w:after="0"/>
              <w:rPr>
                <w:sz w:val="1"/>
                <w:szCs w:val="1"/>
                <w:color w:val="auto"/>
              </w:rPr>
            </w:pP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Vessel operating and supervision costs</w:t>
            </w:r>
          </w:p>
        </w:tc>
        <w:tc>
          <w:tcPr>
            <w:tcW w:w="17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(48,415)</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(56,421)</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Voyage expenses and commissions</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(6,155)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(8,519)</w:t>
            </w:r>
          </w:p>
        </w:tc>
        <w:tc>
          <w:tcPr>
            <w:tcW w:w="0" w:type="dxa"/>
            <w:vAlign w:val="bottom"/>
          </w:tcPr>
          <w:p>
            <w:pPr>
              <w:spacing w:after="0"/>
              <w:rPr>
                <w:sz w:val="1"/>
                <w:szCs w:val="1"/>
                <w:color w:val="auto"/>
              </w:rPr>
            </w:pP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Depreciation of fixed assets</w:t>
            </w:r>
          </w:p>
        </w:tc>
        <w:tc>
          <w:tcPr>
            <w:tcW w:w="17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(49,969)</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(57,648)</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(19,498)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(19,089)</w:t>
            </w:r>
          </w:p>
        </w:tc>
        <w:tc>
          <w:tcPr>
            <w:tcW w:w="0" w:type="dxa"/>
            <w:vAlign w:val="bottom"/>
          </w:tcPr>
          <w:p>
            <w:pPr>
              <w:spacing w:after="0"/>
              <w:rPr>
                <w:sz w:val="1"/>
                <w:szCs w:val="1"/>
                <w:color w:val="auto"/>
              </w:rPr>
            </w:pPr>
          </w:p>
        </w:tc>
      </w:tr>
      <w:tr>
        <w:trPr>
          <w:trHeight w:val="210"/>
        </w:trPr>
        <w:tc>
          <w:tcPr>
            <w:tcW w:w="83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Profit from operations</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77,729</w:t>
            </w:r>
          </w:p>
        </w:tc>
        <w:tc>
          <w:tcPr>
            <w:tcW w:w="44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77,174</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color w:val="auto"/>
              </w:rPr>
              <w:t>Financial costs</w:t>
            </w:r>
          </w:p>
        </w:tc>
        <w:tc>
          <w:tcPr>
            <w:tcW w:w="1260" w:type="dxa"/>
            <w:vAlign w:val="bottom"/>
          </w:tcPr>
          <w:p>
            <w:pPr>
              <w:jc w:val="right"/>
              <w:spacing w:after="0"/>
              <w:rPr>
                <w:sz w:val="20"/>
                <w:szCs w:val="20"/>
                <w:color w:val="auto"/>
              </w:rPr>
            </w:pPr>
            <w:r>
              <w:rPr>
                <w:rFonts w:ascii="Arial" w:cs="Arial" w:eastAsia="Arial" w:hAnsi="Arial"/>
                <w:sz w:val="18"/>
                <w:szCs w:val="18"/>
                <w:color w:val="auto"/>
              </w:rPr>
              <w:t>(42,774)</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(60,662)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Financial income</w:t>
            </w: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149</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Loss on swaps</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(5,341)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(19,453)</w:t>
            </w:r>
          </w:p>
        </w:tc>
        <w:tc>
          <w:tcPr>
            <w:tcW w:w="0" w:type="dxa"/>
            <w:vAlign w:val="bottom"/>
          </w:tcPr>
          <w:p>
            <w:pPr>
              <w:spacing w:after="0"/>
              <w:rPr>
                <w:sz w:val="1"/>
                <w:szCs w:val="1"/>
                <w:color w:val="auto"/>
              </w:rPr>
            </w:pPr>
          </w:p>
        </w:tc>
      </w:tr>
      <w:tr>
        <w:trPr>
          <w:trHeight w:val="230"/>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Share of profit of associate</w:t>
            </w: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790</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0"/>
        </w:trPr>
        <w:tc>
          <w:tcPr>
            <w:tcW w:w="83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other expenses, net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(47,176</w:t>
            </w:r>
          </w:p>
        </w:tc>
        <w:tc>
          <w:tcPr>
            <w:tcW w:w="440" w:type="dxa"/>
            <w:vAlign w:val="bottom"/>
            <w:tcBorders>
              <w:bottom w:val="single" w:sz="8" w:color="E5FFFF"/>
            </w:tcBorders>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(79,126</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Profit/(loss) for the period</w:t>
            </w: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30,553</w:t>
            </w:r>
          </w:p>
        </w:tc>
        <w:tc>
          <w:tcPr>
            <w:tcW w:w="440" w:type="dxa"/>
            <w:vAlign w:val="bottom"/>
            <w:tcBorders>
              <w:bottom w:val="single" w:sz="8" w:color="E5FFFF"/>
            </w:tcBorders>
            <w:shd w:val="clear" w:color="auto" w:fill="E5FFFF"/>
          </w:tcPr>
          <w:p>
            <w:pPr>
              <w:spacing w:after="0"/>
              <w:rPr>
                <w:sz w:val="19"/>
                <w:szCs w:val="19"/>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(1,952</w:t>
            </w:r>
          </w:p>
        </w:tc>
        <w:tc>
          <w:tcPr>
            <w:tcW w:w="100" w:type="dxa"/>
            <w:vAlign w:val="bottom"/>
            <w:tcBorders>
              <w:bottom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Non-controlling interest</w:t>
            </w: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vMerge w:val="restart"/>
          </w:tcPr>
          <w:p>
            <w:pPr>
              <w:jc w:val="right"/>
              <w:ind w:right="300"/>
              <w:spacing w:after="0"/>
              <w:rPr>
                <w:sz w:val="20"/>
                <w:szCs w:val="20"/>
                <w:color w:val="auto"/>
              </w:rPr>
            </w:pPr>
            <w:r>
              <w:rPr>
                <w:rFonts w:ascii="Arial" w:cs="Arial" w:eastAsia="Arial" w:hAnsi="Arial"/>
                <w:sz w:val="16"/>
                <w:szCs w:val="16"/>
                <w:color w:val="auto"/>
                <w:w w:val="74"/>
              </w:rPr>
              <w:t>)</w:t>
            </w: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8360" w:type="dxa"/>
            <w:vAlign w:val="bottom"/>
            <w:tcBorders>
              <w:bottom w:val="single" w:sz="8" w:color="E5FFFF"/>
            </w:tcBorders>
            <w:vMerge w:val="continue"/>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(17,971</w:t>
            </w:r>
          </w:p>
        </w:tc>
        <w:tc>
          <w:tcPr>
            <w:tcW w:w="440" w:type="dxa"/>
            <w:vAlign w:val="bottom"/>
            <w:tcBorders>
              <w:bottom w:val="single" w:sz="8" w:color="E5FFFF"/>
            </w:tcBorders>
            <w:vMerge w:val="continue"/>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(21,810</w:t>
            </w:r>
          </w:p>
        </w:tc>
        <w:tc>
          <w:tcPr>
            <w:tcW w:w="100" w:type="dxa"/>
            <w:vAlign w:val="bottom"/>
            <w:tcBorders>
              <w:bottom w:val="single" w:sz="8" w:color="E5FF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3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Profit/(loss) attributable to owners of the Group</w:t>
            </w: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12,582</w:t>
            </w:r>
          </w:p>
        </w:tc>
        <w:tc>
          <w:tcPr>
            <w:tcW w:w="440" w:type="dxa"/>
            <w:vAlign w:val="bottom"/>
            <w:tcBorders>
              <w:bottom w:val="single" w:sz="8" w:color="E5FFFF"/>
            </w:tcBorders>
            <w:shd w:val="clear" w:color="auto" w:fill="E5FFFF"/>
          </w:tcPr>
          <w:p>
            <w:pPr>
              <w:spacing w:after="0"/>
              <w:rPr>
                <w:sz w:val="19"/>
                <w:szCs w:val="19"/>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(23,762</w:t>
            </w:r>
          </w:p>
        </w:tc>
        <w:tc>
          <w:tcPr>
            <w:tcW w:w="100" w:type="dxa"/>
            <w:vAlign w:val="bottom"/>
            <w:tcBorders>
              <w:bottom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During the six-month period ended June 30, 2015, we had an average of 17.3 ships operating in our owned fleet (including ships owned by the Partnership), having 2,818 operating days and an average of 21.3 ships operating under our technical management (including our 16.3 owned ships). During the six-month period ended June 30, 2016, we had an average of 19.5 ships operating in our owned and bareboat fleet (including ships owned by the Partnership), having 3,436 operating days and an average of 22.5 ships operating under our technical management (including our 18.5 owned and bareboat ships).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 xml:space="preserve">Revenues increased by 8.47%, or $17.08 million, from $201.77 million during the six-month period ended June 30, 2015, to $218.85 million during the six-month period ended June 30, 2016. The increase is attributable to an increase in revenues by $22.75 million due to the acquisition of the </w:t>
      </w:r>
      <w:r>
        <w:rPr>
          <w:rFonts w:ascii="Arial" w:cs="Arial" w:eastAsia="Arial" w:hAnsi="Arial"/>
          <w:sz w:val="16"/>
          <w:szCs w:val="16"/>
          <w:i w:val="1"/>
          <w:iCs w:val="1"/>
          <w:color w:val="auto"/>
        </w:rPr>
        <w:t>Methane Becki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Anne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Julia Louise, </w:t>
      </w:r>
      <w:r>
        <w:rPr>
          <w:rFonts w:ascii="Arial" w:cs="Arial" w:eastAsia="Arial" w:hAnsi="Arial"/>
          <w:sz w:val="16"/>
          <w:szCs w:val="16"/>
          <w:color w:val="auto"/>
        </w:rPr>
        <w:t>which were both acquired from BG Group on March 31, 2015 and the delivery of the</w:t>
      </w:r>
      <w:r>
        <w:rPr>
          <w:rFonts w:ascii="Arial" w:cs="Arial" w:eastAsia="Arial" w:hAnsi="Arial"/>
          <w:sz w:val="16"/>
          <w:szCs w:val="16"/>
          <w:i w:val="1"/>
          <w:iCs w:val="1"/>
          <w:color w:val="auto"/>
        </w:rPr>
        <w:t xml:space="preserve"> GasLog Greece </w:t>
      </w:r>
      <w:r>
        <w:rPr>
          <w:rFonts w:ascii="Arial" w:cs="Arial" w:eastAsia="Arial" w:hAnsi="Arial"/>
          <w:sz w:val="16"/>
          <w:szCs w:val="16"/>
          <w:color w:val="auto"/>
        </w:rPr>
        <w:t>on March 29, 2016,</w:t>
      </w:r>
      <w:r>
        <w:rPr>
          <w:rFonts w:ascii="Arial" w:cs="Arial" w:eastAsia="Arial" w:hAnsi="Arial"/>
          <w:sz w:val="16"/>
          <w:szCs w:val="16"/>
          <w:i w:val="1"/>
          <w:iCs w:val="1"/>
          <w:color w:val="auto"/>
        </w:rPr>
        <w:t xml:space="preserve"> </w:t>
      </w:r>
      <w:r>
        <w:rPr>
          <w:rFonts w:ascii="Arial" w:cs="Arial" w:eastAsia="Arial" w:hAnsi="Arial"/>
          <w:sz w:val="16"/>
          <w:szCs w:val="16"/>
          <w:color w:val="auto"/>
        </w:rPr>
        <w:t>resulting in an increase in operating days, as well as an increase of $7.12 million caused mainly by the lower off-hire days due to drydocking of two of our vessels in the first six months of 2016 as opposed to six vessels for the same period in 2015. This increase was partially offset by a decrease of $4.86 million in revenues of three vessels operating in the spot market and a decrease of $7.36 million from all other vessels. The daily hire rate for the six-month period ended June 30, 2015 was $71,092 as compared to $63,441 for the six-month period ended June 30, 2016 affected by the soft spot market. Furthermore, there was a decrease of $0.57 million in revenues from technical management services mainly due to the decrease in the number of the managed vessels owned by third parties following the acquisition of two vessels from BG Group and the completion of a project with another customer.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 Operating and Supervision Costs:</w:t>
      </w:r>
    </w:p>
    <w:p>
      <w:pPr>
        <w:spacing w:after="0" w:line="225" w:lineRule="exact"/>
        <w:rPr>
          <w:sz w:val="20"/>
          <w:szCs w:val="20"/>
          <w:color w:val="auto"/>
        </w:rPr>
      </w:pPr>
    </w:p>
    <w:p>
      <w:pPr>
        <w:ind w:right="120" w:firstLine="356"/>
        <w:spacing w:after="0" w:line="255" w:lineRule="auto"/>
        <w:rPr>
          <w:sz w:val="20"/>
          <w:szCs w:val="20"/>
          <w:color w:val="auto"/>
        </w:rPr>
      </w:pPr>
      <w:r>
        <w:rPr>
          <w:rFonts w:ascii="Arial" w:cs="Arial" w:eastAsia="Arial" w:hAnsi="Arial"/>
          <w:sz w:val="18"/>
          <w:szCs w:val="18"/>
          <w:color w:val="auto"/>
        </w:rPr>
        <w:t>Vessel operating and supervision costs increased by 16.52%, or $8.00 million, from $48.42 million during the six-month period ended June 30, 2015, to $56.42 million during the six-month period ended June 30, 2016. The increase is primarily attributable to the increase in our fleet in the six-month period ended June 30, 2016, compared to the same period of 2015, as described above, combined with an increase in scheduled technical maintenance expenses, such as scheduled main engine overhaulings, various planned repairs, as well as other regulatory periodical certifications, partially offset by decreased vessels’ tax. Daily operating cost per vessel increased from $15,409 per day during the six-month period ended June 30, 2015 to $15,889 per day during the six-month period ended June 30,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Voyage expenses and commissions:</w:t>
      </w:r>
    </w:p>
    <w:p>
      <w:pPr>
        <w:spacing w:after="0" w:line="225" w:lineRule="exact"/>
        <w:rPr>
          <w:sz w:val="20"/>
          <w:szCs w:val="20"/>
          <w:color w:val="auto"/>
        </w:rPr>
      </w:pPr>
    </w:p>
    <w:p>
      <w:pPr>
        <w:ind w:right="20" w:firstLine="356"/>
        <w:spacing w:after="0" w:line="279" w:lineRule="auto"/>
        <w:rPr>
          <w:sz w:val="20"/>
          <w:szCs w:val="20"/>
          <w:color w:val="auto"/>
        </w:rPr>
      </w:pPr>
      <w:r>
        <w:rPr>
          <w:rFonts w:ascii="Arial" w:cs="Arial" w:eastAsia="Arial" w:hAnsi="Arial"/>
          <w:sz w:val="17"/>
          <w:szCs w:val="17"/>
          <w:color w:val="auto"/>
        </w:rPr>
        <w:t>Voyage expenses and commissions increased by 38.31%, or $2.36 million, from $6.16 million during the six-month period ended June 30, 2015, to $8.52 million during the six-month period ended June 30, 2016. The increase is primarily attributable to the net allocation of the Cool Pool results of $3.57 million in the three-month period ended June 30, 2016 in accordance with the profit sharing terms specified in the Pool Agreement entered into with Dynagas and Golar, which was partially offset by a decrease of $0.96 million in bunkers consumption of the vessels operating in the spot market.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225" w:lineRule="exact"/>
        <w:rPr>
          <w:sz w:val="20"/>
          <w:szCs w:val="20"/>
          <w:color w:val="auto"/>
        </w:rPr>
      </w:pPr>
    </w:p>
    <w:p>
      <w:pPr>
        <w:jc w:val="both"/>
        <w:ind w:right="80" w:firstLine="356"/>
        <w:spacing w:after="0" w:line="264" w:lineRule="auto"/>
        <w:rPr>
          <w:sz w:val="20"/>
          <w:szCs w:val="20"/>
          <w:color w:val="auto"/>
        </w:rPr>
      </w:pPr>
      <w:r>
        <w:rPr>
          <w:rFonts w:ascii="Arial" w:cs="Arial" w:eastAsia="Arial" w:hAnsi="Arial"/>
          <w:sz w:val="18"/>
          <w:szCs w:val="18"/>
          <w:color w:val="auto"/>
        </w:rPr>
        <w:t>Depreciation increased by 15.37%, or $7.68 million, from $49.97 million during the six-month period ended June 30, 2015, to $57.65 million during the six-month period ended June 30, 2016. The increase in depreciation resulted mainly from the increase in the average number of vessels in our fleet in the six-month period ended June 30, 2016, compared to the same period of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120" w:firstLine="356"/>
        <w:spacing w:after="0" w:line="276" w:lineRule="auto"/>
        <w:rPr>
          <w:sz w:val="20"/>
          <w:szCs w:val="20"/>
          <w:color w:val="auto"/>
        </w:rPr>
      </w:pPr>
      <w:r>
        <w:rPr>
          <w:rFonts w:ascii="Arial" w:cs="Arial" w:eastAsia="Arial" w:hAnsi="Arial"/>
          <w:sz w:val="17"/>
          <w:szCs w:val="17"/>
          <w:color w:val="auto"/>
        </w:rPr>
        <w:t>General and administrative expenses marginally decreased by 2.10%, or $0.41 million, from $19.50 million during the six-month period ended June 30, 2015, to $19.09 million during the six-month period ended June 30, 2016. The decrease is mainly attributable to a $1.76 million decrease in legal fees and other professional services, partially offset by an increase of $0.51 million in net foreign exchange differences, mainly due to the unfavorable movement of the EUR/USD and GBP/USD exchange rates in 2016, an increase of $0.53 million in in non-cash share-based compensation expense, an increase of $0.22 million in travel expenses and an increase of $0.09 million in all other expenses.</w:t>
      </w:r>
    </w:p>
    <w:p>
      <w:pPr>
        <w:sectPr>
          <w:pgSz w:w="11900" w:h="16838" w:orient="portrait"/>
          <w:cols w:equalWidth="0" w:num="1">
            <w:col w:w="11420"/>
          </w:cols>
          <w:pgMar w:left="240" w:top="409" w:right="239" w:bottom="57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57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Financial Costs:</w:t>
      </w:r>
    </w:p>
    <w:p>
      <w:pPr>
        <w:spacing w:after="0" w:line="225" w:lineRule="exact"/>
        <w:rPr>
          <w:sz w:val="20"/>
          <w:szCs w:val="20"/>
          <w:color w:val="auto"/>
        </w:rPr>
      </w:pPr>
    </w:p>
    <w:p>
      <w:pPr>
        <w:ind w:right="20" w:firstLine="356"/>
        <w:spacing w:after="0" w:line="289" w:lineRule="auto"/>
        <w:rPr>
          <w:sz w:val="20"/>
          <w:szCs w:val="20"/>
          <w:color w:val="auto"/>
        </w:rPr>
      </w:pPr>
      <w:r>
        <w:rPr>
          <w:rFonts w:ascii="Arial" w:cs="Arial" w:eastAsia="Arial" w:hAnsi="Arial"/>
          <w:sz w:val="16"/>
          <w:szCs w:val="16"/>
          <w:color w:val="auto"/>
        </w:rPr>
        <w:t>Financial costs increased by 41.83%, or $17.89 million, from $42.77 million during the six-month period ended June 30, 2015, to $60.66 million during the six-month period ended June 30, 2016. The increase is attributable to an increase of $4.71 million in interest expense on loans, bond and cash flow hedges, an increase of $6.36 million in the amortization of deferred loan fees, mainly driven by a (a) $1.84 million write-off of unamortized bond fees and premium as a result of the June 2016 bond re-purchase, (b) an increase of $3.14 million in the refinanced loan facilities and (c) an increase of $1.10 million in the facilities drawn during 2016, an increase by $3.79 million due to finance lease charges in 2016, a loss of $2.12 million arising upon the re-purchase of the existing bonds at a premium in June 2016 and an increase of $0.91 million in other financial costs. During the six-month period ended June 30, 2015, we had an average of $2,227.04 million of outstanding indebtedness, with a weighted average interest rate of 3.33% and during the six-month period ended June 30, 2016, we had an average of $2,342.24 million of outstanding indebtedness including our NOK bond agreements, having an aggregate weighted average interest rate of 3.54%. These weighted average interest rates include interest expense on loans and cash flow hedges and interest expense on bonds and CCSs.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Swaps:</w:t>
      </w:r>
    </w:p>
    <w:p>
      <w:pPr>
        <w:spacing w:after="0" w:line="225" w:lineRule="exact"/>
        <w:rPr>
          <w:sz w:val="20"/>
          <w:szCs w:val="20"/>
          <w:color w:val="auto"/>
        </w:rPr>
      </w:pPr>
    </w:p>
    <w:p>
      <w:pPr>
        <w:ind w:firstLine="356"/>
        <w:spacing w:after="0" w:line="255" w:lineRule="auto"/>
        <w:rPr>
          <w:sz w:val="20"/>
          <w:szCs w:val="20"/>
          <w:color w:val="auto"/>
        </w:rPr>
      </w:pPr>
      <w:r>
        <w:rPr>
          <w:rFonts w:ascii="Arial" w:cs="Arial" w:eastAsia="Arial" w:hAnsi="Arial"/>
          <w:sz w:val="18"/>
          <w:szCs w:val="18"/>
          <w:color w:val="auto"/>
        </w:rPr>
        <w:t>Loss on swaps increased by $14.11 million, from $5.34 million during the six-month period ended June 30, 2015, to $19.45 million during the six-month period ended June 30, 2016. The increase is mainly attributable to an increase of $9.08 million in loss from mark-to-market valuation of our interest rate swaps carried at fair value through profit or loss and an increase of $5.71 million in recycled loss that was reclassified from equity to the statement of profit or loss, $5.58 million of which related to the CCS agreements that were terminated or modified in June 2016 as part of the bond re-purchase and the remaining $0.13 million related to the interest rate swaps for which hedge accounting was discontinued, which was partially offset by a decrease of $0.68 million in realized loss from interest rate swaps held for trading.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Profit/(loss) for the Period:</w:t>
      </w:r>
    </w:p>
    <w:p>
      <w:pPr>
        <w:spacing w:after="0" w:line="225" w:lineRule="exact"/>
        <w:rPr>
          <w:sz w:val="20"/>
          <w:szCs w:val="20"/>
          <w:color w:val="auto"/>
        </w:rPr>
      </w:pPr>
    </w:p>
    <w:p>
      <w:pPr>
        <w:jc w:val="both"/>
        <w:ind w:right="80" w:firstLine="356"/>
        <w:spacing w:after="0" w:line="277" w:lineRule="auto"/>
        <w:rPr>
          <w:sz w:val="20"/>
          <w:szCs w:val="20"/>
          <w:color w:val="auto"/>
        </w:rPr>
      </w:pPr>
      <w:r>
        <w:rPr>
          <w:rFonts w:ascii="Arial" w:cs="Arial" w:eastAsia="Arial" w:hAnsi="Arial"/>
          <w:sz w:val="18"/>
          <w:szCs w:val="18"/>
          <w:color w:val="auto"/>
        </w:rPr>
        <w:t>Profit for the period decreased by 106.38%, or $32.50 million, from a profit of $30.55 million for the six-month period ended June 30, 2015, to a loss of $1.95 million for the six-month period ended June 30, 2016, as a result of the aforementioned factors.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Profit/(Loss) Attributable to Owners of the Group:</w:t>
      </w:r>
    </w:p>
    <w:p>
      <w:pPr>
        <w:spacing w:after="0" w:line="225" w:lineRule="exact"/>
        <w:rPr>
          <w:sz w:val="20"/>
          <w:szCs w:val="20"/>
          <w:color w:val="auto"/>
        </w:rPr>
      </w:pPr>
    </w:p>
    <w:p>
      <w:pPr>
        <w:jc w:val="both"/>
        <w:ind w:right="60" w:firstLine="356"/>
        <w:spacing w:after="0" w:line="259" w:lineRule="auto"/>
        <w:rPr>
          <w:sz w:val="20"/>
          <w:szCs w:val="20"/>
          <w:color w:val="auto"/>
        </w:rPr>
      </w:pPr>
      <w:r>
        <w:rPr>
          <w:rFonts w:ascii="Arial" w:cs="Arial" w:eastAsia="Arial" w:hAnsi="Arial"/>
          <w:sz w:val="18"/>
          <w:szCs w:val="18"/>
          <w:color w:val="auto"/>
        </w:rPr>
        <w:t>Profit attributable to owners of the Group decreased by $36.34 million, from a profit of $12.58 million for the six-month period ended June 30, 2015, to a loss of $23.76 million for the six-month period ended June 30, 2016. The decrease in profit attributable to the owners of GasLog resulted from the decrease in profit mentioned above and the increase in profit attributable to the non-controlling interest (GasLog Partners’ third party owners) following the dropdown of three vessels to GasLog Partners on July 1,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20" w:firstLine="356"/>
        <w:spacing w:after="0" w:line="259" w:lineRule="auto"/>
        <w:rPr>
          <w:sz w:val="20"/>
          <w:szCs w:val="20"/>
          <w:color w:val="auto"/>
        </w:rPr>
      </w:pPr>
      <w:r>
        <w:rPr>
          <w:rFonts w:ascii="Arial" w:cs="Arial" w:eastAsia="Arial" w:hAnsi="Arial"/>
          <w:sz w:val="18"/>
          <w:szCs w:val="18"/>
          <w:color w:val="auto"/>
        </w:rPr>
        <w:t>For the six-month period ended June 30, 2015, we received 79.84% of our revenues from MSL, now owned by Shell, 12.14% of our revenues from Shell, 7.84% of our revenues from various charterers in the spot/short-term market and 0.18% of our revenues from Egypt LNG, an entity in which we have a 25% ownership interest. For the six-month period ended June 30, 2016, we received 94.99% of our revenues from Shell, 5.00% of our revenues from various charterers in the spot/short-term market and 0.01% of our revenues from Egypt LNG.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140" w:firstLine="356"/>
        <w:spacing w:after="0" w:line="264" w:lineRule="auto"/>
        <w:rPr>
          <w:sz w:val="20"/>
          <w:szCs w:val="20"/>
          <w:color w:val="auto"/>
        </w:rPr>
      </w:pPr>
      <w:r>
        <w:rPr>
          <w:rFonts w:ascii="Arial" w:cs="Arial" w:eastAsia="Arial" w:hAnsi="Arial"/>
          <w:sz w:val="18"/>
          <w:szCs w:val="18"/>
          <w:color w:val="auto"/>
        </w:rPr>
        <w:t>Since our owned ships are primarily employed under multi-year, fixed-rate charter arrangements, seasonal trends do not materially impact the revenues earned by our vessels during the year. Seasonality also does not have a significant impact on revenues earned by our management services, as we provide technical ship management and ship construction supervision services under fixed-rate agreements.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Additionally, our business is not subject to seasonal borrowing requirements.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firstLine="356"/>
        <w:spacing w:after="0" w:line="312" w:lineRule="auto"/>
        <w:rPr>
          <w:sz w:val="20"/>
          <w:szCs w:val="20"/>
          <w:color w:val="auto"/>
        </w:rPr>
      </w:pPr>
      <w:r>
        <w:rPr>
          <w:rFonts w:ascii="Arial" w:cs="Arial" w:eastAsia="Arial" w:hAnsi="Arial"/>
          <w:sz w:val="16"/>
          <w:szCs w:val="16"/>
          <w:color w:val="auto"/>
        </w:rPr>
        <w:t>Our primary liquidity needs are to fund our ship-operating expenses, finance the purchase and construction of our newbuildings, purchase secondhand vessels, service our existing debt and pay dividends. In monitoring our working capital needs, we project our charter hire income and ships’ maintenance and running expenses, as well as debt service obligations, and seek to maintain adequate cash reserves in order to address any budget overruns.</w:t>
      </w:r>
    </w:p>
    <w:p>
      <w:pPr>
        <w:spacing w:after="0" w:line="147" w:lineRule="exact"/>
        <w:rPr>
          <w:sz w:val="20"/>
          <w:szCs w:val="20"/>
          <w:color w:val="auto"/>
        </w:rPr>
      </w:pPr>
    </w:p>
    <w:p>
      <w:pPr>
        <w:jc w:val="both"/>
        <w:ind w:right="260" w:firstLine="356"/>
        <w:spacing w:after="0" w:line="264" w:lineRule="auto"/>
        <w:rPr>
          <w:sz w:val="20"/>
          <w:szCs w:val="20"/>
          <w:color w:val="auto"/>
        </w:rPr>
      </w:pPr>
      <w:r>
        <w:rPr>
          <w:rFonts w:ascii="Arial" w:cs="Arial" w:eastAsia="Arial" w:hAnsi="Arial"/>
          <w:sz w:val="18"/>
          <w:szCs w:val="18"/>
          <w:color w:val="auto"/>
        </w:rPr>
        <w:t>We anticipate that our primary sources of funds will be available cash, cash from operations, borrowings under existing and new debt agreements and additional common or other forms of equity. We believe that these sources of funds will be sufficient to meet our liquidity needs, although there can be no assurance that we will be able to obtain future debt and equity financing on terms acceptable to us.</w:t>
      </w:r>
    </w:p>
    <w:p>
      <w:pPr>
        <w:spacing w:after="0" w:line="181" w:lineRule="exact"/>
        <w:rPr>
          <w:sz w:val="20"/>
          <w:szCs w:val="20"/>
          <w:color w:val="auto"/>
        </w:rPr>
      </w:pPr>
    </w:p>
    <w:p>
      <w:pPr>
        <w:ind w:right="220" w:firstLine="356"/>
        <w:spacing w:after="0" w:line="277" w:lineRule="auto"/>
        <w:rPr>
          <w:sz w:val="20"/>
          <w:szCs w:val="20"/>
          <w:color w:val="auto"/>
        </w:rPr>
      </w:pPr>
      <w:r>
        <w:rPr>
          <w:rFonts w:ascii="Arial" w:cs="Arial" w:eastAsia="Arial" w:hAnsi="Arial"/>
          <w:sz w:val="18"/>
          <w:szCs w:val="18"/>
          <w:color w:val="auto"/>
        </w:rPr>
        <w:t>Our funding and treasury activities are intended to balance investment returns in order to maintain appropriate liquidity. Cash and cash equivalents are held primarily in U.S. dollars.</w:t>
      </w:r>
    </w:p>
    <w:p>
      <w:pPr>
        <w:spacing w:after="0" w:line="170" w:lineRule="exact"/>
        <w:rPr>
          <w:sz w:val="20"/>
          <w:szCs w:val="20"/>
          <w:color w:val="auto"/>
        </w:rPr>
      </w:pPr>
    </w:p>
    <w:p>
      <w:pPr>
        <w:ind w:right="60" w:firstLine="356"/>
        <w:spacing w:after="0" w:line="259" w:lineRule="auto"/>
        <w:rPr>
          <w:sz w:val="20"/>
          <w:szCs w:val="20"/>
          <w:color w:val="auto"/>
        </w:rPr>
      </w:pPr>
      <w:r>
        <w:rPr>
          <w:rFonts w:ascii="Arial" w:cs="Arial" w:eastAsia="Arial" w:hAnsi="Arial"/>
          <w:sz w:val="18"/>
          <w:szCs w:val="18"/>
          <w:color w:val="auto"/>
        </w:rPr>
        <w:t>As of June 30, 2016, GasLog had $192.60 million of cash and cash equivalents, of which $56.30 million was held in time deposits and the remaining balance in current accounts. As of June 30, 2016, GasLog had $25.05 million in restricted cash in relation to cash held in blocked accounts mainly in order to comply with the covenants under two of its credit facilities, $23.51 million of which was reclassified from restricted cash to cash and cash equivalents following the completion of the Legacy Facility Re-financing in July 2016.</w:t>
      </w:r>
    </w:p>
    <w:p>
      <w:pPr>
        <w:spacing w:after="0" w:line="187" w:lineRule="exact"/>
        <w:rPr>
          <w:sz w:val="20"/>
          <w:szCs w:val="20"/>
          <w:color w:val="auto"/>
        </w:rPr>
      </w:pPr>
    </w:p>
    <w:p>
      <w:pPr>
        <w:jc w:val="both"/>
        <w:ind w:right="300" w:firstLine="383"/>
        <w:spacing w:after="0" w:line="342" w:lineRule="auto"/>
        <w:rPr>
          <w:sz w:val="20"/>
          <w:szCs w:val="20"/>
          <w:color w:val="auto"/>
        </w:rPr>
      </w:pPr>
      <w:r>
        <w:rPr>
          <w:rFonts w:ascii="Arial" w:cs="Arial" w:eastAsia="Arial" w:hAnsi="Arial"/>
          <w:sz w:val="16"/>
          <w:szCs w:val="16"/>
          <w:color w:val="auto"/>
        </w:rPr>
        <w:t xml:space="preserve">As of June 30, 2016, GasLog had an aggregate of $2.42 billion of indebtedness outstanding under its credit facilities and bond agreements, of which $179.45 million was repayable within one year, and a $220.79 million finance lease liability related to the sale and leaseback of the </w:t>
      </w:r>
      <w:r>
        <w:rPr>
          <w:rFonts w:ascii="Arial" w:cs="Arial" w:eastAsia="Arial" w:hAnsi="Arial"/>
          <w:sz w:val="16"/>
          <w:szCs w:val="16"/>
          <w:i w:val="1"/>
          <w:iCs w:val="1"/>
          <w:color w:val="auto"/>
        </w:rPr>
        <w:t>Methane Julia Louise</w:t>
      </w:r>
      <w:r>
        <w:rPr>
          <w:rFonts w:ascii="Arial" w:cs="Arial" w:eastAsia="Arial" w:hAnsi="Arial"/>
          <w:sz w:val="16"/>
          <w:szCs w:val="16"/>
          <w:color w:val="auto"/>
        </w:rPr>
        <w:t>.</w:t>
      </w:r>
    </w:p>
    <w:p>
      <w:pPr>
        <w:spacing w:after="0" w:line="124" w:lineRule="exact"/>
        <w:rPr>
          <w:sz w:val="20"/>
          <w:szCs w:val="20"/>
          <w:color w:val="auto"/>
        </w:rPr>
      </w:pPr>
    </w:p>
    <w:p>
      <w:pPr>
        <w:ind w:right="500" w:firstLine="383"/>
        <w:spacing w:after="0" w:line="308" w:lineRule="auto"/>
        <w:rPr>
          <w:sz w:val="20"/>
          <w:szCs w:val="20"/>
          <w:color w:val="auto"/>
        </w:rPr>
      </w:pPr>
      <w:r>
        <w:rPr>
          <w:rFonts w:ascii="Arial" w:cs="Arial" w:eastAsia="Arial" w:hAnsi="Arial"/>
          <w:sz w:val="17"/>
          <w:szCs w:val="17"/>
          <w:color w:val="auto"/>
        </w:rPr>
        <w:t>As of June 30, 2016, there was undrawn availability of $0.99 billion under the debt financing agreement entered into on October 16, 2015 with 14 international banks to partially finance the delivery of our six remaining newbuildings expected to be delivered in 2016, 2018 and 2019.</w:t>
      </w:r>
    </w:p>
    <w:p>
      <w:pPr>
        <w:sectPr>
          <w:pgSz w:w="11900" w:h="16838" w:orient="portrait"/>
          <w:cols w:equalWidth="0" w:num="1">
            <w:col w:w="11400"/>
          </w:cols>
          <w:pgMar w:left="240" w:top="409" w:right="259" w:bottom="138" w:gutter="0" w:footer="0" w:header="0"/>
        </w:sectPr>
      </w:pP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38" w:gutter="0" w:footer="0" w:header="0"/>
          <w:type w:val="continuous"/>
        </w:sectPr>
      </w:pPr>
    </w:p>
    <w:bookmarkStart w:id="23" w:name="page24"/>
    <w:bookmarkEnd w:id="23"/>
    <w:p>
      <w:pPr>
        <w:ind w:right="60" w:firstLine="383"/>
        <w:spacing w:after="0" w:line="273" w:lineRule="auto"/>
        <w:rPr>
          <w:sz w:val="20"/>
          <w:szCs w:val="20"/>
          <w:color w:val="auto"/>
        </w:rPr>
      </w:pPr>
      <w:r>
        <w:rPr>
          <w:rFonts w:ascii="Arial" w:cs="Arial" w:eastAsia="Arial" w:hAnsi="Arial"/>
          <w:sz w:val="17"/>
          <w:szCs w:val="17"/>
          <w:color w:val="auto"/>
        </w:rPr>
        <w:t>On April 5, 2016, $395.4 million and $179.7 million under the senior and junior tranche, respectively, of the credit agreements that GasLog and GasLog Partners entered into on February 18, 2016, were drawn to partially refinance $644.0 million of the outstanding debt of GAS-eighteen Ltd., GAS-nineteen Ltd., GAS-twenty Ltd., GAS-twenty one Ltd. and GAS-twenty seven Ltd. The senior tranche facility provides for four advances of $72.3 million and a fifth advance of $106.3 million that shall be repaid in 20 quarterly equal installments commencing three months after the drawdown date. The junior tranche facility provides for four advances of $29.9 million and a fifth advance of $59.9 million that shall be repaid in full 24 months after the drawdown date. Amounts drawn bear interest at LIBOR plus a margin (variable margin for the junior tranche).</w:t>
      </w:r>
    </w:p>
    <w:p>
      <w:pPr>
        <w:spacing w:after="0" w:line="178" w:lineRule="exact"/>
        <w:rPr>
          <w:sz w:val="20"/>
          <w:szCs w:val="20"/>
          <w:color w:val="auto"/>
        </w:rPr>
      </w:pPr>
    </w:p>
    <w:p>
      <w:pPr>
        <w:ind w:right="60" w:firstLine="383"/>
        <w:spacing w:after="0" w:line="259" w:lineRule="auto"/>
        <w:rPr>
          <w:sz w:val="20"/>
          <w:szCs w:val="20"/>
          <w:color w:val="auto"/>
        </w:rPr>
      </w:pPr>
      <w:r>
        <w:rPr>
          <w:rFonts w:ascii="Arial" w:cs="Arial" w:eastAsia="Arial" w:hAnsi="Arial"/>
          <w:sz w:val="18"/>
          <w:szCs w:val="18"/>
          <w:color w:val="auto"/>
        </w:rPr>
        <w:t>As of June 30, 2016, GasLog’s commitments for capital expenditures are related to the six LNG carriers on order, which have a gross aggregate contract price of approximately $1.23 billion. As of June 30, 2016, the total remaining balance of the contract prices of the six newbuildings was $1.1 billion that GasLog expects to be funded with the $1.0 billion undrawn amount under the financing agreement entered into on October 16, 2015, as well as cash balances and cash from operations.</w:t>
      </w:r>
    </w:p>
    <w:p>
      <w:pPr>
        <w:spacing w:after="0" w:line="187" w:lineRule="exact"/>
        <w:rPr>
          <w:sz w:val="20"/>
          <w:szCs w:val="20"/>
          <w:color w:val="auto"/>
        </w:rPr>
      </w:pPr>
    </w:p>
    <w:p>
      <w:pPr>
        <w:ind w:right="440" w:firstLine="383"/>
        <w:spacing w:after="0" w:line="277" w:lineRule="auto"/>
        <w:rPr>
          <w:sz w:val="20"/>
          <w:szCs w:val="20"/>
          <w:color w:val="auto"/>
        </w:rPr>
      </w:pPr>
      <w:r>
        <w:rPr>
          <w:rFonts w:ascii="Arial" w:cs="Arial" w:eastAsia="Arial" w:hAnsi="Arial"/>
          <w:sz w:val="18"/>
          <w:szCs w:val="18"/>
          <w:color w:val="auto"/>
        </w:rPr>
        <w:t>GasLog has hedged 38.9% of its expected floating interest rate exposure on its outstanding debt (including the finance lease liability) at a weighted average interest rate of approximately 4.74% (including margin) as of June 30, 2016.</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June 30, 2016, we were in compliance with the financial covenants under our credit facilities and bond agreements.</w:t>
      </w:r>
    </w:p>
    <w:p>
      <w:pPr>
        <w:spacing w:after="0" w:line="225" w:lineRule="exact"/>
        <w:rPr>
          <w:sz w:val="20"/>
          <w:szCs w:val="20"/>
          <w:color w:val="auto"/>
        </w:rPr>
      </w:pPr>
    </w:p>
    <w:p>
      <w:pPr>
        <w:ind w:right="180" w:firstLine="356"/>
        <w:spacing w:after="0" w:line="308" w:lineRule="auto"/>
        <w:rPr>
          <w:sz w:val="20"/>
          <w:szCs w:val="20"/>
          <w:color w:val="auto"/>
        </w:rPr>
      </w:pPr>
      <w:r>
        <w:rPr>
          <w:rFonts w:ascii="Arial" w:cs="Arial" w:eastAsia="Arial" w:hAnsi="Arial"/>
          <w:sz w:val="17"/>
          <w:szCs w:val="17"/>
          <w:color w:val="auto"/>
        </w:rPr>
        <w:t>Our credit facilities are described in Note 12 of our annual audited consolidated financial statements included in our Annual Report on Form 20-F filed with the SEC on March 14, 2016 and Note 6 of our unaudited condensed consolidated financial statements included elsewhere in this report.</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Legacy Facility Re-financing</w:t>
      </w:r>
    </w:p>
    <w:p>
      <w:pPr>
        <w:spacing w:after="0" w:line="22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 xml:space="preserve">On July 19, 2016, GasLog entered into a credit agreement to refinance the existing indebtedness on eight of its on-the-water vessels of up to $1.05 billion (the Legacy Facility Re-financing, as defined above) with a number of international banks, extending the maturities of six existing credit facilities to 2021. The vessels covered by the Legacy Facility Re-financing are the </w:t>
      </w:r>
      <w:r>
        <w:rPr>
          <w:rFonts w:ascii="Arial" w:cs="Arial" w:eastAsia="Arial" w:hAnsi="Arial"/>
          <w:sz w:val="18"/>
          <w:szCs w:val="18"/>
          <w:i w:val="1"/>
          <w:iCs w:val="1"/>
          <w:color w:val="auto"/>
        </w:rPr>
        <w:t>GasLog Savannah</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Singapore</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Skagen</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the </w:t>
      </w:r>
      <w:r>
        <w:rPr>
          <w:rFonts w:ascii="Arial" w:cs="Arial" w:eastAsia="Arial" w:hAnsi="Arial"/>
          <w:sz w:val="18"/>
          <w:szCs w:val="18"/>
          <w:i w:val="1"/>
          <w:iCs w:val="1"/>
          <w:color w:val="auto"/>
        </w:rPr>
        <w:t>Solaris</w:t>
      </w:r>
      <w:r>
        <w:rPr>
          <w:rFonts w:ascii="Arial" w:cs="Arial" w:eastAsia="Arial" w:hAnsi="Arial"/>
          <w:sz w:val="18"/>
          <w:szCs w:val="18"/>
          <w:color w:val="auto"/>
        </w:rPr>
        <w:t>, the</w:t>
      </w:r>
      <w:r>
        <w:rPr>
          <w:rFonts w:ascii="Arial" w:cs="Arial" w:eastAsia="Arial" w:hAnsi="Arial"/>
          <w:sz w:val="18"/>
          <w:szCs w:val="18"/>
          <w:i w:val="1"/>
          <w:iCs w:val="1"/>
          <w:color w:val="auto"/>
        </w:rPr>
        <w:t xml:space="preserve"> GasLog Saratoga</w:t>
      </w:r>
      <w:r>
        <w:rPr>
          <w:rFonts w:ascii="Arial" w:cs="Arial" w:eastAsia="Arial" w:hAnsi="Arial"/>
          <w:sz w:val="18"/>
          <w:szCs w:val="18"/>
          <w:color w:val="auto"/>
        </w:rPr>
        <w:t>, the</w:t>
      </w:r>
      <w:r>
        <w:rPr>
          <w:rFonts w:ascii="Arial" w:cs="Arial" w:eastAsia="Arial" w:hAnsi="Arial"/>
          <w:sz w:val="18"/>
          <w:szCs w:val="18"/>
          <w:i w:val="1"/>
          <w:iCs w:val="1"/>
          <w:color w:val="auto"/>
        </w:rPr>
        <w:t xml:space="preserve"> GasLog Salem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GasLog Chelsea</w:t>
      </w:r>
      <w:r>
        <w:rPr>
          <w:rFonts w:ascii="Arial" w:cs="Arial" w:eastAsia="Arial" w:hAnsi="Arial"/>
          <w:sz w:val="18"/>
          <w:szCs w:val="18"/>
          <w:color w:val="auto"/>
        </w:rPr>
        <w:t>. Citigroup Global Market Limited, Credit Suisse AG, Nordea Bank AB, London</w:t>
      </w:r>
      <w:r>
        <w:rPr>
          <w:rFonts w:ascii="Arial" w:cs="Arial" w:eastAsia="Arial" w:hAnsi="Arial"/>
          <w:sz w:val="18"/>
          <w:szCs w:val="18"/>
          <w:i w:val="1"/>
          <w:iCs w:val="1"/>
          <w:color w:val="auto"/>
        </w:rPr>
        <w:t xml:space="preserve"> </w:t>
      </w:r>
      <w:r>
        <w:rPr>
          <w:rFonts w:ascii="Arial" w:cs="Arial" w:eastAsia="Arial" w:hAnsi="Arial"/>
          <w:sz w:val="18"/>
          <w:szCs w:val="18"/>
          <w:color w:val="auto"/>
        </w:rPr>
        <w:t>Branch, Skandinaviska Enskilda Banken AB (publ), HSBC Bank plc, ING Bank N.V., London Branch, Danmarks Skibskredit A/S and the Korea Development Bank were mandated lead arrangers, DVB Bank America N.V. was arranger and Nordea Bank AB, London Branch was agent and security agent for the transaction.</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Legacy Facility Re-financing is comprised of a five-year term loan facility of up to $950.0 million and a revolving credit facility of up to $100.0</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million. On July 25, 2016, the available amount of $950.0 million under the term loan facility was fully drawn, while $11.64 million was drawn under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revolving credit facility. The term loan facility amount shall be repaid in nine semi-annual installments of $29.16 million each and a balloon repayment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$687.56 million five years after drawdown, while the revolving credit facility available amounts can be drawn at any time until July 1, 2021. Amounts drawn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bear interest at LIBOR plus a margin.</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credit agreement will be secured as follows:</w:t>
      </w:r>
    </w:p>
    <w:p>
      <w:pPr>
        <w:spacing w:after="0" w:line="225" w:lineRule="exact"/>
        <w:rPr>
          <w:sz w:val="20"/>
          <w:szCs w:val="20"/>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first priority mortgages over the ships owned by the respective borrowers;</w:t>
      </w:r>
    </w:p>
    <w:p>
      <w:pPr>
        <w:spacing w:after="0" w:line="23"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guarantees from GasLog and GasLog Carriers Ltd.;</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share security over the share capital of each of the respective borrowers; and</w:t>
      </w:r>
    </w:p>
    <w:p>
      <w:pPr>
        <w:spacing w:after="0" w:line="9" w:lineRule="exact"/>
        <w:rPr>
          <w:rFonts w:ascii="Arial" w:cs="Arial" w:eastAsia="Arial" w:hAnsi="Arial"/>
          <w:sz w:val="18"/>
          <w:szCs w:val="18"/>
          <w:color w:val="auto"/>
        </w:rPr>
      </w:pPr>
    </w:p>
    <w:p>
      <w:pPr>
        <w:ind w:left="1060" w:right="140" w:hanging="323"/>
        <w:spacing w:after="0" w:line="261"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first priority assignment of all earnings, excluding the vessels participating in the Cool Pool, and insurance related to the ships owned by the respective borrowers.</w:t>
      </w:r>
    </w:p>
    <w:p>
      <w:pPr>
        <w:spacing w:after="0" w:line="184"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The Legacy Facility Re-financing imposes certain operating and financial restrictions on GasLog. These restrictions generally limit the Group’s ability to, among other things:</w:t>
      </w:r>
    </w:p>
    <w:p>
      <w:pPr>
        <w:spacing w:after="0" w:line="170" w:lineRule="exact"/>
        <w:rPr>
          <w:sz w:val="20"/>
          <w:szCs w:val="20"/>
          <w:color w:val="auto"/>
        </w:rPr>
      </w:pPr>
    </w:p>
    <w:p>
      <w:pPr>
        <w:ind w:left="1300" w:hanging="239"/>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additional indebtedness, create liens or provide guarantees;</w:t>
      </w:r>
    </w:p>
    <w:p>
      <w:pPr>
        <w:spacing w:after="0" w:line="23" w:lineRule="exact"/>
        <w:rPr>
          <w:rFonts w:ascii="Arial" w:cs="Arial" w:eastAsia="Arial" w:hAnsi="Arial"/>
          <w:sz w:val="18"/>
          <w:szCs w:val="18"/>
          <w:color w:val="auto"/>
        </w:rPr>
      </w:pPr>
    </w:p>
    <w:p>
      <w:pPr>
        <w:ind w:left="1300" w:hanging="239"/>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provide any form of credit or financial assistance to, or enter into any non-arms’ length transactions with any of the Group’s affiliates;</w:t>
      </w:r>
    </w:p>
    <w:p>
      <w:pPr>
        <w:spacing w:after="0" w:line="20" w:lineRule="exact"/>
        <w:rPr>
          <w:rFonts w:ascii="Arial" w:cs="Arial" w:eastAsia="Arial" w:hAnsi="Arial"/>
          <w:sz w:val="17"/>
          <w:szCs w:val="17"/>
          <w:color w:val="auto"/>
        </w:rPr>
      </w:pPr>
    </w:p>
    <w:p>
      <w:pPr>
        <w:ind w:left="1300" w:hanging="239"/>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sell or otherwise dispose of assets, including GasLog’s ships;</w:t>
      </w:r>
    </w:p>
    <w:p>
      <w:pPr>
        <w:spacing w:after="0" w:line="9" w:lineRule="exact"/>
        <w:rPr>
          <w:rFonts w:ascii="Arial" w:cs="Arial" w:eastAsia="Arial" w:hAnsi="Arial"/>
          <w:sz w:val="18"/>
          <w:szCs w:val="18"/>
          <w:color w:val="auto"/>
        </w:rPr>
      </w:pPr>
    </w:p>
    <w:p>
      <w:pPr>
        <w:ind w:left="1300" w:hanging="239"/>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engage in merger transactions;</w:t>
      </w:r>
    </w:p>
    <w:p>
      <w:pPr>
        <w:spacing w:after="0" w:line="9" w:lineRule="exact"/>
        <w:rPr>
          <w:rFonts w:ascii="Arial" w:cs="Arial" w:eastAsia="Arial" w:hAnsi="Arial"/>
          <w:sz w:val="18"/>
          <w:szCs w:val="18"/>
          <w:color w:val="auto"/>
        </w:rPr>
      </w:pPr>
    </w:p>
    <w:p>
      <w:pPr>
        <w:ind w:left="1300" w:hanging="239"/>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terminate or amend any charter;</w:t>
      </w:r>
    </w:p>
    <w:p>
      <w:pPr>
        <w:spacing w:after="0" w:line="9" w:lineRule="exact"/>
        <w:rPr>
          <w:rFonts w:ascii="Arial" w:cs="Arial" w:eastAsia="Arial" w:hAnsi="Arial"/>
          <w:sz w:val="18"/>
          <w:szCs w:val="18"/>
          <w:color w:val="auto"/>
        </w:rPr>
      </w:pPr>
    </w:p>
    <w:p>
      <w:pPr>
        <w:ind w:left="1300" w:hanging="239"/>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 the manager of our ships; or</w:t>
      </w:r>
    </w:p>
    <w:p>
      <w:pPr>
        <w:spacing w:after="0" w:line="9" w:lineRule="exact"/>
        <w:rPr>
          <w:rFonts w:ascii="Arial" w:cs="Arial" w:eastAsia="Arial" w:hAnsi="Arial"/>
          <w:sz w:val="18"/>
          <w:szCs w:val="18"/>
          <w:color w:val="auto"/>
        </w:rPr>
      </w:pPr>
    </w:p>
    <w:p>
      <w:pPr>
        <w:ind w:left="1300" w:hanging="239"/>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acquire assets, make investments or enter into any joint venture arrangements outside of the ordinary course of business.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Legacy Facility Re-financing also imposes specified financial covenants that apply to GasLog and its subsidiaries on a consolidated basis.</w:t>
      </w:r>
    </w:p>
    <w:p>
      <w:pPr>
        <w:spacing w:after="0" w:line="237" w:lineRule="exact"/>
        <w:rPr>
          <w:sz w:val="20"/>
          <w:szCs w:val="20"/>
          <w:color w:val="auto"/>
        </w:rPr>
      </w:pPr>
    </w:p>
    <w:p>
      <w:pPr>
        <w:ind w:left="1300" w:hanging="239"/>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3" w:lineRule="exact"/>
        <w:rPr>
          <w:rFonts w:ascii="Arial" w:cs="Arial" w:eastAsia="Arial" w:hAnsi="Arial"/>
          <w:sz w:val="18"/>
          <w:szCs w:val="18"/>
          <w:color w:val="auto"/>
        </w:rPr>
      </w:pPr>
    </w:p>
    <w:p>
      <w:pPr>
        <w:ind w:left="1300" w:hanging="239"/>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9" w:lineRule="exact"/>
        <w:rPr>
          <w:rFonts w:ascii="Arial" w:cs="Arial" w:eastAsia="Arial" w:hAnsi="Arial"/>
          <w:sz w:val="18"/>
          <w:szCs w:val="18"/>
          <w:color w:val="auto"/>
        </w:rPr>
      </w:pPr>
    </w:p>
    <w:p>
      <w:pPr>
        <w:ind w:left="1300" w:right="220" w:hanging="239"/>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(including interest and debt repayments) on a trailing 12 months basis must be not less than 110.0%;</w:t>
      </w:r>
    </w:p>
    <w:p>
      <w:pPr>
        <w:ind w:left="1300" w:right="360" w:hanging="239"/>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3.0% of total indebtedness and $50.0 million;</w:t>
      </w:r>
    </w:p>
    <w:p>
      <w:pPr>
        <w:ind w:left="1300" w:right="640" w:hanging="239"/>
        <w:spacing w:after="0" w:line="281"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GasLog is permitted to pay dividends, provided that it holds unencumbered cash and cash equivalents equal to at least 4.0% of total indebtedness, subject to no event of default having occurred or occurring as a consequence of the payment of such dividends; and</w:t>
      </w:r>
    </w:p>
    <w:p>
      <w:pPr>
        <w:spacing w:after="0" w:line="1" w:lineRule="exact"/>
        <w:rPr>
          <w:rFonts w:ascii="Arial" w:cs="Arial" w:eastAsia="Arial" w:hAnsi="Arial"/>
          <w:sz w:val="16"/>
          <w:szCs w:val="16"/>
          <w:color w:val="auto"/>
        </w:rPr>
      </w:pPr>
    </w:p>
    <w:p>
      <w:pPr>
        <w:ind w:left="1300" w:hanging="239"/>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GasLog’s market value adjusted net worth must at all times be not less than $350.0 million.</w:t>
      </w:r>
    </w:p>
    <w:p>
      <w:pPr>
        <w:sectPr>
          <w:pgSz w:w="11900" w:h="16838" w:orient="portrait"/>
          <w:cols w:equalWidth="0" w:num="1">
            <w:col w:w="11420"/>
          </w:cols>
          <w:pgMar w:left="240" w:top="409" w:right="2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type w:val="continuous"/>
        </w:sectPr>
      </w:pPr>
    </w:p>
    <w:bookmarkStart w:id="24" w:name="page25"/>
    <w:bookmarkEnd w:id="24"/>
    <w:p>
      <w:pPr>
        <w:ind w:right="80" w:firstLine="486"/>
        <w:spacing w:after="0" w:line="286" w:lineRule="auto"/>
        <w:rPr>
          <w:sz w:val="20"/>
          <w:szCs w:val="20"/>
          <w:color w:val="auto"/>
        </w:rPr>
      </w:pPr>
      <w:r>
        <w:rPr>
          <w:rFonts w:ascii="Arial" w:cs="Arial" w:eastAsia="Arial" w:hAnsi="Arial"/>
          <w:sz w:val="17"/>
          <w:szCs w:val="17"/>
          <w:color w:val="auto"/>
        </w:rPr>
        <w:t>The Legacy Facility Re-financing also imposes certain customary restrictions relating to GasLog and its subsidiaries, including restrictions that limit GasLog’s ability to make any substantial change in the nature of its business or to engage in transactions that would constitute a change of control, as defined in the Legacy Facility Re-financing, without repaying all of GasLog’s indebtedness under the Legacy Facility Re-financing in full.</w:t>
      </w:r>
    </w:p>
    <w:p>
      <w:pPr>
        <w:spacing w:after="0" w:line="166"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The Legacy Facility Re-financing contains customary events of default, including non-payment of principal or interest, breach of covenants or material inaccuracy of representations, default under other material indebtedness and bankruptcy. In addition, it contains covenants requiring GasLog to maintain the aggregate of (i) the market value, on a charter exclusive basis, of the mortgaged vessels and (ii) the market value of any additional security provided to the lenders at any time at not less than 120.0% of the then outstanding amount plus any undrawn amounts under the applicable facilities. If we fail to comply with these covenants and are not able to obtain covenant waivers or modifications, the lenders could require us to make prepayments or provide additional collateral sufficient to bring us into compliance with such covenants, and if we fail to do so our lenders could accelerate our indebtedness.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Position</w:t>
      </w:r>
    </w:p>
    <w:p>
      <w:pPr>
        <w:spacing w:after="0" w:line="229" w:lineRule="exact"/>
        <w:rPr>
          <w:sz w:val="20"/>
          <w:szCs w:val="20"/>
          <w:color w:val="auto"/>
        </w:rPr>
      </w:pPr>
    </w:p>
    <w:p>
      <w:pPr>
        <w:ind w:right="40" w:firstLine="383"/>
        <w:spacing w:after="0" w:line="264" w:lineRule="auto"/>
        <w:rPr>
          <w:sz w:val="20"/>
          <w:szCs w:val="20"/>
          <w:color w:val="auto"/>
        </w:rPr>
      </w:pPr>
      <w:r>
        <w:rPr>
          <w:rFonts w:ascii="Arial" w:cs="Arial" w:eastAsia="Arial" w:hAnsi="Arial"/>
          <w:sz w:val="18"/>
          <w:szCs w:val="18"/>
          <w:color w:val="auto"/>
        </w:rPr>
        <w:t>As of June 30, 2016, GasLog’s current assets totalled $237.04 million while current liabilities totalled $268.86 million, resulting in a negative working capital position of $31.82 million. Current liabilities include $35.07 million of time charter hires received in advance that are classified as liabilities until such time as the criteria for recognizing the revenue as earned are met.</w:t>
      </w:r>
    </w:p>
    <w:p>
      <w:pPr>
        <w:spacing w:after="0" w:line="181" w:lineRule="exact"/>
        <w:rPr>
          <w:sz w:val="20"/>
          <w:szCs w:val="20"/>
          <w:color w:val="auto"/>
        </w:rPr>
      </w:pPr>
    </w:p>
    <w:p>
      <w:pPr>
        <w:ind w:right="60" w:firstLine="383"/>
        <w:spacing w:after="0" w:line="264" w:lineRule="auto"/>
        <w:rPr>
          <w:sz w:val="20"/>
          <w:szCs w:val="20"/>
          <w:color w:val="auto"/>
        </w:rPr>
      </w:pPr>
      <w:r>
        <w:rPr>
          <w:rFonts w:ascii="Arial" w:cs="Arial" w:eastAsia="Arial" w:hAnsi="Arial"/>
          <w:sz w:val="18"/>
          <w:szCs w:val="18"/>
          <w:color w:val="auto"/>
        </w:rPr>
        <w:t>Taking into account generally expected market conditions, we anticipate that cash flow generated from operations will be sufficient to fund our operations, including our working capital requirements, and to make all other required principal and interest payments on our indebtedness during the next 12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Six-month period ended June 30, 2015 compared to the six-month period ended June 30, 2016</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net cash flows from operating, investing and financing activities for the periods indicated:</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50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8"/>
              </w:rPr>
              <w:t>For the six months ended</w:t>
            </w:r>
          </w:p>
        </w:tc>
      </w:tr>
      <w:tr>
        <w:trPr>
          <w:trHeight w:val="234"/>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30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June 30, 2015</w:t>
            </w:r>
          </w:p>
        </w:tc>
        <w:tc>
          <w:tcPr>
            <w:tcW w:w="12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9"/>
              </w:rPr>
              <w:t>June 30, 2016</w:t>
            </w:r>
          </w:p>
        </w:tc>
      </w:tr>
      <w:tr>
        <w:trPr>
          <w:trHeight w:val="210"/>
        </w:trPr>
        <w:tc>
          <w:tcPr>
            <w:tcW w:w="20" w:type="dxa"/>
            <w:vAlign w:val="bottom"/>
          </w:tcPr>
          <w:p>
            <w:pPr>
              <w:spacing w:after="0"/>
              <w:rPr>
                <w:sz w:val="18"/>
                <w:szCs w:val="18"/>
                <w:color w:val="auto"/>
              </w:rPr>
            </w:pPr>
          </w:p>
        </w:tc>
        <w:tc>
          <w:tcPr>
            <w:tcW w:w="47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i w:val="1"/>
                <w:iCs w:val="1"/>
                <w:color w:val="auto"/>
              </w:rPr>
              <w:t>Amounts in thousands of U.S. Dollars</w:t>
            </w:r>
          </w:p>
        </w:tc>
        <w:tc>
          <w:tcPr>
            <w:tcW w:w="1840" w:type="dxa"/>
            <w:vAlign w:val="bottom"/>
            <w:tcBorders>
              <w:top w:val="single" w:sz="8" w:color="E5FFFF"/>
            </w:tcBorders>
            <w:shd w:val="clear" w:color="auto" w:fill="E5FFFF"/>
          </w:tcPr>
          <w:p>
            <w:pPr>
              <w:spacing w:after="0"/>
              <w:rPr>
                <w:sz w:val="18"/>
                <w:szCs w:val="18"/>
                <w:color w:val="auto"/>
              </w:rPr>
            </w:pPr>
          </w:p>
        </w:tc>
        <w:tc>
          <w:tcPr>
            <w:tcW w:w="1040" w:type="dxa"/>
            <w:vAlign w:val="bottom"/>
            <w:tcBorders>
              <w:top w:val="single" w:sz="8" w:color="auto"/>
            </w:tcBorders>
            <w:shd w:val="clear" w:color="auto" w:fill="E5FFFF"/>
          </w:tcPr>
          <w:p>
            <w:pPr>
              <w:spacing w:after="0"/>
              <w:rPr>
                <w:sz w:val="18"/>
                <w:szCs w:val="18"/>
                <w:color w:val="auto"/>
              </w:rPr>
            </w:pPr>
          </w:p>
        </w:tc>
        <w:tc>
          <w:tcPr>
            <w:tcW w:w="20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E5FFFF"/>
            </w:tcBorders>
            <w:shd w:val="clear" w:color="auto" w:fill="E5FFFF"/>
          </w:tcPr>
          <w:p>
            <w:pPr>
              <w:spacing w:after="0"/>
              <w:rPr>
                <w:sz w:val="18"/>
                <w:szCs w:val="18"/>
                <w:color w:val="auto"/>
              </w:rPr>
            </w:pPr>
          </w:p>
        </w:tc>
        <w:tc>
          <w:tcPr>
            <w:tcW w:w="1040" w:type="dxa"/>
            <w:vAlign w:val="bottom"/>
            <w:tcBorders>
              <w:top w:val="single" w:sz="8" w:color="auto"/>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77,961</w:t>
            </w:r>
          </w:p>
        </w:tc>
        <w:tc>
          <w:tcPr>
            <w:tcW w:w="2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119,287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E5FFFF"/>
          </w:tcPr>
          <w:p>
            <w:pPr>
              <w:spacing w:after="0"/>
              <w:rPr>
                <w:sz w:val="20"/>
                <w:szCs w:val="20"/>
                <w:color w:val="auto"/>
              </w:rPr>
            </w:pPr>
            <w:r>
              <w:rPr>
                <w:rFonts w:ascii="Arial" w:cs="Arial" w:eastAsia="Arial" w:hAnsi="Arial"/>
                <w:sz w:val="18"/>
                <w:szCs w:val="18"/>
                <w:color w:val="auto"/>
              </w:rPr>
              <w:t>Net cash used in investing activities</w:t>
            </w:r>
          </w:p>
        </w:tc>
        <w:tc>
          <w:tcPr>
            <w:tcW w:w="3080" w:type="dxa"/>
            <w:vAlign w:val="bottom"/>
            <w:gridSpan w:val="3"/>
            <w:shd w:val="clear" w:color="auto" w:fill="E5FFFF"/>
          </w:tcPr>
          <w:p>
            <w:pPr>
              <w:jc w:val="right"/>
              <w:ind w:right="160"/>
              <w:spacing w:after="0"/>
              <w:rPr>
                <w:sz w:val="20"/>
                <w:szCs w:val="20"/>
                <w:color w:val="auto"/>
              </w:rPr>
            </w:pPr>
            <w:r>
              <w:rPr>
                <w:rFonts w:ascii="Arial" w:cs="Arial" w:eastAsia="Arial" w:hAnsi="Arial"/>
                <w:sz w:val="18"/>
                <w:szCs w:val="18"/>
                <w:color w:val="auto"/>
              </w:rPr>
              <w:t>(651,903)</w:t>
            </w:r>
          </w:p>
        </w:tc>
        <w:tc>
          <w:tcPr>
            <w:tcW w:w="1260" w:type="dxa"/>
            <w:vAlign w:val="bottom"/>
            <w:gridSpan w:val="3"/>
            <w:shd w:val="clear" w:color="auto" w:fill="E5FFFF"/>
          </w:tcPr>
          <w:p>
            <w:pPr>
              <w:jc w:val="right"/>
              <w:ind w:right="20"/>
              <w:spacing w:after="0"/>
              <w:rPr>
                <w:sz w:val="20"/>
                <w:szCs w:val="20"/>
                <w:color w:val="auto"/>
              </w:rPr>
            </w:pPr>
            <w:r>
              <w:rPr>
                <w:rFonts w:ascii="Arial" w:cs="Arial" w:eastAsia="Arial" w:hAnsi="Arial"/>
                <w:sz w:val="18"/>
                <w:szCs w:val="18"/>
                <w:color w:val="auto"/>
              </w:rPr>
              <w:t>(382,697)</w:t>
            </w:r>
          </w:p>
        </w:tc>
      </w:t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783,835</w:t>
            </w:r>
          </w:p>
        </w:tc>
        <w:tc>
          <w:tcPr>
            <w:tcW w:w="2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153,142</w:t>
            </w:r>
          </w:p>
        </w:tc>
        <w:tc>
          <w:tcPr>
            <w:tcW w:w="80" w:type="dxa"/>
            <w:vAlign w:val="bottom"/>
          </w:tcPr>
          <w:p>
            <w:pPr>
              <w:spacing w:after="0"/>
              <w:rPr>
                <w:sz w:val="20"/>
                <w:szCs w:val="20"/>
                <w:color w:val="auto"/>
              </w:rPr>
            </w:pPr>
          </w:p>
        </w:tc>
      </w:tr>
    </w:tbl>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ind w:right="60" w:firstLine="356"/>
        <w:spacing w:after="0" w:line="276" w:lineRule="auto"/>
        <w:rPr>
          <w:sz w:val="20"/>
          <w:szCs w:val="20"/>
          <w:color w:val="auto"/>
        </w:rPr>
      </w:pPr>
      <w:r>
        <w:rPr>
          <w:rFonts w:ascii="Arial" w:cs="Arial" w:eastAsia="Arial" w:hAnsi="Arial"/>
          <w:sz w:val="17"/>
          <w:szCs w:val="17"/>
          <w:color w:val="auto"/>
        </w:rPr>
        <w:t>Net cash provided by operating activities increased by $41.33 million, from $77.96 million during the six-month period ended June 30, 2015, to $119.29 million in the six-month period ended June 30, 2016. The increase was due to an increase of $39.31 million in revenue collections, a decrease of $30.36 million in payments for cash collaterals, a decrease of $0.68 million in realized losses on interest rate swaps held for trading, which was partially offset by an increase of $22.35 million in payments for general and administrative expenses, operating expenses and inventories, an increase of $3.48 million in cash paid for interest and an increase in payments to ship management creditors amounting to $3.19 million.</w:t>
      </w:r>
    </w:p>
    <w:p>
      <w:pPr>
        <w:spacing w:after="0" w:line="17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ind w:right="260" w:firstLine="356"/>
        <w:spacing w:after="0" w:line="257" w:lineRule="auto"/>
        <w:rPr>
          <w:sz w:val="20"/>
          <w:szCs w:val="20"/>
          <w:color w:val="auto"/>
        </w:rPr>
      </w:pPr>
      <w:r>
        <w:rPr>
          <w:rFonts w:ascii="Arial" w:cs="Arial" w:eastAsia="Arial" w:hAnsi="Arial"/>
          <w:sz w:val="18"/>
          <w:szCs w:val="18"/>
          <w:color w:val="auto"/>
        </w:rPr>
        <w:t>Net cash used in investing activities decreased by $269.20 million, from $651.90 million in the six-month period ended June 30, 2015, to $382.70 million in the six-month period ended June 30, 2016. The decrease is attributable to a $288.93 million decrease in payments for the construction costs of newbuildings and the acquisition of secondhand vessels and a $0.19 million increase in cash from interest income, which was partially offset by a net decrease in short-term investments of $19.42 million and a $0.50 million decrease in dividends and return of contributed capital received from Egypt LNG Services Ltd.</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provided by financing activities decreased by $630.70 million, from $783.84 million in the six-month period ended June 30, 2015, to $153.14</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million in the six-month period ended June 30, 2016. The decrease is mainly attributable to an increase in bank loan repayments of $948.74 million,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decrease of $284.26 million in proceeds from equity offerings (in 2015, we received $111.38 million net proceeds from the preferred stock issuance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$172.88 million, net proceeds from GasLog Partners’ public offering), payments for CCS termination/modification and the NOK bond re-purchase of $34.11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an increase in payments of loan issuance costs of $16.02 million, an increase of $11.09 million in dividend payments and an increase of $0.71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payments for our vessel held under a finance lease, which was partially offset by an increase of $385.28 million in proceeds from our borrowings, proceeds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the sale and finance leaseback of $217.00 million, an increase in the movement of restricted cash of $60.90 million and a decrease of $1.05 million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payments of equity raising costs .</w:t>
      </w:r>
    </w:p>
    <w:p>
      <w:pPr>
        <w:sectPr>
          <w:pgSz w:w="11900" w:h="16838" w:orient="portrait"/>
          <w:cols w:equalWidth="0" w:num="1">
            <w:col w:w="11420"/>
          </w:cols>
          <w:pgMar w:left="240" w:top="409" w:right="2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Contracted Charter Revenues and Days from Time Charters</w:t>
      </w:r>
    </w:p>
    <w:p>
      <w:pPr>
        <w:spacing w:after="0" w:line="229" w:lineRule="exact"/>
        <w:rPr>
          <w:sz w:val="20"/>
          <w:szCs w:val="20"/>
          <w:color w:val="auto"/>
        </w:rPr>
      </w:pPr>
    </w:p>
    <w:p>
      <w:pPr>
        <w:ind w:firstLine="356"/>
        <w:spacing w:after="0" w:line="308" w:lineRule="auto"/>
        <w:rPr>
          <w:sz w:val="20"/>
          <w:szCs w:val="20"/>
          <w:color w:val="auto"/>
        </w:rPr>
      </w:pPr>
      <w:r>
        <w:rPr>
          <w:rFonts w:ascii="Arial" w:cs="Arial" w:eastAsia="Arial" w:hAnsi="Arial"/>
          <w:sz w:val="17"/>
          <w:szCs w:val="17"/>
          <w:color w:val="auto"/>
        </w:rPr>
        <w:t>The following table summarizes GasLog’s (including the vessels contributed or sold to GasLog Partners) contracted charter revenues and vessel utilization as of June 30, 2016, without giving effect to the seven-year charter contract of Hull No. 2801 to Total which was secured in July 2016.</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160" w:type="dxa"/>
            <w:vAlign w:val="bottom"/>
            <w:gridSpan w:val="2"/>
            <w:vMerge w:val="restart"/>
          </w:tcPr>
          <w:p>
            <w:pPr>
              <w:jc w:val="center"/>
              <w:ind w:right="420"/>
              <w:spacing w:after="0"/>
              <w:rPr>
                <w:sz w:val="20"/>
                <w:szCs w:val="20"/>
                <w:color w:val="auto"/>
              </w:rPr>
            </w:pPr>
            <w:r>
              <w:rPr>
                <w:rFonts w:ascii="Arial" w:cs="Arial" w:eastAsia="Arial" w:hAnsi="Arial"/>
                <w:sz w:val="18"/>
                <w:szCs w:val="18"/>
                <w:b w:val="1"/>
                <w:bCs w:val="1"/>
                <w:color w:val="auto"/>
                <w:w w:val="93"/>
              </w:rPr>
              <w:t>On and</w:t>
            </w:r>
          </w:p>
        </w:tc>
        <w:tc>
          <w:tcPr>
            <w:tcW w:w="5440" w:type="dxa"/>
            <w:vAlign w:val="bottom"/>
            <w:gridSpan w:val="5"/>
          </w:tcPr>
          <w:p>
            <w:pPr>
              <w:jc w:val="right"/>
              <w:ind w:right="470"/>
              <w:spacing w:after="0"/>
              <w:rPr>
                <w:sz w:val="20"/>
                <w:szCs w:val="20"/>
                <w:color w:val="auto"/>
              </w:rPr>
            </w:pPr>
            <w:r>
              <w:rPr>
                <w:rFonts w:ascii="Arial" w:cs="Arial" w:eastAsia="Arial" w:hAnsi="Arial"/>
                <w:sz w:val="18"/>
                <w:szCs w:val="18"/>
                <w:b w:val="1"/>
                <w:bCs w:val="1"/>
                <w:color w:val="auto"/>
                <w:w w:val="95"/>
              </w:rPr>
              <w:t>Contracted Charter Revenues and Days from Time Charters</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7"/>
              </w:rPr>
              <w:t>after</w:t>
            </w: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July 1,</w:t>
            </w:r>
          </w:p>
        </w:tc>
        <w:tc>
          <w:tcPr>
            <w:tcW w:w="1020" w:type="dxa"/>
            <w:vAlign w:val="bottom"/>
          </w:tcPr>
          <w:p>
            <w:pPr>
              <w:spacing w:after="0"/>
              <w:rPr>
                <w:sz w:val="20"/>
                <w:szCs w:val="20"/>
                <w:color w:val="auto"/>
              </w:rPr>
            </w:pPr>
          </w:p>
        </w:tc>
        <w:tc>
          <w:tcPr>
            <w:tcW w:w="442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For the years ending December 31,</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38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3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2021-2029</w:t>
            </w:r>
          </w:p>
        </w:tc>
        <w:tc>
          <w:tcPr>
            <w:tcW w:w="8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40" w:type="dxa"/>
            <w:vAlign w:val="bottom"/>
            <w:gridSpan w:val="5"/>
          </w:tcPr>
          <w:p>
            <w:pPr>
              <w:jc w:val="right"/>
              <w:ind w:right="570"/>
              <w:spacing w:after="0"/>
              <w:rPr>
                <w:sz w:val="20"/>
                <w:szCs w:val="20"/>
                <w:color w:val="auto"/>
              </w:rPr>
            </w:pPr>
            <w:r>
              <w:rPr>
                <w:rFonts w:ascii="Arial" w:cs="Arial" w:eastAsia="Arial" w:hAnsi="Arial"/>
                <w:sz w:val="18"/>
                <w:szCs w:val="18"/>
                <w:b w:val="1"/>
                <w:bCs w:val="1"/>
                <w:color w:val="auto"/>
                <w:w w:val="97"/>
              </w:rPr>
              <w:t>(in millions of U.S. dollars, except days and percentages)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860" w:type="dxa"/>
            <w:vAlign w:val="bottom"/>
            <w:gridSpan w:val="2"/>
            <w:shd w:val="clear" w:color="auto" w:fill="E5FFFF"/>
          </w:tcPr>
          <w:p>
            <w:pPr>
              <w:spacing w:after="0" w:line="256" w:lineRule="exact"/>
              <w:rPr>
                <w:sz w:val="20"/>
                <w:szCs w:val="20"/>
                <w:color w:val="auto"/>
              </w:rPr>
            </w:pPr>
            <w:r>
              <w:rPr>
                <w:rFonts w:ascii="Arial" w:cs="Arial" w:eastAsia="Arial" w:hAnsi="Arial"/>
                <w:sz w:val="18"/>
                <w:szCs w:val="18"/>
                <w:color w:val="auto"/>
              </w:rPr>
              <w:t>Contracted time charter revenues</w:t>
            </w:r>
            <w:r>
              <w:rPr>
                <w:rFonts w:ascii="Arial" w:cs="Arial" w:eastAsia="Arial" w:hAnsi="Arial"/>
                <w:sz w:val="29"/>
                <w:szCs w:val="29"/>
                <w:color w:val="auto"/>
                <w:vertAlign w:val="superscript"/>
              </w:rPr>
              <w:t>(1)</w:t>
            </w:r>
          </w:p>
        </w:tc>
        <w:tc>
          <w:tcPr>
            <w:tcW w:w="116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240.50</w:t>
            </w:r>
          </w:p>
        </w:tc>
        <w:tc>
          <w:tcPr>
            <w:tcW w:w="1020" w:type="dxa"/>
            <w:vAlign w:val="bottom"/>
            <w:shd w:val="clear" w:color="auto" w:fill="E5FFFF"/>
          </w:tcPr>
          <w:p>
            <w:pPr>
              <w:jc w:val="right"/>
              <w:ind w:right="250"/>
              <w:spacing w:after="0"/>
              <w:rPr>
                <w:sz w:val="20"/>
                <w:szCs w:val="20"/>
                <w:color w:val="auto"/>
              </w:rPr>
            </w:pPr>
            <w:r>
              <w:rPr>
                <w:rFonts w:ascii="Arial" w:cs="Arial" w:eastAsia="Arial" w:hAnsi="Arial"/>
                <w:sz w:val="18"/>
                <w:szCs w:val="18"/>
                <w:color w:val="auto"/>
              </w:rPr>
              <w:t>482.92</w:t>
            </w:r>
          </w:p>
        </w:tc>
        <w:tc>
          <w:tcPr>
            <w:tcW w:w="1060" w:type="dxa"/>
            <w:vAlign w:val="bottom"/>
            <w:shd w:val="clear" w:color="auto" w:fill="E5FFFF"/>
          </w:tcPr>
          <w:p>
            <w:pPr>
              <w:jc w:val="right"/>
              <w:ind w:right="270"/>
              <w:spacing w:after="0"/>
              <w:rPr>
                <w:sz w:val="20"/>
                <w:szCs w:val="20"/>
                <w:color w:val="auto"/>
              </w:rPr>
            </w:pPr>
            <w:r>
              <w:rPr>
                <w:rFonts w:ascii="Arial" w:cs="Arial" w:eastAsia="Arial" w:hAnsi="Arial"/>
                <w:sz w:val="18"/>
                <w:szCs w:val="18"/>
                <w:color w:val="auto"/>
              </w:rPr>
              <w:t>453.45</w:t>
            </w:r>
          </w:p>
        </w:tc>
        <w:tc>
          <w:tcPr>
            <w:tcW w:w="1040" w:type="dxa"/>
            <w:vAlign w:val="bottom"/>
            <w:shd w:val="clear" w:color="auto" w:fill="E5FFFF"/>
          </w:tcPr>
          <w:p>
            <w:pPr>
              <w:jc w:val="right"/>
              <w:ind w:right="250"/>
              <w:spacing w:after="0"/>
              <w:rPr>
                <w:sz w:val="20"/>
                <w:szCs w:val="20"/>
                <w:color w:val="auto"/>
              </w:rPr>
            </w:pPr>
            <w:r>
              <w:rPr>
                <w:rFonts w:ascii="Arial" w:cs="Arial" w:eastAsia="Arial" w:hAnsi="Arial"/>
                <w:sz w:val="18"/>
                <w:szCs w:val="18"/>
                <w:color w:val="auto"/>
              </w:rPr>
              <w:t>455.74</w:t>
            </w:r>
          </w:p>
        </w:tc>
        <w:tc>
          <w:tcPr>
            <w:tcW w:w="1000" w:type="dxa"/>
            <w:vAlign w:val="bottom"/>
            <w:shd w:val="clear" w:color="auto" w:fill="E5FFFF"/>
          </w:tcPr>
          <w:p>
            <w:pPr>
              <w:jc w:val="right"/>
              <w:ind w:right="190"/>
              <w:spacing w:after="0"/>
              <w:rPr>
                <w:sz w:val="20"/>
                <w:szCs w:val="20"/>
                <w:color w:val="auto"/>
              </w:rPr>
            </w:pPr>
            <w:r>
              <w:rPr>
                <w:rFonts w:ascii="Arial" w:cs="Arial" w:eastAsia="Arial" w:hAnsi="Arial"/>
                <w:sz w:val="18"/>
                <w:szCs w:val="18"/>
                <w:color w:val="auto"/>
              </w:rPr>
              <w:t>396.08</w:t>
            </w:r>
          </w:p>
        </w:tc>
        <w:tc>
          <w:tcPr>
            <w:tcW w:w="1320" w:type="dxa"/>
            <w:vAlign w:val="bottom"/>
            <w:shd w:val="clear" w:color="auto" w:fill="E5FFFF"/>
          </w:tcPr>
          <w:p>
            <w:pPr>
              <w:jc w:val="right"/>
              <w:ind w:right="230"/>
              <w:spacing w:after="0"/>
              <w:rPr>
                <w:sz w:val="20"/>
                <w:szCs w:val="20"/>
                <w:color w:val="auto"/>
              </w:rPr>
            </w:pPr>
            <w:r>
              <w:rPr>
                <w:rFonts w:ascii="Arial" w:cs="Arial" w:eastAsia="Arial" w:hAnsi="Arial"/>
                <w:sz w:val="18"/>
                <w:szCs w:val="18"/>
                <w:color w:val="auto"/>
              </w:rPr>
              <w:t>1,433.75</w:t>
            </w:r>
          </w:p>
        </w:tc>
        <w:tc>
          <w:tcPr>
            <w:tcW w:w="96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3,462.44</w:t>
            </w:r>
          </w:p>
        </w:tc>
        <w:tc>
          <w:tcPr>
            <w:tcW w:w="0" w:type="dxa"/>
            <w:vAlign w:val="bottom"/>
          </w:tcPr>
          <w:p>
            <w:pPr>
              <w:spacing w:after="0"/>
              <w:rPr>
                <w:sz w:val="1"/>
                <w:szCs w:val="1"/>
                <w:color w:val="auto"/>
              </w:rPr>
            </w:pPr>
          </w:p>
        </w:tc>
      </w:tr>
      <w:tr>
        <w:trPr>
          <w:trHeight w:val="257"/>
        </w:trPr>
        <w:tc>
          <w:tcPr>
            <w:tcW w:w="3860" w:type="dxa"/>
            <w:vAlign w:val="bottom"/>
            <w:gridSpan w:val="2"/>
          </w:tcPr>
          <w:p>
            <w:pPr>
              <w:spacing w:after="0" w:line="256" w:lineRule="exact"/>
              <w:rPr>
                <w:sz w:val="20"/>
                <w:szCs w:val="20"/>
                <w:color w:val="auto"/>
              </w:rPr>
            </w:pPr>
            <w:r>
              <w:rPr>
                <w:rFonts w:ascii="Arial" w:cs="Arial" w:eastAsia="Arial" w:hAnsi="Arial"/>
                <w:sz w:val="18"/>
                <w:szCs w:val="18"/>
                <w:color w:val="auto"/>
              </w:rPr>
              <w:t>Total contracted days</w:t>
            </w:r>
            <w:r>
              <w:rPr>
                <w:rFonts w:ascii="Arial" w:cs="Arial" w:eastAsia="Arial" w:hAnsi="Arial"/>
                <w:sz w:val="29"/>
                <w:szCs w:val="29"/>
                <w:color w:val="auto"/>
                <w:vertAlign w:val="superscript"/>
              </w:rPr>
              <w:t>(1)</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3,254</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6,417</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6,015</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5,977</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5,006</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17,182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43,851</w:t>
            </w:r>
          </w:p>
        </w:tc>
        <w:tc>
          <w:tcPr>
            <w:tcW w:w="0" w:type="dxa"/>
            <w:vAlign w:val="bottom"/>
          </w:tcPr>
          <w:p>
            <w:pPr>
              <w:spacing w:after="0"/>
              <w:rPr>
                <w:sz w:val="1"/>
                <w:szCs w:val="1"/>
                <w:color w:val="auto"/>
              </w:rPr>
            </w:pPr>
          </w:p>
        </w:tc>
      </w:tr>
      <w:tr>
        <w:trPr>
          <w:trHeight w:val="257"/>
        </w:trPr>
        <w:tc>
          <w:tcPr>
            <w:tcW w:w="3860" w:type="dxa"/>
            <w:vAlign w:val="bottom"/>
            <w:gridSpan w:val="2"/>
            <w:shd w:val="clear" w:color="auto" w:fill="E5FFFF"/>
          </w:tcPr>
          <w:p>
            <w:pPr>
              <w:spacing w:after="0" w:line="256" w:lineRule="exact"/>
              <w:rPr>
                <w:sz w:val="20"/>
                <w:szCs w:val="20"/>
                <w:color w:val="auto"/>
              </w:rPr>
            </w:pPr>
            <w:r>
              <w:rPr>
                <w:rFonts w:ascii="Arial" w:cs="Arial" w:eastAsia="Arial" w:hAnsi="Arial"/>
                <w:sz w:val="18"/>
                <w:szCs w:val="18"/>
                <w:color w:val="auto"/>
              </w:rPr>
              <w:t>Total available days</w:t>
            </w:r>
            <w:r>
              <w:rPr>
                <w:rFonts w:ascii="Arial" w:cs="Arial" w:eastAsia="Arial" w:hAnsi="Arial"/>
                <w:sz w:val="29"/>
                <w:szCs w:val="29"/>
                <w:color w:val="auto"/>
                <w:vertAlign w:val="superscript"/>
              </w:rPr>
              <w:t>(2)</w:t>
            </w:r>
          </w:p>
        </w:tc>
        <w:tc>
          <w:tcPr>
            <w:tcW w:w="116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4,019</w:t>
            </w:r>
          </w:p>
        </w:tc>
        <w:tc>
          <w:tcPr>
            <w:tcW w:w="1020" w:type="dxa"/>
            <w:vAlign w:val="bottom"/>
            <w:shd w:val="clear" w:color="auto" w:fill="E5FFFF"/>
          </w:tcPr>
          <w:p>
            <w:pPr>
              <w:jc w:val="right"/>
              <w:ind w:right="250"/>
              <w:spacing w:after="0"/>
              <w:rPr>
                <w:sz w:val="20"/>
                <w:szCs w:val="20"/>
                <w:color w:val="auto"/>
              </w:rPr>
            </w:pPr>
            <w:r>
              <w:rPr>
                <w:rFonts w:ascii="Arial" w:cs="Arial" w:eastAsia="Arial" w:hAnsi="Arial"/>
                <w:sz w:val="18"/>
                <w:szCs w:val="18"/>
                <w:color w:val="auto"/>
              </w:rPr>
              <w:t>8,395</w:t>
            </w:r>
          </w:p>
        </w:tc>
        <w:tc>
          <w:tcPr>
            <w:tcW w:w="1060" w:type="dxa"/>
            <w:vAlign w:val="bottom"/>
            <w:shd w:val="clear" w:color="auto" w:fill="E5FFFF"/>
          </w:tcPr>
          <w:p>
            <w:pPr>
              <w:jc w:val="right"/>
              <w:ind w:right="270"/>
              <w:spacing w:after="0"/>
              <w:rPr>
                <w:sz w:val="20"/>
                <w:szCs w:val="20"/>
                <w:color w:val="auto"/>
              </w:rPr>
            </w:pPr>
            <w:r>
              <w:rPr>
                <w:rFonts w:ascii="Arial" w:cs="Arial" w:eastAsia="Arial" w:hAnsi="Arial"/>
                <w:sz w:val="18"/>
                <w:szCs w:val="18"/>
                <w:color w:val="auto"/>
              </w:rPr>
              <w:t>9,186</w:t>
            </w:r>
          </w:p>
        </w:tc>
        <w:tc>
          <w:tcPr>
            <w:tcW w:w="1040" w:type="dxa"/>
            <w:vAlign w:val="bottom"/>
            <w:shd w:val="clear" w:color="auto" w:fill="E5FFFF"/>
          </w:tcPr>
          <w:p>
            <w:pPr>
              <w:jc w:val="right"/>
              <w:ind w:right="250"/>
              <w:spacing w:after="0"/>
              <w:rPr>
                <w:sz w:val="20"/>
                <w:szCs w:val="20"/>
                <w:color w:val="auto"/>
              </w:rPr>
            </w:pPr>
            <w:r>
              <w:rPr>
                <w:rFonts w:ascii="Arial" w:cs="Arial" w:eastAsia="Arial" w:hAnsi="Arial"/>
                <w:sz w:val="18"/>
                <w:szCs w:val="18"/>
                <w:color w:val="auto"/>
              </w:rPr>
              <w:t>9,734</w:t>
            </w:r>
          </w:p>
        </w:tc>
        <w:tc>
          <w:tcPr>
            <w:tcW w:w="1000" w:type="dxa"/>
            <w:vAlign w:val="bottom"/>
            <w:shd w:val="clear" w:color="auto" w:fill="E5FFFF"/>
          </w:tcPr>
          <w:p>
            <w:pPr>
              <w:jc w:val="right"/>
              <w:ind w:right="190"/>
              <w:spacing w:after="0"/>
              <w:rPr>
                <w:sz w:val="20"/>
                <w:szCs w:val="20"/>
                <w:color w:val="auto"/>
              </w:rPr>
            </w:pPr>
            <w:r>
              <w:rPr>
                <w:rFonts w:ascii="Arial" w:cs="Arial" w:eastAsia="Arial" w:hAnsi="Arial"/>
                <w:sz w:val="18"/>
                <w:szCs w:val="18"/>
                <w:color w:val="auto"/>
              </w:rPr>
              <w:t>9,612</w:t>
            </w:r>
          </w:p>
        </w:tc>
        <w:tc>
          <w:tcPr>
            <w:tcW w:w="1320" w:type="dxa"/>
            <w:vAlign w:val="bottom"/>
            <w:shd w:val="clear" w:color="auto" w:fill="E5FFFF"/>
          </w:tcPr>
          <w:p>
            <w:pPr>
              <w:jc w:val="right"/>
              <w:ind w:right="230"/>
              <w:spacing w:after="0"/>
              <w:rPr>
                <w:sz w:val="20"/>
                <w:szCs w:val="20"/>
                <w:color w:val="auto"/>
              </w:rPr>
            </w:pPr>
            <w:r>
              <w:rPr>
                <w:rFonts w:ascii="Arial" w:cs="Arial" w:eastAsia="Arial" w:hAnsi="Arial"/>
                <w:sz w:val="18"/>
                <w:szCs w:val="18"/>
                <w:color w:val="auto"/>
              </w:rPr>
              <w:t>87,398</w:t>
            </w:r>
          </w:p>
        </w:tc>
        <w:tc>
          <w:tcPr>
            <w:tcW w:w="96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128,344</w:t>
            </w:r>
          </w:p>
        </w:tc>
        <w:tc>
          <w:tcPr>
            <w:tcW w:w="0" w:type="dxa"/>
            <w:vAlign w:val="bottom"/>
          </w:tcPr>
          <w:p>
            <w:pPr>
              <w:spacing w:after="0"/>
              <w:rPr>
                <w:sz w:val="1"/>
                <w:szCs w:val="1"/>
                <w:color w:val="auto"/>
              </w:rPr>
            </w:pPr>
          </w:p>
        </w:tc>
      </w:tr>
      <w:tr>
        <w:trPr>
          <w:trHeight w:val="257"/>
        </w:trPr>
        <w:tc>
          <w:tcPr>
            <w:tcW w:w="3860" w:type="dxa"/>
            <w:vAlign w:val="bottom"/>
            <w:gridSpan w:val="2"/>
          </w:tcPr>
          <w:p>
            <w:pPr>
              <w:spacing w:after="0" w:line="256" w:lineRule="exact"/>
              <w:rPr>
                <w:sz w:val="20"/>
                <w:szCs w:val="20"/>
                <w:color w:val="auto"/>
              </w:rPr>
            </w:pPr>
            <w:r>
              <w:rPr>
                <w:rFonts w:ascii="Arial" w:cs="Arial" w:eastAsia="Arial" w:hAnsi="Arial"/>
                <w:sz w:val="18"/>
                <w:szCs w:val="18"/>
                <w:color w:val="auto"/>
              </w:rPr>
              <w:t>Total unfixed days</w:t>
            </w:r>
            <w:r>
              <w:rPr>
                <w:rFonts w:ascii="Arial" w:cs="Arial" w:eastAsia="Arial" w:hAnsi="Arial"/>
                <w:sz w:val="29"/>
                <w:szCs w:val="29"/>
                <w:color w:val="auto"/>
                <w:vertAlign w:val="superscript"/>
              </w:rPr>
              <w:t>(3)</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765</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1,978</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3,171</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3,757</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4,606</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70,216</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84,493</w:t>
            </w:r>
          </w:p>
        </w:tc>
        <w:tc>
          <w:tcPr>
            <w:tcW w:w="0" w:type="dxa"/>
            <w:vAlign w:val="bottom"/>
          </w:tcPr>
          <w:p>
            <w:pPr>
              <w:spacing w:after="0"/>
              <w:rPr>
                <w:sz w:val="1"/>
                <w:szCs w:val="1"/>
                <w:color w:val="auto"/>
              </w:rPr>
            </w:pPr>
          </w:p>
        </w:tc>
      </w:tr>
      <w:tr>
        <w:trPr>
          <w:trHeight w:val="202"/>
        </w:trPr>
        <w:tc>
          <w:tcPr>
            <w:tcW w:w="386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w w:val="96"/>
              </w:rPr>
              <w:t>Percentage of total contracted days/total available</w:t>
            </w:r>
          </w:p>
        </w:tc>
        <w:tc>
          <w:tcPr>
            <w:tcW w:w="78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106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13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E5FFFF"/>
          </w:tcPr>
          <w:p>
            <w:pPr>
              <w:ind w:left="180"/>
              <w:spacing w:after="0"/>
              <w:rPr>
                <w:sz w:val="20"/>
                <w:szCs w:val="20"/>
                <w:color w:val="auto"/>
              </w:rPr>
            </w:pPr>
            <w:r>
              <w:rPr>
                <w:rFonts w:ascii="Arial" w:cs="Arial" w:eastAsia="Arial" w:hAnsi="Arial"/>
                <w:sz w:val="18"/>
                <w:szCs w:val="18"/>
                <w:color w:val="auto"/>
              </w:rPr>
              <w:t>days</w:t>
            </w:r>
          </w:p>
        </w:tc>
        <w:tc>
          <w:tcPr>
            <w:tcW w:w="11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80.97%</w:t>
            </w:r>
          </w:p>
        </w:tc>
        <w:tc>
          <w:tcPr>
            <w:tcW w:w="1020" w:type="dxa"/>
            <w:vAlign w:val="bottom"/>
            <w:shd w:val="clear" w:color="auto" w:fill="E5FFFF"/>
          </w:tcPr>
          <w:p>
            <w:pPr>
              <w:jc w:val="right"/>
              <w:ind w:right="110"/>
              <w:spacing w:after="0"/>
              <w:rPr>
                <w:sz w:val="20"/>
                <w:szCs w:val="20"/>
                <w:color w:val="auto"/>
              </w:rPr>
            </w:pPr>
            <w:r>
              <w:rPr>
                <w:rFonts w:ascii="Arial" w:cs="Arial" w:eastAsia="Arial" w:hAnsi="Arial"/>
                <w:sz w:val="18"/>
                <w:szCs w:val="18"/>
                <w:color w:val="auto"/>
              </w:rPr>
              <w:t>76.44%</w:t>
            </w:r>
          </w:p>
        </w:tc>
        <w:tc>
          <w:tcPr>
            <w:tcW w:w="1060" w:type="dxa"/>
            <w:vAlign w:val="bottom"/>
            <w:shd w:val="clear" w:color="auto" w:fill="E5FFFF"/>
          </w:tcPr>
          <w:p>
            <w:pPr>
              <w:jc w:val="right"/>
              <w:ind w:right="110"/>
              <w:spacing w:after="0"/>
              <w:rPr>
                <w:sz w:val="20"/>
                <w:szCs w:val="20"/>
                <w:color w:val="auto"/>
              </w:rPr>
            </w:pPr>
            <w:r>
              <w:rPr>
                <w:rFonts w:ascii="Arial" w:cs="Arial" w:eastAsia="Arial" w:hAnsi="Arial"/>
                <w:sz w:val="18"/>
                <w:szCs w:val="18"/>
                <w:color w:val="auto"/>
              </w:rPr>
              <w:t>65.48%</w:t>
            </w:r>
          </w:p>
        </w:tc>
        <w:tc>
          <w:tcPr>
            <w:tcW w:w="1040" w:type="dxa"/>
            <w:vAlign w:val="bottom"/>
            <w:shd w:val="clear" w:color="auto" w:fill="E5FFFF"/>
          </w:tcPr>
          <w:p>
            <w:pPr>
              <w:jc w:val="right"/>
              <w:ind w:right="90"/>
              <w:spacing w:after="0"/>
              <w:rPr>
                <w:sz w:val="20"/>
                <w:szCs w:val="20"/>
                <w:color w:val="auto"/>
              </w:rPr>
            </w:pPr>
            <w:r>
              <w:rPr>
                <w:rFonts w:ascii="Arial" w:cs="Arial" w:eastAsia="Arial" w:hAnsi="Arial"/>
                <w:sz w:val="18"/>
                <w:szCs w:val="18"/>
                <w:color w:val="auto"/>
              </w:rPr>
              <w:t>61.40%</w:t>
            </w:r>
          </w:p>
        </w:tc>
        <w:tc>
          <w:tcPr>
            <w:tcW w:w="1000" w:type="dxa"/>
            <w:vAlign w:val="bottom"/>
            <w:shd w:val="clear" w:color="auto" w:fill="E5FFFF"/>
          </w:tcPr>
          <w:p>
            <w:pPr>
              <w:jc w:val="right"/>
              <w:ind w:right="50"/>
              <w:spacing w:after="0"/>
              <w:rPr>
                <w:sz w:val="20"/>
                <w:szCs w:val="20"/>
                <w:color w:val="auto"/>
              </w:rPr>
            </w:pPr>
            <w:r>
              <w:rPr>
                <w:rFonts w:ascii="Arial" w:cs="Arial" w:eastAsia="Arial" w:hAnsi="Arial"/>
                <w:sz w:val="18"/>
                <w:szCs w:val="18"/>
                <w:color w:val="auto"/>
              </w:rPr>
              <w:t>52.08%</w:t>
            </w:r>
          </w:p>
        </w:tc>
        <w:tc>
          <w:tcPr>
            <w:tcW w:w="1320" w:type="dxa"/>
            <w:vAlign w:val="bottom"/>
            <w:shd w:val="clear" w:color="auto" w:fill="E5FFFF"/>
          </w:tcPr>
          <w:p>
            <w:pPr>
              <w:jc w:val="right"/>
              <w:ind w:right="90"/>
              <w:spacing w:after="0"/>
              <w:rPr>
                <w:sz w:val="20"/>
                <w:szCs w:val="20"/>
                <w:color w:val="auto"/>
              </w:rPr>
            </w:pPr>
            <w:r>
              <w:rPr>
                <w:rFonts w:ascii="Arial" w:cs="Arial" w:eastAsia="Arial" w:hAnsi="Arial"/>
                <w:sz w:val="18"/>
                <w:szCs w:val="18"/>
                <w:color w:val="auto"/>
              </w:rPr>
              <w:t>19.66%</w:t>
            </w:r>
          </w:p>
        </w:tc>
        <w:tc>
          <w:tcPr>
            <w:tcW w:w="9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216"/>
        </w:trPr>
        <w:tc>
          <w:tcPr>
            <w:tcW w:w="1160" w:type="dxa"/>
            <w:vAlign w:val="bottom"/>
            <w:tcBorders>
              <w:bottom w:val="single" w:sz="8" w:color="auto"/>
            </w:tcBorders>
          </w:tcPr>
          <w:p>
            <w:pPr>
              <w:spacing w:after="0"/>
              <w:rPr>
                <w:sz w:val="18"/>
                <w:szCs w:val="18"/>
                <w:color w:val="auto"/>
              </w:rPr>
            </w:pPr>
          </w:p>
        </w:tc>
        <w:tc>
          <w:tcPr>
            <w:tcW w:w="2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40" w:hanging="232"/>
        <w:spacing w:after="0" w:line="241" w:lineRule="auto"/>
        <w:tabs>
          <w:tab w:leader="none" w:pos="240" w:val="left"/>
        </w:tabs>
        <w:numPr>
          <w:ilvl w:val="0"/>
          <w:numId w:val="16"/>
        </w:numPr>
        <w:rPr>
          <w:rFonts w:ascii="Arial" w:cs="Arial" w:eastAsia="Arial" w:hAnsi="Arial"/>
          <w:sz w:val="11"/>
          <w:szCs w:val="11"/>
          <w:color w:val="auto"/>
        </w:rPr>
      </w:pPr>
      <w:r>
        <w:rPr>
          <w:rFonts w:ascii="Arial" w:cs="Arial" w:eastAsia="Arial" w:hAnsi="Arial"/>
          <w:sz w:val="13"/>
          <w:szCs w:val="13"/>
          <w:color w:val="auto"/>
        </w:rPr>
        <w:t xml:space="preserve">Reflects time charter revenues and contracted days for nine of our wholly owned ships, the eight ships owned by the Partnership, the bareboat vessel and five of our six newbuildings on order for which we have secured time charters. Does not include charter revenues for the vessels operating in the spot/short-term market under the Cool Pool agreement and the </w:t>
      </w:r>
      <w:r>
        <w:rPr>
          <w:rFonts w:ascii="Arial" w:cs="Arial" w:eastAsia="Arial" w:hAnsi="Arial"/>
          <w:sz w:val="13"/>
          <w:szCs w:val="13"/>
          <w:i w:val="1"/>
          <w:iCs w:val="1"/>
          <w:color w:val="auto"/>
        </w:rPr>
        <w:t>Methane Nile Eagle</w:t>
      </w:r>
      <w:r>
        <w:rPr>
          <w:rFonts w:ascii="Arial" w:cs="Arial" w:eastAsia="Arial" w:hAnsi="Arial"/>
          <w:sz w:val="13"/>
          <w:szCs w:val="13"/>
          <w:color w:val="auto"/>
        </w:rPr>
        <w:t>, in which we hold a 25% minority interest. Contracted revenue calculations assume: (a) 365 revenue days per annum, with 30 off-hire days when the ship undergoes scheduled drydocking (every five years); (b) all LNG carriers on order are delivered on schedule; and (c) no exercise of any option to extend the terms of charters. For time charters that include a fixed operating cost component subject to annual escalation, revenue calculations include that fixed annual escalation. For time charters that give the charterer the option to set the charter hire rate at prevailing market rates during an initial portion of the time charter’s term, revenue calculations assume that the charterer does not elect such option. Revenue calculations for such charters include an estimate of the amount of the operating cost component and the management fee component.</w:t>
      </w:r>
    </w:p>
    <w:p>
      <w:pPr>
        <w:spacing w:after="0" w:line="1" w:lineRule="exact"/>
        <w:rPr>
          <w:rFonts w:ascii="Arial" w:cs="Arial" w:eastAsia="Arial" w:hAnsi="Arial"/>
          <w:sz w:val="11"/>
          <w:szCs w:val="11"/>
          <w:color w:val="auto"/>
        </w:rPr>
      </w:pPr>
    </w:p>
    <w:p>
      <w:pPr>
        <w:ind w:left="240" w:right="180" w:hanging="232"/>
        <w:spacing w:after="0" w:line="221" w:lineRule="auto"/>
        <w:tabs>
          <w:tab w:leader="none" w:pos="240" w:val="left"/>
        </w:tabs>
        <w:numPr>
          <w:ilvl w:val="0"/>
          <w:numId w:val="16"/>
        </w:numPr>
        <w:rPr>
          <w:rFonts w:ascii="Arial" w:cs="Arial" w:eastAsia="Arial" w:hAnsi="Arial"/>
          <w:sz w:val="12"/>
          <w:szCs w:val="12"/>
          <w:color w:val="auto"/>
        </w:rPr>
      </w:pPr>
      <w:r>
        <w:rPr>
          <w:rFonts w:ascii="Arial" w:cs="Arial" w:eastAsia="Arial" w:hAnsi="Arial"/>
          <w:sz w:val="14"/>
          <w:szCs w:val="14"/>
          <w:color w:val="auto"/>
        </w:rPr>
        <w:t>Available days represent total calendar days after deducting 30 off-hire days when the ship undergoes scheduled drydocking. The available days for the vessels operating in the spot/short-term market are included.</w:t>
      </w:r>
    </w:p>
    <w:p>
      <w:pPr>
        <w:ind w:left="240" w:right="100" w:hanging="232"/>
        <w:spacing w:after="0" w:line="237" w:lineRule="auto"/>
        <w:tabs>
          <w:tab w:leader="none" w:pos="240" w:val="left"/>
        </w:tabs>
        <w:numPr>
          <w:ilvl w:val="0"/>
          <w:numId w:val="16"/>
        </w:numPr>
        <w:rPr>
          <w:rFonts w:ascii="Arial" w:cs="Arial" w:eastAsia="Arial" w:hAnsi="Arial"/>
          <w:sz w:val="12"/>
          <w:szCs w:val="12"/>
          <w:color w:val="auto"/>
        </w:rPr>
      </w:pPr>
      <w:r>
        <w:rPr>
          <w:rFonts w:ascii="Arial" w:cs="Arial" w:eastAsia="Arial" w:hAnsi="Arial"/>
          <w:sz w:val="14"/>
          <w:szCs w:val="14"/>
          <w:color w:val="auto"/>
        </w:rPr>
        <w:t>Represents available days for ships after the expiration of existing charters (assuming charterers do not exercise any option to extend the terms of charters) and the available days for the vessels operating in the spot/short-term market.</w:t>
      </w:r>
    </w:p>
    <w:p>
      <w:pPr>
        <w:spacing w:after="0" w:line="120" w:lineRule="exact"/>
        <w:rPr>
          <w:sz w:val="20"/>
          <w:szCs w:val="20"/>
          <w:color w:val="auto"/>
        </w:rPr>
      </w:pPr>
    </w:p>
    <w:p>
      <w:pPr>
        <w:ind w:right="40" w:firstLine="356"/>
        <w:spacing w:after="0" w:line="285" w:lineRule="auto"/>
        <w:rPr>
          <w:sz w:val="20"/>
          <w:szCs w:val="20"/>
          <w:color w:val="auto"/>
        </w:rPr>
      </w:pPr>
      <w:r>
        <w:rPr>
          <w:rFonts w:ascii="Arial" w:cs="Arial" w:eastAsia="Arial" w:hAnsi="Arial"/>
          <w:sz w:val="16"/>
          <w:szCs w:val="16"/>
          <w:color w:val="auto"/>
        </w:rPr>
        <w:t>The table provides additional information about our contracted charter revenues based on contracts in effect as of June 30, 2016 for the nine ships in our wholly owned fleet, the eight ships in the GasLog Partners’ fleet for which we have secured time charters, the bareboat vessel and six of our newbuildings on order. The table reflects only our contracted charter revenues for the ships in our owned fleet and bareboat fleet for which we have secured time charters, and it does not reflect the costs or expenses we will incur in fulfilling our obligations under the charters, nor does it include other revenues we may earn, such as revenues for technical management of customer-owned ships. In particular, the table does not reflect any time charter revenues for the vessels operating in the spot/short-term market under the Cool Pool agreement and any additional ships we may acquire in the future, nor does it reflect the options under our time charters that permit our charterers to extend the time charter terms for successive multi-year periods. The entry into time charter contracts for any additional ships we may acquire or the exercise of options extending the terms of our 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the disclosure under the heading “Risk Factors” in our Annual Report on Form 20-F filed with the SEC on March 14, 2016. For these reasons, the contracted charter revenue information presented above is not fact and should not be relied upon as being necessarily indicative of future results, and readers are cautioned not to place undue reliance on this information. Neither the Company’s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right="120" w:firstLine="356"/>
        <w:spacing w:after="0" w:line="342" w:lineRule="auto"/>
        <w:rPr>
          <w:sz w:val="20"/>
          <w:szCs w:val="20"/>
          <w:color w:val="auto"/>
        </w:rPr>
      </w:pPr>
      <w:r>
        <w:rPr>
          <w:rFonts w:ascii="Arial" w:cs="Arial" w:eastAsia="Arial" w:hAnsi="Arial"/>
          <w:sz w:val="16"/>
          <w:szCs w:val="16"/>
          <w:color w:val="auto"/>
        </w:rPr>
        <w:t>For a description of all of our significant accounting policies, see Note 2 of our annual audited consolidated financial statements included in our Annual Report on Form 20-F filed on March 14, 2016 and Note 2 of our unaudited condensed consolidated financial statements included elsewhere in this report.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GASLOG LTD.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520" w:type="dxa"/>
            <w:vAlign w:val="bottom"/>
            <w:gridSpan w:val="7"/>
          </w:tcPr>
          <w:p>
            <w:pPr>
              <w:ind w:left="2540"/>
              <w:spacing w:after="0"/>
              <w:rPr>
                <w:sz w:val="20"/>
                <w:szCs w:val="20"/>
                <w:color w:val="auto"/>
              </w:rPr>
            </w:pPr>
            <w:r>
              <w:rPr>
                <w:rFonts w:ascii="Arial" w:cs="Arial" w:eastAsia="Arial" w:hAnsi="Arial"/>
                <w:sz w:val="18"/>
                <w:szCs w:val="18"/>
                <w:b w:val="1"/>
                <w:bCs w:val="1"/>
                <w:color w:val="auto"/>
              </w:rPr>
              <w:t>INDEX TO UNAUDITED CONDENSED CONSOLIDATED FINANCIAL STATEMENTS</w:t>
            </w:r>
          </w:p>
        </w:tc>
        <w:tc>
          <w:tcPr>
            <w:tcW w:w="900" w:type="dxa"/>
            <w:vAlign w:val="bottom"/>
          </w:tcPr>
          <w:p>
            <w:pPr>
              <w:spacing w:after="0"/>
              <w:rPr>
                <w:sz w:val="20"/>
                <w:szCs w:val="20"/>
                <w:color w:val="auto"/>
              </w:rPr>
            </w:pPr>
          </w:p>
        </w:tc>
      </w:tr>
      <w:tr>
        <w:trPr>
          <w:trHeight w:val="414"/>
        </w:trPr>
        <w:tc>
          <w:tcPr>
            <w:tcW w:w="48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385"/>
        </w:trPr>
        <w:tc>
          <w:tcPr>
            <w:tcW w:w="10520" w:type="dxa"/>
            <w:vAlign w:val="bottom"/>
            <w:gridSpan w:val="7"/>
          </w:tcPr>
          <w:p>
            <w:pPr>
              <w:spacing w:after="0"/>
              <w:rPr>
                <w:sz w:val="20"/>
                <w:szCs w:val="20"/>
                <w:color w:val="auto"/>
              </w:rPr>
            </w:pPr>
            <w:r>
              <w:rPr>
                <w:rFonts w:ascii="Arial" w:cs="Arial" w:eastAsia="Arial" w:hAnsi="Arial"/>
                <w:sz w:val="18"/>
                <w:szCs w:val="18"/>
                <w:color w:val="auto"/>
              </w:rPr>
              <w:t>Unaudited condensed consolidated statements of financial position as of December 31, 2015 and June 30, 2016</w:t>
            </w:r>
          </w:p>
        </w:tc>
        <w:tc>
          <w:tcPr>
            <w:tcW w:w="900" w:type="dxa"/>
            <w:vAlign w:val="bottom"/>
          </w:tcPr>
          <w:p>
            <w:pPr>
              <w:jc w:val="center"/>
              <w:spacing w:after="0"/>
              <w:rPr>
                <w:sz w:val="20"/>
                <w:szCs w:val="20"/>
                <w:color w:val="auto"/>
              </w:rPr>
            </w:pPr>
            <w:r>
              <w:rPr>
                <w:rFonts w:ascii="Arial" w:cs="Arial" w:eastAsia="Arial" w:hAnsi="Arial"/>
                <w:sz w:val="18"/>
                <w:szCs w:val="18"/>
                <w:color w:val="auto"/>
                <w:w w:val="96"/>
              </w:rPr>
              <w:t>F-2</w:t>
            </w:r>
          </w:p>
        </w:tc>
      </w:tr>
      <w:tr>
        <w:trPr>
          <w:trHeight w:val="20"/>
        </w:trPr>
        <w:tc>
          <w:tcPr>
            <w:tcW w:w="4880" w:type="dxa"/>
            <w:vAlign w:val="bottom"/>
            <w:shd w:val="clear" w:color="auto" w:fill="000000"/>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878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89"/>
              </w:rPr>
              <w:t>Unaudited condensed consolidated statements of profit or loss for the three and six months ended June 30, 2015 and 2016</w:t>
            </w:r>
          </w:p>
        </w:tc>
        <w:tc>
          <w:tcPr>
            <w:tcW w:w="1740" w:type="dxa"/>
            <w:vAlign w:val="bottom"/>
            <w:gridSpan w:val="2"/>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6"/>
              </w:rPr>
              <w:t>F-3</w:t>
            </w:r>
          </w:p>
        </w:tc>
      </w:tr>
      <w:tr>
        <w:trPr>
          <w:trHeight w:val="196"/>
        </w:trPr>
        <w:tc>
          <w:tcPr>
            <w:tcW w:w="10520" w:type="dxa"/>
            <w:vAlign w:val="bottom"/>
            <w:gridSpan w:val="7"/>
          </w:tcPr>
          <w:p>
            <w:pPr>
              <w:spacing w:after="0" w:line="196" w:lineRule="exact"/>
              <w:rPr>
                <w:sz w:val="20"/>
                <w:szCs w:val="20"/>
                <w:color w:val="auto"/>
              </w:rPr>
            </w:pPr>
            <w:r>
              <w:rPr>
                <w:rFonts w:ascii="Arial" w:cs="Arial" w:eastAsia="Arial" w:hAnsi="Arial"/>
                <w:sz w:val="18"/>
                <w:szCs w:val="18"/>
                <w:color w:val="auto"/>
                <w:w w:val="93"/>
              </w:rPr>
              <w:t>Unaudited condensed consolidated statements of comprehensive income or loss for the three and six months ended June 30, 2015 and 2016</w:t>
            </w: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6"/>
              </w:rPr>
              <w:t>F-4</w:t>
            </w:r>
          </w:p>
        </w:tc>
      </w:tr>
      <w:tr>
        <w:trPr>
          <w:trHeight w:val="196"/>
        </w:trPr>
        <w:tc>
          <w:tcPr>
            <w:tcW w:w="10040" w:type="dxa"/>
            <w:vAlign w:val="bottom"/>
            <w:tcBorders>
              <w:top w:val="single" w:sz="8" w:color="auto"/>
            </w:tcBorders>
            <w:gridSpan w:val="6"/>
          </w:tcPr>
          <w:p>
            <w:pPr>
              <w:spacing w:after="0" w:line="196" w:lineRule="exact"/>
              <w:rPr>
                <w:sz w:val="20"/>
                <w:szCs w:val="20"/>
                <w:color w:val="auto"/>
              </w:rPr>
            </w:pPr>
            <w:r>
              <w:rPr>
                <w:rFonts w:ascii="Arial" w:cs="Arial" w:eastAsia="Arial" w:hAnsi="Arial"/>
                <w:sz w:val="18"/>
                <w:szCs w:val="18"/>
                <w:color w:val="auto"/>
              </w:rPr>
              <w:t>Unaudited condensed consolidated statements of changes in equity for the six months ended June 30, 2015 and 2016</w:t>
            </w:r>
          </w:p>
        </w:tc>
        <w:tc>
          <w:tcPr>
            <w:tcW w:w="48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6"/>
              </w:rPr>
              <w:t>F-5</w:t>
            </w:r>
          </w:p>
        </w:tc>
      </w:tr>
      <w:tr>
        <w:trPr>
          <w:trHeight w:val="196"/>
        </w:trPr>
        <w:tc>
          <w:tcPr>
            <w:tcW w:w="792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9"/>
              </w:rPr>
              <w:t>Unaudited condensed consolidated statements of cash flows for the six months ended June 30, 2015 and 2016</w:t>
            </w:r>
          </w:p>
        </w:tc>
        <w:tc>
          <w:tcPr>
            <w:tcW w:w="480" w:type="dxa"/>
            <w:vAlign w:val="bottom"/>
            <w:tcBorders>
              <w:top w:val="single" w:sz="8" w:color="auto"/>
            </w:tcBorders>
            <w:gridSpan w:val="2"/>
          </w:tcPr>
          <w:p>
            <w:pPr>
              <w:spacing w:after="0"/>
              <w:rPr>
                <w:sz w:val="17"/>
                <w:szCs w:val="17"/>
                <w:color w:val="auto"/>
              </w:rPr>
            </w:pPr>
          </w:p>
        </w:tc>
        <w:tc>
          <w:tcPr>
            <w:tcW w:w="2120" w:type="dxa"/>
            <w:vAlign w:val="bottom"/>
            <w:gridSpan w:val="3"/>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6"/>
              </w:rPr>
              <w:t>F-6</w:t>
            </w:r>
          </w:p>
        </w:tc>
      </w:tr>
      <w:tr>
        <w:trPr>
          <w:trHeight w:val="196"/>
        </w:trPr>
        <w:tc>
          <w:tcPr>
            <w:tcW w:w="10520" w:type="dxa"/>
            <w:vAlign w:val="bottom"/>
            <w:gridSpan w:val="7"/>
          </w:tcPr>
          <w:p>
            <w:pPr>
              <w:spacing w:after="0" w:line="196" w:lineRule="exact"/>
              <w:rPr>
                <w:sz w:val="20"/>
                <w:szCs w:val="20"/>
                <w:color w:val="auto"/>
              </w:rPr>
            </w:pPr>
            <w:r>
              <w:rPr>
                <w:rFonts w:ascii="Arial" w:cs="Arial" w:eastAsia="Arial" w:hAnsi="Arial"/>
                <w:sz w:val="18"/>
                <w:szCs w:val="18"/>
                <w:color w:val="auto"/>
              </w:rPr>
              <w:t>Notes to the unaudited condensed consolidated financial statements</w:t>
            </w: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6"/>
              </w:rPr>
              <w:t>F-7</w:t>
            </w:r>
          </w:p>
        </w:tc>
      </w:tr>
      <w:tr>
        <w:trPr>
          <w:trHeight w:val="426"/>
        </w:trPr>
        <w:tc>
          <w:tcPr>
            <w:tcW w:w="4880" w:type="dxa"/>
            <w:vAlign w:val="bottom"/>
            <w:tcBorders>
              <w:top w:val="single" w:sz="8" w:color="auto"/>
            </w:tcBorders>
          </w:tcPr>
          <w:p>
            <w:pPr>
              <w:spacing w:after="0"/>
              <w:rPr>
                <w:sz w:val="24"/>
                <w:szCs w:val="24"/>
                <w:color w:val="auto"/>
              </w:rPr>
            </w:pPr>
          </w:p>
        </w:tc>
        <w:tc>
          <w:tcPr>
            <w:tcW w:w="5640" w:type="dxa"/>
            <w:vAlign w:val="bottom"/>
            <w:gridSpan w:val="6"/>
          </w:tcPr>
          <w:p>
            <w:pPr>
              <w:ind w:left="700"/>
              <w:spacing w:after="0"/>
              <w:rPr>
                <w:sz w:val="20"/>
                <w:szCs w:val="20"/>
                <w:color w:val="auto"/>
              </w:rPr>
            </w:pPr>
            <w:r>
              <w:rPr>
                <w:rFonts w:ascii="Arial" w:cs="Arial" w:eastAsia="Arial" w:hAnsi="Arial"/>
                <w:sz w:val="18"/>
                <w:szCs w:val="18"/>
                <w:color w:val="auto"/>
              </w:rPr>
              <w:t>F-1</w:t>
            </w:r>
          </w:p>
        </w:tc>
        <w:tc>
          <w:tcPr>
            <w:tcW w:w="900" w:type="dxa"/>
            <w:vAlign w:val="bottom"/>
          </w:tcPr>
          <w:p>
            <w:pPr>
              <w:spacing w:after="0"/>
              <w:rPr>
                <w:sz w:val="24"/>
                <w:szCs w:val="24"/>
                <w:color w:val="auto"/>
              </w:rPr>
            </w:pPr>
          </w:p>
        </w:tc>
      </w:tr>
      <w:tr>
        <w:trPr>
          <w:trHeight w:val="250"/>
        </w:trPr>
        <w:tc>
          <w:tcPr>
            <w:tcW w:w="4880" w:type="dxa"/>
            <w:vAlign w:val="bottom"/>
            <w:tcBorders>
              <w:bottom w:val="single" w:sz="8" w:color="C0C0C0"/>
            </w:tcBorders>
          </w:tcPr>
          <w:p>
            <w:pPr>
              <w:spacing w:after="0"/>
              <w:rPr>
                <w:sz w:val="21"/>
                <w:szCs w:val="21"/>
                <w:color w:val="auto"/>
              </w:rPr>
            </w:pPr>
          </w:p>
        </w:tc>
        <w:tc>
          <w:tcPr>
            <w:tcW w:w="304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380" w:type="dxa"/>
            <w:vAlign w:val="bottom"/>
            <w:tcBorders>
              <w:bottom w:val="single" w:sz="8" w:color="C0C0C0"/>
            </w:tcBorders>
          </w:tcPr>
          <w:p>
            <w:pPr>
              <w:spacing w:after="0"/>
              <w:rPr>
                <w:sz w:val="21"/>
                <w:szCs w:val="21"/>
                <w:color w:val="auto"/>
              </w:rPr>
            </w:pPr>
          </w:p>
        </w:tc>
        <w:tc>
          <w:tcPr>
            <w:tcW w:w="380" w:type="dxa"/>
            <w:vAlign w:val="bottom"/>
            <w:tcBorders>
              <w:bottom w:val="single" w:sz="8" w:color="C0C0C0"/>
            </w:tcBorders>
          </w:tcPr>
          <w:p>
            <w:pPr>
              <w:spacing w:after="0"/>
              <w:rPr>
                <w:sz w:val="21"/>
                <w:szCs w:val="21"/>
                <w:color w:val="auto"/>
              </w:rPr>
            </w:pPr>
          </w:p>
        </w:tc>
        <w:tc>
          <w:tcPr>
            <w:tcW w:w="1260" w:type="dxa"/>
            <w:vAlign w:val="bottom"/>
            <w:tcBorders>
              <w:bottom w:val="single" w:sz="8" w:color="C0C0C0"/>
            </w:tcBorders>
          </w:tcPr>
          <w:p>
            <w:pPr>
              <w:spacing w:after="0"/>
              <w:rPr>
                <w:sz w:val="21"/>
                <w:szCs w:val="21"/>
                <w:color w:val="auto"/>
              </w:rPr>
            </w:pPr>
          </w:p>
        </w:tc>
        <w:tc>
          <w:tcPr>
            <w:tcW w:w="480" w:type="dxa"/>
            <w:vAlign w:val="bottom"/>
            <w:tcBorders>
              <w:bottom w:val="single" w:sz="8" w:color="C0C0C0"/>
            </w:tcBorders>
          </w:tcPr>
          <w:p>
            <w:pPr>
              <w:spacing w:after="0"/>
              <w:rPr>
                <w:sz w:val="21"/>
                <w:szCs w:val="21"/>
                <w:color w:val="auto"/>
              </w:rPr>
            </w:pPr>
          </w:p>
        </w:tc>
        <w:tc>
          <w:tcPr>
            <w:tcW w:w="90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405" w:right="2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GasLog Ltd. and its Subsidiaries</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860" w:type="dxa"/>
            <w:vAlign w:val="bottom"/>
          </w:tcPr>
          <w:p>
            <w:pPr>
              <w:spacing w:after="0"/>
              <w:rPr>
                <w:sz w:val="20"/>
                <w:szCs w:val="20"/>
                <w:color w:val="auto"/>
              </w:rPr>
            </w:pPr>
            <w:r>
              <w:rPr>
                <w:rFonts w:ascii="Arial" w:cs="Arial" w:eastAsia="Arial" w:hAnsi="Arial"/>
                <w:sz w:val="18"/>
                <w:szCs w:val="18"/>
                <w:b w:val="1"/>
                <w:bCs w:val="1"/>
                <w:color w:val="auto"/>
              </w:rPr>
              <w:t>Unaudited condensed consolidated statements of financial position</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b w:val="1"/>
                <w:bCs w:val="1"/>
                <w:color w:val="auto"/>
              </w:rPr>
              <w:t>As of December 31, 2015 and June 30, 2016</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(Amounts expressed in thousands of U.S. Dollars)</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60" w:type="dxa"/>
            <w:vAlign w:val="bottom"/>
          </w:tcPr>
          <w:p>
            <w:pPr>
              <w:spacing w:after="0"/>
              <w:rPr>
                <w:sz w:val="24"/>
                <w:szCs w:val="24"/>
                <w:color w:val="auto"/>
              </w:rPr>
            </w:pPr>
          </w:p>
        </w:tc>
        <w:tc>
          <w:tcPr>
            <w:tcW w:w="920" w:type="dxa"/>
            <w:vAlign w:val="bottom"/>
            <w:gridSpan w:val="2"/>
          </w:tcPr>
          <w:p>
            <w:pPr>
              <w:ind w:left="180"/>
              <w:spacing w:after="0"/>
              <w:rPr>
                <w:sz w:val="20"/>
                <w:szCs w:val="20"/>
                <w:color w:val="auto"/>
              </w:rPr>
            </w:pPr>
            <w:r>
              <w:rPr>
                <w:rFonts w:ascii="Arial" w:cs="Arial" w:eastAsia="Arial" w:hAnsi="Arial"/>
                <w:sz w:val="18"/>
                <w:szCs w:val="18"/>
                <w:b w:val="1"/>
                <w:bCs w:val="1"/>
                <w:color w:val="auto"/>
              </w:rPr>
              <w:t>Note</w:t>
            </w:r>
          </w:p>
        </w:tc>
        <w:tc>
          <w:tcPr>
            <w:tcW w:w="1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December 31, 2015</w:t>
            </w:r>
          </w:p>
        </w:tc>
        <w:tc>
          <w:tcPr>
            <w:tcW w:w="168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June 30, 2016</w:t>
            </w:r>
          </w:p>
        </w:tc>
        <w:tc>
          <w:tcPr>
            <w:tcW w:w="0" w:type="dxa"/>
            <w:vAlign w:val="bottom"/>
          </w:tcPr>
          <w:p>
            <w:pPr>
              <w:spacing w:after="0"/>
              <w:rPr>
                <w:sz w:val="1"/>
                <w:szCs w:val="1"/>
                <w:color w:val="auto"/>
              </w:rPr>
            </w:pPr>
          </w:p>
        </w:tc>
      </w:tr>
      <w:tr>
        <w:trPr>
          <w:trHeight w:val="210"/>
        </w:trPr>
        <w:tc>
          <w:tcPr>
            <w:tcW w:w="68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Assets</w:t>
            </w:r>
          </w:p>
        </w:tc>
        <w:tc>
          <w:tcPr>
            <w:tcW w:w="70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74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58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Goodwill</w:t>
            </w:r>
          </w:p>
        </w:tc>
        <w:tc>
          <w:tcPr>
            <w:tcW w:w="7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9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9,511</w:t>
            </w:r>
          </w:p>
        </w:tc>
        <w:tc>
          <w:tcPr>
            <w:tcW w:w="16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9,511</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Investment in associate and joint venture</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6,274</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6,257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Deferred financing costs</w:t>
            </w:r>
          </w:p>
        </w:tc>
        <w:tc>
          <w:tcPr>
            <w:tcW w:w="7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9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17,998</w:t>
            </w:r>
          </w:p>
        </w:tc>
        <w:tc>
          <w:tcPr>
            <w:tcW w:w="16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20,197</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28,957</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8,012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Derivative financial instruments</w:t>
            </w:r>
          </w:p>
        </w:tc>
        <w:tc>
          <w:tcPr>
            <w:tcW w:w="7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12</w:t>
            </w:r>
          </w:p>
        </w:tc>
        <w:tc>
          <w:tcPr>
            <w:tcW w:w="220" w:type="dxa"/>
            <w:vAlign w:val="bottom"/>
            <w:shd w:val="clear" w:color="auto" w:fill="E5FFFF"/>
          </w:tcPr>
          <w:p>
            <w:pPr>
              <w:spacing w:after="0"/>
              <w:rPr>
                <w:sz w:val="18"/>
                <w:szCs w:val="18"/>
                <w:color w:val="auto"/>
              </w:rPr>
            </w:pPr>
          </w:p>
        </w:tc>
        <w:tc>
          <w:tcPr>
            <w:tcW w:w="19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61</w:t>
            </w:r>
          </w:p>
        </w:tc>
        <w:tc>
          <w:tcPr>
            <w:tcW w:w="16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Tangible fixed assets</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2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3,400,270</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3,541,777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Vessels under construction</w:t>
            </w:r>
          </w:p>
        </w:tc>
        <w:tc>
          <w:tcPr>
            <w:tcW w:w="7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4</w:t>
            </w:r>
          </w:p>
        </w:tc>
        <w:tc>
          <w:tcPr>
            <w:tcW w:w="220" w:type="dxa"/>
            <w:vAlign w:val="bottom"/>
            <w:shd w:val="clear" w:color="auto" w:fill="E5FFFF"/>
          </w:tcPr>
          <w:p>
            <w:pPr>
              <w:spacing w:after="0"/>
              <w:rPr>
                <w:sz w:val="18"/>
                <w:szCs w:val="18"/>
                <w:color w:val="auto"/>
              </w:rPr>
            </w:pPr>
          </w:p>
        </w:tc>
        <w:tc>
          <w:tcPr>
            <w:tcW w:w="19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178,405</w:t>
            </w:r>
          </w:p>
        </w:tc>
        <w:tc>
          <w:tcPr>
            <w:tcW w:w="16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135,825</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Vessel held under finance lease</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2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225,861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non-current assets</w:t>
            </w:r>
          </w:p>
        </w:tc>
        <w:tc>
          <w:tcPr>
            <w:tcW w:w="70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7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3,641,476</w:t>
            </w:r>
          </w:p>
        </w:tc>
        <w:tc>
          <w:tcPr>
            <w:tcW w:w="220" w:type="dxa"/>
            <w:vAlign w:val="bottom"/>
            <w:tcBorders>
              <w:top w:val="single" w:sz="8" w:color="E5FFFF"/>
            </w:tcBorders>
            <w:shd w:val="clear" w:color="auto" w:fill="E5FFFF"/>
          </w:tcPr>
          <w:p>
            <w:pPr>
              <w:spacing w:after="0"/>
              <w:rPr>
                <w:sz w:val="18"/>
                <w:szCs w:val="18"/>
                <w:color w:val="auto"/>
              </w:rPr>
            </w:pPr>
          </w:p>
        </w:tc>
        <w:tc>
          <w:tcPr>
            <w:tcW w:w="1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3,947,440</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Trade and other receivables</w:t>
            </w:r>
          </w:p>
        </w:tc>
        <w:tc>
          <w:tcPr>
            <w:tcW w:w="7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9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16,079</w:t>
            </w:r>
          </w:p>
        </w:tc>
        <w:tc>
          <w:tcPr>
            <w:tcW w:w="16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8,701</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Dividends receivable and due from related parties</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22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1,345</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1,932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Inventories</w:t>
            </w:r>
          </w:p>
        </w:tc>
        <w:tc>
          <w:tcPr>
            <w:tcW w:w="7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9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6,496</w:t>
            </w:r>
          </w:p>
        </w:tc>
        <w:tc>
          <w:tcPr>
            <w:tcW w:w="16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5,162</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2,519</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3,592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Short-term investments</w:t>
            </w:r>
          </w:p>
        </w:tc>
        <w:tc>
          <w:tcPr>
            <w:tcW w:w="7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9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6,000</w:t>
            </w:r>
          </w:p>
        </w:tc>
        <w:tc>
          <w:tcPr>
            <w:tcW w:w="16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Restricted cash</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62,718</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25,052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9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302,988</w:t>
            </w:r>
          </w:p>
        </w:tc>
        <w:tc>
          <w:tcPr>
            <w:tcW w:w="16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192,601</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current assets</w:t>
            </w:r>
          </w:p>
        </w:tc>
        <w:tc>
          <w:tcPr>
            <w:tcW w:w="700" w:type="dxa"/>
            <w:vAlign w:val="bottom"/>
            <w:tcBorders>
              <w:bottom w:val="single" w:sz="8" w:color="E5FFFF"/>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398,145</w:t>
            </w:r>
          </w:p>
        </w:tc>
        <w:tc>
          <w:tcPr>
            <w:tcW w:w="220" w:type="dxa"/>
            <w:vAlign w:val="bottom"/>
            <w:tcBorders>
              <w:bottom w:val="single" w:sz="8" w:color="E5FFFF"/>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237,040</w:t>
            </w:r>
          </w:p>
        </w:tc>
        <w:tc>
          <w:tcPr>
            <w:tcW w:w="2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8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assets</w:t>
            </w:r>
          </w:p>
        </w:tc>
        <w:tc>
          <w:tcPr>
            <w:tcW w:w="700" w:type="dxa"/>
            <w:vAlign w:val="bottom"/>
            <w:tcBorders>
              <w:bottom w:val="single" w:sz="8" w:color="E5FFFF"/>
            </w:tcBorders>
            <w:shd w:val="clear" w:color="auto" w:fill="E5FFFF"/>
          </w:tcPr>
          <w:p>
            <w:pPr>
              <w:spacing w:after="0"/>
              <w:rPr>
                <w:sz w:val="20"/>
                <w:szCs w:val="20"/>
                <w:color w:val="auto"/>
              </w:rPr>
            </w:pPr>
          </w:p>
        </w:tc>
        <w:tc>
          <w:tcPr>
            <w:tcW w:w="220" w:type="dxa"/>
            <w:vAlign w:val="bottom"/>
            <w:tcBorders>
              <w:bottom w:val="single" w:sz="8" w:color="E5FFFF"/>
            </w:tcBorders>
            <w:shd w:val="clear" w:color="auto" w:fill="E5FFFF"/>
          </w:tcPr>
          <w:p>
            <w:pPr>
              <w:spacing w:after="0"/>
              <w:rPr>
                <w:sz w:val="20"/>
                <w:szCs w:val="20"/>
                <w:color w:val="auto"/>
              </w:rPr>
            </w:pPr>
          </w:p>
        </w:tc>
        <w:tc>
          <w:tcPr>
            <w:tcW w:w="1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4,039,621</w:t>
            </w:r>
          </w:p>
        </w:tc>
        <w:tc>
          <w:tcPr>
            <w:tcW w:w="220" w:type="dxa"/>
            <w:vAlign w:val="bottom"/>
            <w:tcBorders>
              <w:bottom w:val="single" w:sz="8" w:color="E5FFFF"/>
            </w:tcBorders>
            <w:shd w:val="clear" w:color="auto" w:fill="E5FFFF"/>
          </w:tcPr>
          <w:p>
            <w:pPr>
              <w:spacing w:after="0"/>
              <w:rPr>
                <w:sz w:val="20"/>
                <w:szCs w:val="20"/>
                <w:color w:val="auto"/>
              </w:rPr>
            </w:pPr>
          </w:p>
        </w:tc>
        <w:tc>
          <w:tcPr>
            <w:tcW w:w="1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4,184,480</w:t>
            </w:r>
          </w:p>
        </w:tc>
        <w:tc>
          <w:tcPr>
            <w:tcW w:w="20" w:type="dxa"/>
            <w:vAlign w:val="bottom"/>
            <w:tcBorders>
              <w:bottom w:val="single" w:sz="8" w:color="E5FFFF"/>
            </w:tcBorders>
            <w:shd w:val="clear" w:color="auto" w:fill="E5FFFF"/>
          </w:tcPr>
          <w:p>
            <w:pPr>
              <w:spacing w:after="0"/>
              <w:rPr>
                <w:sz w:val="20"/>
                <w:szCs w:val="20"/>
                <w:color w:val="auto"/>
              </w:rPr>
            </w:pPr>
          </w:p>
        </w:tc>
        <w:tc>
          <w:tcPr>
            <w:tcW w:w="80" w:type="dxa"/>
            <w:vAlign w:val="bottom"/>
            <w:tcBorders>
              <w:bottom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6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Equity</w:t>
            </w:r>
          </w:p>
        </w:tc>
        <w:tc>
          <w:tcPr>
            <w:tcW w:w="7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7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5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Preferred stock</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Share capital</w:t>
            </w:r>
          </w:p>
        </w:tc>
        <w:tc>
          <w:tcPr>
            <w:tcW w:w="7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10</w:t>
            </w:r>
          </w:p>
        </w:tc>
        <w:tc>
          <w:tcPr>
            <w:tcW w:w="220" w:type="dxa"/>
            <w:vAlign w:val="bottom"/>
            <w:shd w:val="clear" w:color="auto" w:fill="E5FFFF"/>
          </w:tcPr>
          <w:p>
            <w:pPr>
              <w:spacing w:after="0"/>
              <w:rPr>
                <w:sz w:val="18"/>
                <w:szCs w:val="18"/>
                <w:color w:val="auto"/>
              </w:rPr>
            </w:pPr>
          </w:p>
        </w:tc>
        <w:tc>
          <w:tcPr>
            <w:tcW w:w="19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810</w:t>
            </w:r>
          </w:p>
        </w:tc>
        <w:tc>
          <w:tcPr>
            <w:tcW w:w="16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810</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Contributed surplus</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1,020,292</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994,560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Reserves</w:t>
            </w:r>
          </w:p>
        </w:tc>
        <w:tc>
          <w:tcPr>
            <w:tcW w:w="7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96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(8,829)</w:t>
            </w:r>
          </w:p>
        </w:tc>
        <w:tc>
          <w:tcPr>
            <w:tcW w:w="1680" w:type="dxa"/>
            <w:vAlign w:val="bottom"/>
            <w:gridSpan w:val="3"/>
            <w:shd w:val="clear" w:color="auto" w:fill="E5FFFF"/>
          </w:tcPr>
          <w:p>
            <w:pPr>
              <w:jc w:val="right"/>
              <w:ind w:right="40"/>
              <w:spacing w:after="0"/>
              <w:rPr>
                <w:sz w:val="20"/>
                <w:szCs w:val="20"/>
                <w:color w:val="auto"/>
              </w:rPr>
            </w:pPr>
            <w:r>
              <w:rPr>
                <w:rFonts w:ascii="Arial" w:cs="Arial" w:eastAsia="Arial" w:hAnsi="Arial"/>
                <w:sz w:val="18"/>
                <w:szCs w:val="18"/>
                <w:color w:val="auto"/>
              </w:rPr>
              <w:t>(11,893)</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Treasury shares</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18"/>
                <w:szCs w:val="18"/>
                <w:color w:val="auto"/>
              </w:rPr>
            </w:pPr>
          </w:p>
        </w:tc>
        <w:tc>
          <w:tcPr>
            <w:tcW w:w="1960" w:type="dxa"/>
            <w:vAlign w:val="bottom"/>
            <w:gridSpan w:val="2"/>
          </w:tcPr>
          <w:p>
            <w:pPr>
              <w:jc w:val="right"/>
              <w:ind w:right="160"/>
              <w:spacing w:after="0"/>
              <w:rPr>
                <w:sz w:val="20"/>
                <w:szCs w:val="20"/>
                <w:color w:val="auto"/>
              </w:rPr>
            </w:pPr>
            <w:r>
              <w:rPr>
                <w:rFonts w:ascii="Arial" w:cs="Arial" w:eastAsia="Arial" w:hAnsi="Arial"/>
                <w:sz w:val="18"/>
                <w:szCs w:val="18"/>
                <w:color w:val="auto"/>
              </w:rPr>
              <w:t>(12,491)</w:t>
            </w:r>
          </w:p>
        </w:tc>
        <w:tc>
          <w:tcPr>
            <w:tcW w:w="1680" w:type="dxa"/>
            <w:vAlign w:val="bottom"/>
            <w:gridSpan w:val="3"/>
          </w:tcPr>
          <w:p>
            <w:pPr>
              <w:jc w:val="right"/>
              <w:ind w:right="40"/>
              <w:spacing w:after="0"/>
              <w:rPr>
                <w:sz w:val="20"/>
                <w:szCs w:val="20"/>
                <w:color w:val="auto"/>
              </w:rPr>
            </w:pPr>
            <w:r>
              <w:rPr>
                <w:rFonts w:ascii="Arial" w:cs="Arial" w:eastAsia="Arial" w:hAnsi="Arial"/>
                <w:sz w:val="18"/>
                <w:szCs w:val="18"/>
                <w:color w:val="auto"/>
              </w:rPr>
              <w:t>(11,065)</w:t>
            </w: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Retained earnings/(accumulated deficit)</w:t>
            </w:r>
          </w:p>
        </w:tc>
        <w:tc>
          <w:tcPr>
            <w:tcW w:w="7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9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1,846</w:t>
            </w:r>
          </w:p>
        </w:tc>
        <w:tc>
          <w:tcPr>
            <w:tcW w:w="1680" w:type="dxa"/>
            <w:vAlign w:val="bottom"/>
            <w:gridSpan w:val="3"/>
            <w:shd w:val="clear" w:color="auto" w:fill="E5FFFF"/>
          </w:tcPr>
          <w:p>
            <w:pPr>
              <w:jc w:val="right"/>
              <w:ind w:right="40"/>
              <w:spacing w:after="0"/>
              <w:rPr>
                <w:sz w:val="20"/>
                <w:szCs w:val="20"/>
                <w:color w:val="auto"/>
              </w:rPr>
            </w:pPr>
            <w:r>
              <w:rPr>
                <w:rFonts w:ascii="Arial" w:cs="Arial" w:eastAsia="Arial" w:hAnsi="Arial"/>
                <w:sz w:val="18"/>
                <w:szCs w:val="18"/>
                <w:color w:val="auto"/>
              </w:rPr>
              <w:t>(23,762)</w:t>
            </w:r>
          </w:p>
        </w:tc>
        <w:tc>
          <w:tcPr>
            <w:tcW w:w="0" w:type="dxa"/>
            <w:vAlign w:val="bottom"/>
          </w:tcPr>
          <w:p>
            <w:pPr>
              <w:spacing w:after="0"/>
              <w:rPr>
                <w:sz w:val="1"/>
                <w:szCs w:val="1"/>
                <w:color w:val="auto"/>
              </w:rPr>
            </w:pPr>
          </w:p>
        </w:tc>
      </w:tr>
      <w:tr>
        <w:trPr>
          <w:trHeight w:val="210"/>
        </w:trPr>
        <w:tc>
          <w:tcPr>
            <w:tcW w:w="6860" w:type="dxa"/>
            <w:vAlign w:val="bottom"/>
          </w:tcPr>
          <w:p>
            <w:pPr>
              <w:spacing w:after="0"/>
              <w:rPr>
                <w:sz w:val="20"/>
                <w:szCs w:val="20"/>
                <w:color w:val="auto"/>
              </w:rPr>
            </w:pPr>
            <w:r>
              <w:rPr>
                <w:rFonts w:ascii="Arial" w:cs="Arial" w:eastAsia="Arial" w:hAnsi="Arial"/>
                <w:sz w:val="18"/>
                <w:szCs w:val="18"/>
                <w:b w:val="1"/>
                <w:bCs w:val="1"/>
                <w:color w:val="auto"/>
              </w:rPr>
              <w:t>Equity attributable to owners of the Group</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1,001,674</w:t>
            </w:r>
          </w:p>
        </w:tc>
        <w:tc>
          <w:tcPr>
            <w:tcW w:w="220" w:type="dxa"/>
            <w:vAlign w:val="bottom"/>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948,696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Non-controlling interest</w:t>
            </w:r>
          </w:p>
        </w:tc>
        <w:tc>
          <w:tcPr>
            <w:tcW w:w="7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9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506,246</w:t>
            </w:r>
          </w:p>
        </w:tc>
        <w:tc>
          <w:tcPr>
            <w:tcW w:w="16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507,349</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equity</w:t>
            </w:r>
          </w:p>
        </w:tc>
        <w:tc>
          <w:tcPr>
            <w:tcW w:w="700" w:type="dxa"/>
            <w:vAlign w:val="bottom"/>
            <w:tcBorders>
              <w:bottom w:val="single" w:sz="8" w:color="E5FFFF"/>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1,507,920</w:t>
            </w:r>
          </w:p>
        </w:tc>
        <w:tc>
          <w:tcPr>
            <w:tcW w:w="220" w:type="dxa"/>
            <w:vAlign w:val="bottom"/>
            <w:tcBorders>
              <w:bottom w:val="single" w:sz="8" w:color="E5FFFF"/>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1,456,045</w:t>
            </w:r>
          </w:p>
        </w:tc>
        <w:tc>
          <w:tcPr>
            <w:tcW w:w="2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Current liabilities</w:t>
            </w:r>
          </w:p>
        </w:tc>
        <w:tc>
          <w:tcPr>
            <w:tcW w:w="7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7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5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Trade accounts payable</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12,391</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7,090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Ship management creditors</w:t>
            </w:r>
          </w:p>
        </w:tc>
        <w:tc>
          <w:tcPr>
            <w:tcW w:w="7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9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3,524</w:t>
            </w:r>
          </w:p>
        </w:tc>
        <w:tc>
          <w:tcPr>
            <w:tcW w:w="16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213</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22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Derivative financial instruments</w:t>
            </w:r>
          </w:p>
        </w:tc>
        <w:tc>
          <w:tcPr>
            <w:tcW w:w="7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12</w:t>
            </w:r>
          </w:p>
        </w:tc>
        <w:tc>
          <w:tcPr>
            <w:tcW w:w="220" w:type="dxa"/>
            <w:vAlign w:val="bottom"/>
            <w:shd w:val="clear" w:color="auto" w:fill="E5FFFF"/>
          </w:tcPr>
          <w:p>
            <w:pPr>
              <w:spacing w:after="0"/>
              <w:rPr>
                <w:sz w:val="18"/>
                <w:szCs w:val="18"/>
                <w:color w:val="auto"/>
              </w:rPr>
            </w:pPr>
          </w:p>
        </w:tc>
        <w:tc>
          <w:tcPr>
            <w:tcW w:w="19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14,243</w:t>
            </w:r>
          </w:p>
        </w:tc>
        <w:tc>
          <w:tcPr>
            <w:tcW w:w="16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13,911</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Other payables and accruals</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22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67,084</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74,724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Borrowings, current portion</w:t>
            </w:r>
          </w:p>
        </w:tc>
        <w:tc>
          <w:tcPr>
            <w:tcW w:w="7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6</w:t>
            </w:r>
          </w:p>
        </w:tc>
        <w:tc>
          <w:tcPr>
            <w:tcW w:w="220" w:type="dxa"/>
            <w:vAlign w:val="bottom"/>
            <w:shd w:val="clear" w:color="auto" w:fill="E5FFFF"/>
          </w:tcPr>
          <w:p>
            <w:pPr>
              <w:spacing w:after="0"/>
              <w:rPr>
                <w:sz w:val="18"/>
                <w:szCs w:val="18"/>
                <w:color w:val="auto"/>
              </w:rPr>
            </w:pPr>
          </w:p>
        </w:tc>
        <w:tc>
          <w:tcPr>
            <w:tcW w:w="19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636,987</w:t>
            </w:r>
          </w:p>
        </w:tc>
        <w:tc>
          <w:tcPr>
            <w:tcW w:w="16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170,048</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Finance lease liability, current portion</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22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2,772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current liabilities</w:t>
            </w:r>
          </w:p>
        </w:tc>
        <w:tc>
          <w:tcPr>
            <w:tcW w:w="70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7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734,392</w:t>
            </w:r>
          </w:p>
        </w:tc>
        <w:tc>
          <w:tcPr>
            <w:tcW w:w="220" w:type="dxa"/>
            <w:vAlign w:val="bottom"/>
            <w:tcBorders>
              <w:top w:val="single" w:sz="8" w:color="E5FFFF"/>
            </w:tcBorders>
            <w:shd w:val="clear" w:color="auto" w:fill="E5FFFF"/>
          </w:tcPr>
          <w:p>
            <w:pPr>
              <w:spacing w:after="0"/>
              <w:rPr>
                <w:sz w:val="18"/>
                <w:szCs w:val="18"/>
                <w:color w:val="auto"/>
              </w:rPr>
            </w:pPr>
          </w:p>
        </w:tc>
        <w:tc>
          <w:tcPr>
            <w:tcW w:w="1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268,856</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Derivative financial instruments</w:t>
            </w:r>
          </w:p>
        </w:tc>
        <w:tc>
          <w:tcPr>
            <w:tcW w:w="7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12</w:t>
            </w:r>
          </w:p>
        </w:tc>
        <w:tc>
          <w:tcPr>
            <w:tcW w:w="220" w:type="dxa"/>
            <w:vAlign w:val="bottom"/>
            <w:shd w:val="clear" w:color="auto" w:fill="E5FFFF"/>
          </w:tcPr>
          <w:p>
            <w:pPr>
              <w:spacing w:after="0"/>
              <w:rPr>
                <w:sz w:val="18"/>
                <w:szCs w:val="18"/>
                <w:color w:val="auto"/>
              </w:rPr>
            </w:pPr>
          </w:p>
        </w:tc>
        <w:tc>
          <w:tcPr>
            <w:tcW w:w="19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58,531</w:t>
            </w:r>
          </w:p>
        </w:tc>
        <w:tc>
          <w:tcPr>
            <w:tcW w:w="16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40,879</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Borrowings, non-current portion</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22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1,737,500</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2,199,672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Finance lease liability, non-current portion</w:t>
            </w:r>
          </w:p>
        </w:tc>
        <w:tc>
          <w:tcPr>
            <w:tcW w:w="7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5</w:t>
            </w:r>
          </w:p>
        </w:tc>
        <w:tc>
          <w:tcPr>
            <w:tcW w:w="220" w:type="dxa"/>
            <w:vAlign w:val="bottom"/>
            <w:shd w:val="clear" w:color="auto" w:fill="E5FFFF"/>
          </w:tcPr>
          <w:p>
            <w:pPr>
              <w:spacing w:after="0"/>
              <w:rPr>
                <w:sz w:val="18"/>
                <w:szCs w:val="18"/>
                <w:color w:val="auto"/>
              </w:rPr>
            </w:pPr>
          </w:p>
        </w:tc>
        <w:tc>
          <w:tcPr>
            <w:tcW w:w="19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218,015</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1,278</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non-current liabilities</w:t>
            </w:r>
          </w:p>
        </w:tc>
        <w:tc>
          <w:tcPr>
            <w:tcW w:w="70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7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1,797,309</w:t>
            </w:r>
          </w:p>
        </w:tc>
        <w:tc>
          <w:tcPr>
            <w:tcW w:w="220" w:type="dxa"/>
            <w:vAlign w:val="bottom"/>
            <w:tcBorders>
              <w:top w:val="single" w:sz="8" w:color="E5FFFF"/>
            </w:tcBorders>
            <w:shd w:val="clear" w:color="auto" w:fill="E5FFFF"/>
          </w:tcPr>
          <w:p>
            <w:pPr>
              <w:spacing w:after="0"/>
              <w:rPr>
                <w:sz w:val="18"/>
                <w:szCs w:val="18"/>
                <w:color w:val="auto"/>
              </w:rPr>
            </w:pPr>
          </w:p>
        </w:tc>
        <w:tc>
          <w:tcPr>
            <w:tcW w:w="1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2,459,579</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4,039,621</w:t>
            </w:r>
          </w:p>
        </w:tc>
        <w:tc>
          <w:tcPr>
            <w:tcW w:w="22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4,184,480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profit or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2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rPr>
              <w:t>For the three months ended</w:t>
            </w:r>
          </w:p>
        </w:tc>
        <w:tc>
          <w:tcPr>
            <w:tcW w:w="292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Note</w:t>
            </w:r>
          </w:p>
        </w:tc>
        <w:tc>
          <w:tcPr>
            <w:tcW w:w="16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June 30, 2015</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June 30, 2016</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June 30, 2015</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7"/>
              </w:rPr>
              <w:t>June 30,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Revenues</w:t>
            </w:r>
          </w:p>
        </w:tc>
        <w:tc>
          <w:tcPr>
            <w:tcW w:w="580" w:type="dxa"/>
            <w:vAlign w:val="bottom"/>
            <w:tcBorders>
              <w:top w:val="single" w:sz="8" w:color="auto"/>
            </w:tcBorders>
            <w:shd w:val="clear" w:color="auto" w:fill="E5FFFF"/>
          </w:tcPr>
          <w:p>
            <w:pPr>
              <w:spacing w:after="0"/>
              <w:rPr>
                <w:sz w:val="18"/>
                <w:szCs w:val="18"/>
                <w:color w:val="auto"/>
              </w:rPr>
            </w:pPr>
          </w:p>
        </w:tc>
        <w:tc>
          <w:tcPr>
            <w:tcW w:w="340" w:type="dxa"/>
            <w:vAlign w:val="bottom"/>
            <w:tcBorders>
              <w:top w:val="single" w:sz="8" w:color="E5FFFF"/>
            </w:tcBorders>
            <w:shd w:val="clear" w:color="auto" w:fill="E5FFFF"/>
          </w:tcPr>
          <w:p>
            <w:pPr>
              <w:spacing w:after="0"/>
              <w:rPr>
                <w:sz w:val="18"/>
                <w:szCs w:val="18"/>
                <w:color w:val="auto"/>
              </w:rPr>
            </w:pPr>
          </w:p>
        </w:tc>
        <w:tc>
          <w:tcPr>
            <w:tcW w:w="12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104,440</w:t>
            </w:r>
          </w:p>
        </w:tc>
        <w:tc>
          <w:tcPr>
            <w:tcW w:w="340" w:type="dxa"/>
            <w:vAlign w:val="bottom"/>
            <w:tcBorders>
              <w:top w:val="single" w:sz="8" w:color="E5FFFF"/>
            </w:tcBorders>
            <w:shd w:val="clear" w:color="auto" w:fill="E5FFFF"/>
          </w:tcPr>
          <w:p>
            <w:pPr>
              <w:spacing w:after="0"/>
              <w:rPr>
                <w:sz w:val="18"/>
                <w:szCs w:val="18"/>
                <w:color w:val="auto"/>
              </w:rPr>
            </w:pPr>
          </w:p>
        </w:tc>
        <w:tc>
          <w:tcPr>
            <w:tcW w:w="12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114,474</w:t>
            </w:r>
          </w:p>
        </w:tc>
        <w:tc>
          <w:tcPr>
            <w:tcW w:w="32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201,766</w:t>
            </w:r>
          </w:p>
        </w:tc>
        <w:tc>
          <w:tcPr>
            <w:tcW w:w="32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218,851</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Vessel operating and supervision costs</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(26,521)</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(27,964)</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(48,415)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(56,421)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5FFFF"/>
          </w:tcPr>
          <w:p>
            <w:pPr>
              <w:spacing w:after="0"/>
              <w:rPr>
                <w:sz w:val="20"/>
                <w:szCs w:val="20"/>
                <w:color w:val="auto"/>
              </w:rPr>
            </w:pPr>
            <w:r>
              <w:rPr>
                <w:rFonts w:ascii="Arial" w:cs="Arial" w:eastAsia="Arial" w:hAnsi="Arial"/>
                <w:sz w:val="18"/>
                <w:szCs w:val="18"/>
                <w:color w:val="auto"/>
              </w:rPr>
              <w:t>Voyage expenses and commissions</w:t>
            </w:r>
          </w:p>
        </w:tc>
        <w:tc>
          <w:tcPr>
            <w:tcW w:w="58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62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(3,426)</w:t>
            </w:r>
          </w:p>
        </w:tc>
        <w:tc>
          <w:tcPr>
            <w:tcW w:w="160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(3,256)</w:t>
            </w:r>
          </w:p>
        </w:tc>
        <w:tc>
          <w:tcPr>
            <w:tcW w:w="156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(6,155)</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(8,519)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Depreciation of fixed assets</w:t>
            </w:r>
          </w:p>
        </w:tc>
        <w:tc>
          <w:tcPr>
            <w:tcW w:w="580" w:type="dxa"/>
            <w:vAlign w:val="bottom"/>
          </w:tcPr>
          <w:p>
            <w:pPr>
              <w:jc w:val="center"/>
              <w:ind w:left="30"/>
              <w:spacing w:after="0"/>
              <w:rPr>
                <w:sz w:val="20"/>
                <w:szCs w:val="20"/>
                <w:color w:val="auto"/>
              </w:rPr>
            </w:pPr>
            <w:r>
              <w:rPr>
                <w:rFonts w:ascii="Arial" w:cs="Arial" w:eastAsia="Arial" w:hAnsi="Arial"/>
                <w:sz w:val="18"/>
                <w:szCs w:val="18"/>
                <w:color w:val="auto"/>
                <w:w w:val="99"/>
              </w:rPr>
              <w:t>4</w:t>
            </w:r>
          </w:p>
        </w:tc>
        <w:tc>
          <w:tcPr>
            <w:tcW w:w="34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(27,274)</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(29,484)</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(49,969)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(57,648)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E5FFFF"/>
          </w:tcPr>
          <w:p>
            <w:pPr>
              <w:spacing w:after="0"/>
              <w:rPr>
                <w:sz w:val="20"/>
                <w:szCs w:val="20"/>
                <w:color w:val="auto"/>
              </w:rPr>
            </w:pPr>
            <w:r>
              <w:rPr>
                <w:rFonts w:ascii="Arial" w:cs="Arial" w:eastAsia="Arial" w:hAnsi="Arial"/>
                <w:sz w:val="18"/>
                <w:szCs w:val="18"/>
                <w:color w:val="auto"/>
              </w:rPr>
              <w:t>General and administrative expenses</w:t>
            </w:r>
          </w:p>
        </w:tc>
        <w:tc>
          <w:tcPr>
            <w:tcW w:w="580" w:type="dxa"/>
            <w:vAlign w:val="bottom"/>
            <w:shd w:val="clear" w:color="auto" w:fill="E5FFFF"/>
          </w:tcPr>
          <w:p>
            <w:pPr>
              <w:jc w:val="center"/>
              <w:ind w:left="30"/>
              <w:spacing w:after="0"/>
              <w:rPr>
                <w:sz w:val="20"/>
                <w:szCs w:val="20"/>
                <w:color w:val="auto"/>
              </w:rPr>
            </w:pPr>
            <w:r>
              <w:rPr>
                <w:rFonts w:ascii="Arial" w:cs="Arial" w:eastAsia="Arial" w:hAnsi="Arial"/>
                <w:sz w:val="18"/>
                <w:szCs w:val="18"/>
                <w:color w:val="auto"/>
                <w:w w:val="99"/>
              </w:rPr>
              <w:t>8</w:t>
            </w:r>
          </w:p>
        </w:tc>
        <w:tc>
          <w:tcPr>
            <w:tcW w:w="340" w:type="dxa"/>
            <w:vAlign w:val="bottom"/>
            <w:shd w:val="clear" w:color="auto" w:fill="E5FFFF"/>
          </w:tcPr>
          <w:p>
            <w:pPr>
              <w:spacing w:after="0"/>
              <w:rPr>
                <w:sz w:val="19"/>
                <w:szCs w:val="19"/>
                <w:color w:val="auto"/>
              </w:rPr>
            </w:pPr>
          </w:p>
        </w:tc>
        <w:tc>
          <w:tcPr>
            <w:tcW w:w="162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(8,339)</w:t>
            </w:r>
          </w:p>
        </w:tc>
        <w:tc>
          <w:tcPr>
            <w:tcW w:w="160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(10,355)</w:t>
            </w:r>
          </w:p>
        </w:tc>
        <w:tc>
          <w:tcPr>
            <w:tcW w:w="156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(19,498)</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(19,089)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Profit from operations</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38,880</w:t>
            </w:r>
          </w:p>
        </w:tc>
        <w:tc>
          <w:tcPr>
            <w:tcW w:w="34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43,415</w:t>
            </w:r>
          </w:p>
        </w:tc>
        <w:tc>
          <w:tcPr>
            <w:tcW w:w="3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77,729</w:t>
            </w:r>
          </w:p>
        </w:tc>
        <w:tc>
          <w:tcPr>
            <w:tcW w:w="3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580" w:type="dxa"/>
            <w:vAlign w:val="bottom"/>
            <w:shd w:val="clear" w:color="auto" w:fill="E5FFFF"/>
          </w:tcPr>
          <w:p>
            <w:pPr>
              <w:jc w:val="center"/>
              <w:ind w:left="30"/>
              <w:spacing w:after="0"/>
              <w:rPr>
                <w:sz w:val="20"/>
                <w:szCs w:val="20"/>
                <w:color w:val="auto"/>
              </w:rPr>
            </w:pPr>
            <w:r>
              <w:rPr>
                <w:rFonts w:ascii="Arial" w:cs="Arial" w:eastAsia="Arial" w:hAnsi="Arial"/>
                <w:sz w:val="18"/>
                <w:szCs w:val="18"/>
                <w:color w:val="auto"/>
                <w:w w:val="89"/>
              </w:rPr>
              <w:t>13</w:t>
            </w:r>
          </w:p>
        </w:tc>
        <w:tc>
          <w:tcPr>
            <w:tcW w:w="340" w:type="dxa"/>
            <w:vAlign w:val="bottom"/>
            <w:shd w:val="clear" w:color="auto" w:fill="E5FFFF"/>
          </w:tcPr>
          <w:p>
            <w:pPr>
              <w:spacing w:after="0"/>
              <w:rPr>
                <w:sz w:val="18"/>
                <w:szCs w:val="18"/>
                <w:color w:val="auto"/>
              </w:rPr>
            </w:pPr>
          </w:p>
        </w:tc>
        <w:tc>
          <w:tcPr>
            <w:tcW w:w="162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(24,246)</w:t>
            </w:r>
          </w:p>
        </w:tc>
        <w:tc>
          <w:tcPr>
            <w:tcW w:w="160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(31,483)</w:t>
            </w:r>
          </w:p>
        </w:tc>
        <w:tc>
          <w:tcPr>
            <w:tcW w:w="156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(42,774)</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(60,662)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Financial income</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w:t>
            </w:r>
          </w:p>
        </w:tc>
        <w:tc>
          <w:tcPr>
            <w:tcW w:w="34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124</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149</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5FFFF"/>
          </w:tcPr>
          <w:p>
            <w:pPr>
              <w:spacing w:after="0"/>
              <w:rPr>
                <w:sz w:val="20"/>
                <w:szCs w:val="20"/>
                <w:color w:val="auto"/>
              </w:rPr>
            </w:pPr>
            <w:r>
              <w:rPr>
                <w:rFonts w:ascii="Arial" w:cs="Arial" w:eastAsia="Arial" w:hAnsi="Arial"/>
                <w:sz w:val="18"/>
                <w:szCs w:val="18"/>
                <w:color w:val="auto"/>
              </w:rPr>
              <w:t>Gain/(loss) on swaps</w:t>
            </w:r>
          </w:p>
        </w:tc>
        <w:tc>
          <w:tcPr>
            <w:tcW w:w="580" w:type="dxa"/>
            <w:vAlign w:val="bottom"/>
            <w:shd w:val="clear" w:color="auto" w:fill="E5FFFF"/>
          </w:tcPr>
          <w:p>
            <w:pPr>
              <w:jc w:val="center"/>
              <w:ind w:left="30"/>
              <w:spacing w:after="0"/>
              <w:rPr>
                <w:sz w:val="20"/>
                <w:szCs w:val="20"/>
                <w:color w:val="auto"/>
              </w:rPr>
            </w:pPr>
            <w:r>
              <w:rPr>
                <w:rFonts w:ascii="Arial" w:cs="Arial" w:eastAsia="Arial" w:hAnsi="Arial"/>
                <w:sz w:val="18"/>
                <w:szCs w:val="18"/>
                <w:color w:val="auto"/>
                <w:w w:val="89"/>
              </w:rPr>
              <w:t>13</w:t>
            </w:r>
          </w:p>
        </w:tc>
        <w:tc>
          <w:tcPr>
            <w:tcW w:w="340" w:type="dxa"/>
            <w:vAlign w:val="bottom"/>
            <w:shd w:val="clear" w:color="auto" w:fill="E5FFFF"/>
          </w:tcPr>
          <w:p>
            <w:pPr>
              <w:spacing w:after="0"/>
              <w:rPr>
                <w:sz w:val="18"/>
                <w:szCs w:val="18"/>
                <w:color w:val="auto"/>
              </w:rPr>
            </w:pPr>
          </w:p>
        </w:tc>
        <w:tc>
          <w:tcPr>
            <w:tcW w:w="162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1,638</w:t>
            </w:r>
          </w:p>
        </w:tc>
        <w:tc>
          <w:tcPr>
            <w:tcW w:w="160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(9,039)</w:t>
            </w:r>
          </w:p>
        </w:tc>
        <w:tc>
          <w:tcPr>
            <w:tcW w:w="156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(5,341)</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(19,453)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Share of profit of associate</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343</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329</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790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other expenses, net</w:t>
            </w:r>
          </w:p>
        </w:tc>
        <w:tc>
          <w:tcPr>
            <w:tcW w:w="580" w:type="dxa"/>
            <w:vAlign w:val="bottom"/>
            <w:tcBorders>
              <w:top w:val="single" w:sz="8" w:color="E5FFFF"/>
            </w:tcBorders>
            <w:shd w:val="clear" w:color="auto" w:fill="E5FFFF"/>
          </w:tcPr>
          <w:p>
            <w:pPr>
              <w:spacing w:after="0"/>
              <w:rPr>
                <w:sz w:val="18"/>
                <w:szCs w:val="18"/>
                <w:color w:val="auto"/>
              </w:rPr>
            </w:pPr>
          </w:p>
        </w:tc>
        <w:tc>
          <w:tcPr>
            <w:tcW w:w="340" w:type="dxa"/>
            <w:vAlign w:val="bottom"/>
            <w:tcBorders>
              <w:top w:val="single" w:sz="8" w:color="E5FFFF"/>
            </w:tcBorders>
            <w:shd w:val="clear" w:color="auto" w:fill="E5FFFF"/>
          </w:tcPr>
          <w:p>
            <w:pPr>
              <w:spacing w:after="0"/>
              <w:rPr>
                <w:sz w:val="18"/>
                <w:szCs w:val="18"/>
                <w:color w:val="auto"/>
              </w:rPr>
            </w:pP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(22,179</w:t>
            </w:r>
          </w:p>
        </w:tc>
        <w:tc>
          <w:tcPr>
            <w:tcW w:w="340" w:type="dxa"/>
            <w:vAlign w:val="bottom"/>
            <w:tcBorders>
              <w:top w:val="single" w:sz="8" w:color="E5FFFF"/>
            </w:tcBorders>
            <w:shd w:val="clear" w:color="auto" w:fill="E5FFFF"/>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(40,069</w:t>
            </w:r>
          </w:p>
        </w:tc>
        <w:tc>
          <w:tcPr>
            <w:tcW w:w="320" w:type="dxa"/>
            <w:vAlign w:val="bottom"/>
            <w:tcBorders>
              <w:top w:val="single" w:sz="8" w:color="E5FFFF"/>
            </w:tcBorders>
            <w:shd w:val="clear" w:color="auto" w:fill="E5FFFF"/>
          </w:tcPr>
          <w:p>
            <w:pPr>
              <w:jc w:val="right"/>
              <w:ind w:right="18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(47,176</w:t>
            </w:r>
          </w:p>
        </w:tc>
        <w:tc>
          <w:tcPr>
            <w:tcW w:w="320" w:type="dxa"/>
            <w:vAlign w:val="bottom"/>
            <w:tcBorders>
              <w:top w:val="single" w:sz="8" w:color="E5FFFF"/>
            </w:tcBorders>
            <w:shd w:val="clear" w:color="auto" w:fill="E5FFFF"/>
          </w:tcPr>
          <w:p>
            <w:pPr>
              <w:jc w:val="right"/>
              <w:ind w:right="18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(79,126</w:t>
            </w:r>
          </w:p>
        </w:tc>
        <w:tc>
          <w:tcPr>
            <w:tcW w:w="100" w:type="dxa"/>
            <w:vAlign w:val="bottom"/>
            <w:tcBorders>
              <w:top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4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Profit/(loss) for the period</w:t>
            </w:r>
          </w:p>
        </w:tc>
        <w:tc>
          <w:tcPr>
            <w:tcW w:w="580" w:type="dxa"/>
            <w:vAlign w:val="bottom"/>
            <w:tcBorders>
              <w:bottom w:val="single" w:sz="8" w:color="E5FFFF"/>
            </w:tcBorders>
          </w:tcPr>
          <w:p>
            <w:pPr>
              <w:spacing w:after="0"/>
              <w:rPr>
                <w:sz w:val="22"/>
                <w:szCs w:val="22"/>
                <w:color w:val="auto"/>
              </w:rPr>
            </w:pPr>
          </w:p>
        </w:tc>
        <w:tc>
          <w:tcPr>
            <w:tcW w:w="340" w:type="dxa"/>
            <w:vAlign w:val="bottom"/>
            <w:tcBorders>
              <w:bottom w:val="single" w:sz="8" w:color="E5FFFF"/>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16,701</w:t>
            </w:r>
          </w:p>
        </w:tc>
        <w:tc>
          <w:tcPr>
            <w:tcW w:w="340" w:type="dxa"/>
            <w:vAlign w:val="bottom"/>
            <w:tcBorders>
              <w:bottom w:val="single" w:sz="8" w:color="E5FFFF"/>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3,346</w:t>
            </w:r>
          </w:p>
        </w:tc>
        <w:tc>
          <w:tcPr>
            <w:tcW w:w="320" w:type="dxa"/>
            <w:vAlign w:val="bottom"/>
            <w:tcBorders>
              <w:bottom w:val="single" w:sz="8" w:color="E5FF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30,553</w:t>
            </w:r>
          </w:p>
        </w:tc>
        <w:tc>
          <w:tcPr>
            <w:tcW w:w="320" w:type="dxa"/>
            <w:vAlign w:val="bottom"/>
            <w:tcBorders>
              <w:bottom w:val="single" w:sz="8" w:color="E5FFFF"/>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(1,952</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4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Attributable to:</w:t>
            </w:r>
          </w:p>
        </w:tc>
        <w:tc>
          <w:tcPr>
            <w:tcW w:w="5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2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2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Owners of the Group</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8,240</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(7,864)</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12,582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(23,762)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E5FFFF"/>
          </w:tcPr>
          <w:p>
            <w:pPr>
              <w:spacing w:after="0"/>
              <w:rPr>
                <w:sz w:val="20"/>
                <w:szCs w:val="20"/>
                <w:color w:val="auto"/>
              </w:rPr>
            </w:pPr>
            <w:r>
              <w:rPr>
                <w:rFonts w:ascii="Arial" w:cs="Arial" w:eastAsia="Arial" w:hAnsi="Arial"/>
                <w:sz w:val="18"/>
                <w:szCs w:val="18"/>
                <w:color w:val="auto"/>
              </w:rPr>
              <w:t>Non-controlling interest</w:t>
            </w:r>
          </w:p>
        </w:tc>
        <w:tc>
          <w:tcPr>
            <w:tcW w:w="58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162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8,461</w:t>
            </w:r>
          </w:p>
        </w:tc>
        <w:tc>
          <w:tcPr>
            <w:tcW w:w="160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11,210</w:t>
            </w:r>
          </w:p>
        </w:tc>
        <w:tc>
          <w:tcPr>
            <w:tcW w:w="15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17,971</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21,810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16,701</w:t>
            </w:r>
          </w:p>
        </w:tc>
        <w:tc>
          <w:tcPr>
            <w:tcW w:w="34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3,346</w:t>
            </w:r>
          </w:p>
        </w:tc>
        <w:tc>
          <w:tcPr>
            <w:tcW w:w="3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30,553</w:t>
            </w:r>
          </w:p>
        </w:tc>
        <w:tc>
          <w:tcPr>
            <w:tcW w:w="3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(1,952</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Earnings/(loss) per share – basic and diluted</w:t>
            </w:r>
          </w:p>
        </w:tc>
        <w:tc>
          <w:tcPr>
            <w:tcW w:w="580" w:type="dxa"/>
            <w:vAlign w:val="bottom"/>
            <w:shd w:val="clear" w:color="auto" w:fill="E5FFFF"/>
          </w:tcPr>
          <w:p>
            <w:pPr>
              <w:jc w:val="center"/>
              <w:ind w:left="30"/>
              <w:spacing w:after="0"/>
              <w:rPr>
                <w:sz w:val="20"/>
                <w:szCs w:val="20"/>
                <w:color w:val="auto"/>
              </w:rPr>
            </w:pPr>
            <w:r>
              <w:rPr>
                <w:rFonts w:ascii="Arial" w:cs="Arial" w:eastAsia="Arial" w:hAnsi="Arial"/>
                <w:sz w:val="18"/>
                <w:szCs w:val="18"/>
                <w:color w:val="auto"/>
                <w:w w:val="89"/>
              </w:rPr>
              <w:t>16</w:t>
            </w:r>
          </w:p>
        </w:tc>
        <w:tc>
          <w:tcPr>
            <w:tcW w:w="340" w:type="dxa"/>
            <w:vAlign w:val="bottom"/>
            <w:shd w:val="clear" w:color="auto" w:fill="E5FFFF"/>
          </w:tcPr>
          <w:p>
            <w:pPr>
              <w:spacing w:after="0"/>
              <w:rPr>
                <w:sz w:val="18"/>
                <w:szCs w:val="18"/>
                <w:color w:val="auto"/>
              </w:rPr>
            </w:pPr>
          </w:p>
        </w:tc>
        <w:tc>
          <w:tcPr>
            <w:tcW w:w="162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0.07</w:t>
            </w:r>
          </w:p>
        </w:tc>
        <w:tc>
          <w:tcPr>
            <w:tcW w:w="160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(0.13)</w:t>
            </w:r>
          </w:p>
        </w:tc>
        <w:tc>
          <w:tcPr>
            <w:tcW w:w="15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0.13</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40" w:type="dxa"/>
            <w:vAlign w:val="bottom"/>
            <w:gridSpan w:val="9"/>
          </w:tcPr>
          <w:p>
            <w:pPr>
              <w:jc w:val="right"/>
              <w:ind w:right="3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gridSpan w:val="2"/>
          </w:tcPr>
          <w:p>
            <w:pPr>
              <w:jc w:val="right"/>
              <w:ind w:right="980"/>
              <w:spacing w:after="0"/>
              <w:rPr>
                <w:sz w:val="20"/>
                <w:szCs w:val="20"/>
                <w:color w:val="auto"/>
              </w:rPr>
            </w:pPr>
            <w:r>
              <w:rPr>
                <w:rFonts w:ascii="Arial" w:cs="Arial" w:eastAsia="Arial" w:hAnsi="Arial"/>
                <w:sz w:val="18"/>
                <w:szCs w:val="18"/>
                <w:color w:val="auto"/>
              </w:rPr>
              <w:t>F-3</w:t>
            </w: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40" w:type="dxa"/>
            <w:vAlign w:val="bottom"/>
            <w:tcBorders>
              <w:bottom w:val="single" w:sz="8" w:color="C0C0C0"/>
            </w:tcBorders>
          </w:tcPr>
          <w:p>
            <w:pPr>
              <w:spacing w:after="0"/>
              <w:rPr>
                <w:sz w:val="21"/>
                <w:szCs w:val="21"/>
                <w:color w:val="auto"/>
              </w:rPr>
            </w:pPr>
          </w:p>
        </w:tc>
        <w:tc>
          <w:tcPr>
            <w:tcW w:w="580" w:type="dxa"/>
            <w:vAlign w:val="bottom"/>
            <w:tcBorders>
              <w:bottom w:val="single" w:sz="8" w:color="C0C0C0"/>
            </w:tcBorders>
          </w:tcPr>
          <w:p>
            <w:pPr>
              <w:spacing w:after="0"/>
              <w:rPr>
                <w:sz w:val="21"/>
                <w:szCs w:val="21"/>
                <w:color w:val="auto"/>
              </w:rPr>
            </w:pPr>
          </w:p>
        </w:tc>
        <w:tc>
          <w:tcPr>
            <w:tcW w:w="340" w:type="dxa"/>
            <w:vAlign w:val="bottom"/>
            <w:tcBorders>
              <w:bottom w:val="single" w:sz="8" w:color="C0C0C0"/>
            </w:tcBorders>
          </w:tcPr>
          <w:p>
            <w:pPr>
              <w:spacing w:after="0"/>
              <w:rPr>
                <w:sz w:val="21"/>
                <w:szCs w:val="21"/>
                <w:color w:val="auto"/>
              </w:rPr>
            </w:pPr>
          </w:p>
        </w:tc>
        <w:tc>
          <w:tcPr>
            <w:tcW w:w="1280" w:type="dxa"/>
            <w:vAlign w:val="bottom"/>
            <w:tcBorders>
              <w:bottom w:val="single" w:sz="8" w:color="C0C0C0"/>
            </w:tcBorders>
          </w:tcPr>
          <w:p>
            <w:pPr>
              <w:spacing w:after="0"/>
              <w:rPr>
                <w:sz w:val="21"/>
                <w:szCs w:val="21"/>
                <w:color w:val="auto"/>
              </w:rPr>
            </w:pPr>
          </w:p>
        </w:tc>
        <w:tc>
          <w:tcPr>
            <w:tcW w:w="340" w:type="dxa"/>
            <w:vAlign w:val="bottom"/>
            <w:tcBorders>
              <w:bottom w:val="single" w:sz="8" w:color="C0C0C0"/>
            </w:tcBorders>
          </w:tcPr>
          <w:p>
            <w:pPr>
              <w:spacing w:after="0"/>
              <w:rPr>
                <w:sz w:val="21"/>
                <w:szCs w:val="21"/>
                <w:color w:val="auto"/>
              </w:rPr>
            </w:pPr>
          </w:p>
        </w:tc>
        <w:tc>
          <w:tcPr>
            <w:tcW w:w="1280" w:type="dxa"/>
            <w:vAlign w:val="bottom"/>
            <w:tcBorders>
              <w:bottom w:val="single" w:sz="8" w:color="C0C0C0"/>
            </w:tcBorders>
          </w:tcPr>
          <w:p>
            <w:pPr>
              <w:spacing w:after="0"/>
              <w:rPr>
                <w:sz w:val="21"/>
                <w:szCs w:val="21"/>
                <w:color w:val="auto"/>
              </w:rPr>
            </w:pPr>
          </w:p>
        </w:tc>
        <w:tc>
          <w:tcPr>
            <w:tcW w:w="320" w:type="dxa"/>
            <w:vAlign w:val="bottom"/>
            <w:tcBorders>
              <w:bottom w:val="single" w:sz="8" w:color="C0C0C0"/>
            </w:tcBorders>
          </w:tcPr>
          <w:p>
            <w:pPr>
              <w:spacing w:after="0"/>
              <w:rPr>
                <w:sz w:val="21"/>
                <w:szCs w:val="21"/>
                <w:color w:val="auto"/>
              </w:rPr>
            </w:pPr>
          </w:p>
        </w:tc>
        <w:tc>
          <w:tcPr>
            <w:tcW w:w="1240" w:type="dxa"/>
            <w:vAlign w:val="bottom"/>
            <w:tcBorders>
              <w:bottom w:val="single" w:sz="8" w:color="C0C0C0"/>
            </w:tcBorders>
          </w:tcPr>
          <w:p>
            <w:pPr>
              <w:spacing w:after="0"/>
              <w:rPr>
                <w:sz w:val="21"/>
                <w:szCs w:val="21"/>
                <w:color w:val="auto"/>
              </w:rPr>
            </w:pPr>
          </w:p>
        </w:tc>
        <w:tc>
          <w:tcPr>
            <w:tcW w:w="320" w:type="dxa"/>
            <w:vAlign w:val="bottom"/>
            <w:tcBorders>
              <w:bottom w:val="single" w:sz="8" w:color="C0C0C0"/>
            </w:tcBorders>
          </w:tcPr>
          <w:p>
            <w:pPr>
              <w:spacing w:after="0"/>
              <w:rPr>
                <w:sz w:val="21"/>
                <w:szCs w:val="21"/>
                <w:color w:val="auto"/>
              </w:rPr>
            </w:pPr>
          </w:p>
        </w:tc>
        <w:tc>
          <w:tcPr>
            <w:tcW w:w="126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25" w:lineRule="exact"/>
        <w:rPr>
          <w:sz w:val="20"/>
          <w:szCs w:val="20"/>
          <w:color w:val="auto"/>
        </w:rPr>
      </w:pPr>
    </w:p>
    <w:p>
      <w:pPr>
        <w:ind w:right="5360"/>
        <w:spacing w:after="0" w:line="266" w:lineRule="auto"/>
        <w:rPr>
          <w:sz w:val="20"/>
          <w:szCs w:val="20"/>
          <w:color w:val="auto"/>
        </w:rPr>
      </w:pPr>
      <w:r>
        <w:rPr>
          <w:rFonts w:ascii="Arial" w:cs="Arial" w:eastAsia="Arial" w:hAnsi="Arial"/>
          <w:sz w:val="18"/>
          <w:szCs w:val="18"/>
          <w:b w:val="1"/>
          <w:bCs w:val="1"/>
          <w:color w:val="auto"/>
        </w:rPr>
        <w:t>Unaudited condensed consolidated statements of comprehensive income or loss For the three and six months ended June 30, 2015 and 2016 (Amounts expressed in thousands of U.S. Dollars)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2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For the three months ended</w:t>
            </w:r>
          </w:p>
        </w:tc>
        <w:tc>
          <w:tcPr>
            <w:tcW w:w="292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Note</w:t>
            </w:r>
          </w:p>
        </w:tc>
        <w:tc>
          <w:tcPr>
            <w:tcW w:w="162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 2015</w:t>
            </w:r>
          </w:p>
        </w:tc>
        <w:tc>
          <w:tcPr>
            <w:tcW w:w="16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June 30, 2016</w:t>
            </w:r>
          </w:p>
        </w:tc>
        <w:tc>
          <w:tcPr>
            <w:tcW w:w="15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5"/>
              </w:rPr>
              <w:t>June 30, 2015</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7"/>
              </w:rPr>
              <w:t>June 30, 2016</w:t>
            </w:r>
          </w:p>
        </w:tc>
        <w:tc>
          <w:tcPr>
            <w:tcW w:w="0" w:type="dxa"/>
            <w:vAlign w:val="bottom"/>
          </w:tcPr>
          <w:p>
            <w:pPr>
              <w:spacing w:after="0"/>
              <w:rPr>
                <w:sz w:val="1"/>
                <w:szCs w:val="1"/>
                <w:color w:val="auto"/>
              </w:rPr>
            </w:pPr>
          </w:p>
        </w:tc>
      </w:tr>
      <w:tr>
        <w:trPr>
          <w:trHeight w:val="210"/>
        </w:trPr>
        <w:tc>
          <w:tcPr>
            <w:tcW w:w="43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Profit/(loss) for the period</w:t>
            </w:r>
          </w:p>
        </w:tc>
        <w:tc>
          <w:tcPr>
            <w:tcW w:w="580" w:type="dxa"/>
            <w:vAlign w:val="bottom"/>
            <w:tcBorders>
              <w:top w:val="single" w:sz="8" w:color="auto"/>
            </w:tcBorders>
            <w:shd w:val="clear" w:color="auto" w:fill="E5FFFF"/>
          </w:tcPr>
          <w:p>
            <w:pPr>
              <w:spacing w:after="0"/>
              <w:rPr>
                <w:sz w:val="18"/>
                <w:szCs w:val="18"/>
                <w:color w:val="auto"/>
              </w:rPr>
            </w:pPr>
          </w:p>
        </w:tc>
        <w:tc>
          <w:tcPr>
            <w:tcW w:w="340" w:type="dxa"/>
            <w:vAlign w:val="bottom"/>
            <w:tcBorders>
              <w:top w:val="single" w:sz="8" w:color="E5FFFF"/>
            </w:tcBorders>
            <w:shd w:val="clear" w:color="auto" w:fill="E5FFFF"/>
          </w:tcPr>
          <w:p>
            <w:pPr>
              <w:spacing w:after="0"/>
              <w:rPr>
                <w:sz w:val="18"/>
                <w:szCs w:val="18"/>
                <w:color w:val="auto"/>
              </w:rPr>
            </w:pPr>
          </w:p>
        </w:tc>
        <w:tc>
          <w:tcPr>
            <w:tcW w:w="12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16,701</w:t>
            </w:r>
          </w:p>
        </w:tc>
        <w:tc>
          <w:tcPr>
            <w:tcW w:w="340" w:type="dxa"/>
            <w:vAlign w:val="bottom"/>
            <w:tcBorders>
              <w:top w:val="single" w:sz="8" w:color="E5FFFF"/>
            </w:tcBorders>
            <w:shd w:val="clear" w:color="auto" w:fill="E5FFFF"/>
          </w:tcPr>
          <w:p>
            <w:pPr>
              <w:spacing w:after="0"/>
              <w:rPr>
                <w:sz w:val="18"/>
                <w:szCs w:val="18"/>
                <w:color w:val="auto"/>
              </w:rPr>
            </w:pPr>
          </w:p>
        </w:tc>
        <w:tc>
          <w:tcPr>
            <w:tcW w:w="12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3,346</w:t>
            </w:r>
          </w:p>
        </w:tc>
        <w:tc>
          <w:tcPr>
            <w:tcW w:w="32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30,553</w:t>
            </w:r>
          </w:p>
        </w:tc>
        <w:tc>
          <w:tcPr>
            <w:tcW w:w="32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(1,952)</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60" w:type="dxa"/>
            <w:vAlign w:val="bottom"/>
            <w:shd w:val="clear" w:color="auto" w:fill="E5FFFF"/>
          </w:tcPr>
          <w:p>
            <w:pPr>
              <w:spacing w:after="0" w:line="198" w:lineRule="exact"/>
              <w:rPr>
                <w:sz w:val="20"/>
                <w:szCs w:val="20"/>
                <w:color w:val="auto"/>
              </w:rPr>
            </w:pPr>
            <w:r>
              <w:rPr>
                <w:rFonts w:ascii="Arial" w:cs="Arial" w:eastAsia="Arial" w:hAnsi="Arial"/>
                <w:sz w:val="18"/>
                <w:szCs w:val="18"/>
                <w:b w:val="1"/>
                <w:bCs w:val="1"/>
                <w:color w:val="auto"/>
                <w:w w:val="96"/>
              </w:rPr>
              <w:t>Items that may be reclassified subsequently to profit</w:t>
            </w:r>
          </w:p>
        </w:tc>
        <w:tc>
          <w:tcPr>
            <w:tcW w:w="5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2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2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shd w:val="clear" w:color="auto" w:fill="E5FFFF"/>
          </w:tcPr>
          <w:p>
            <w:pPr>
              <w:ind w:left="180"/>
              <w:spacing w:after="0"/>
              <w:rPr>
                <w:sz w:val="20"/>
                <w:szCs w:val="20"/>
                <w:color w:val="auto"/>
              </w:rPr>
            </w:pPr>
            <w:r>
              <w:rPr>
                <w:rFonts w:ascii="Arial" w:cs="Arial" w:eastAsia="Arial" w:hAnsi="Arial"/>
                <w:sz w:val="18"/>
                <w:szCs w:val="18"/>
                <w:b w:val="1"/>
                <w:bCs w:val="1"/>
                <w:color w:val="auto"/>
              </w:rPr>
              <w:t>or loss:</w:t>
            </w:r>
          </w:p>
        </w:tc>
        <w:tc>
          <w:tcPr>
            <w:tcW w:w="580" w:type="dxa"/>
            <w:vAlign w:val="bottom"/>
            <w:shd w:val="clear" w:color="auto" w:fill="E5FFFF"/>
          </w:tcPr>
          <w:p>
            <w:pPr>
              <w:spacing w:after="0"/>
              <w:rPr>
                <w:sz w:val="20"/>
                <w:szCs w:val="20"/>
                <w:color w:val="auto"/>
              </w:rPr>
            </w:pPr>
          </w:p>
        </w:tc>
        <w:tc>
          <w:tcPr>
            <w:tcW w:w="340" w:type="dxa"/>
            <w:vAlign w:val="bottom"/>
            <w:shd w:val="clear" w:color="auto" w:fill="E5FFFF"/>
          </w:tcPr>
          <w:p>
            <w:pPr>
              <w:spacing w:after="0"/>
              <w:rPr>
                <w:sz w:val="20"/>
                <w:szCs w:val="20"/>
                <w:color w:val="auto"/>
              </w:rPr>
            </w:pPr>
          </w:p>
        </w:tc>
        <w:tc>
          <w:tcPr>
            <w:tcW w:w="1280" w:type="dxa"/>
            <w:vAlign w:val="bottom"/>
            <w:shd w:val="clear" w:color="auto" w:fill="E5FFFF"/>
          </w:tcPr>
          <w:p>
            <w:pPr>
              <w:spacing w:after="0"/>
              <w:rPr>
                <w:sz w:val="20"/>
                <w:szCs w:val="20"/>
                <w:color w:val="auto"/>
              </w:rPr>
            </w:pPr>
          </w:p>
        </w:tc>
        <w:tc>
          <w:tcPr>
            <w:tcW w:w="340" w:type="dxa"/>
            <w:vAlign w:val="bottom"/>
            <w:shd w:val="clear" w:color="auto" w:fill="E5FFFF"/>
          </w:tcPr>
          <w:p>
            <w:pPr>
              <w:spacing w:after="0"/>
              <w:rPr>
                <w:sz w:val="20"/>
                <w:szCs w:val="20"/>
                <w:color w:val="auto"/>
              </w:rPr>
            </w:pPr>
          </w:p>
        </w:tc>
        <w:tc>
          <w:tcPr>
            <w:tcW w:w="128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124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126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rPr>
              <w:t>Effective portion of changes in fair value of cash flow</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hedges, net of amounts recycled to profit or loss</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0"/>
                <w:szCs w:val="20"/>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4,614</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(5,111)</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(371)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(9,549)</w:t>
            </w:r>
          </w:p>
        </w:tc>
        <w:tc>
          <w:tcPr>
            <w:tcW w:w="0" w:type="dxa"/>
            <w:vAlign w:val="bottom"/>
          </w:tcPr>
          <w:p>
            <w:pPr>
              <w:spacing w:after="0"/>
              <w:rPr>
                <w:sz w:val="1"/>
                <w:szCs w:val="1"/>
                <w:color w:val="auto"/>
              </w:rPr>
            </w:pPr>
          </w:p>
        </w:tc>
      </w:tr>
      <w:tr>
        <w:trPr>
          <w:trHeight w:val="202"/>
        </w:trPr>
        <w:tc>
          <w:tcPr>
            <w:tcW w:w="436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w w:val="99"/>
              </w:rPr>
              <w:t>Recycled loss of cash flow hedges reclassified to profit</w:t>
            </w:r>
          </w:p>
        </w:tc>
        <w:tc>
          <w:tcPr>
            <w:tcW w:w="5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2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2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E5FFFF"/>
          </w:tcPr>
          <w:p>
            <w:pPr>
              <w:ind w:left="180"/>
              <w:spacing w:after="0"/>
              <w:rPr>
                <w:sz w:val="20"/>
                <w:szCs w:val="20"/>
                <w:color w:val="auto"/>
              </w:rPr>
            </w:pPr>
            <w:r>
              <w:rPr>
                <w:rFonts w:ascii="Arial" w:cs="Arial" w:eastAsia="Arial" w:hAnsi="Arial"/>
                <w:sz w:val="18"/>
                <w:szCs w:val="18"/>
                <w:color w:val="auto"/>
                <w:w w:val="98"/>
              </w:rPr>
              <w:t>or loss in relation to derivatives no longer designated</w:t>
            </w:r>
          </w:p>
        </w:tc>
        <w:tc>
          <w:tcPr>
            <w:tcW w:w="58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28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2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3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as hedges</w:t>
            </w:r>
          </w:p>
        </w:tc>
        <w:tc>
          <w:tcPr>
            <w:tcW w:w="580" w:type="dxa"/>
            <w:vAlign w:val="bottom"/>
            <w:shd w:val="clear" w:color="auto" w:fill="E5FFFF"/>
          </w:tcPr>
          <w:p>
            <w:pPr>
              <w:jc w:val="right"/>
              <w:ind w:right="5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E5FFFF"/>
          </w:tcPr>
          <w:p>
            <w:pPr>
              <w:spacing w:after="0"/>
              <w:rPr>
                <w:sz w:val="21"/>
                <w:szCs w:val="21"/>
                <w:color w:val="auto"/>
              </w:rPr>
            </w:pPr>
          </w:p>
        </w:tc>
        <w:tc>
          <w:tcPr>
            <w:tcW w:w="162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283</w:t>
            </w:r>
          </w:p>
        </w:tc>
        <w:tc>
          <w:tcPr>
            <w:tcW w:w="160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5,927</w:t>
            </w:r>
          </w:p>
        </w:tc>
        <w:tc>
          <w:tcPr>
            <w:tcW w:w="15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567</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6,276</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Other comprehensive income/(loss) for the period</w:t>
            </w:r>
          </w:p>
        </w:tc>
        <w:tc>
          <w:tcPr>
            <w:tcW w:w="580" w:type="dxa"/>
            <w:vAlign w:val="bottom"/>
            <w:tcBorders>
              <w:bottom w:val="single" w:sz="8" w:color="E5FFFF"/>
            </w:tcBorders>
          </w:tcPr>
          <w:p>
            <w:pPr>
              <w:spacing w:after="0"/>
              <w:rPr>
                <w:sz w:val="18"/>
                <w:szCs w:val="18"/>
                <w:color w:val="auto"/>
              </w:rPr>
            </w:pPr>
          </w:p>
        </w:tc>
        <w:tc>
          <w:tcPr>
            <w:tcW w:w="340" w:type="dxa"/>
            <w:vAlign w:val="bottom"/>
            <w:tcBorders>
              <w:bottom w:val="single" w:sz="8" w:color="E5FFFF"/>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4,897</w:t>
            </w:r>
          </w:p>
        </w:tc>
        <w:tc>
          <w:tcPr>
            <w:tcW w:w="340" w:type="dxa"/>
            <w:vAlign w:val="bottom"/>
            <w:tcBorders>
              <w:bottom w:val="single" w:sz="8" w:color="E5FFFF"/>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816</w:t>
            </w:r>
          </w:p>
        </w:tc>
        <w:tc>
          <w:tcPr>
            <w:tcW w:w="320" w:type="dxa"/>
            <w:vAlign w:val="bottom"/>
            <w:tcBorders>
              <w:bottom w:val="single" w:sz="8" w:color="E5FF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w:t>
            </w:r>
          </w:p>
        </w:tc>
        <w:tc>
          <w:tcPr>
            <w:tcW w:w="320" w:type="dxa"/>
            <w:vAlign w:val="bottom"/>
            <w:tcBorders>
              <w:bottom w:val="single" w:sz="8" w:color="E5FF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(3,273</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comprehensive income/(loss) for the period</w:t>
            </w:r>
          </w:p>
        </w:tc>
        <w:tc>
          <w:tcPr>
            <w:tcW w:w="580" w:type="dxa"/>
            <w:vAlign w:val="bottom"/>
            <w:tcBorders>
              <w:bottom w:val="single" w:sz="8" w:color="E5FFFF"/>
            </w:tcBorders>
            <w:shd w:val="clear" w:color="auto" w:fill="E5FFFF"/>
          </w:tcPr>
          <w:p>
            <w:pPr>
              <w:spacing w:after="0"/>
              <w:rPr>
                <w:sz w:val="19"/>
                <w:szCs w:val="19"/>
                <w:color w:val="auto"/>
              </w:rPr>
            </w:pPr>
          </w:p>
        </w:tc>
        <w:tc>
          <w:tcPr>
            <w:tcW w:w="340" w:type="dxa"/>
            <w:vAlign w:val="bottom"/>
            <w:tcBorders>
              <w:bottom w:val="single" w:sz="8" w:color="E5FFFF"/>
            </w:tcBorders>
            <w:shd w:val="clear" w:color="auto" w:fill="E5FFFF"/>
          </w:tcPr>
          <w:p>
            <w:pPr>
              <w:spacing w:after="0"/>
              <w:rPr>
                <w:sz w:val="19"/>
                <w:szCs w:val="19"/>
                <w:color w:val="auto"/>
              </w:rPr>
            </w:pPr>
          </w:p>
        </w:tc>
        <w:tc>
          <w:tcPr>
            <w:tcW w:w="12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21,598</w:t>
            </w:r>
          </w:p>
        </w:tc>
        <w:tc>
          <w:tcPr>
            <w:tcW w:w="340" w:type="dxa"/>
            <w:vAlign w:val="bottom"/>
            <w:tcBorders>
              <w:bottom w:val="single" w:sz="8" w:color="E5FFFF"/>
            </w:tcBorders>
            <w:shd w:val="clear" w:color="auto" w:fill="E5FFFF"/>
          </w:tcPr>
          <w:p>
            <w:pPr>
              <w:spacing w:after="0"/>
              <w:rPr>
                <w:sz w:val="19"/>
                <w:szCs w:val="19"/>
                <w:color w:val="auto"/>
              </w:rPr>
            </w:pPr>
          </w:p>
        </w:tc>
        <w:tc>
          <w:tcPr>
            <w:tcW w:w="12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4,162</w:t>
            </w:r>
          </w:p>
        </w:tc>
        <w:tc>
          <w:tcPr>
            <w:tcW w:w="320" w:type="dxa"/>
            <w:vAlign w:val="bottom"/>
            <w:tcBorders>
              <w:bottom w:val="single" w:sz="8" w:color="E5FFFF"/>
            </w:tcBorders>
            <w:shd w:val="clear" w:color="auto" w:fill="E5FFFF"/>
          </w:tcPr>
          <w:p>
            <w:pPr>
              <w:spacing w:after="0"/>
              <w:rPr>
                <w:sz w:val="19"/>
                <w:szCs w:val="19"/>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30,749</w:t>
            </w:r>
          </w:p>
        </w:tc>
        <w:tc>
          <w:tcPr>
            <w:tcW w:w="320" w:type="dxa"/>
            <w:vAlign w:val="bottom"/>
            <w:tcBorders>
              <w:bottom w:val="single" w:sz="8" w:color="E5FFFF"/>
            </w:tcBorders>
            <w:shd w:val="clear" w:color="auto" w:fill="E5FFFF"/>
          </w:tcPr>
          <w:p>
            <w:pPr>
              <w:spacing w:after="0"/>
              <w:rPr>
                <w:sz w:val="19"/>
                <w:szCs w:val="19"/>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(5,225</w:t>
            </w:r>
          </w:p>
        </w:tc>
        <w:tc>
          <w:tcPr>
            <w:tcW w:w="100" w:type="dxa"/>
            <w:vAlign w:val="bottom"/>
            <w:tcBorders>
              <w:bottom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Attributable to:</w:t>
            </w: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E5FFFF"/>
          </w:tcPr>
          <w:p>
            <w:pPr>
              <w:spacing w:after="0"/>
              <w:rPr>
                <w:sz w:val="20"/>
                <w:szCs w:val="20"/>
                <w:color w:val="auto"/>
              </w:rPr>
            </w:pPr>
            <w:r>
              <w:rPr>
                <w:rFonts w:ascii="Arial" w:cs="Arial" w:eastAsia="Arial" w:hAnsi="Arial"/>
                <w:sz w:val="18"/>
                <w:szCs w:val="18"/>
                <w:color w:val="auto"/>
              </w:rPr>
              <w:t>Owners of the Group</w:t>
            </w:r>
          </w:p>
        </w:tc>
        <w:tc>
          <w:tcPr>
            <w:tcW w:w="58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62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13,137</w:t>
            </w:r>
          </w:p>
        </w:tc>
        <w:tc>
          <w:tcPr>
            <w:tcW w:w="160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(7,048)</w:t>
            </w:r>
          </w:p>
        </w:tc>
        <w:tc>
          <w:tcPr>
            <w:tcW w:w="15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12,778</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(27,035)</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8,461</w:t>
            </w: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11,210</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17,971</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21,810</w:t>
            </w:r>
          </w:p>
        </w:tc>
        <w:tc>
          <w:tcPr>
            <w:tcW w:w="0" w:type="dxa"/>
            <w:vAlign w:val="bottom"/>
          </w:tcPr>
          <w:p>
            <w:pPr>
              <w:spacing w:after="0"/>
              <w:rPr>
                <w:sz w:val="1"/>
                <w:szCs w:val="1"/>
                <w:color w:val="auto"/>
              </w:rPr>
            </w:pPr>
          </w:p>
        </w:tc>
      </w:tr>
      <w:tr>
        <w:trPr>
          <w:trHeight w:val="223"/>
        </w:trPr>
        <w:tc>
          <w:tcPr>
            <w:tcW w:w="4360" w:type="dxa"/>
            <w:vAlign w:val="bottom"/>
            <w:tcBorders>
              <w:top w:val="single" w:sz="8" w:color="E5FFFF"/>
              <w:bottom w:val="single" w:sz="8" w:color="E5FFFF"/>
            </w:tcBorders>
            <w:shd w:val="clear" w:color="auto" w:fill="E5FFFF"/>
          </w:tcPr>
          <w:p>
            <w:pPr>
              <w:spacing w:after="0"/>
              <w:rPr>
                <w:sz w:val="19"/>
                <w:szCs w:val="19"/>
                <w:color w:val="auto"/>
              </w:rPr>
            </w:pPr>
          </w:p>
        </w:tc>
        <w:tc>
          <w:tcPr>
            <w:tcW w:w="580" w:type="dxa"/>
            <w:vAlign w:val="bottom"/>
            <w:tcBorders>
              <w:top w:val="single" w:sz="8" w:color="E5FFFF"/>
              <w:bottom w:val="single" w:sz="8" w:color="E5FFFF"/>
            </w:tcBorders>
            <w:shd w:val="clear" w:color="auto" w:fill="E5FFFF"/>
          </w:tcPr>
          <w:p>
            <w:pPr>
              <w:spacing w:after="0"/>
              <w:rPr>
                <w:sz w:val="19"/>
                <w:szCs w:val="19"/>
                <w:color w:val="auto"/>
              </w:rPr>
            </w:pPr>
          </w:p>
        </w:tc>
        <w:tc>
          <w:tcPr>
            <w:tcW w:w="340" w:type="dxa"/>
            <w:vAlign w:val="bottom"/>
            <w:tcBorders>
              <w:top w:val="single" w:sz="8" w:color="E5FFFF"/>
              <w:bottom w:val="single" w:sz="8" w:color="E5FFFF"/>
            </w:tcBorders>
            <w:shd w:val="clear" w:color="auto" w:fill="E5FFFF"/>
          </w:tcPr>
          <w:p>
            <w:pPr>
              <w:spacing w:after="0"/>
              <w:rPr>
                <w:sz w:val="19"/>
                <w:szCs w:val="19"/>
                <w:color w:val="auto"/>
              </w:rPr>
            </w:pP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21,598</w:t>
            </w:r>
          </w:p>
        </w:tc>
        <w:tc>
          <w:tcPr>
            <w:tcW w:w="340" w:type="dxa"/>
            <w:vAlign w:val="bottom"/>
            <w:tcBorders>
              <w:top w:val="single" w:sz="8" w:color="E5FFFF"/>
              <w:bottom w:val="single" w:sz="8" w:color="E5FFFF"/>
            </w:tcBorders>
            <w:shd w:val="clear" w:color="auto" w:fill="E5FFFF"/>
          </w:tcPr>
          <w:p>
            <w:pPr>
              <w:spacing w:after="0"/>
              <w:rPr>
                <w:sz w:val="19"/>
                <w:szCs w:val="19"/>
                <w:color w:val="auto"/>
              </w:rPr>
            </w:pP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4,162</w:t>
            </w:r>
          </w:p>
        </w:tc>
        <w:tc>
          <w:tcPr>
            <w:tcW w:w="320" w:type="dxa"/>
            <w:vAlign w:val="bottom"/>
            <w:tcBorders>
              <w:top w:val="single" w:sz="8" w:color="E5FFFF"/>
              <w:bottom w:val="single" w:sz="8" w:color="E5FFFF"/>
            </w:tcBorders>
            <w:shd w:val="clear" w:color="auto" w:fill="E5FFFF"/>
          </w:tcPr>
          <w:p>
            <w:pPr>
              <w:spacing w:after="0"/>
              <w:rPr>
                <w:sz w:val="19"/>
                <w:szCs w:val="19"/>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30,749</w:t>
            </w:r>
          </w:p>
        </w:tc>
        <w:tc>
          <w:tcPr>
            <w:tcW w:w="320" w:type="dxa"/>
            <w:vAlign w:val="bottom"/>
            <w:tcBorders>
              <w:top w:val="single" w:sz="8" w:color="E5FFFF"/>
              <w:bottom w:val="single" w:sz="8" w:color="E5FFFF"/>
            </w:tcBorders>
            <w:shd w:val="clear" w:color="auto" w:fill="E5FFFF"/>
          </w:tcPr>
          <w:p>
            <w:pPr>
              <w:spacing w:after="0"/>
              <w:rPr>
                <w:sz w:val="19"/>
                <w:szCs w:val="19"/>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(5,225</w:t>
            </w:r>
          </w:p>
        </w:tc>
        <w:tc>
          <w:tcPr>
            <w:tcW w:w="100" w:type="dxa"/>
            <w:vAlign w:val="bottom"/>
            <w:tcBorders>
              <w:top w:val="single" w:sz="8" w:color="E5FFFF"/>
              <w:bottom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changes in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Retained</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Share</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9"/>
              </w:rPr>
              <w:t>Preferred</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Contributed</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Treasury</w:t>
            </w:r>
          </w:p>
        </w:tc>
        <w:tc>
          <w:tcPr>
            <w:tcW w:w="12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earnings/</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Attributable</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Non -</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Capital</w:t>
            </w:r>
          </w:p>
        </w:tc>
        <w:tc>
          <w:tcPr>
            <w:tcW w:w="860" w:type="dxa"/>
            <w:vAlign w:val="bottom"/>
            <w:gridSpan w:val="2"/>
          </w:tcPr>
          <w:p>
            <w:pPr>
              <w:ind w:left="180"/>
              <w:spacing w:after="0"/>
              <w:rPr>
                <w:sz w:val="20"/>
                <w:szCs w:val="20"/>
                <w:color w:val="auto"/>
              </w:rPr>
            </w:pPr>
            <w:r>
              <w:rPr>
                <w:rFonts w:ascii="Arial" w:cs="Arial" w:eastAsia="Arial" w:hAnsi="Arial"/>
                <w:sz w:val="18"/>
                <w:szCs w:val="18"/>
                <w:b w:val="1"/>
                <w:bCs w:val="1"/>
                <w:color w:val="auto"/>
              </w:rPr>
              <w:t>stock</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Surplus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2"/>
              </w:rPr>
              <w:t>shares</w:t>
            </w:r>
          </w:p>
        </w:tc>
        <w:tc>
          <w:tcPr>
            <w:tcW w:w="12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(accumulated</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to owners of</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controlling</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(Note 10)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3"/>
              </w:rPr>
              <w:t>(Note 10)</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(Note 10)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82"/>
              </w:rPr>
              <w:t>Reserves</w:t>
            </w:r>
          </w:p>
        </w:tc>
        <w:tc>
          <w:tcPr>
            <w:tcW w:w="9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(Note 10)</w:t>
            </w:r>
          </w:p>
        </w:tc>
        <w:tc>
          <w:tcPr>
            <w:tcW w:w="12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deficit)</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the Group</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interest</w:t>
            </w:r>
          </w:p>
        </w:tc>
        <w:tc>
          <w:tcPr>
            <w:tcW w:w="8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Total</w:t>
            </w:r>
          </w:p>
        </w:tc>
      </w:tr>
      <w:tr>
        <w:trPr>
          <w:trHeight w:val="210"/>
        </w:trPr>
        <w:tc>
          <w:tcPr>
            <w:tcW w:w="20" w:type="dxa"/>
            <w:vAlign w:val="bottom"/>
          </w:tcPr>
          <w:p>
            <w:pPr>
              <w:spacing w:after="0"/>
              <w:rPr>
                <w:sz w:val="18"/>
                <w:szCs w:val="18"/>
                <w:color w:val="auto"/>
              </w:rPr>
            </w:pPr>
          </w:p>
        </w:tc>
        <w:tc>
          <w:tcPr>
            <w:tcW w:w="26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Balance as of January 1, 2015</w:t>
            </w: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810</w:t>
            </w:r>
          </w:p>
        </w:tc>
        <w:tc>
          <w:tcPr>
            <w:tcW w:w="100" w:type="dxa"/>
            <w:vAlign w:val="bottom"/>
            <w:tcBorders>
              <w:top w:val="single" w:sz="8" w:color="E5FFFF"/>
            </w:tcBorders>
            <w:shd w:val="clear" w:color="auto" w:fill="E5FFFF"/>
          </w:tcPr>
          <w:p>
            <w:pPr>
              <w:spacing w:after="0"/>
              <w:rPr>
                <w:sz w:val="18"/>
                <w:szCs w:val="18"/>
                <w:color w:val="auto"/>
              </w:rPr>
            </w:pPr>
          </w:p>
        </w:tc>
        <w:tc>
          <w:tcPr>
            <w:tcW w:w="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E5FFFF"/>
            </w:tcBorders>
            <w:shd w:val="clear" w:color="auto" w:fill="E5FFFF"/>
          </w:tcPr>
          <w:p>
            <w:pPr>
              <w:spacing w:after="0"/>
              <w:rPr>
                <w:sz w:val="18"/>
                <w:szCs w:val="18"/>
                <w:color w:val="auto"/>
              </w:rPr>
            </w:pPr>
          </w:p>
        </w:tc>
        <w:tc>
          <w:tcPr>
            <w:tcW w:w="10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923,470</w:t>
            </w:r>
          </w:p>
        </w:tc>
        <w:tc>
          <w:tcPr>
            <w:tcW w:w="100" w:type="dxa"/>
            <w:vAlign w:val="bottom"/>
            <w:tcBorders>
              <w:top w:val="single" w:sz="8" w:color="E5FFFF"/>
            </w:tcBorders>
            <w:shd w:val="clear" w:color="auto" w:fill="E5FFFF"/>
          </w:tcPr>
          <w:p>
            <w:pPr>
              <w:spacing w:after="0"/>
              <w:rPr>
                <w:sz w:val="18"/>
                <w:szCs w:val="18"/>
                <w:color w:val="auto"/>
              </w:rPr>
            </w:pPr>
          </w:p>
        </w:tc>
        <w:tc>
          <w:tcPr>
            <w:tcW w:w="6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w w:val="98"/>
              </w:rPr>
              <w:t>(12,002)</w:t>
            </w:r>
          </w:p>
        </w:tc>
        <w:tc>
          <w:tcPr>
            <w:tcW w:w="120" w:type="dxa"/>
            <w:vAlign w:val="bottom"/>
            <w:tcBorders>
              <w:top w:val="single" w:sz="8" w:color="E5FFFF"/>
            </w:tcBorders>
            <w:shd w:val="clear" w:color="auto" w:fill="E5FFFF"/>
          </w:tcPr>
          <w:p>
            <w:pPr>
              <w:spacing w:after="0"/>
              <w:rPr>
                <w:sz w:val="18"/>
                <w:szCs w:val="18"/>
                <w:color w:val="auto"/>
              </w:rPr>
            </w:pP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(12,576)</w:t>
            </w:r>
          </w:p>
        </w:tc>
        <w:tc>
          <w:tcPr>
            <w:tcW w:w="100" w:type="dxa"/>
            <w:vAlign w:val="bottom"/>
            <w:tcBorders>
              <w:top w:val="single" w:sz="8" w:color="E5FFFF"/>
            </w:tcBorders>
            <w:shd w:val="clear" w:color="auto" w:fill="E5FFFF"/>
          </w:tcPr>
          <w:p>
            <w:pPr>
              <w:spacing w:after="0"/>
              <w:rPr>
                <w:sz w:val="18"/>
                <w:szCs w:val="18"/>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29,689</w:t>
            </w:r>
          </w:p>
        </w:tc>
        <w:tc>
          <w:tcPr>
            <w:tcW w:w="100" w:type="dxa"/>
            <w:vAlign w:val="bottom"/>
            <w:tcBorders>
              <w:top w:val="single" w:sz="8" w:color="E5FFFF"/>
            </w:tcBorders>
            <w:shd w:val="clear" w:color="auto" w:fill="E5FFFF"/>
          </w:tcPr>
          <w:p>
            <w:pPr>
              <w:spacing w:after="0"/>
              <w:rPr>
                <w:sz w:val="18"/>
                <w:szCs w:val="18"/>
                <w:color w:val="auto"/>
              </w:rPr>
            </w:pPr>
          </w:p>
        </w:tc>
        <w:tc>
          <w:tcPr>
            <w:tcW w:w="10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929,391</w:t>
            </w:r>
          </w:p>
        </w:tc>
        <w:tc>
          <w:tcPr>
            <w:tcW w:w="120" w:type="dxa"/>
            <w:vAlign w:val="bottom"/>
            <w:tcBorders>
              <w:top w:val="single" w:sz="8" w:color="E5FFFF"/>
            </w:tcBorders>
            <w:shd w:val="clear" w:color="auto" w:fill="E5FFFF"/>
          </w:tcPr>
          <w:p>
            <w:pPr>
              <w:spacing w:after="0"/>
              <w:rPr>
                <w:sz w:val="18"/>
                <w:szCs w:val="18"/>
                <w:color w:val="auto"/>
              </w:rPr>
            </w:pPr>
          </w:p>
        </w:tc>
        <w:tc>
          <w:tcPr>
            <w:tcW w:w="8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323,646</w:t>
            </w:r>
          </w:p>
        </w:tc>
        <w:tc>
          <w:tcPr>
            <w:tcW w:w="100" w:type="dxa"/>
            <w:vAlign w:val="bottom"/>
            <w:tcBorders>
              <w:top w:val="single" w:sz="8" w:color="E5FFFF"/>
            </w:tcBorders>
            <w:shd w:val="clear" w:color="auto" w:fill="E5FFFF"/>
          </w:tcPr>
          <w:p>
            <w:pPr>
              <w:spacing w:after="0"/>
              <w:rPr>
                <w:sz w:val="18"/>
                <w:szCs w:val="18"/>
                <w:color w:val="auto"/>
              </w:rPr>
            </w:pPr>
          </w:p>
        </w:tc>
        <w:tc>
          <w:tcPr>
            <w:tcW w:w="7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w w:val="89"/>
              </w:rPr>
              <w:t>1,253,037</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r>
      <w:tr>
        <w:trPr>
          <w:trHeight w:val="182"/>
        </w:trPr>
        <w:tc>
          <w:tcPr>
            <w:tcW w:w="20" w:type="dxa"/>
            <w:vAlign w:val="bottom"/>
          </w:tcPr>
          <w:p>
            <w:pPr>
              <w:spacing w:after="0"/>
              <w:rPr>
                <w:sz w:val="15"/>
                <w:szCs w:val="15"/>
                <w:color w:val="auto"/>
              </w:rPr>
            </w:pPr>
          </w:p>
        </w:tc>
        <w:tc>
          <w:tcPr>
            <w:tcW w:w="2640" w:type="dxa"/>
            <w:vAlign w:val="bottom"/>
          </w:tcPr>
          <w:p>
            <w:pPr>
              <w:spacing w:after="0" w:line="182" w:lineRule="exact"/>
              <w:rPr>
                <w:sz w:val="20"/>
                <w:szCs w:val="20"/>
                <w:color w:val="auto"/>
              </w:rPr>
            </w:pPr>
            <w:r>
              <w:rPr>
                <w:rFonts w:ascii="Arial" w:cs="Arial" w:eastAsia="Arial" w:hAnsi="Arial"/>
                <w:sz w:val="18"/>
                <w:szCs w:val="18"/>
                <w:color w:val="auto"/>
              </w:rPr>
              <w:t>Net proceeds from issuance of</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preferred stock</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110,610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110,656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110,656</w:t>
            </w:r>
          </w:p>
        </w:tc>
        <w:tc>
          <w:tcPr>
            <w:tcW w:w="8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6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Net proceeds from GasLog</w:t>
            </w:r>
          </w:p>
        </w:tc>
        <w:tc>
          <w:tcPr>
            <w:tcW w:w="8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6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Partners’ public offering</w:t>
            </w: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171,840</w:t>
            </w:r>
          </w:p>
        </w:tc>
        <w:tc>
          <w:tcPr>
            <w:tcW w:w="7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171,840</w:t>
            </w:r>
          </w:p>
        </w:tc>
        <w:tc>
          <w:tcPr>
            <w:tcW w:w="80" w:type="dxa"/>
            <w:vAlign w:val="bottom"/>
            <w:shd w:val="clear" w:color="auto" w:fill="E5FF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640" w:type="dxa"/>
            <w:vAlign w:val="bottom"/>
          </w:tcPr>
          <w:p>
            <w:pPr>
              <w:spacing w:after="0" w:line="201" w:lineRule="exact"/>
              <w:rPr>
                <w:sz w:val="20"/>
                <w:szCs w:val="20"/>
                <w:color w:val="auto"/>
              </w:rPr>
            </w:pPr>
            <w:r>
              <w:rPr>
                <w:rFonts w:ascii="Arial" w:cs="Arial" w:eastAsia="Arial" w:hAnsi="Arial"/>
                <w:sz w:val="18"/>
                <w:szCs w:val="18"/>
                <w:color w:val="auto"/>
              </w:rPr>
              <w:t>Dividend paid (common and</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preference shares)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(24,887)</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(24,887)</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(12,306)</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(37,193)</w:t>
            </w:r>
          </w:p>
        </w:tc>
      </w:tr>
      <w:tr>
        <w:trPr>
          <w:trHeight w:val="202"/>
        </w:trPr>
        <w:tc>
          <w:tcPr>
            <w:tcW w:w="20" w:type="dxa"/>
            <w:vAlign w:val="bottom"/>
          </w:tcPr>
          <w:p>
            <w:pPr>
              <w:spacing w:after="0"/>
              <w:rPr>
                <w:sz w:val="17"/>
                <w:szCs w:val="17"/>
                <w:color w:val="auto"/>
              </w:rPr>
            </w:pPr>
          </w:p>
        </w:tc>
        <w:tc>
          <w:tcPr>
            <w:tcW w:w="26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w w:val="95"/>
              </w:rPr>
              <w:t>Share-based compensation, net of</w:t>
            </w:r>
          </w:p>
        </w:tc>
        <w:tc>
          <w:tcPr>
            <w:tcW w:w="8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6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accrued dividend (Note 15)</w:t>
            </w: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1,274</w:t>
            </w:r>
          </w:p>
        </w:tc>
        <w:tc>
          <w:tcPr>
            <w:tcW w:w="9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1,274</w:t>
            </w:r>
          </w:p>
        </w:tc>
        <w:tc>
          <w:tcPr>
            <w:tcW w:w="120" w:type="dxa"/>
            <w:vAlign w:val="bottom"/>
            <w:shd w:val="clear" w:color="auto" w:fill="E5FFFF"/>
          </w:tcPr>
          <w:p>
            <w:pPr>
              <w:spacing w:after="0"/>
              <w:rPr>
                <w:sz w:val="20"/>
                <w:szCs w:val="20"/>
                <w:color w:val="auto"/>
              </w:rPr>
            </w:pPr>
          </w:p>
        </w:tc>
        <w:tc>
          <w:tcPr>
            <w:tcW w:w="9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1,274</w:t>
            </w:r>
          </w:p>
        </w:tc>
        <w:tc>
          <w:tcPr>
            <w:tcW w:w="80" w:type="dxa"/>
            <w:vAlign w:val="bottom"/>
            <w:shd w:val="clear" w:color="auto" w:fill="E5FF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640" w:type="dxa"/>
            <w:vAlign w:val="bottom"/>
          </w:tcPr>
          <w:p>
            <w:pPr>
              <w:spacing w:after="0" w:line="201" w:lineRule="exact"/>
              <w:rPr>
                <w:sz w:val="20"/>
                <w:szCs w:val="20"/>
                <w:color w:val="auto"/>
              </w:rPr>
            </w:pPr>
            <w:r>
              <w:rPr>
                <w:rFonts w:ascii="Arial" w:cs="Arial" w:eastAsia="Arial" w:hAnsi="Arial"/>
                <w:sz w:val="18"/>
                <w:szCs w:val="18"/>
                <w:color w:val="auto"/>
              </w:rPr>
              <w:t>Settlement of share-based</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640" w:type="dxa"/>
            <w:vAlign w:val="bottom"/>
            <w:shd w:val="clear" w:color="auto" w:fill="E5FFFF"/>
          </w:tcPr>
          <w:p>
            <w:pPr>
              <w:spacing w:after="0"/>
              <w:rPr>
                <w:sz w:val="20"/>
                <w:szCs w:val="20"/>
                <w:color w:val="auto"/>
              </w:rPr>
            </w:pPr>
            <w:r>
              <w:rPr>
                <w:rFonts w:ascii="Arial" w:cs="Arial" w:eastAsia="Arial" w:hAnsi="Arial"/>
                <w:sz w:val="18"/>
                <w:szCs w:val="18"/>
                <w:color w:val="auto"/>
              </w:rPr>
              <w:t>Profit for the period</w:t>
            </w: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12,582</w:t>
            </w:r>
          </w:p>
        </w:tc>
        <w:tc>
          <w:tcPr>
            <w:tcW w:w="114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12,582</w:t>
            </w:r>
          </w:p>
        </w:tc>
        <w:tc>
          <w:tcPr>
            <w:tcW w:w="9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17,971</w:t>
            </w:r>
          </w:p>
        </w:tc>
        <w:tc>
          <w:tcPr>
            <w:tcW w:w="7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30,553</w:t>
            </w:r>
          </w:p>
        </w:tc>
        <w:tc>
          <w:tcPr>
            <w:tcW w:w="80" w:type="dxa"/>
            <w:vAlign w:val="bottom"/>
            <w:shd w:val="clear" w:color="auto" w:fill="E5FF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640" w:type="dxa"/>
            <w:vAlign w:val="bottom"/>
          </w:tcPr>
          <w:p>
            <w:pPr>
              <w:spacing w:after="0" w:line="201" w:lineRule="exact"/>
              <w:rPr>
                <w:sz w:val="20"/>
                <w:szCs w:val="20"/>
                <w:color w:val="auto"/>
              </w:rPr>
            </w:pPr>
            <w:r>
              <w:rPr>
                <w:rFonts w:ascii="Arial" w:cs="Arial" w:eastAsia="Arial" w:hAnsi="Arial"/>
                <w:sz w:val="18"/>
                <w:szCs w:val="18"/>
                <w:color w:val="auto"/>
              </w:rPr>
              <w:t>Other comprehensive income for</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the period</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20"/>
                <w:szCs w:val="20"/>
                <w:color w:val="auto"/>
              </w:rPr>
            </w:pPr>
          </w:p>
        </w:tc>
      </w:tr>
      <w:tr>
        <w:trPr>
          <w:trHeight w:val="178"/>
        </w:trPr>
        <w:tc>
          <w:tcPr>
            <w:tcW w:w="20" w:type="dxa"/>
            <w:vAlign w:val="bottom"/>
          </w:tcPr>
          <w:p>
            <w:pPr>
              <w:spacing w:after="0"/>
              <w:rPr>
                <w:sz w:val="15"/>
                <w:szCs w:val="15"/>
                <w:color w:val="auto"/>
              </w:rPr>
            </w:pPr>
          </w:p>
        </w:tc>
        <w:tc>
          <w:tcPr>
            <w:tcW w:w="2640" w:type="dxa"/>
            <w:vAlign w:val="bottom"/>
            <w:tcBorders>
              <w:top w:val="single" w:sz="8" w:color="E5FFFF"/>
            </w:tcBorders>
            <w:shd w:val="clear" w:color="auto" w:fill="E5FFFF"/>
          </w:tcPr>
          <w:p>
            <w:pPr>
              <w:spacing w:after="0" w:line="178" w:lineRule="exact"/>
              <w:rPr>
                <w:sz w:val="20"/>
                <w:szCs w:val="20"/>
                <w:color w:val="auto"/>
              </w:rPr>
            </w:pPr>
            <w:r>
              <w:rPr>
                <w:rFonts w:ascii="Arial" w:cs="Arial" w:eastAsia="Arial" w:hAnsi="Arial"/>
                <w:sz w:val="18"/>
                <w:szCs w:val="18"/>
                <w:b w:val="1"/>
                <w:bCs w:val="1"/>
                <w:color w:val="auto"/>
                <w:w w:val="94"/>
              </w:rPr>
              <w:t>Total comprehensive income for</w:t>
            </w:r>
          </w:p>
        </w:tc>
        <w:tc>
          <w:tcPr>
            <w:tcW w:w="80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76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104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68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80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114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102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84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740" w:type="dxa"/>
            <w:vAlign w:val="bottom"/>
            <w:tcBorders>
              <w:top w:val="single" w:sz="8" w:color="auto"/>
            </w:tcBorders>
            <w:shd w:val="clear" w:color="auto" w:fill="E5FFFF"/>
          </w:tcPr>
          <w:p>
            <w:pPr>
              <w:spacing w:after="0"/>
              <w:rPr>
                <w:sz w:val="15"/>
                <w:szCs w:val="15"/>
                <w:color w:val="auto"/>
              </w:rPr>
            </w:pPr>
          </w:p>
        </w:tc>
        <w:tc>
          <w:tcPr>
            <w:tcW w:w="20" w:type="dxa"/>
            <w:vAlign w:val="bottom"/>
            <w:tcBorders>
              <w:top w:val="single" w:sz="8" w:color="E5FFFF"/>
            </w:tcBorders>
            <w:shd w:val="clear" w:color="auto" w:fill="E5FFFF"/>
          </w:tcPr>
          <w:p>
            <w:pPr>
              <w:spacing w:after="0"/>
              <w:rPr>
                <w:sz w:val="15"/>
                <w:szCs w:val="15"/>
                <w:color w:val="auto"/>
              </w:rPr>
            </w:pPr>
          </w:p>
        </w:tc>
        <w:tc>
          <w:tcPr>
            <w:tcW w:w="80" w:type="dxa"/>
            <w:vAlign w:val="bottom"/>
            <w:tcBorders>
              <w:top w:val="single" w:sz="8" w:color="E5FFFF"/>
            </w:tcBorders>
            <w:shd w:val="clear" w:color="auto" w:fill="E5FFFF"/>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2640" w:type="dxa"/>
            <w:vAlign w:val="bottom"/>
            <w:shd w:val="clear" w:color="auto" w:fill="E5FFFF"/>
          </w:tcPr>
          <w:p>
            <w:pPr>
              <w:ind w:left="160"/>
              <w:spacing w:after="0"/>
              <w:rPr>
                <w:sz w:val="20"/>
                <w:szCs w:val="20"/>
                <w:color w:val="auto"/>
              </w:rPr>
            </w:pPr>
            <w:r>
              <w:rPr>
                <w:rFonts w:ascii="Arial" w:cs="Arial" w:eastAsia="Arial" w:hAnsi="Arial"/>
                <w:sz w:val="18"/>
                <w:szCs w:val="18"/>
                <w:b w:val="1"/>
                <w:bCs w:val="1"/>
                <w:color w:val="auto"/>
              </w:rPr>
              <w:t>the period</w:t>
            </w: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b w:val="1"/>
                <w:bCs w:val="1"/>
                <w:color w:val="auto"/>
              </w:rPr>
              <w:t>196</w:t>
            </w:r>
          </w:p>
        </w:tc>
        <w:tc>
          <w:tcPr>
            <w:tcW w:w="9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b w:val="1"/>
                <w:bCs w:val="1"/>
                <w:color w:val="auto"/>
              </w:rPr>
              <w:t>12,582</w:t>
            </w:r>
          </w:p>
        </w:tc>
        <w:tc>
          <w:tcPr>
            <w:tcW w:w="114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b w:val="1"/>
                <w:bCs w:val="1"/>
                <w:color w:val="auto"/>
              </w:rPr>
              <w:t>12,778</w:t>
            </w:r>
          </w:p>
        </w:tc>
        <w:tc>
          <w:tcPr>
            <w:tcW w:w="9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b w:val="1"/>
                <w:bCs w:val="1"/>
                <w:color w:val="auto"/>
              </w:rPr>
              <w:t>17,971</w:t>
            </w:r>
          </w:p>
        </w:tc>
        <w:tc>
          <w:tcPr>
            <w:tcW w:w="7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b w:val="1"/>
                <w:bCs w:val="1"/>
                <w:color w:val="auto"/>
              </w:rPr>
              <w:t>30,749</w:t>
            </w:r>
          </w:p>
        </w:tc>
        <w:tc>
          <w:tcPr>
            <w:tcW w:w="80" w:type="dxa"/>
            <w:vAlign w:val="bottom"/>
            <w:shd w:val="clear" w:color="auto" w:fill="E5FFFF"/>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b w:val="1"/>
                <w:bCs w:val="1"/>
                <w:color w:val="auto"/>
              </w:rPr>
              <w:t>Balance as of June 30, 2015</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810</w:t>
            </w:r>
          </w:p>
        </w:tc>
        <w:tc>
          <w:tcPr>
            <w:tcW w:w="1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1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1,034,080</w:t>
            </w:r>
          </w:p>
        </w:tc>
        <w:tc>
          <w:tcPr>
            <w:tcW w:w="1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(10,617)</w:t>
            </w: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(12,491)</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17,384</w:t>
            </w:r>
          </w:p>
        </w:tc>
        <w:tc>
          <w:tcPr>
            <w:tcW w:w="1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1,029,212</w:t>
            </w:r>
          </w:p>
        </w:tc>
        <w:tc>
          <w:tcPr>
            <w:tcW w:w="1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501,151</w:t>
            </w:r>
          </w:p>
        </w:tc>
        <w:tc>
          <w:tcPr>
            <w:tcW w:w="1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1,530,363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640" w:type="dxa"/>
            <w:vAlign w:val="bottom"/>
            <w:tcBorders>
              <w:bottom w:val="single" w:sz="8" w:color="E5FF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E5FF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E5FF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E5FF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E5FF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E5FF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E5FF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6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Balance as of January 1, 2016</w:t>
            </w: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810</w:t>
            </w:r>
          </w:p>
        </w:tc>
        <w:tc>
          <w:tcPr>
            <w:tcW w:w="100" w:type="dxa"/>
            <w:vAlign w:val="bottom"/>
            <w:shd w:val="clear" w:color="auto" w:fill="E5FFFF"/>
          </w:tcPr>
          <w:p>
            <w:pPr>
              <w:spacing w:after="0"/>
              <w:rPr>
                <w:sz w:val="18"/>
                <w:szCs w:val="18"/>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46</w:t>
            </w:r>
          </w:p>
        </w:tc>
        <w:tc>
          <w:tcPr>
            <w:tcW w:w="100" w:type="dxa"/>
            <w:vAlign w:val="bottom"/>
            <w:shd w:val="clear" w:color="auto" w:fill="E5FFFF"/>
          </w:tcPr>
          <w:p>
            <w:pPr>
              <w:spacing w:after="0"/>
              <w:rPr>
                <w:sz w:val="18"/>
                <w:szCs w:val="18"/>
                <w:color w:val="auto"/>
              </w:rPr>
            </w:pPr>
          </w:p>
        </w:tc>
        <w:tc>
          <w:tcPr>
            <w:tcW w:w="10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1,020,292</w:t>
            </w:r>
          </w:p>
        </w:tc>
        <w:tc>
          <w:tcPr>
            <w:tcW w:w="100" w:type="dxa"/>
            <w:vAlign w:val="bottom"/>
            <w:shd w:val="clear" w:color="auto" w:fill="E5FFFF"/>
          </w:tcPr>
          <w:p>
            <w:pPr>
              <w:spacing w:after="0"/>
              <w:rPr>
                <w:sz w:val="18"/>
                <w:szCs w:val="18"/>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(8,829)</w:t>
            </w:r>
          </w:p>
        </w:tc>
        <w:tc>
          <w:tcPr>
            <w:tcW w:w="120" w:type="dxa"/>
            <w:vAlign w:val="bottom"/>
            <w:shd w:val="clear" w:color="auto" w:fill="E5FFFF"/>
          </w:tcPr>
          <w:p>
            <w:pPr>
              <w:spacing w:after="0"/>
              <w:rPr>
                <w:sz w:val="18"/>
                <w:szCs w:val="18"/>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(12,491)</w:t>
            </w:r>
          </w:p>
        </w:tc>
        <w:tc>
          <w:tcPr>
            <w:tcW w:w="100" w:type="dxa"/>
            <w:vAlign w:val="bottom"/>
            <w:shd w:val="clear" w:color="auto" w:fill="E5FFFF"/>
          </w:tcPr>
          <w:p>
            <w:pPr>
              <w:spacing w:after="0"/>
              <w:rPr>
                <w:sz w:val="18"/>
                <w:szCs w:val="18"/>
                <w:color w:val="auto"/>
              </w:rPr>
            </w:pPr>
          </w:p>
        </w:tc>
        <w:tc>
          <w:tcPr>
            <w:tcW w:w="1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1,846</w:t>
            </w:r>
          </w:p>
        </w:tc>
        <w:tc>
          <w:tcPr>
            <w:tcW w:w="100" w:type="dxa"/>
            <w:vAlign w:val="bottom"/>
            <w:shd w:val="clear" w:color="auto" w:fill="E5FFFF"/>
          </w:tcPr>
          <w:p>
            <w:pPr>
              <w:spacing w:after="0"/>
              <w:rPr>
                <w:sz w:val="18"/>
                <w:szCs w:val="18"/>
                <w:color w:val="auto"/>
              </w:rPr>
            </w:pPr>
          </w:p>
        </w:tc>
        <w:tc>
          <w:tcPr>
            <w:tcW w:w="10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1,001,674</w:t>
            </w:r>
          </w:p>
        </w:tc>
        <w:tc>
          <w:tcPr>
            <w:tcW w:w="120" w:type="dxa"/>
            <w:vAlign w:val="bottom"/>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506,246</w:t>
            </w:r>
          </w:p>
        </w:tc>
        <w:tc>
          <w:tcPr>
            <w:tcW w:w="100" w:type="dxa"/>
            <w:vAlign w:val="bottom"/>
            <w:shd w:val="clear" w:color="auto" w:fill="E5FFFF"/>
          </w:tcPr>
          <w:p>
            <w:pPr>
              <w:spacing w:after="0"/>
              <w:rPr>
                <w:sz w:val="18"/>
                <w:szCs w:val="18"/>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w w:val="89"/>
              </w:rPr>
              <w:t>1,507,920</w:t>
            </w: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r>
      <w:tr>
        <w:trPr>
          <w:trHeight w:val="182"/>
        </w:trPr>
        <w:tc>
          <w:tcPr>
            <w:tcW w:w="20" w:type="dxa"/>
            <w:vAlign w:val="bottom"/>
          </w:tcPr>
          <w:p>
            <w:pPr>
              <w:spacing w:after="0"/>
              <w:rPr>
                <w:sz w:val="15"/>
                <w:szCs w:val="15"/>
                <w:color w:val="auto"/>
              </w:rPr>
            </w:pPr>
          </w:p>
        </w:tc>
        <w:tc>
          <w:tcPr>
            <w:tcW w:w="2640" w:type="dxa"/>
            <w:vAlign w:val="bottom"/>
          </w:tcPr>
          <w:p>
            <w:pPr>
              <w:spacing w:after="0" w:line="182" w:lineRule="exact"/>
              <w:rPr>
                <w:sz w:val="20"/>
                <w:szCs w:val="20"/>
                <w:color w:val="auto"/>
              </w:rPr>
            </w:pPr>
            <w:r>
              <w:rPr>
                <w:rFonts w:ascii="Arial" w:cs="Arial" w:eastAsia="Arial" w:hAnsi="Arial"/>
                <w:sz w:val="18"/>
                <w:szCs w:val="18"/>
                <w:color w:val="auto"/>
              </w:rPr>
              <w:t>Dividend paid (common and</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preference shares) (Note 10)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(25,732)</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(1,846)</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(27,578)</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(20,707)</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(48,285)</w:t>
            </w:r>
          </w:p>
        </w:tc>
      </w:tr>
      <w:tr>
        <w:trPr>
          <w:trHeight w:val="202"/>
        </w:trPr>
        <w:tc>
          <w:tcPr>
            <w:tcW w:w="20" w:type="dxa"/>
            <w:vAlign w:val="bottom"/>
          </w:tcPr>
          <w:p>
            <w:pPr>
              <w:spacing w:after="0"/>
              <w:rPr>
                <w:sz w:val="17"/>
                <w:szCs w:val="17"/>
                <w:color w:val="auto"/>
              </w:rPr>
            </w:pPr>
          </w:p>
        </w:tc>
        <w:tc>
          <w:tcPr>
            <w:tcW w:w="26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w w:val="95"/>
              </w:rPr>
              <w:t>Share-based compensation, net of</w:t>
            </w:r>
          </w:p>
        </w:tc>
        <w:tc>
          <w:tcPr>
            <w:tcW w:w="8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6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accrued dividend (Note 15)</w:t>
            </w: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1,690</w:t>
            </w:r>
          </w:p>
        </w:tc>
        <w:tc>
          <w:tcPr>
            <w:tcW w:w="9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1,690</w:t>
            </w:r>
          </w:p>
        </w:tc>
        <w:tc>
          <w:tcPr>
            <w:tcW w:w="120" w:type="dxa"/>
            <w:vAlign w:val="bottom"/>
            <w:shd w:val="clear" w:color="auto" w:fill="E5FFFF"/>
          </w:tcPr>
          <w:p>
            <w:pPr>
              <w:spacing w:after="0"/>
              <w:rPr>
                <w:sz w:val="20"/>
                <w:szCs w:val="20"/>
                <w:color w:val="auto"/>
              </w:rPr>
            </w:pPr>
          </w:p>
        </w:tc>
        <w:tc>
          <w:tcPr>
            <w:tcW w:w="9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1,690</w:t>
            </w:r>
          </w:p>
        </w:tc>
        <w:tc>
          <w:tcPr>
            <w:tcW w:w="80" w:type="dxa"/>
            <w:vAlign w:val="bottom"/>
            <w:shd w:val="clear" w:color="auto" w:fill="E5FF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640" w:type="dxa"/>
            <w:vAlign w:val="bottom"/>
          </w:tcPr>
          <w:p>
            <w:pPr>
              <w:spacing w:after="0" w:line="201" w:lineRule="exact"/>
              <w:rPr>
                <w:sz w:val="20"/>
                <w:szCs w:val="20"/>
                <w:color w:val="auto"/>
              </w:rPr>
            </w:pPr>
            <w:r>
              <w:rPr>
                <w:rFonts w:ascii="Arial" w:cs="Arial" w:eastAsia="Arial" w:hAnsi="Arial"/>
                <w:sz w:val="18"/>
                <w:szCs w:val="18"/>
                <w:color w:val="auto"/>
              </w:rPr>
              <w:t>Settlement of share-based</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(1,481)</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1,426</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(55)</w:t>
            </w:r>
          </w:p>
        </w:tc>
      </w:tr>
      <w:tr>
        <w:trPr>
          <w:trHeight w:val="216"/>
        </w:trPr>
        <w:tc>
          <w:tcPr>
            <w:tcW w:w="20" w:type="dxa"/>
            <w:vAlign w:val="bottom"/>
          </w:tcPr>
          <w:p>
            <w:pPr>
              <w:spacing w:after="0"/>
              <w:rPr>
                <w:sz w:val="18"/>
                <w:szCs w:val="18"/>
                <w:color w:val="auto"/>
              </w:rPr>
            </w:pPr>
          </w:p>
        </w:tc>
        <w:tc>
          <w:tcPr>
            <w:tcW w:w="2640" w:type="dxa"/>
            <w:vAlign w:val="bottom"/>
            <w:shd w:val="clear" w:color="auto" w:fill="E5FFFF"/>
          </w:tcPr>
          <w:p>
            <w:pPr>
              <w:spacing w:after="0"/>
              <w:rPr>
                <w:sz w:val="20"/>
                <w:szCs w:val="20"/>
                <w:color w:val="auto"/>
              </w:rPr>
            </w:pPr>
            <w:r>
              <w:rPr>
                <w:rFonts w:ascii="Arial" w:cs="Arial" w:eastAsia="Arial" w:hAnsi="Arial"/>
                <w:sz w:val="18"/>
                <w:szCs w:val="18"/>
                <w:color w:val="auto"/>
              </w:rPr>
              <w:t>(Loss)/profit for the period</w:t>
            </w: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(23,762)</w:t>
            </w:r>
          </w:p>
        </w:tc>
        <w:tc>
          <w:tcPr>
            <w:tcW w:w="114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(23,762)</w:t>
            </w:r>
          </w:p>
        </w:tc>
        <w:tc>
          <w:tcPr>
            <w:tcW w:w="9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21,810</w:t>
            </w:r>
          </w:p>
        </w:tc>
        <w:tc>
          <w:tcPr>
            <w:tcW w:w="840" w:type="dxa"/>
            <w:vAlign w:val="bottom"/>
            <w:gridSpan w:val="3"/>
            <w:shd w:val="clear" w:color="auto" w:fill="E5FFFF"/>
          </w:tcPr>
          <w:p>
            <w:pPr>
              <w:jc w:val="right"/>
              <w:ind w:right="40"/>
              <w:spacing w:after="0"/>
              <w:rPr>
                <w:sz w:val="20"/>
                <w:szCs w:val="20"/>
                <w:color w:val="auto"/>
              </w:rPr>
            </w:pPr>
            <w:r>
              <w:rPr>
                <w:rFonts w:ascii="Arial" w:cs="Arial" w:eastAsia="Arial" w:hAnsi="Arial"/>
                <w:sz w:val="18"/>
                <w:szCs w:val="18"/>
                <w:color w:val="auto"/>
              </w:rPr>
              <w:t>(1,952)</w:t>
            </w:r>
          </w:p>
        </w:tc>
      </w:tr>
      <w:tr>
        <w:trPr>
          <w:trHeight w:val="202"/>
        </w:trPr>
        <w:tc>
          <w:tcPr>
            <w:tcW w:w="20" w:type="dxa"/>
            <w:vAlign w:val="bottom"/>
          </w:tcPr>
          <w:p>
            <w:pPr>
              <w:spacing w:after="0"/>
              <w:rPr>
                <w:sz w:val="17"/>
                <w:szCs w:val="17"/>
                <w:color w:val="auto"/>
              </w:rPr>
            </w:pPr>
          </w:p>
        </w:tc>
        <w:tc>
          <w:tcPr>
            <w:tcW w:w="2640" w:type="dxa"/>
            <w:vAlign w:val="bottom"/>
          </w:tcPr>
          <w:p>
            <w:pPr>
              <w:spacing w:after="0" w:line="201" w:lineRule="exact"/>
              <w:rPr>
                <w:sz w:val="20"/>
                <w:szCs w:val="20"/>
                <w:color w:val="auto"/>
              </w:rPr>
            </w:pPr>
            <w:r>
              <w:rPr>
                <w:rFonts w:ascii="Arial" w:cs="Arial" w:eastAsia="Arial" w:hAnsi="Arial"/>
                <w:sz w:val="18"/>
                <w:szCs w:val="18"/>
                <w:color w:val="auto"/>
                <w:w w:val="98"/>
              </w:rPr>
              <w:t>Other comprehensive loss for the</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period</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(3,273)</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(3,273)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(3,273)</w:t>
            </w:r>
          </w:p>
        </w:tc>
      </w:tr>
      <w:tr>
        <w:trPr>
          <w:trHeight w:val="178"/>
        </w:trPr>
        <w:tc>
          <w:tcPr>
            <w:tcW w:w="20" w:type="dxa"/>
            <w:vAlign w:val="bottom"/>
          </w:tcPr>
          <w:p>
            <w:pPr>
              <w:spacing w:after="0"/>
              <w:rPr>
                <w:sz w:val="15"/>
                <w:szCs w:val="15"/>
                <w:color w:val="auto"/>
              </w:rPr>
            </w:pPr>
          </w:p>
        </w:tc>
        <w:tc>
          <w:tcPr>
            <w:tcW w:w="2640" w:type="dxa"/>
            <w:vAlign w:val="bottom"/>
            <w:tcBorders>
              <w:top w:val="single" w:sz="8" w:color="E5FFFF"/>
            </w:tcBorders>
            <w:shd w:val="clear" w:color="auto" w:fill="E5FFFF"/>
          </w:tcPr>
          <w:p>
            <w:pPr>
              <w:spacing w:after="0" w:line="178" w:lineRule="exact"/>
              <w:rPr>
                <w:sz w:val="20"/>
                <w:szCs w:val="20"/>
                <w:color w:val="auto"/>
              </w:rPr>
            </w:pPr>
            <w:r>
              <w:rPr>
                <w:rFonts w:ascii="Arial" w:cs="Arial" w:eastAsia="Arial" w:hAnsi="Arial"/>
                <w:sz w:val="18"/>
                <w:szCs w:val="18"/>
                <w:b w:val="1"/>
                <w:bCs w:val="1"/>
                <w:color w:val="auto"/>
              </w:rPr>
              <w:t>Total comprehensive (loss)/</w:t>
            </w:r>
          </w:p>
        </w:tc>
        <w:tc>
          <w:tcPr>
            <w:tcW w:w="80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76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104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68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80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114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102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84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740" w:type="dxa"/>
            <w:vAlign w:val="bottom"/>
            <w:tcBorders>
              <w:top w:val="single" w:sz="8" w:color="auto"/>
            </w:tcBorders>
            <w:shd w:val="clear" w:color="auto" w:fill="E5FFFF"/>
          </w:tcPr>
          <w:p>
            <w:pPr>
              <w:spacing w:after="0"/>
              <w:rPr>
                <w:sz w:val="15"/>
                <w:szCs w:val="15"/>
                <w:color w:val="auto"/>
              </w:rPr>
            </w:pPr>
          </w:p>
        </w:tc>
        <w:tc>
          <w:tcPr>
            <w:tcW w:w="20" w:type="dxa"/>
            <w:vAlign w:val="bottom"/>
            <w:tcBorders>
              <w:top w:val="single" w:sz="8" w:color="E5FFFF"/>
            </w:tcBorders>
            <w:shd w:val="clear" w:color="auto" w:fill="E5FFFF"/>
          </w:tcPr>
          <w:p>
            <w:pPr>
              <w:spacing w:after="0"/>
              <w:rPr>
                <w:sz w:val="15"/>
                <w:szCs w:val="15"/>
                <w:color w:val="auto"/>
              </w:rPr>
            </w:pPr>
          </w:p>
        </w:tc>
        <w:tc>
          <w:tcPr>
            <w:tcW w:w="80" w:type="dxa"/>
            <w:vAlign w:val="bottom"/>
            <w:tcBorders>
              <w:top w:val="single" w:sz="8" w:color="E5FFFF"/>
            </w:tcBorders>
            <w:shd w:val="clear" w:color="auto" w:fill="E5FFFF"/>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2640" w:type="dxa"/>
            <w:vAlign w:val="bottom"/>
            <w:shd w:val="clear" w:color="auto" w:fill="E5FFFF"/>
          </w:tcPr>
          <w:p>
            <w:pPr>
              <w:ind w:left="160"/>
              <w:spacing w:after="0"/>
              <w:rPr>
                <w:sz w:val="20"/>
                <w:szCs w:val="20"/>
                <w:color w:val="auto"/>
              </w:rPr>
            </w:pPr>
            <w:r>
              <w:rPr>
                <w:rFonts w:ascii="Arial" w:cs="Arial" w:eastAsia="Arial" w:hAnsi="Arial"/>
                <w:sz w:val="18"/>
                <w:szCs w:val="18"/>
                <w:b w:val="1"/>
                <w:bCs w:val="1"/>
                <w:color w:val="auto"/>
              </w:rPr>
              <w:t>income for the period</w:t>
            </w: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(3,273)</w:t>
            </w:r>
          </w:p>
        </w:tc>
        <w:tc>
          <w:tcPr>
            <w:tcW w:w="9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(23,762)</w:t>
            </w:r>
          </w:p>
        </w:tc>
        <w:tc>
          <w:tcPr>
            <w:tcW w:w="114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b w:val="1"/>
                <w:bCs w:val="1"/>
                <w:color w:val="auto"/>
              </w:rPr>
              <w:t>(27,035)</w:t>
            </w:r>
          </w:p>
        </w:tc>
        <w:tc>
          <w:tcPr>
            <w:tcW w:w="9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b w:val="1"/>
                <w:bCs w:val="1"/>
                <w:color w:val="auto"/>
              </w:rPr>
              <w:t>21,810</w:t>
            </w:r>
          </w:p>
        </w:tc>
        <w:tc>
          <w:tcPr>
            <w:tcW w:w="840" w:type="dxa"/>
            <w:vAlign w:val="bottom"/>
            <w:gridSpan w:val="3"/>
            <w:shd w:val="clear" w:color="auto" w:fill="E5FFFF"/>
          </w:tcPr>
          <w:p>
            <w:pPr>
              <w:jc w:val="right"/>
              <w:ind w:right="40"/>
              <w:spacing w:after="0"/>
              <w:rPr>
                <w:sz w:val="20"/>
                <w:szCs w:val="20"/>
                <w:color w:val="auto"/>
              </w:rPr>
            </w:pPr>
            <w:r>
              <w:rPr>
                <w:rFonts w:ascii="Arial" w:cs="Arial" w:eastAsia="Arial" w:hAnsi="Arial"/>
                <w:sz w:val="18"/>
                <w:szCs w:val="18"/>
                <w:b w:val="1"/>
                <w:bCs w:val="1"/>
                <w:color w:val="auto"/>
              </w:rPr>
              <w:t>(5,225)</w:t>
            </w:r>
          </w:p>
        </w:tc>
      </w:tr>
      <w:tr>
        <w:trPr>
          <w:trHeight w:val="210"/>
        </w:trPr>
        <w:tc>
          <w:tcPr>
            <w:tcW w:w="2660" w:type="dxa"/>
            <w:vAlign w:val="bottom"/>
            <w:gridSpan w:val="2"/>
          </w:tcPr>
          <w:p>
            <w:pPr>
              <w:spacing w:after="0"/>
              <w:rPr>
                <w:sz w:val="20"/>
                <w:szCs w:val="20"/>
                <w:color w:val="auto"/>
              </w:rPr>
            </w:pPr>
            <w:r>
              <w:rPr>
                <w:rFonts w:ascii="Arial" w:cs="Arial" w:eastAsia="Arial" w:hAnsi="Arial"/>
                <w:sz w:val="18"/>
                <w:szCs w:val="18"/>
                <w:b w:val="1"/>
                <w:bCs w:val="1"/>
                <w:color w:val="auto"/>
              </w:rPr>
              <w:t>Balance as of June 30, 2016</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810</w:t>
            </w:r>
          </w:p>
        </w:tc>
        <w:tc>
          <w:tcPr>
            <w:tcW w:w="1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1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994,560</w:t>
            </w:r>
          </w:p>
        </w:tc>
        <w:tc>
          <w:tcPr>
            <w:tcW w:w="1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(11,893</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(11,065</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(23,762</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948,696</w:t>
            </w:r>
          </w:p>
        </w:tc>
        <w:tc>
          <w:tcPr>
            <w:tcW w:w="1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507,349</w:t>
            </w:r>
          </w:p>
        </w:tc>
        <w:tc>
          <w:tcPr>
            <w:tcW w:w="1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1,456,045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Note</w:t>
            </w:r>
          </w:p>
        </w:tc>
        <w:tc>
          <w:tcPr>
            <w:tcW w:w="18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June 30, 2015</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June 30,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80" w:type="dxa"/>
            <w:vAlign w:val="bottom"/>
            <w:tcBorders>
              <w:top w:val="single" w:sz="8" w:color="auto"/>
            </w:tcBorders>
            <w:shd w:val="clear" w:color="auto" w:fill="E5FFFF"/>
          </w:tcPr>
          <w:p>
            <w:pPr>
              <w:spacing w:after="0"/>
              <w:rPr>
                <w:sz w:val="18"/>
                <w:szCs w:val="18"/>
                <w:color w:val="auto"/>
              </w:rPr>
            </w:pPr>
          </w:p>
        </w:tc>
        <w:tc>
          <w:tcPr>
            <w:tcW w:w="240" w:type="dxa"/>
            <w:vAlign w:val="bottom"/>
            <w:tcBorders>
              <w:top w:val="single" w:sz="8" w:color="E5FFFF"/>
            </w:tcBorders>
            <w:shd w:val="clear" w:color="auto" w:fill="E5FFFF"/>
          </w:tcPr>
          <w:p>
            <w:pPr>
              <w:spacing w:after="0"/>
              <w:rPr>
                <w:sz w:val="18"/>
                <w:szCs w:val="18"/>
                <w:color w:val="auto"/>
              </w:rPr>
            </w:pPr>
          </w:p>
        </w:tc>
        <w:tc>
          <w:tcPr>
            <w:tcW w:w="1600" w:type="dxa"/>
            <w:vAlign w:val="bottom"/>
            <w:tcBorders>
              <w:top w:val="single" w:sz="8" w:color="auto"/>
            </w:tcBorders>
            <w:shd w:val="clear" w:color="auto" w:fill="E5FFFF"/>
          </w:tcPr>
          <w:p>
            <w:pPr>
              <w:spacing w:after="0"/>
              <w:rPr>
                <w:sz w:val="18"/>
                <w:szCs w:val="18"/>
                <w:color w:val="auto"/>
              </w:rPr>
            </w:pPr>
          </w:p>
        </w:tc>
        <w:tc>
          <w:tcPr>
            <w:tcW w:w="240" w:type="dxa"/>
            <w:vAlign w:val="bottom"/>
            <w:tcBorders>
              <w:top w:val="single" w:sz="8" w:color="E5FFFF"/>
            </w:tcBorders>
            <w:shd w:val="clear" w:color="auto" w:fill="E5FFFF"/>
          </w:tcPr>
          <w:p>
            <w:pPr>
              <w:spacing w:after="0"/>
              <w:rPr>
                <w:sz w:val="18"/>
                <w:szCs w:val="18"/>
                <w:color w:val="auto"/>
              </w:rPr>
            </w:pPr>
          </w:p>
        </w:tc>
        <w:tc>
          <w:tcPr>
            <w:tcW w:w="146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Profit/(loss) for the period</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30,553</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E5FFFF"/>
          </w:tcPr>
          <w:p>
            <w:pPr>
              <w:spacing w:after="0"/>
              <w:rPr>
                <w:sz w:val="20"/>
                <w:szCs w:val="20"/>
                <w:color w:val="auto"/>
              </w:rPr>
            </w:pPr>
            <w:r>
              <w:rPr>
                <w:rFonts w:ascii="Arial" w:cs="Arial" w:eastAsia="Arial" w:hAnsi="Arial"/>
                <w:sz w:val="18"/>
                <w:szCs w:val="18"/>
                <w:color w:val="auto"/>
              </w:rPr>
              <w:t>Adjustments for:</w:t>
            </w:r>
          </w:p>
        </w:tc>
        <w:tc>
          <w:tcPr>
            <w:tcW w:w="5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60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4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Depreciation of fixed assets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49,969</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57,648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E5FFFF"/>
          </w:tcPr>
          <w:p>
            <w:pPr>
              <w:spacing w:after="0"/>
              <w:rPr>
                <w:sz w:val="20"/>
                <w:szCs w:val="20"/>
                <w:color w:val="auto"/>
              </w:rPr>
            </w:pPr>
            <w:r>
              <w:rPr>
                <w:rFonts w:ascii="Arial" w:cs="Arial" w:eastAsia="Arial" w:hAnsi="Arial"/>
                <w:sz w:val="18"/>
                <w:szCs w:val="18"/>
                <w:color w:val="auto"/>
              </w:rPr>
              <w:t>Share of profit of associate</w:t>
            </w:r>
          </w:p>
        </w:tc>
        <w:tc>
          <w:tcPr>
            <w:tcW w:w="5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84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(790)</w:t>
            </w:r>
          </w:p>
        </w:tc>
        <w:tc>
          <w:tcPr>
            <w:tcW w:w="156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Financial income</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(149)</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5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84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42,774</w:t>
            </w:r>
          </w:p>
        </w:tc>
        <w:tc>
          <w:tcPr>
            <w:tcW w:w="15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60,662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tcPr>
          <w:p>
            <w:pPr>
              <w:spacing w:after="0" w:line="201" w:lineRule="exact"/>
              <w:rPr>
                <w:sz w:val="20"/>
                <w:szCs w:val="20"/>
                <w:color w:val="auto"/>
              </w:rPr>
            </w:pPr>
            <w:r>
              <w:rPr>
                <w:rFonts w:ascii="Arial" w:cs="Arial" w:eastAsia="Arial" w:hAnsi="Arial"/>
                <w:sz w:val="18"/>
                <w:szCs w:val="18"/>
                <w:color w:val="auto"/>
              </w:rPr>
              <w:t>Unrealized foreign exchange (gains)/losses on cash and cash equivalents and short-term</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investments</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(427)</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w w:val="95"/>
              </w:rPr>
              <w:t>Unrealized loss on interest rate swaps held for trading including ineffective portion of cash flow</w:t>
            </w:r>
          </w:p>
        </w:tc>
        <w:tc>
          <w:tcPr>
            <w:tcW w:w="5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6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4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shd w:val="clear" w:color="auto" w:fill="E5FFFF"/>
          </w:tcPr>
          <w:p>
            <w:pPr>
              <w:ind w:left="160"/>
              <w:spacing w:after="0"/>
              <w:rPr>
                <w:sz w:val="20"/>
                <w:szCs w:val="20"/>
                <w:color w:val="auto"/>
              </w:rPr>
            </w:pPr>
            <w:r>
              <w:rPr>
                <w:rFonts w:ascii="Arial" w:cs="Arial" w:eastAsia="Arial" w:hAnsi="Arial"/>
                <w:sz w:val="18"/>
                <w:szCs w:val="18"/>
                <w:color w:val="auto"/>
              </w:rPr>
              <w:t>hedges</w:t>
            </w:r>
          </w:p>
        </w:tc>
        <w:tc>
          <w:tcPr>
            <w:tcW w:w="58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184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419</w:t>
            </w:r>
          </w:p>
        </w:tc>
        <w:tc>
          <w:tcPr>
            <w:tcW w:w="15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9,509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Recycled loss of cash flow hedges reclassified to profit or loss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567</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6,276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E5FFFF"/>
          </w:tcPr>
          <w:p>
            <w:pPr>
              <w:spacing w:after="0"/>
              <w:rPr>
                <w:sz w:val="20"/>
                <w:szCs w:val="20"/>
                <w:color w:val="auto"/>
              </w:rPr>
            </w:pPr>
            <w:r>
              <w:rPr>
                <w:rFonts w:ascii="Arial" w:cs="Arial" w:eastAsia="Arial" w:hAnsi="Arial"/>
                <w:sz w:val="18"/>
                <w:szCs w:val="18"/>
                <w:color w:val="auto"/>
              </w:rPr>
              <w:t>Share-based compensation</w:t>
            </w:r>
          </w:p>
        </w:tc>
        <w:tc>
          <w:tcPr>
            <w:tcW w:w="5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84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1,274</w:t>
            </w:r>
          </w:p>
        </w:tc>
        <w:tc>
          <w:tcPr>
            <w:tcW w:w="15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E5FFFF"/>
            </w:tcBorders>
          </w:tcPr>
          <w:p>
            <w:pPr>
              <w:spacing w:after="0"/>
              <w:rPr>
                <w:sz w:val="18"/>
                <w:szCs w:val="18"/>
                <w:color w:val="auto"/>
              </w:rPr>
            </w:pPr>
          </w:p>
        </w:tc>
        <w:tc>
          <w:tcPr>
            <w:tcW w:w="580" w:type="dxa"/>
            <w:vAlign w:val="bottom"/>
            <w:tcBorders>
              <w:bottom w:val="single" w:sz="8" w:color="E5FFFF"/>
            </w:tcBorders>
          </w:tcPr>
          <w:p>
            <w:pPr>
              <w:spacing w:after="0"/>
              <w:rPr>
                <w:sz w:val="18"/>
                <w:szCs w:val="18"/>
                <w:color w:val="auto"/>
              </w:rPr>
            </w:pPr>
          </w:p>
        </w:tc>
        <w:tc>
          <w:tcPr>
            <w:tcW w:w="240" w:type="dxa"/>
            <w:vAlign w:val="bottom"/>
            <w:tcBorders>
              <w:bottom w:val="single" w:sz="8" w:color="E5FFFF"/>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124,190</w:t>
            </w:r>
          </w:p>
        </w:tc>
        <w:tc>
          <w:tcPr>
            <w:tcW w:w="240" w:type="dxa"/>
            <w:vAlign w:val="bottom"/>
            <w:tcBorders>
              <w:bottom w:val="single" w:sz="8" w:color="E5FF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133,073</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E5FFFF"/>
          </w:tcPr>
          <w:p>
            <w:pPr>
              <w:spacing w:after="0"/>
              <w:rPr>
                <w:sz w:val="20"/>
                <w:szCs w:val="20"/>
                <w:color w:val="auto"/>
              </w:rPr>
            </w:pPr>
            <w:r>
              <w:rPr>
                <w:rFonts w:ascii="Arial" w:cs="Arial" w:eastAsia="Arial" w:hAnsi="Arial"/>
                <w:sz w:val="18"/>
                <w:szCs w:val="18"/>
                <w:color w:val="auto"/>
              </w:rPr>
              <w:t>Movements in working capital</w:t>
            </w:r>
          </w:p>
        </w:tc>
        <w:tc>
          <w:tcPr>
            <w:tcW w:w="5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(10,244)</w:t>
            </w:r>
          </w:p>
        </w:tc>
        <w:tc>
          <w:tcPr>
            <w:tcW w:w="240" w:type="dxa"/>
            <w:vAlign w:val="bottom"/>
            <w:shd w:val="clear" w:color="auto" w:fill="E5FFFF"/>
          </w:tcPr>
          <w:p>
            <w:pPr>
              <w:spacing w:after="0"/>
              <w:rPr>
                <w:sz w:val="18"/>
                <w:szCs w:val="18"/>
                <w:color w:val="auto"/>
              </w:rPr>
            </w:pPr>
          </w:p>
        </w:tc>
        <w:tc>
          <w:tcPr>
            <w:tcW w:w="14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25,681</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Cash provided by operations</w:t>
            </w:r>
          </w:p>
        </w:tc>
        <w:tc>
          <w:tcPr>
            <w:tcW w:w="580" w:type="dxa"/>
            <w:vAlign w:val="bottom"/>
            <w:tcBorders>
              <w:bottom w:val="single" w:sz="8" w:color="E5FFFF"/>
            </w:tcBorders>
          </w:tcPr>
          <w:p>
            <w:pPr>
              <w:spacing w:after="0"/>
              <w:rPr>
                <w:sz w:val="18"/>
                <w:szCs w:val="18"/>
                <w:color w:val="auto"/>
              </w:rPr>
            </w:pPr>
          </w:p>
        </w:tc>
        <w:tc>
          <w:tcPr>
            <w:tcW w:w="240" w:type="dxa"/>
            <w:vAlign w:val="bottom"/>
            <w:tcBorders>
              <w:bottom w:val="single" w:sz="8" w:color="E5FF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113,946</w:t>
            </w:r>
          </w:p>
        </w:tc>
        <w:tc>
          <w:tcPr>
            <w:tcW w:w="240" w:type="dxa"/>
            <w:vAlign w:val="bottom"/>
            <w:tcBorders>
              <w:bottom w:val="single" w:sz="8" w:color="E5FF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158,754</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E5FFFF"/>
          </w:tcPr>
          <w:p>
            <w:pPr>
              <w:spacing w:after="0"/>
              <w:rPr>
                <w:sz w:val="20"/>
                <w:szCs w:val="20"/>
                <w:color w:val="auto"/>
              </w:rPr>
            </w:pPr>
            <w:r>
              <w:rPr>
                <w:rFonts w:ascii="Arial" w:cs="Arial" w:eastAsia="Arial" w:hAnsi="Arial"/>
                <w:sz w:val="18"/>
                <w:szCs w:val="18"/>
                <w:color w:val="auto"/>
              </w:rPr>
              <w:t>Interest paid</w:t>
            </w:r>
          </w:p>
        </w:tc>
        <w:tc>
          <w:tcPr>
            <w:tcW w:w="5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(35,985)</w:t>
            </w:r>
          </w:p>
        </w:tc>
        <w:tc>
          <w:tcPr>
            <w:tcW w:w="240" w:type="dxa"/>
            <w:vAlign w:val="bottom"/>
            <w:shd w:val="clear" w:color="auto" w:fill="E5FFFF"/>
          </w:tcPr>
          <w:p>
            <w:pPr>
              <w:spacing w:after="0"/>
              <w:rPr>
                <w:sz w:val="18"/>
                <w:szCs w:val="18"/>
                <w:color w:val="auto"/>
              </w:rPr>
            </w:pPr>
          </w:p>
        </w:tc>
        <w:tc>
          <w:tcPr>
            <w:tcW w:w="14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(39,467)</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580" w:type="dxa"/>
            <w:vAlign w:val="bottom"/>
            <w:tcBorders>
              <w:bottom w:val="single" w:sz="8" w:color="E5FFFF"/>
            </w:tcBorders>
          </w:tcPr>
          <w:p>
            <w:pPr>
              <w:spacing w:after="0"/>
              <w:rPr>
                <w:sz w:val="18"/>
                <w:szCs w:val="18"/>
                <w:color w:val="auto"/>
              </w:rPr>
            </w:pPr>
          </w:p>
        </w:tc>
        <w:tc>
          <w:tcPr>
            <w:tcW w:w="240" w:type="dxa"/>
            <w:vAlign w:val="bottom"/>
            <w:tcBorders>
              <w:bottom w:val="single" w:sz="8" w:color="E5FF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77,961</w:t>
            </w:r>
          </w:p>
        </w:tc>
        <w:tc>
          <w:tcPr>
            <w:tcW w:w="240" w:type="dxa"/>
            <w:vAlign w:val="bottom"/>
            <w:tcBorders>
              <w:bottom w:val="single" w:sz="8" w:color="E5FF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119,287</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60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4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Payments for tangible fixed assets and vessels under construction</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(679,129)</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(390,202)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E5FFFF"/>
          </w:tcPr>
          <w:p>
            <w:pPr>
              <w:spacing w:after="0"/>
              <w:rPr>
                <w:sz w:val="20"/>
                <w:szCs w:val="20"/>
                <w:color w:val="auto"/>
              </w:rPr>
            </w:pPr>
            <w:r>
              <w:rPr>
                <w:rFonts w:ascii="Arial" w:cs="Arial" w:eastAsia="Arial" w:hAnsi="Arial"/>
                <w:sz w:val="18"/>
                <w:szCs w:val="18"/>
                <w:color w:val="auto"/>
              </w:rPr>
              <w:t>Dividends received from associate</w:t>
            </w:r>
          </w:p>
        </w:tc>
        <w:tc>
          <w:tcPr>
            <w:tcW w:w="5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84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1,675</w:t>
            </w:r>
          </w:p>
        </w:tc>
        <w:tc>
          <w:tcPr>
            <w:tcW w:w="15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Return of contributed capital from associate</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E5FFFF"/>
          </w:tcPr>
          <w:p>
            <w:pPr>
              <w:spacing w:after="0"/>
              <w:rPr>
                <w:sz w:val="20"/>
                <w:szCs w:val="20"/>
                <w:color w:val="auto"/>
              </w:rPr>
            </w:pPr>
            <w:r>
              <w:rPr>
                <w:rFonts w:ascii="Arial" w:cs="Arial" w:eastAsia="Arial" w:hAnsi="Arial"/>
                <w:sz w:val="18"/>
                <w:szCs w:val="18"/>
                <w:color w:val="auto"/>
              </w:rPr>
              <w:t>Purchase of short-term investments</w:t>
            </w:r>
          </w:p>
        </w:tc>
        <w:tc>
          <w:tcPr>
            <w:tcW w:w="5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84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(18,592)</w:t>
            </w:r>
          </w:p>
        </w:tc>
        <w:tc>
          <w:tcPr>
            <w:tcW w:w="156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Maturity of short-term investments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44,007</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E5FFFF"/>
          </w:tcPr>
          <w:p>
            <w:pPr>
              <w:spacing w:after="0"/>
              <w:rPr>
                <w:sz w:val="20"/>
                <w:szCs w:val="20"/>
                <w:color w:val="auto"/>
              </w:rPr>
            </w:pPr>
            <w:r>
              <w:rPr>
                <w:rFonts w:ascii="Arial" w:cs="Arial" w:eastAsia="Arial" w:hAnsi="Arial"/>
                <w:sz w:val="18"/>
                <w:szCs w:val="18"/>
                <w:color w:val="auto"/>
              </w:rPr>
              <w:t>Financial income received</w:t>
            </w:r>
          </w:p>
        </w:tc>
        <w:tc>
          <w:tcPr>
            <w:tcW w:w="5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84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136</w:t>
            </w:r>
          </w:p>
        </w:tc>
        <w:tc>
          <w:tcPr>
            <w:tcW w:w="15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580" w:type="dxa"/>
            <w:vAlign w:val="bottom"/>
            <w:tcBorders>
              <w:bottom w:val="single" w:sz="8" w:color="E5FFFF"/>
            </w:tcBorders>
          </w:tcPr>
          <w:p>
            <w:pPr>
              <w:spacing w:after="0"/>
              <w:rPr>
                <w:sz w:val="18"/>
                <w:szCs w:val="18"/>
                <w:color w:val="auto"/>
              </w:rPr>
            </w:pPr>
          </w:p>
        </w:tc>
        <w:tc>
          <w:tcPr>
            <w:tcW w:w="240" w:type="dxa"/>
            <w:vAlign w:val="bottom"/>
            <w:tcBorders>
              <w:bottom w:val="single" w:sz="8" w:color="E5FFFF"/>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(651,903)</w:t>
            </w:r>
          </w:p>
        </w:tc>
        <w:tc>
          <w:tcPr>
            <w:tcW w:w="240" w:type="dxa"/>
            <w:vAlign w:val="bottom"/>
            <w:tcBorders>
              <w:bottom w:val="single" w:sz="8" w:color="E5FF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(382,697)</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60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4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Proceeds from bank loans and bonds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606,000</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991,284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E5FFFF"/>
          </w:tcPr>
          <w:p>
            <w:pPr>
              <w:spacing w:after="0"/>
              <w:rPr>
                <w:sz w:val="20"/>
                <w:szCs w:val="20"/>
                <w:color w:val="auto"/>
              </w:rPr>
            </w:pPr>
            <w:r>
              <w:rPr>
                <w:rFonts w:ascii="Arial" w:cs="Arial" w:eastAsia="Arial" w:hAnsi="Arial"/>
                <w:sz w:val="18"/>
                <w:szCs w:val="18"/>
                <w:color w:val="auto"/>
              </w:rPr>
              <w:t>Proceeds from sale and finance leaseback</w:t>
            </w:r>
          </w:p>
        </w:tc>
        <w:tc>
          <w:tcPr>
            <w:tcW w:w="5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84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217,000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Bank loans and bonds repayments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(39,824)</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(988,562)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E5FFFF"/>
          </w:tcPr>
          <w:p>
            <w:pPr>
              <w:spacing w:after="0"/>
              <w:rPr>
                <w:sz w:val="20"/>
                <w:szCs w:val="20"/>
                <w:color w:val="auto"/>
              </w:rPr>
            </w:pPr>
            <w:r>
              <w:rPr>
                <w:rFonts w:ascii="Arial" w:cs="Arial" w:eastAsia="Arial" w:hAnsi="Arial"/>
                <w:sz w:val="18"/>
                <w:szCs w:val="18"/>
                <w:color w:val="auto"/>
              </w:rPr>
              <w:t>Payment for cross currency swaps’ termination/modification</w:t>
            </w:r>
          </w:p>
        </w:tc>
        <w:tc>
          <w:tcPr>
            <w:tcW w:w="5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84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(31,986)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Payment for bond re-purchase at a premium</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E5FFFF"/>
          </w:tcPr>
          <w:p>
            <w:pPr>
              <w:spacing w:after="0"/>
              <w:rPr>
                <w:sz w:val="20"/>
                <w:szCs w:val="20"/>
                <w:color w:val="auto"/>
              </w:rPr>
            </w:pPr>
            <w:r>
              <w:rPr>
                <w:rFonts w:ascii="Arial" w:cs="Arial" w:eastAsia="Arial" w:hAnsi="Arial"/>
                <w:sz w:val="18"/>
                <w:szCs w:val="18"/>
                <w:color w:val="auto"/>
              </w:rPr>
              <w:t>Payment of loan issuance costs</w:t>
            </w:r>
          </w:p>
        </w:tc>
        <w:tc>
          <w:tcPr>
            <w:tcW w:w="5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84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(5,166)</w:t>
            </w:r>
          </w:p>
        </w:tc>
        <w:tc>
          <w:tcPr>
            <w:tcW w:w="156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(21,186)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Payment of equity raising costs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(1,045)</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E5FFFF"/>
          </w:tcPr>
          <w:p>
            <w:pPr>
              <w:spacing w:after="0"/>
              <w:rPr>
                <w:sz w:val="20"/>
                <w:szCs w:val="20"/>
                <w:color w:val="auto"/>
              </w:rPr>
            </w:pPr>
            <w:r>
              <w:rPr>
                <w:rFonts w:ascii="Arial" w:cs="Arial" w:eastAsia="Arial" w:hAnsi="Arial"/>
                <w:sz w:val="18"/>
                <w:szCs w:val="18"/>
                <w:color w:val="auto"/>
              </w:rPr>
              <w:t>(Increase)/decrease in restricted cash</w:t>
            </w:r>
          </w:p>
        </w:tc>
        <w:tc>
          <w:tcPr>
            <w:tcW w:w="5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84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(23,190)</w:t>
            </w:r>
          </w:p>
        </w:tc>
        <w:tc>
          <w:tcPr>
            <w:tcW w:w="15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37,711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Dividends paid</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(37,193)</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(48,285)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E5FFFF"/>
          </w:tcPr>
          <w:p>
            <w:pPr>
              <w:spacing w:after="0"/>
              <w:rPr>
                <w:sz w:val="20"/>
                <w:szCs w:val="20"/>
                <w:color w:val="auto"/>
              </w:rPr>
            </w:pPr>
            <w:r>
              <w:rPr>
                <w:rFonts w:ascii="Arial" w:cs="Arial" w:eastAsia="Arial" w:hAnsi="Arial"/>
                <w:sz w:val="18"/>
                <w:szCs w:val="18"/>
                <w:color w:val="auto"/>
              </w:rPr>
              <w:t>Payments for vessel held under finance lease</w:t>
            </w:r>
          </w:p>
        </w:tc>
        <w:tc>
          <w:tcPr>
            <w:tcW w:w="5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84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580" w:type="dxa"/>
            <w:vAlign w:val="bottom"/>
            <w:tcBorders>
              <w:bottom w:val="single" w:sz="8" w:color="E5FFFF"/>
            </w:tcBorders>
          </w:tcPr>
          <w:p>
            <w:pPr>
              <w:spacing w:after="0"/>
              <w:rPr>
                <w:sz w:val="18"/>
                <w:szCs w:val="18"/>
                <w:color w:val="auto"/>
              </w:rPr>
            </w:pPr>
          </w:p>
        </w:tc>
        <w:tc>
          <w:tcPr>
            <w:tcW w:w="240" w:type="dxa"/>
            <w:vAlign w:val="bottom"/>
            <w:tcBorders>
              <w:bottom w:val="single" w:sz="8" w:color="E5FFFF"/>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783,835</w:t>
            </w:r>
          </w:p>
        </w:tc>
        <w:tc>
          <w:tcPr>
            <w:tcW w:w="240" w:type="dxa"/>
            <w:vAlign w:val="bottom"/>
            <w:tcBorders>
              <w:bottom w:val="single" w:sz="8" w:color="E5FF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153,142</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E5FFFF"/>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5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E5FFFF"/>
          </w:tcPr>
          <w:p>
            <w:pPr>
              <w:spacing w:after="0"/>
              <w:rPr>
                <w:sz w:val="18"/>
                <w:szCs w:val="18"/>
                <w:color w:val="auto"/>
              </w:rPr>
            </w:pPr>
          </w:p>
        </w:tc>
        <w:tc>
          <w:tcPr>
            <w:tcW w:w="14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Increase/(decrease) in cash and cash equivalents</w:t>
            </w:r>
          </w:p>
        </w:tc>
        <w:tc>
          <w:tcPr>
            <w:tcW w:w="580" w:type="dxa"/>
            <w:vAlign w:val="bottom"/>
            <w:tcBorders>
              <w:bottom w:val="single" w:sz="8" w:color="E5FFFF"/>
            </w:tcBorders>
          </w:tcPr>
          <w:p>
            <w:pPr>
              <w:spacing w:after="0"/>
              <w:rPr>
                <w:sz w:val="18"/>
                <w:szCs w:val="18"/>
                <w:color w:val="auto"/>
              </w:rPr>
            </w:pPr>
          </w:p>
        </w:tc>
        <w:tc>
          <w:tcPr>
            <w:tcW w:w="240" w:type="dxa"/>
            <w:vAlign w:val="bottom"/>
            <w:tcBorders>
              <w:bottom w:val="single" w:sz="8" w:color="E5FF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210,008</w:t>
            </w:r>
          </w:p>
        </w:tc>
        <w:tc>
          <w:tcPr>
            <w:tcW w:w="240" w:type="dxa"/>
            <w:vAlign w:val="bottom"/>
            <w:tcBorders>
              <w:bottom w:val="single" w:sz="8" w:color="E5FF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(110,387)</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E5FFFF"/>
          </w:tcPr>
          <w:p>
            <w:pPr>
              <w:spacing w:after="0"/>
              <w:rPr>
                <w:sz w:val="20"/>
                <w:szCs w:val="20"/>
                <w:color w:val="auto"/>
              </w:rPr>
            </w:pPr>
            <w:r>
              <w:rPr>
                <w:rFonts w:ascii="Arial" w:cs="Arial" w:eastAsia="Arial" w:hAnsi="Arial"/>
                <w:sz w:val="18"/>
                <w:szCs w:val="18"/>
                <w:color w:val="auto"/>
              </w:rPr>
              <w:t>Cash and cash equivalents, beginning of the period</w:t>
            </w:r>
          </w:p>
        </w:tc>
        <w:tc>
          <w:tcPr>
            <w:tcW w:w="5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211,974</w:t>
            </w:r>
          </w:p>
        </w:tc>
        <w:tc>
          <w:tcPr>
            <w:tcW w:w="240" w:type="dxa"/>
            <w:vAlign w:val="bottom"/>
            <w:shd w:val="clear" w:color="auto" w:fill="E5FFFF"/>
          </w:tcPr>
          <w:p>
            <w:pPr>
              <w:spacing w:after="0"/>
              <w:rPr>
                <w:sz w:val="18"/>
                <w:szCs w:val="18"/>
                <w:color w:val="auto"/>
              </w:rPr>
            </w:pPr>
          </w:p>
        </w:tc>
        <w:tc>
          <w:tcPr>
            <w:tcW w:w="14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302,988</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the period</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421,982</w:t>
            </w:r>
          </w:p>
        </w:tc>
        <w:tc>
          <w:tcPr>
            <w:tcW w:w="24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580" w:type="dxa"/>
            <w:vAlign w:val="bottom"/>
            <w:shd w:val="clear" w:color="auto" w:fill="E5FFFF"/>
          </w:tcPr>
          <w:p>
            <w:pPr>
              <w:jc w:val="right"/>
              <w:ind w:right="11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E5FFFF"/>
          </w:tcPr>
          <w:p>
            <w:pPr>
              <w:spacing w:after="0"/>
              <w:rPr>
                <w:sz w:val="18"/>
                <w:szCs w:val="18"/>
                <w:color w:val="auto"/>
              </w:rPr>
            </w:pPr>
          </w:p>
        </w:tc>
        <w:tc>
          <w:tcPr>
            <w:tcW w:w="160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4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Capital expenditures included in liabilities at the end of the period</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14,360</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4,096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E5FFFF"/>
          </w:tcPr>
          <w:p>
            <w:pPr>
              <w:spacing w:after="0"/>
              <w:rPr>
                <w:sz w:val="20"/>
                <w:szCs w:val="20"/>
                <w:color w:val="auto"/>
              </w:rPr>
            </w:pPr>
            <w:r>
              <w:rPr>
                <w:rFonts w:ascii="Arial" w:cs="Arial" w:eastAsia="Arial" w:hAnsi="Arial"/>
                <w:sz w:val="18"/>
                <w:szCs w:val="18"/>
                <w:color w:val="auto"/>
              </w:rPr>
              <w:t>Equity raising costs included in liabilities at the end of the period</w:t>
            </w:r>
          </w:p>
        </w:tc>
        <w:tc>
          <w:tcPr>
            <w:tcW w:w="5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84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841</w:t>
            </w:r>
          </w:p>
        </w:tc>
        <w:tc>
          <w:tcPr>
            <w:tcW w:w="15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Loan issuance costs included in liabilities at the end of the period</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2,985</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5,103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29" w:lineRule="exact"/>
        <w:rPr>
          <w:sz w:val="20"/>
          <w:szCs w:val="20"/>
          <w:color w:val="auto"/>
        </w:rPr>
      </w:pPr>
    </w:p>
    <w:p>
      <w:pPr>
        <w:ind w:right="40" w:firstLine="436"/>
        <w:spacing w:after="0" w:line="270" w:lineRule="auto"/>
        <w:rPr>
          <w:sz w:val="20"/>
          <w:szCs w:val="20"/>
          <w:color w:val="auto"/>
        </w:rPr>
      </w:pPr>
      <w:r>
        <w:rPr>
          <w:rFonts w:ascii="Arial" w:cs="Arial" w:eastAsia="Arial" w:hAnsi="Arial"/>
          <w:sz w:val="17"/>
          <w:szCs w:val="17"/>
          <w:color w:val="auto"/>
        </w:rPr>
        <w:t>GasLog Ltd (“GasLog”) was incorporated in Bermuda on July 16, 2003. GasLog and its subsidiaries (the “Group”) are primarily engaged in the ownership, operation and management of vessels in the liquefied natural gas (“LNG”) market, providing maritime services for the transportation of LNG on a worldwide basis and LNG vessel management services. The Group conducts its operations through its vessel-owning subsidiaries and through its vessel management services subsidiary. The Group’s operations are carried out from offices in Piraeus, London, New York, Singapore and Monaco. The registered office of GasLog is Clarendon House, 2 Church Street, Hamilton HM 11, Bermuda. GasLog’s chairman, Peter G. Livanos, is GasLog’s largest shareholder through his ownership of Ceres Shipping Ltd. (“Ceres Shipping”), which controls Blenheim Holdings Ltd. As of June 30, 2016, entities controlled by members of the Livanos family, including GasLog’s chairman, are deemed to beneficially own approximately 40.6% of GasLog’s issued and outstanding common shares. As a result of his ownership of GasLog’s common shares, Mr. Livanos can effectively control the outcome of most matters on which GasLog’s shareholders are entitled to vote.</w:t>
      </w:r>
    </w:p>
    <w:p>
      <w:pPr>
        <w:spacing w:after="0" w:line="182"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As of June 30, 2016, GasLog holds a 32.9% interest (including the 2% interest through general partner units) in GasLog Partners LP (“GasLog Partners” or the “Partnership”) and, as a result of its ownership of the general partner, and the fact that the general partner elects the majority of the Partnership’s directors in accordance with the Partnership Agreement, GasLog has the ability to control the Partnership’s affairs and policies. Consequently, GasLog Partners is consolidated in the Group’s financial statements.</w:t>
      </w:r>
    </w:p>
    <w:p>
      <w:pPr>
        <w:spacing w:after="0" w:line="187" w:lineRule="exact"/>
        <w:rPr>
          <w:sz w:val="20"/>
          <w:szCs w:val="20"/>
          <w:color w:val="auto"/>
        </w:rPr>
      </w:pPr>
    </w:p>
    <w:p>
      <w:pPr>
        <w:jc w:val="both"/>
        <w:ind w:right="480" w:firstLine="436"/>
        <w:spacing w:after="0" w:line="264" w:lineRule="auto"/>
        <w:rPr>
          <w:sz w:val="20"/>
          <w:szCs w:val="20"/>
          <w:color w:val="auto"/>
        </w:rPr>
      </w:pPr>
      <w:r>
        <w:rPr>
          <w:rFonts w:ascii="Arial" w:cs="Arial" w:eastAsia="Arial" w:hAnsi="Arial"/>
          <w:sz w:val="18"/>
          <w:szCs w:val="18"/>
          <w:color w:val="auto"/>
        </w:rPr>
        <w:t>The accompanying unaudited condensed consolidated financial statements include the financial statements of GasLog and its subsidiaries. Unless indicated otherwise, the subsidiaries listed below are 100% held (either directly or indirectly) by GasLog. The Group structure as of June 30, 2016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2"/>
              </w:rPr>
              <w:t>Cargo</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6"/>
              </w:rPr>
              <w:t>Place of</w:t>
            </w:r>
          </w:p>
        </w:tc>
        <w:tc>
          <w:tcPr>
            <w:tcW w:w="120" w:type="dxa"/>
            <w:vAlign w:val="bottom"/>
          </w:tcPr>
          <w:p>
            <w:pPr>
              <w:spacing w:after="0"/>
              <w:rPr>
                <w:sz w:val="18"/>
                <w:szCs w:val="18"/>
                <w:color w:val="auto"/>
              </w:rPr>
            </w:pPr>
          </w:p>
        </w:tc>
        <w:tc>
          <w:tcPr>
            <w:tcW w:w="1380" w:type="dxa"/>
            <w:vAlign w:val="bottom"/>
            <w:gridSpan w:val="2"/>
          </w:tcPr>
          <w:p>
            <w:pPr>
              <w:ind w:left="380"/>
              <w:spacing w:after="0"/>
              <w:rPr>
                <w:sz w:val="20"/>
                <w:szCs w:val="20"/>
                <w:color w:val="auto"/>
              </w:rPr>
            </w:pPr>
            <w:r>
              <w:rPr>
                <w:rFonts w:ascii="Arial" w:cs="Arial" w:eastAsia="Arial" w:hAnsi="Arial"/>
                <w:sz w:val="18"/>
                <w:szCs w:val="18"/>
                <w:b w:val="1"/>
                <w:bCs w:val="1"/>
                <w:color w:val="auto"/>
              </w:rPr>
              <w:t>Date of</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8"/>
              </w:rPr>
              <w:t>capacity</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incorporation</w:t>
            </w:r>
          </w:p>
        </w:tc>
        <w:tc>
          <w:tcPr>
            <w:tcW w:w="12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incorporation</w:t>
            </w:r>
          </w:p>
        </w:tc>
        <w:tc>
          <w:tcPr>
            <w:tcW w:w="1940" w:type="dxa"/>
            <w:vAlign w:val="bottom"/>
          </w:tcPr>
          <w:p>
            <w:pPr>
              <w:ind w:left="380"/>
              <w:spacing w:after="0"/>
              <w:rPr>
                <w:sz w:val="20"/>
                <w:szCs w:val="20"/>
                <w:color w:val="auto"/>
              </w:rPr>
            </w:pPr>
            <w:r>
              <w:rPr>
                <w:rFonts w:ascii="Arial" w:cs="Arial" w:eastAsia="Arial" w:hAnsi="Arial"/>
                <w:sz w:val="18"/>
                <w:szCs w:val="18"/>
                <w:b w:val="1"/>
                <w:bCs w:val="1"/>
                <w:color w:val="auto"/>
                <w:w w:val="97"/>
              </w:rPr>
              <w:t>Principal activities</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(cbm)</w:t>
            </w:r>
          </w:p>
        </w:tc>
        <w:tc>
          <w:tcPr>
            <w:tcW w:w="120" w:type="dxa"/>
            <w:vAlign w:val="bottom"/>
          </w:tcPr>
          <w:p>
            <w:pPr>
              <w:spacing w:after="0"/>
              <w:rPr>
                <w:sz w:val="20"/>
                <w:szCs w:val="20"/>
                <w:color w:val="auto"/>
              </w:rPr>
            </w:pPr>
          </w:p>
        </w:tc>
        <w:tc>
          <w:tcPr>
            <w:tcW w:w="1920" w:type="dxa"/>
            <w:vAlign w:val="bottom"/>
            <w:gridSpan w:val="2"/>
          </w:tcPr>
          <w:p>
            <w:pPr>
              <w:ind w:left="680"/>
              <w:spacing w:after="0"/>
              <w:rPr>
                <w:sz w:val="20"/>
                <w:szCs w:val="20"/>
                <w:color w:val="auto"/>
              </w:rPr>
            </w:pPr>
            <w:r>
              <w:rPr>
                <w:rFonts w:ascii="Arial" w:cs="Arial" w:eastAsia="Arial" w:hAnsi="Arial"/>
                <w:sz w:val="18"/>
                <w:szCs w:val="18"/>
                <w:b w:val="1"/>
                <w:bCs w:val="1"/>
                <w:color w:val="auto"/>
              </w:rPr>
              <w:t>Vessel</w:t>
            </w:r>
          </w:p>
        </w:tc>
        <w:tc>
          <w:tcPr>
            <w:tcW w:w="1140" w:type="dxa"/>
            <w:vAlign w:val="bottom"/>
          </w:tcPr>
          <w:p>
            <w:pPr>
              <w:spacing w:after="0"/>
              <w:rPr>
                <w:sz w:val="20"/>
                <w:szCs w:val="20"/>
                <w:color w:val="auto"/>
              </w:rPr>
            </w:pPr>
            <w:r>
              <w:rPr>
                <w:rFonts w:ascii="Arial" w:cs="Arial" w:eastAsia="Arial" w:hAnsi="Arial"/>
                <w:sz w:val="18"/>
                <w:szCs w:val="18"/>
                <w:b w:val="1"/>
                <w:bCs w:val="1"/>
                <w:color w:val="auto"/>
                <w:w w:val="99"/>
              </w:rPr>
              <w:t>Delivery date</w:t>
            </w:r>
          </w:p>
        </w:tc>
      </w:tr>
      <w:tr>
        <w:trPr>
          <w:trHeight w:val="210"/>
        </w:trPr>
        <w:tc>
          <w:tcPr>
            <w:tcW w:w="23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b w:val="1"/>
                <w:bCs w:val="1"/>
                <w:color w:val="auto"/>
              </w:rPr>
              <w:t>Subsidiaries:</w:t>
            </w:r>
          </w:p>
        </w:tc>
        <w:tc>
          <w:tcPr>
            <w:tcW w:w="12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94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1020" w:type="dxa"/>
            <w:vAlign w:val="bottom"/>
            <w:tcBorders>
              <w:top w:val="single" w:sz="8" w:color="auto"/>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82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1140" w:type="dxa"/>
            <w:vAlign w:val="bottom"/>
            <w:tcBorders>
              <w:top w:val="single" w:sz="8" w:color="auto"/>
            </w:tcBorders>
            <w:shd w:val="clear" w:color="auto" w:fill="E5FFFF"/>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GasLog Investments Ltd.</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BVI</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July 2003</w:t>
            </w:r>
          </w:p>
        </w:tc>
        <w:tc>
          <w:tcPr>
            <w:tcW w:w="1940" w:type="dxa"/>
            <w:vAlign w:val="bottom"/>
          </w:tcPr>
          <w:p>
            <w:pPr>
              <w:spacing w:after="0"/>
              <w:rPr>
                <w:sz w:val="20"/>
                <w:szCs w:val="20"/>
                <w:color w:val="auto"/>
              </w:rPr>
            </w:pPr>
            <w:r>
              <w:rPr>
                <w:rFonts w:ascii="Arial" w:cs="Arial" w:eastAsia="Arial" w:hAnsi="Arial"/>
                <w:sz w:val="18"/>
                <w:szCs w:val="18"/>
                <w:color w:val="auto"/>
              </w:rPr>
              <w:t>Holding company</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4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r>
              <w:rPr>
                <w:rFonts w:ascii="Arial" w:cs="Arial" w:eastAsia="Arial" w:hAnsi="Arial"/>
                <w:sz w:val="18"/>
                <w:szCs w:val="18"/>
                <w:color w:val="auto"/>
              </w:rPr>
              <w:t>—</w:t>
            </w:r>
          </w:p>
        </w:tc>
      </w:tr>
      <w:tr>
        <w:trPr>
          <w:trHeight w:val="202"/>
        </w:trPr>
        <w:tc>
          <w:tcPr>
            <w:tcW w:w="230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w w:val="92"/>
              </w:rPr>
              <w:t>GasLog Carriers Ltd. (“GasLog</w:t>
            </w:r>
          </w:p>
        </w:tc>
        <w:tc>
          <w:tcPr>
            <w:tcW w:w="1380" w:type="dxa"/>
            <w:vAlign w:val="bottom"/>
            <w:gridSpan w:val="2"/>
            <w:shd w:val="clear" w:color="auto" w:fill="E5FFFF"/>
          </w:tcPr>
          <w:p>
            <w:pPr>
              <w:ind w:left="120"/>
              <w:spacing w:after="0" w:line="201" w:lineRule="exact"/>
              <w:rPr>
                <w:sz w:val="20"/>
                <w:szCs w:val="20"/>
                <w:color w:val="auto"/>
              </w:rPr>
            </w:pPr>
            <w:r>
              <w:rPr>
                <w:rFonts w:ascii="Arial" w:cs="Arial" w:eastAsia="Arial" w:hAnsi="Arial"/>
                <w:sz w:val="18"/>
                <w:szCs w:val="18"/>
                <w:color w:val="auto"/>
              </w:rPr>
              <w:t>Bermuda</w:t>
            </w:r>
          </w:p>
        </w:tc>
        <w:tc>
          <w:tcPr>
            <w:tcW w:w="1500" w:type="dxa"/>
            <w:vAlign w:val="bottom"/>
            <w:gridSpan w:val="3"/>
            <w:shd w:val="clear" w:color="auto" w:fill="E5FFFF"/>
          </w:tcPr>
          <w:p>
            <w:pPr>
              <w:ind w:left="120"/>
              <w:spacing w:after="0" w:line="201" w:lineRule="exact"/>
              <w:rPr>
                <w:sz w:val="20"/>
                <w:szCs w:val="20"/>
                <w:color w:val="auto"/>
              </w:rPr>
            </w:pPr>
            <w:r>
              <w:rPr>
                <w:rFonts w:ascii="Arial" w:cs="Arial" w:eastAsia="Arial" w:hAnsi="Arial"/>
                <w:sz w:val="18"/>
                <w:szCs w:val="18"/>
                <w:color w:val="auto"/>
              </w:rPr>
              <w:t>February 2008</w:t>
            </w:r>
          </w:p>
        </w:tc>
        <w:tc>
          <w:tcPr>
            <w:tcW w:w="19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Holding company</w:t>
            </w:r>
          </w:p>
        </w:tc>
        <w:tc>
          <w:tcPr>
            <w:tcW w:w="1120" w:type="dxa"/>
            <w:vAlign w:val="bottom"/>
            <w:gridSpan w:val="2"/>
            <w:shd w:val="clear" w:color="auto" w:fill="E5FFFF"/>
          </w:tcPr>
          <w:p>
            <w:pPr>
              <w:ind w:left="100"/>
              <w:spacing w:after="0" w:line="201" w:lineRule="exact"/>
              <w:rPr>
                <w:sz w:val="20"/>
                <w:szCs w:val="20"/>
                <w:color w:val="auto"/>
              </w:rPr>
            </w:pPr>
            <w:r>
              <w:rPr>
                <w:rFonts w:ascii="Arial" w:cs="Arial" w:eastAsia="Arial" w:hAnsi="Arial"/>
                <w:sz w:val="18"/>
                <w:szCs w:val="18"/>
                <w:color w:val="auto"/>
              </w:rPr>
              <w:t>—</w:t>
            </w:r>
          </w:p>
        </w:tc>
        <w:tc>
          <w:tcPr>
            <w:tcW w:w="2040" w:type="dxa"/>
            <w:vAlign w:val="bottom"/>
            <w:gridSpan w:val="3"/>
            <w:shd w:val="clear" w:color="auto" w:fill="E5FFFF"/>
          </w:tcPr>
          <w:p>
            <w:pPr>
              <w:ind w:left="120"/>
              <w:spacing w:after="0" w:line="201" w:lineRule="exact"/>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w:t>
            </w:r>
          </w:p>
        </w:tc>
      </w:tr>
      <w:tr>
        <w:trPr>
          <w:trHeight w:val="230"/>
        </w:trPr>
        <w:tc>
          <w:tcPr>
            <w:tcW w:w="23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Carriers”)</w:t>
            </w:r>
          </w:p>
        </w:tc>
        <w:tc>
          <w:tcPr>
            <w:tcW w:w="120" w:type="dxa"/>
            <w:vAlign w:val="bottom"/>
            <w:shd w:val="clear" w:color="auto" w:fill="E5FFFF"/>
          </w:tcPr>
          <w:p>
            <w:pPr>
              <w:spacing w:after="0"/>
              <w:rPr>
                <w:sz w:val="20"/>
                <w:szCs w:val="20"/>
                <w:color w:val="auto"/>
              </w:rPr>
            </w:pPr>
          </w:p>
        </w:tc>
        <w:tc>
          <w:tcPr>
            <w:tcW w:w="126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26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94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02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82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140" w:type="dxa"/>
            <w:vAlign w:val="bottom"/>
            <w:shd w:val="clear" w:color="auto" w:fill="E5FFFF"/>
          </w:tcPr>
          <w:p>
            <w:pPr>
              <w:spacing w:after="0"/>
              <w:rPr>
                <w:sz w:val="20"/>
                <w:szCs w:val="20"/>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rPr>
              <w:t>GasLog Shipping Company</w:t>
            </w:r>
          </w:p>
        </w:tc>
        <w:tc>
          <w:tcPr>
            <w:tcW w:w="138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Bermuda</w:t>
            </w:r>
          </w:p>
        </w:tc>
        <w:tc>
          <w:tcPr>
            <w:tcW w:w="150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January 2006</w:t>
            </w: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Holding company</w:t>
            </w:r>
          </w:p>
        </w:tc>
        <w:tc>
          <w:tcPr>
            <w:tcW w:w="11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w:t>
            </w:r>
          </w:p>
        </w:tc>
        <w:tc>
          <w:tcPr>
            <w:tcW w:w="204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w:t>
            </w: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w:t>
            </w:r>
          </w:p>
        </w:tc>
      </w:tr>
      <w:tr>
        <w:trPr>
          <w:trHeight w:val="230"/>
        </w:trPr>
        <w:tc>
          <w:tcPr>
            <w:tcW w:w="2300" w:type="dxa"/>
            <w:vAlign w:val="bottom"/>
          </w:tcPr>
          <w:p>
            <w:pPr>
              <w:ind w:left="180"/>
              <w:spacing w:after="0"/>
              <w:rPr>
                <w:sz w:val="20"/>
                <w:szCs w:val="20"/>
                <w:color w:val="auto"/>
              </w:rPr>
            </w:pPr>
            <w:r>
              <w:rPr>
                <w:rFonts w:ascii="Arial" w:cs="Arial" w:eastAsia="Arial" w:hAnsi="Arial"/>
                <w:sz w:val="18"/>
                <w:szCs w:val="18"/>
                <w:color w:val="auto"/>
              </w:rPr>
              <w:t>Ltd.</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2300" w:type="dxa"/>
            <w:vAlign w:val="bottom"/>
            <w:shd w:val="clear" w:color="auto" w:fill="E5FFFF"/>
          </w:tcPr>
          <w:p>
            <w:pPr>
              <w:spacing w:after="0"/>
              <w:rPr>
                <w:sz w:val="20"/>
                <w:szCs w:val="20"/>
                <w:color w:val="auto"/>
              </w:rPr>
            </w:pPr>
            <w:r>
              <w:rPr>
                <w:rFonts w:ascii="Arial" w:cs="Arial" w:eastAsia="Arial" w:hAnsi="Arial"/>
                <w:sz w:val="18"/>
                <w:szCs w:val="18"/>
                <w:color w:val="auto"/>
              </w:rPr>
              <w:t>GasLog Partners GP LLC</w:t>
            </w:r>
          </w:p>
        </w:tc>
        <w:tc>
          <w:tcPr>
            <w:tcW w:w="1380" w:type="dxa"/>
            <w:vAlign w:val="bottom"/>
            <w:gridSpan w:val="2"/>
            <w:shd w:val="clear" w:color="auto" w:fill="E5FFFF"/>
          </w:tcPr>
          <w:p>
            <w:pPr>
              <w:ind w:left="120"/>
              <w:spacing w:after="0"/>
              <w:rPr>
                <w:sz w:val="20"/>
                <w:szCs w:val="20"/>
                <w:color w:val="auto"/>
              </w:rPr>
            </w:pPr>
            <w:r>
              <w:rPr>
                <w:rFonts w:ascii="Arial" w:cs="Arial" w:eastAsia="Arial" w:hAnsi="Arial"/>
                <w:sz w:val="18"/>
                <w:szCs w:val="18"/>
                <w:color w:val="auto"/>
                <w:w w:val="95"/>
              </w:rPr>
              <w:t>Marshall Islands</w:t>
            </w:r>
          </w:p>
        </w:tc>
        <w:tc>
          <w:tcPr>
            <w:tcW w:w="150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January 2014</w:t>
            </w:r>
          </w:p>
        </w:tc>
        <w:tc>
          <w:tcPr>
            <w:tcW w:w="1940" w:type="dxa"/>
            <w:vAlign w:val="bottom"/>
            <w:shd w:val="clear" w:color="auto" w:fill="E5FFFF"/>
          </w:tcPr>
          <w:p>
            <w:pPr>
              <w:spacing w:after="0"/>
              <w:rPr>
                <w:sz w:val="20"/>
                <w:szCs w:val="20"/>
                <w:color w:val="auto"/>
              </w:rPr>
            </w:pPr>
            <w:r>
              <w:rPr>
                <w:rFonts w:ascii="Arial" w:cs="Arial" w:eastAsia="Arial" w:hAnsi="Arial"/>
                <w:sz w:val="18"/>
                <w:szCs w:val="18"/>
                <w:color w:val="auto"/>
              </w:rPr>
              <w:t>Holding company</w:t>
            </w:r>
          </w:p>
        </w:tc>
        <w:tc>
          <w:tcPr>
            <w:tcW w:w="112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w:t>
            </w:r>
          </w:p>
        </w:tc>
        <w:tc>
          <w:tcPr>
            <w:tcW w:w="204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w:t>
            </w: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rPr>
              <w:t>GasLog Services UK Ltd.</w:t>
            </w:r>
          </w:p>
        </w:tc>
        <w:tc>
          <w:tcPr>
            <w:tcW w:w="138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England and</w:t>
            </w:r>
          </w:p>
        </w:tc>
        <w:tc>
          <w:tcPr>
            <w:tcW w:w="150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May 2014</w:t>
            </w: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Service company</w:t>
            </w:r>
          </w:p>
        </w:tc>
        <w:tc>
          <w:tcPr>
            <w:tcW w:w="11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w:t>
            </w:r>
          </w:p>
        </w:tc>
        <w:tc>
          <w:tcPr>
            <w:tcW w:w="204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w:t>
            </w: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w:t>
            </w:r>
          </w:p>
        </w:tc>
      </w:tr>
      <w:tr>
        <w:trPr>
          <w:trHeight w:val="230"/>
        </w:trPr>
        <w:tc>
          <w:tcPr>
            <w:tcW w:w="2300" w:type="dxa"/>
            <w:vAlign w:val="bottom"/>
          </w:tcPr>
          <w:p>
            <w:pPr>
              <w:spacing w:after="0"/>
              <w:rPr>
                <w:sz w:val="20"/>
                <w:szCs w:val="20"/>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Wales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2300" w:type="dxa"/>
            <w:vAlign w:val="bottom"/>
            <w:shd w:val="clear" w:color="auto" w:fill="E5FFFF"/>
          </w:tcPr>
          <w:p>
            <w:pPr>
              <w:spacing w:after="0"/>
              <w:rPr>
                <w:sz w:val="20"/>
                <w:szCs w:val="20"/>
                <w:color w:val="auto"/>
              </w:rPr>
            </w:pPr>
            <w:r>
              <w:rPr>
                <w:rFonts w:ascii="Arial" w:cs="Arial" w:eastAsia="Arial" w:hAnsi="Arial"/>
                <w:sz w:val="18"/>
                <w:szCs w:val="18"/>
                <w:color w:val="auto"/>
              </w:rPr>
              <w:t>GasLog Services US Inc.</w:t>
            </w:r>
          </w:p>
        </w:tc>
        <w:tc>
          <w:tcPr>
            <w:tcW w:w="1380" w:type="dxa"/>
            <w:vAlign w:val="bottom"/>
            <w:gridSpan w:val="2"/>
            <w:shd w:val="clear" w:color="auto" w:fill="E5FFFF"/>
          </w:tcPr>
          <w:p>
            <w:pPr>
              <w:ind w:left="120"/>
              <w:spacing w:after="0"/>
              <w:rPr>
                <w:sz w:val="20"/>
                <w:szCs w:val="20"/>
                <w:color w:val="auto"/>
              </w:rPr>
            </w:pPr>
            <w:r>
              <w:rPr>
                <w:rFonts w:ascii="Arial" w:cs="Arial" w:eastAsia="Arial" w:hAnsi="Arial"/>
                <w:sz w:val="18"/>
                <w:szCs w:val="18"/>
                <w:color w:val="auto"/>
              </w:rPr>
              <w:t>Delaware</w:t>
            </w:r>
          </w:p>
        </w:tc>
        <w:tc>
          <w:tcPr>
            <w:tcW w:w="150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May 2014</w:t>
            </w:r>
          </w:p>
        </w:tc>
        <w:tc>
          <w:tcPr>
            <w:tcW w:w="1940" w:type="dxa"/>
            <w:vAlign w:val="bottom"/>
            <w:shd w:val="clear" w:color="auto" w:fill="E5FFFF"/>
          </w:tcPr>
          <w:p>
            <w:pPr>
              <w:spacing w:after="0"/>
              <w:rPr>
                <w:sz w:val="20"/>
                <w:szCs w:val="20"/>
                <w:color w:val="auto"/>
              </w:rPr>
            </w:pPr>
            <w:r>
              <w:rPr>
                <w:rFonts w:ascii="Arial" w:cs="Arial" w:eastAsia="Arial" w:hAnsi="Arial"/>
                <w:sz w:val="18"/>
                <w:szCs w:val="18"/>
                <w:color w:val="auto"/>
              </w:rPr>
              <w:t>Service company</w:t>
            </w:r>
          </w:p>
        </w:tc>
        <w:tc>
          <w:tcPr>
            <w:tcW w:w="112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w:t>
            </w:r>
          </w:p>
        </w:tc>
        <w:tc>
          <w:tcPr>
            <w:tcW w:w="204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GasLog Asia Pte Ltd.</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Singapore</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May 2015</w:t>
            </w:r>
          </w:p>
        </w:tc>
        <w:tc>
          <w:tcPr>
            <w:tcW w:w="1940" w:type="dxa"/>
            <w:vAlign w:val="bottom"/>
          </w:tcPr>
          <w:p>
            <w:pPr>
              <w:spacing w:after="0"/>
              <w:rPr>
                <w:sz w:val="20"/>
                <w:szCs w:val="20"/>
                <w:color w:val="auto"/>
              </w:rPr>
            </w:pPr>
            <w:r>
              <w:rPr>
                <w:rFonts w:ascii="Arial" w:cs="Arial" w:eastAsia="Arial" w:hAnsi="Arial"/>
                <w:sz w:val="18"/>
                <w:szCs w:val="18"/>
                <w:color w:val="auto"/>
              </w:rPr>
              <w:t>Service company</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4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r>
              <w:rPr>
                <w:rFonts w:ascii="Arial" w:cs="Arial" w:eastAsia="Arial" w:hAnsi="Arial"/>
                <w:sz w:val="18"/>
                <w:szCs w:val="18"/>
                <w:color w:val="auto"/>
              </w:rPr>
              <w:t>—</w:t>
            </w:r>
          </w:p>
        </w:tc>
      </w:tr>
      <w:tr>
        <w:trPr>
          <w:trHeight w:val="202"/>
        </w:trPr>
        <w:tc>
          <w:tcPr>
            <w:tcW w:w="230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GasLog LNG Services Ltd.</w:t>
            </w:r>
          </w:p>
        </w:tc>
        <w:tc>
          <w:tcPr>
            <w:tcW w:w="1380" w:type="dxa"/>
            <w:vAlign w:val="bottom"/>
            <w:gridSpan w:val="2"/>
            <w:shd w:val="clear" w:color="auto" w:fill="E5FFFF"/>
          </w:tcPr>
          <w:p>
            <w:pPr>
              <w:ind w:left="120"/>
              <w:spacing w:after="0" w:line="201" w:lineRule="exact"/>
              <w:rPr>
                <w:sz w:val="20"/>
                <w:szCs w:val="20"/>
                <w:color w:val="auto"/>
              </w:rPr>
            </w:pPr>
            <w:r>
              <w:rPr>
                <w:rFonts w:ascii="Arial" w:cs="Arial" w:eastAsia="Arial" w:hAnsi="Arial"/>
                <w:sz w:val="18"/>
                <w:szCs w:val="18"/>
                <w:color w:val="auto"/>
              </w:rPr>
              <w:t>Bermuda</w:t>
            </w:r>
          </w:p>
        </w:tc>
        <w:tc>
          <w:tcPr>
            <w:tcW w:w="1500" w:type="dxa"/>
            <w:vAlign w:val="bottom"/>
            <w:gridSpan w:val="3"/>
            <w:shd w:val="clear" w:color="auto" w:fill="E5FFFF"/>
          </w:tcPr>
          <w:p>
            <w:pPr>
              <w:ind w:left="120"/>
              <w:spacing w:after="0" w:line="201" w:lineRule="exact"/>
              <w:rPr>
                <w:sz w:val="20"/>
                <w:szCs w:val="20"/>
                <w:color w:val="auto"/>
              </w:rPr>
            </w:pPr>
            <w:r>
              <w:rPr>
                <w:rFonts w:ascii="Arial" w:cs="Arial" w:eastAsia="Arial" w:hAnsi="Arial"/>
                <w:sz w:val="18"/>
                <w:szCs w:val="18"/>
                <w:color w:val="auto"/>
              </w:rPr>
              <w:t>August 2004</w:t>
            </w:r>
          </w:p>
        </w:tc>
        <w:tc>
          <w:tcPr>
            <w:tcW w:w="19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Vessel management</w:t>
            </w:r>
          </w:p>
        </w:tc>
        <w:tc>
          <w:tcPr>
            <w:tcW w:w="1120" w:type="dxa"/>
            <w:vAlign w:val="bottom"/>
            <w:gridSpan w:val="2"/>
            <w:shd w:val="clear" w:color="auto" w:fill="E5FFFF"/>
          </w:tcPr>
          <w:p>
            <w:pPr>
              <w:ind w:left="100"/>
              <w:spacing w:after="0" w:line="201" w:lineRule="exact"/>
              <w:rPr>
                <w:sz w:val="20"/>
                <w:szCs w:val="20"/>
                <w:color w:val="auto"/>
              </w:rPr>
            </w:pPr>
            <w:r>
              <w:rPr>
                <w:rFonts w:ascii="Arial" w:cs="Arial" w:eastAsia="Arial" w:hAnsi="Arial"/>
                <w:sz w:val="18"/>
                <w:szCs w:val="18"/>
                <w:color w:val="auto"/>
              </w:rPr>
              <w:t>—</w:t>
            </w:r>
          </w:p>
        </w:tc>
        <w:tc>
          <w:tcPr>
            <w:tcW w:w="2040" w:type="dxa"/>
            <w:vAlign w:val="bottom"/>
            <w:gridSpan w:val="3"/>
            <w:shd w:val="clear" w:color="auto" w:fill="E5FFFF"/>
          </w:tcPr>
          <w:p>
            <w:pPr>
              <w:ind w:left="120"/>
              <w:spacing w:after="0" w:line="201" w:lineRule="exact"/>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w:t>
            </w:r>
          </w:p>
        </w:tc>
      </w:tr>
      <w:tr>
        <w:trPr>
          <w:trHeight w:val="230"/>
        </w:trPr>
        <w:tc>
          <w:tcPr>
            <w:tcW w:w="230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26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26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940" w:type="dxa"/>
            <w:vAlign w:val="bottom"/>
            <w:shd w:val="clear" w:color="auto" w:fill="E5FFFF"/>
          </w:tcPr>
          <w:p>
            <w:pPr>
              <w:spacing w:after="0"/>
              <w:rPr>
                <w:sz w:val="20"/>
                <w:szCs w:val="20"/>
                <w:color w:val="auto"/>
              </w:rPr>
            </w:pPr>
            <w:r>
              <w:rPr>
                <w:rFonts w:ascii="Arial" w:cs="Arial" w:eastAsia="Arial" w:hAnsi="Arial"/>
                <w:sz w:val="18"/>
                <w:szCs w:val="18"/>
                <w:color w:val="auto"/>
              </w:rPr>
              <w:t>services</w:t>
            </w:r>
          </w:p>
        </w:tc>
        <w:tc>
          <w:tcPr>
            <w:tcW w:w="100" w:type="dxa"/>
            <w:vAlign w:val="bottom"/>
            <w:shd w:val="clear" w:color="auto" w:fill="E5FFFF"/>
          </w:tcPr>
          <w:p>
            <w:pPr>
              <w:spacing w:after="0"/>
              <w:rPr>
                <w:sz w:val="20"/>
                <w:szCs w:val="20"/>
                <w:color w:val="auto"/>
              </w:rPr>
            </w:pPr>
          </w:p>
        </w:tc>
        <w:tc>
          <w:tcPr>
            <w:tcW w:w="102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82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140" w:type="dxa"/>
            <w:vAlign w:val="bottom"/>
            <w:shd w:val="clear" w:color="auto" w:fill="E5FFFF"/>
          </w:tcPr>
          <w:p>
            <w:pPr>
              <w:spacing w:after="0"/>
              <w:rPr>
                <w:sz w:val="20"/>
                <w:szCs w:val="20"/>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GasLog Monaco S.A.M.</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Monaco</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February 2010</w:t>
            </w:r>
          </w:p>
        </w:tc>
        <w:tc>
          <w:tcPr>
            <w:tcW w:w="1940" w:type="dxa"/>
            <w:vAlign w:val="bottom"/>
          </w:tcPr>
          <w:p>
            <w:pPr>
              <w:spacing w:after="0"/>
              <w:rPr>
                <w:sz w:val="20"/>
                <w:szCs w:val="20"/>
                <w:color w:val="auto"/>
              </w:rPr>
            </w:pPr>
            <w:r>
              <w:rPr>
                <w:rFonts w:ascii="Arial" w:cs="Arial" w:eastAsia="Arial" w:hAnsi="Arial"/>
                <w:sz w:val="18"/>
                <w:szCs w:val="18"/>
                <w:color w:val="auto"/>
              </w:rPr>
              <w:t>Service company</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4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300" w:type="dxa"/>
            <w:vAlign w:val="bottom"/>
            <w:shd w:val="clear" w:color="auto" w:fill="E5FFFF"/>
          </w:tcPr>
          <w:p>
            <w:pPr>
              <w:spacing w:after="0"/>
              <w:rPr>
                <w:sz w:val="20"/>
                <w:szCs w:val="20"/>
                <w:color w:val="auto"/>
              </w:rPr>
            </w:pPr>
            <w:r>
              <w:rPr>
                <w:rFonts w:ascii="Arial" w:cs="Arial" w:eastAsia="Arial" w:hAnsi="Arial"/>
                <w:sz w:val="18"/>
                <w:szCs w:val="18"/>
                <w:color w:val="auto"/>
              </w:rPr>
              <w:t>GAS-one Ltd.</w:t>
            </w:r>
          </w:p>
        </w:tc>
        <w:tc>
          <w:tcPr>
            <w:tcW w:w="1380" w:type="dxa"/>
            <w:vAlign w:val="bottom"/>
            <w:gridSpan w:val="2"/>
            <w:shd w:val="clear" w:color="auto" w:fill="E5FFFF"/>
          </w:tcPr>
          <w:p>
            <w:pPr>
              <w:ind w:left="120"/>
              <w:spacing w:after="0"/>
              <w:rPr>
                <w:sz w:val="20"/>
                <w:szCs w:val="20"/>
                <w:color w:val="auto"/>
              </w:rPr>
            </w:pPr>
            <w:r>
              <w:rPr>
                <w:rFonts w:ascii="Arial" w:cs="Arial" w:eastAsia="Arial" w:hAnsi="Arial"/>
                <w:sz w:val="18"/>
                <w:szCs w:val="18"/>
                <w:color w:val="auto"/>
              </w:rPr>
              <w:t>Bermuda</w:t>
            </w:r>
          </w:p>
        </w:tc>
        <w:tc>
          <w:tcPr>
            <w:tcW w:w="150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February 2008</w:t>
            </w:r>
          </w:p>
        </w:tc>
        <w:tc>
          <w:tcPr>
            <w:tcW w:w="1940" w:type="dxa"/>
            <w:vAlign w:val="bottom"/>
            <w:shd w:val="clear" w:color="auto" w:fill="E5FFFF"/>
          </w:tcPr>
          <w:p>
            <w:pPr>
              <w:spacing w:after="0"/>
              <w:rPr>
                <w:sz w:val="20"/>
                <w:szCs w:val="20"/>
                <w:color w:val="auto"/>
              </w:rPr>
            </w:pPr>
            <w:r>
              <w:rPr>
                <w:rFonts w:ascii="Arial" w:cs="Arial" w:eastAsia="Arial" w:hAnsi="Arial"/>
                <w:sz w:val="18"/>
                <w:szCs w:val="18"/>
                <w:color w:val="auto"/>
                <w:w w:val="98"/>
              </w:rPr>
              <w:t>Vessel-owning company</w:t>
            </w:r>
          </w:p>
        </w:tc>
        <w:tc>
          <w:tcPr>
            <w:tcW w:w="112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155,000</w:t>
            </w:r>
          </w:p>
        </w:tc>
        <w:tc>
          <w:tcPr>
            <w:tcW w:w="2040" w:type="dxa"/>
            <w:vAlign w:val="bottom"/>
            <w:gridSpan w:val="3"/>
            <w:shd w:val="clear" w:color="auto" w:fill="E5FFFF"/>
          </w:tcPr>
          <w:p>
            <w:pPr>
              <w:ind w:left="120"/>
              <w:spacing w:after="0"/>
              <w:rPr>
                <w:sz w:val="20"/>
                <w:szCs w:val="20"/>
                <w:color w:val="auto"/>
              </w:rPr>
            </w:pPr>
            <w:r>
              <w:rPr>
                <w:rFonts w:ascii="Arial" w:cs="Arial" w:eastAsia="Arial" w:hAnsi="Arial"/>
                <w:sz w:val="18"/>
                <w:szCs w:val="18"/>
                <w:i w:val="1"/>
                <w:iCs w:val="1"/>
                <w:color w:val="auto"/>
              </w:rPr>
              <w:t>GasLog Savannah</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May 2010</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GAS-two Ltd.</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Bermuda</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February 2008</w:t>
            </w:r>
          </w:p>
        </w:tc>
        <w:tc>
          <w:tcPr>
            <w:tcW w:w="1940" w:type="dxa"/>
            <w:vAlign w:val="bottom"/>
          </w:tcPr>
          <w:p>
            <w:pPr>
              <w:spacing w:after="0"/>
              <w:rPr>
                <w:sz w:val="20"/>
                <w:szCs w:val="20"/>
                <w:color w:val="auto"/>
              </w:rPr>
            </w:pPr>
            <w:r>
              <w:rPr>
                <w:rFonts w:ascii="Arial" w:cs="Arial" w:eastAsia="Arial" w:hAnsi="Arial"/>
                <w:sz w:val="18"/>
                <w:szCs w:val="18"/>
                <w:color w:val="auto"/>
                <w:w w:val="98"/>
              </w:rPr>
              <w:t>Vessel-owning company</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155,000</w:t>
            </w:r>
          </w:p>
        </w:tc>
        <w:tc>
          <w:tcPr>
            <w:tcW w:w="2040" w:type="dxa"/>
            <w:vAlign w:val="bottom"/>
            <w:gridSpan w:val="3"/>
          </w:tcPr>
          <w:p>
            <w:pPr>
              <w:ind w:left="120"/>
              <w:spacing w:after="0"/>
              <w:rPr>
                <w:sz w:val="20"/>
                <w:szCs w:val="20"/>
                <w:color w:val="auto"/>
              </w:rPr>
            </w:pPr>
            <w:r>
              <w:rPr>
                <w:rFonts w:ascii="Arial" w:cs="Arial" w:eastAsia="Arial" w:hAnsi="Arial"/>
                <w:sz w:val="18"/>
                <w:szCs w:val="18"/>
                <w:i w:val="1"/>
                <w:iCs w:val="1"/>
                <w:color w:val="auto"/>
              </w:rPr>
              <w:t>GasLog Singapore</w:t>
            </w:r>
          </w:p>
        </w:tc>
        <w:tc>
          <w:tcPr>
            <w:tcW w:w="1140" w:type="dxa"/>
            <w:vAlign w:val="bottom"/>
          </w:tcPr>
          <w:p>
            <w:pPr>
              <w:spacing w:after="0"/>
              <w:rPr>
                <w:sz w:val="20"/>
                <w:szCs w:val="20"/>
                <w:color w:val="auto"/>
              </w:rPr>
            </w:pPr>
            <w:r>
              <w:rPr>
                <w:rFonts w:ascii="Arial" w:cs="Arial" w:eastAsia="Arial" w:hAnsi="Arial"/>
                <w:sz w:val="18"/>
                <w:szCs w:val="18"/>
                <w:color w:val="auto"/>
              </w:rPr>
              <w:t>July 2010</w:t>
            </w:r>
          </w:p>
        </w:tc>
      </w:tr>
      <w:tr>
        <w:trPr>
          <w:trHeight w:val="216"/>
        </w:trPr>
        <w:tc>
          <w:tcPr>
            <w:tcW w:w="2300" w:type="dxa"/>
            <w:vAlign w:val="bottom"/>
            <w:shd w:val="clear" w:color="auto" w:fill="E5FFFF"/>
          </w:tcPr>
          <w:p>
            <w:pPr>
              <w:spacing w:after="0"/>
              <w:rPr>
                <w:sz w:val="20"/>
                <w:szCs w:val="20"/>
                <w:color w:val="auto"/>
              </w:rPr>
            </w:pPr>
            <w:r>
              <w:rPr>
                <w:rFonts w:ascii="Arial" w:cs="Arial" w:eastAsia="Arial" w:hAnsi="Arial"/>
                <w:sz w:val="18"/>
                <w:szCs w:val="18"/>
                <w:color w:val="auto"/>
              </w:rPr>
              <w:t>GAS-six Ltd.</w:t>
            </w:r>
          </w:p>
        </w:tc>
        <w:tc>
          <w:tcPr>
            <w:tcW w:w="1380" w:type="dxa"/>
            <w:vAlign w:val="bottom"/>
            <w:gridSpan w:val="2"/>
            <w:shd w:val="clear" w:color="auto" w:fill="E5FFFF"/>
          </w:tcPr>
          <w:p>
            <w:pPr>
              <w:ind w:left="120"/>
              <w:spacing w:after="0"/>
              <w:rPr>
                <w:sz w:val="20"/>
                <w:szCs w:val="20"/>
                <w:color w:val="auto"/>
              </w:rPr>
            </w:pPr>
            <w:r>
              <w:rPr>
                <w:rFonts w:ascii="Arial" w:cs="Arial" w:eastAsia="Arial" w:hAnsi="Arial"/>
                <w:sz w:val="18"/>
                <w:szCs w:val="18"/>
                <w:color w:val="auto"/>
              </w:rPr>
              <w:t>Bermuda</w:t>
            </w:r>
          </w:p>
        </w:tc>
        <w:tc>
          <w:tcPr>
            <w:tcW w:w="150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February 2011</w:t>
            </w:r>
          </w:p>
        </w:tc>
        <w:tc>
          <w:tcPr>
            <w:tcW w:w="1940" w:type="dxa"/>
            <w:vAlign w:val="bottom"/>
            <w:shd w:val="clear" w:color="auto" w:fill="E5FFFF"/>
          </w:tcPr>
          <w:p>
            <w:pPr>
              <w:spacing w:after="0"/>
              <w:rPr>
                <w:sz w:val="20"/>
                <w:szCs w:val="20"/>
                <w:color w:val="auto"/>
              </w:rPr>
            </w:pPr>
            <w:r>
              <w:rPr>
                <w:rFonts w:ascii="Arial" w:cs="Arial" w:eastAsia="Arial" w:hAnsi="Arial"/>
                <w:sz w:val="18"/>
                <w:szCs w:val="18"/>
                <w:color w:val="auto"/>
                <w:w w:val="98"/>
              </w:rPr>
              <w:t>Vessel-owning company</w:t>
            </w:r>
          </w:p>
        </w:tc>
        <w:tc>
          <w:tcPr>
            <w:tcW w:w="112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155,000</w:t>
            </w:r>
          </w:p>
        </w:tc>
        <w:tc>
          <w:tcPr>
            <w:tcW w:w="2040" w:type="dxa"/>
            <w:vAlign w:val="bottom"/>
            <w:gridSpan w:val="3"/>
            <w:shd w:val="clear" w:color="auto" w:fill="E5FFFF"/>
          </w:tcPr>
          <w:p>
            <w:pPr>
              <w:ind w:left="120"/>
              <w:spacing w:after="0"/>
              <w:rPr>
                <w:sz w:val="20"/>
                <w:szCs w:val="20"/>
                <w:color w:val="auto"/>
              </w:rPr>
            </w:pPr>
            <w:r>
              <w:rPr>
                <w:rFonts w:ascii="Arial" w:cs="Arial" w:eastAsia="Arial" w:hAnsi="Arial"/>
                <w:sz w:val="18"/>
                <w:szCs w:val="18"/>
                <w:i w:val="1"/>
                <w:iCs w:val="1"/>
                <w:color w:val="auto"/>
              </w:rPr>
              <w:t>GasLog Skagen</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July 2013</w:t>
            </w: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rPr>
              <w:t>GAS-seven Ltd.</w:t>
            </w:r>
          </w:p>
        </w:tc>
        <w:tc>
          <w:tcPr>
            <w:tcW w:w="138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Bermuda</w:t>
            </w:r>
          </w:p>
        </w:tc>
        <w:tc>
          <w:tcPr>
            <w:tcW w:w="150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March 2011</w:t>
            </w:r>
          </w:p>
        </w:tc>
        <w:tc>
          <w:tcPr>
            <w:tcW w:w="1940" w:type="dxa"/>
            <w:vAlign w:val="bottom"/>
          </w:tcPr>
          <w:p>
            <w:pPr>
              <w:spacing w:after="0" w:line="201" w:lineRule="exact"/>
              <w:rPr>
                <w:sz w:val="20"/>
                <w:szCs w:val="20"/>
                <w:color w:val="auto"/>
              </w:rPr>
            </w:pPr>
            <w:r>
              <w:rPr>
                <w:rFonts w:ascii="Arial" w:cs="Arial" w:eastAsia="Arial" w:hAnsi="Arial"/>
                <w:sz w:val="18"/>
                <w:szCs w:val="18"/>
                <w:color w:val="auto"/>
                <w:w w:val="98"/>
              </w:rPr>
              <w:t>Vessel-owning company</w:t>
            </w:r>
          </w:p>
        </w:tc>
        <w:tc>
          <w:tcPr>
            <w:tcW w:w="11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155,000</w:t>
            </w:r>
          </w:p>
        </w:tc>
        <w:tc>
          <w:tcPr>
            <w:tcW w:w="2040" w:type="dxa"/>
            <w:vAlign w:val="bottom"/>
            <w:gridSpan w:val="3"/>
          </w:tcPr>
          <w:p>
            <w:pPr>
              <w:ind w:left="120"/>
              <w:spacing w:after="0" w:line="201" w:lineRule="exact"/>
              <w:rPr>
                <w:sz w:val="20"/>
                <w:szCs w:val="20"/>
                <w:color w:val="auto"/>
              </w:rPr>
            </w:pPr>
            <w:r>
              <w:rPr>
                <w:rFonts w:ascii="Arial" w:cs="Arial" w:eastAsia="Arial" w:hAnsi="Arial"/>
                <w:sz w:val="18"/>
                <w:szCs w:val="18"/>
                <w:i w:val="1"/>
                <w:iCs w:val="1"/>
                <w:color w:val="auto"/>
              </w:rPr>
              <w:t>GasLog Seattle</w:t>
            </w: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December</w:t>
            </w: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2013</w:t>
            </w:r>
          </w:p>
        </w:tc>
      </w:tr>
      <w:tr>
        <w:trPr>
          <w:trHeight w:val="216"/>
        </w:trPr>
        <w:tc>
          <w:tcPr>
            <w:tcW w:w="2300" w:type="dxa"/>
            <w:vAlign w:val="bottom"/>
            <w:shd w:val="clear" w:color="auto" w:fill="E5FFFF"/>
          </w:tcPr>
          <w:p>
            <w:pPr>
              <w:spacing w:after="0"/>
              <w:rPr>
                <w:sz w:val="20"/>
                <w:szCs w:val="20"/>
                <w:color w:val="auto"/>
              </w:rPr>
            </w:pPr>
            <w:r>
              <w:rPr>
                <w:rFonts w:ascii="Arial" w:cs="Arial" w:eastAsia="Arial" w:hAnsi="Arial"/>
                <w:sz w:val="18"/>
                <w:szCs w:val="18"/>
                <w:color w:val="auto"/>
              </w:rPr>
              <w:t>GAS-eight Ltd.</w:t>
            </w:r>
          </w:p>
        </w:tc>
        <w:tc>
          <w:tcPr>
            <w:tcW w:w="1380" w:type="dxa"/>
            <w:vAlign w:val="bottom"/>
            <w:gridSpan w:val="2"/>
            <w:shd w:val="clear" w:color="auto" w:fill="E5FFFF"/>
          </w:tcPr>
          <w:p>
            <w:pPr>
              <w:ind w:left="120"/>
              <w:spacing w:after="0"/>
              <w:rPr>
                <w:sz w:val="20"/>
                <w:szCs w:val="20"/>
                <w:color w:val="auto"/>
              </w:rPr>
            </w:pPr>
            <w:r>
              <w:rPr>
                <w:rFonts w:ascii="Arial" w:cs="Arial" w:eastAsia="Arial" w:hAnsi="Arial"/>
                <w:sz w:val="18"/>
                <w:szCs w:val="18"/>
                <w:color w:val="auto"/>
              </w:rPr>
              <w:t>Bermuda</w:t>
            </w:r>
          </w:p>
        </w:tc>
        <w:tc>
          <w:tcPr>
            <w:tcW w:w="150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March 2011</w:t>
            </w:r>
          </w:p>
        </w:tc>
        <w:tc>
          <w:tcPr>
            <w:tcW w:w="1940" w:type="dxa"/>
            <w:vAlign w:val="bottom"/>
            <w:shd w:val="clear" w:color="auto" w:fill="E5FFFF"/>
          </w:tcPr>
          <w:p>
            <w:pPr>
              <w:spacing w:after="0"/>
              <w:rPr>
                <w:sz w:val="20"/>
                <w:szCs w:val="20"/>
                <w:color w:val="auto"/>
              </w:rPr>
            </w:pPr>
            <w:r>
              <w:rPr>
                <w:rFonts w:ascii="Arial" w:cs="Arial" w:eastAsia="Arial" w:hAnsi="Arial"/>
                <w:sz w:val="18"/>
                <w:szCs w:val="18"/>
                <w:color w:val="auto"/>
                <w:w w:val="98"/>
              </w:rPr>
              <w:t>Vessel-owning company</w:t>
            </w:r>
          </w:p>
        </w:tc>
        <w:tc>
          <w:tcPr>
            <w:tcW w:w="112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155,000</w:t>
            </w:r>
          </w:p>
        </w:tc>
        <w:tc>
          <w:tcPr>
            <w:tcW w:w="2040" w:type="dxa"/>
            <w:vAlign w:val="bottom"/>
            <w:gridSpan w:val="3"/>
            <w:shd w:val="clear" w:color="auto" w:fill="E5FFFF"/>
          </w:tcPr>
          <w:p>
            <w:pPr>
              <w:ind w:left="120"/>
              <w:spacing w:after="0"/>
              <w:rPr>
                <w:sz w:val="20"/>
                <w:szCs w:val="20"/>
                <w:color w:val="auto"/>
              </w:rPr>
            </w:pPr>
            <w:r>
              <w:rPr>
                <w:rFonts w:ascii="Arial" w:cs="Arial" w:eastAsia="Arial" w:hAnsi="Arial"/>
                <w:sz w:val="18"/>
                <w:szCs w:val="18"/>
                <w:i w:val="1"/>
                <w:iCs w:val="1"/>
                <w:color w:val="auto"/>
              </w:rPr>
              <w:t>Solaris</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June 2014</w:t>
            </w: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rPr>
              <w:t>GAS-nine Ltd.</w:t>
            </w:r>
          </w:p>
        </w:tc>
        <w:tc>
          <w:tcPr>
            <w:tcW w:w="138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Bermuda</w:t>
            </w:r>
          </w:p>
        </w:tc>
        <w:tc>
          <w:tcPr>
            <w:tcW w:w="150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June 2011</w:t>
            </w:r>
          </w:p>
        </w:tc>
        <w:tc>
          <w:tcPr>
            <w:tcW w:w="1940" w:type="dxa"/>
            <w:vAlign w:val="bottom"/>
          </w:tcPr>
          <w:p>
            <w:pPr>
              <w:spacing w:after="0" w:line="201" w:lineRule="exact"/>
              <w:rPr>
                <w:sz w:val="20"/>
                <w:szCs w:val="20"/>
                <w:color w:val="auto"/>
              </w:rPr>
            </w:pPr>
            <w:r>
              <w:rPr>
                <w:rFonts w:ascii="Arial" w:cs="Arial" w:eastAsia="Arial" w:hAnsi="Arial"/>
                <w:sz w:val="18"/>
                <w:szCs w:val="18"/>
                <w:color w:val="auto"/>
                <w:w w:val="98"/>
              </w:rPr>
              <w:t>Vessel-owning company</w:t>
            </w:r>
          </w:p>
        </w:tc>
        <w:tc>
          <w:tcPr>
            <w:tcW w:w="11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155,000</w:t>
            </w:r>
          </w:p>
        </w:tc>
        <w:tc>
          <w:tcPr>
            <w:tcW w:w="2040" w:type="dxa"/>
            <w:vAlign w:val="bottom"/>
            <w:gridSpan w:val="3"/>
          </w:tcPr>
          <w:p>
            <w:pPr>
              <w:ind w:left="120"/>
              <w:spacing w:after="0" w:line="201" w:lineRule="exact"/>
              <w:rPr>
                <w:sz w:val="20"/>
                <w:szCs w:val="20"/>
                <w:color w:val="auto"/>
              </w:rPr>
            </w:pPr>
            <w:r>
              <w:rPr>
                <w:rFonts w:ascii="Arial" w:cs="Arial" w:eastAsia="Arial" w:hAnsi="Arial"/>
                <w:sz w:val="18"/>
                <w:szCs w:val="18"/>
                <w:i w:val="1"/>
                <w:iCs w:val="1"/>
                <w:color w:val="auto"/>
              </w:rPr>
              <w:t>GasLog Saratoga</w:t>
            </w: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December</w:t>
            </w: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2014</w:t>
            </w:r>
          </w:p>
        </w:tc>
      </w:tr>
      <w:tr>
        <w:trPr>
          <w:trHeight w:val="216"/>
        </w:trPr>
        <w:tc>
          <w:tcPr>
            <w:tcW w:w="2300" w:type="dxa"/>
            <w:vAlign w:val="bottom"/>
            <w:shd w:val="clear" w:color="auto" w:fill="E5FFFF"/>
          </w:tcPr>
          <w:p>
            <w:pPr>
              <w:spacing w:after="0"/>
              <w:rPr>
                <w:sz w:val="20"/>
                <w:szCs w:val="20"/>
                <w:color w:val="auto"/>
              </w:rPr>
            </w:pPr>
            <w:r>
              <w:rPr>
                <w:rFonts w:ascii="Arial" w:cs="Arial" w:eastAsia="Arial" w:hAnsi="Arial"/>
                <w:sz w:val="18"/>
                <w:szCs w:val="18"/>
                <w:color w:val="auto"/>
              </w:rPr>
              <w:t>GAS-ten Ltd.</w:t>
            </w:r>
          </w:p>
        </w:tc>
        <w:tc>
          <w:tcPr>
            <w:tcW w:w="1380" w:type="dxa"/>
            <w:vAlign w:val="bottom"/>
            <w:gridSpan w:val="2"/>
            <w:shd w:val="clear" w:color="auto" w:fill="E5FFFF"/>
          </w:tcPr>
          <w:p>
            <w:pPr>
              <w:ind w:left="120"/>
              <w:spacing w:after="0"/>
              <w:rPr>
                <w:sz w:val="20"/>
                <w:szCs w:val="20"/>
                <w:color w:val="auto"/>
              </w:rPr>
            </w:pPr>
            <w:r>
              <w:rPr>
                <w:rFonts w:ascii="Arial" w:cs="Arial" w:eastAsia="Arial" w:hAnsi="Arial"/>
                <w:sz w:val="18"/>
                <w:szCs w:val="18"/>
                <w:color w:val="auto"/>
              </w:rPr>
              <w:t>Bermuda</w:t>
            </w:r>
          </w:p>
        </w:tc>
        <w:tc>
          <w:tcPr>
            <w:tcW w:w="150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June 2011</w:t>
            </w:r>
          </w:p>
        </w:tc>
        <w:tc>
          <w:tcPr>
            <w:tcW w:w="1940" w:type="dxa"/>
            <w:vAlign w:val="bottom"/>
            <w:shd w:val="clear" w:color="auto" w:fill="E5FFFF"/>
          </w:tcPr>
          <w:p>
            <w:pPr>
              <w:spacing w:after="0"/>
              <w:rPr>
                <w:sz w:val="20"/>
                <w:szCs w:val="20"/>
                <w:color w:val="auto"/>
              </w:rPr>
            </w:pPr>
            <w:r>
              <w:rPr>
                <w:rFonts w:ascii="Arial" w:cs="Arial" w:eastAsia="Arial" w:hAnsi="Arial"/>
                <w:sz w:val="18"/>
                <w:szCs w:val="18"/>
                <w:color w:val="auto"/>
                <w:w w:val="98"/>
              </w:rPr>
              <w:t>Vessel-owning company</w:t>
            </w:r>
          </w:p>
        </w:tc>
        <w:tc>
          <w:tcPr>
            <w:tcW w:w="112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155,000</w:t>
            </w:r>
          </w:p>
        </w:tc>
        <w:tc>
          <w:tcPr>
            <w:tcW w:w="120" w:type="dxa"/>
            <w:vAlign w:val="bottom"/>
            <w:shd w:val="clear" w:color="auto" w:fill="E5FFFF"/>
          </w:tcPr>
          <w:p>
            <w:pPr>
              <w:spacing w:after="0"/>
              <w:rPr>
                <w:sz w:val="18"/>
                <w:szCs w:val="18"/>
                <w:color w:val="auto"/>
              </w:rPr>
            </w:pPr>
          </w:p>
        </w:tc>
        <w:tc>
          <w:tcPr>
            <w:tcW w:w="1920" w:type="dxa"/>
            <w:vAlign w:val="bottom"/>
            <w:gridSpan w:val="2"/>
            <w:shd w:val="clear" w:color="auto" w:fill="E5FFFF"/>
          </w:tcPr>
          <w:p>
            <w:pPr>
              <w:spacing w:after="0"/>
              <w:rPr>
                <w:sz w:val="20"/>
                <w:szCs w:val="20"/>
                <w:color w:val="auto"/>
              </w:rPr>
            </w:pPr>
            <w:r>
              <w:rPr>
                <w:rFonts w:ascii="Arial" w:cs="Arial" w:eastAsia="Arial" w:hAnsi="Arial"/>
                <w:sz w:val="18"/>
                <w:szCs w:val="18"/>
                <w:i w:val="1"/>
                <w:iCs w:val="1"/>
                <w:color w:val="auto"/>
              </w:rPr>
              <w:t>GasLog Salem</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April 2015</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GAS-eleven Ltd.</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Bermuda</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December 2012</w:t>
            </w:r>
          </w:p>
        </w:tc>
        <w:tc>
          <w:tcPr>
            <w:tcW w:w="1940" w:type="dxa"/>
            <w:vAlign w:val="bottom"/>
          </w:tcPr>
          <w:p>
            <w:pPr>
              <w:spacing w:after="0"/>
              <w:rPr>
                <w:sz w:val="20"/>
                <w:szCs w:val="20"/>
                <w:color w:val="auto"/>
              </w:rPr>
            </w:pPr>
            <w:r>
              <w:rPr>
                <w:rFonts w:ascii="Arial" w:cs="Arial" w:eastAsia="Arial" w:hAnsi="Arial"/>
                <w:sz w:val="18"/>
                <w:szCs w:val="18"/>
                <w:color w:val="auto"/>
                <w:w w:val="98"/>
              </w:rPr>
              <w:t>Vessel-owning company</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174,000</w:t>
            </w:r>
          </w:p>
        </w:tc>
        <w:tc>
          <w:tcPr>
            <w:tcW w:w="1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i w:val="1"/>
                <w:iCs w:val="1"/>
                <w:color w:val="auto"/>
              </w:rPr>
              <w:t>GasLog Greece</w:t>
            </w:r>
          </w:p>
        </w:tc>
        <w:tc>
          <w:tcPr>
            <w:tcW w:w="1140" w:type="dxa"/>
            <w:vAlign w:val="bottom"/>
          </w:tcPr>
          <w:p>
            <w:pPr>
              <w:spacing w:after="0"/>
              <w:rPr>
                <w:sz w:val="20"/>
                <w:szCs w:val="20"/>
                <w:color w:val="auto"/>
              </w:rPr>
            </w:pPr>
            <w:r>
              <w:rPr>
                <w:rFonts w:ascii="Arial" w:cs="Arial" w:eastAsia="Arial" w:hAnsi="Arial"/>
                <w:sz w:val="18"/>
                <w:szCs w:val="18"/>
                <w:color w:val="auto"/>
              </w:rPr>
              <w:t>March 2016</w:t>
            </w:r>
          </w:p>
        </w:tc>
      </w:tr>
      <w:tr>
        <w:trPr>
          <w:trHeight w:val="216"/>
        </w:trPr>
        <w:tc>
          <w:tcPr>
            <w:tcW w:w="2300" w:type="dxa"/>
            <w:vAlign w:val="bottom"/>
            <w:shd w:val="clear" w:color="auto" w:fill="E5FFFF"/>
          </w:tcPr>
          <w:p>
            <w:pPr>
              <w:spacing w:after="0"/>
              <w:rPr>
                <w:sz w:val="20"/>
                <w:szCs w:val="20"/>
                <w:color w:val="auto"/>
              </w:rPr>
            </w:pPr>
            <w:r>
              <w:rPr>
                <w:rFonts w:ascii="Arial" w:cs="Arial" w:eastAsia="Arial" w:hAnsi="Arial"/>
                <w:sz w:val="18"/>
                <w:szCs w:val="18"/>
                <w:color w:val="auto"/>
              </w:rPr>
              <w:t>GAS-twelve Ltd.</w:t>
            </w:r>
          </w:p>
        </w:tc>
        <w:tc>
          <w:tcPr>
            <w:tcW w:w="1380" w:type="dxa"/>
            <w:vAlign w:val="bottom"/>
            <w:gridSpan w:val="2"/>
            <w:shd w:val="clear" w:color="auto" w:fill="E5FFFF"/>
          </w:tcPr>
          <w:p>
            <w:pPr>
              <w:ind w:left="120"/>
              <w:spacing w:after="0"/>
              <w:rPr>
                <w:sz w:val="20"/>
                <w:szCs w:val="20"/>
                <w:color w:val="auto"/>
              </w:rPr>
            </w:pPr>
            <w:r>
              <w:rPr>
                <w:rFonts w:ascii="Arial" w:cs="Arial" w:eastAsia="Arial" w:hAnsi="Arial"/>
                <w:sz w:val="18"/>
                <w:szCs w:val="18"/>
                <w:color w:val="auto"/>
              </w:rPr>
              <w:t>Bermuda</w:t>
            </w:r>
          </w:p>
        </w:tc>
        <w:tc>
          <w:tcPr>
            <w:tcW w:w="150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December 2012</w:t>
            </w:r>
          </w:p>
        </w:tc>
        <w:tc>
          <w:tcPr>
            <w:tcW w:w="1940" w:type="dxa"/>
            <w:vAlign w:val="bottom"/>
            <w:shd w:val="clear" w:color="auto" w:fill="E5FFFF"/>
          </w:tcPr>
          <w:p>
            <w:pPr>
              <w:spacing w:after="0"/>
              <w:rPr>
                <w:sz w:val="20"/>
                <w:szCs w:val="20"/>
                <w:color w:val="auto"/>
              </w:rPr>
            </w:pPr>
            <w:r>
              <w:rPr>
                <w:rFonts w:ascii="Arial" w:cs="Arial" w:eastAsia="Arial" w:hAnsi="Arial"/>
                <w:sz w:val="18"/>
                <w:szCs w:val="18"/>
                <w:color w:val="auto"/>
                <w:w w:val="98"/>
              </w:rPr>
              <w:t>Vessel-owning company</w:t>
            </w:r>
          </w:p>
        </w:tc>
        <w:tc>
          <w:tcPr>
            <w:tcW w:w="112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174,000</w:t>
            </w:r>
          </w:p>
        </w:tc>
        <w:tc>
          <w:tcPr>
            <w:tcW w:w="120" w:type="dxa"/>
            <w:vAlign w:val="bottom"/>
            <w:shd w:val="clear" w:color="auto" w:fill="E5FFFF"/>
          </w:tcPr>
          <w:p>
            <w:pPr>
              <w:spacing w:after="0"/>
              <w:rPr>
                <w:sz w:val="18"/>
                <w:szCs w:val="18"/>
                <w:color w:val="auto"/>
              </w:rPr>
            </w:pPr>
          </w:p>
        </w:tc>
        <w:tc>
          <w:tcPr>
            <w:tcW w:w="1920" w:type="dxa"/>
            <w:vAlign w:val="bottom"/>
            <w:gridSpan w:val="2"/>
            <w:shd w:val="clear" w:color="auto" w:fill="E5FFFF"/>
          </w:tcPr>
          <w:p>
            <w:pPr>
              <w:spacing w:after="0"/>
              <w:rPr>
                <w:sz w:val="20"/>
                <w:szCs w:val="20"/>
                <w:color w:val="auto"/>
              </w:rPr>
            </w:pPr>
            <w:r>
              <w:rPr>
                <w:rFonts w:ascii="Arial" w:cs="Arial" w:eastAsia="Arial" w:hAnsi="Arial"/>
                <w:sz w:val="18"/>
                <w:szCs w:val="18"/>
                <w:i w:val="1"/>
                <w:iCs w:val="1"/>
                <w:color w:val="auto"/>
              </w:rPr>
              <w:t>GasLog Glasgow</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June 2016</w:t>
            </w:r>
          </w:p>
        </w:tc>
      </w:tr>
      <w:tr>
        <w:trPr>
          <w:trHeight w:val="257"/>
        </w:trPr>
        <w:tc>
          <w:tcPr>
            <w:tcW w:w="2300" w:type="dxa"/>
            <w:vAlign w:val="bottom"/>
          </w:tcPr>
          <w:p>
            <w:pPr>
              <w:spacing w:after="0"/>
              <w:rPr>
                <w:sz w:val="20"/>
                <w:szCs w:val="20"/>
                <w:color w:val="auto"/>
              </w:rPr>
            </w:pPr>
            <w:r>
              <w:rPr>
                <w:rFonts w:ascii="Arial" w:cs="Arial" w:eastAsia="Arial" w:hAnsi="Arial"/>
                <w:sz w:val="18"/>
                <w:szCs w:val="18"/>
                <w:color w:val="auto"/>
              </w:rPr>
              <w:t>GAS-thirteen Ltd.</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Bermuda</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July 2013</w:t>
            </w:r>
          </w:p>
        </w:tc>
        <w:tc>
          <w:tcPr>
            <w:tcW w:w="1940" w:type="dxa"/>
            <w:vAlign w:val="bottom"/>
          </w:tcPr>
          <w:p>
            <w:pPr>
              <w:spacing w:after="0"/>
              <w:rPr>
                <w:sz w:val="20"/>
                <w:szCs w:val="20"/>
                <w:color w:val="auto"/>
              </w:rPr>
            </w:pPr>
            <w:r>
              <w:rPr>
                <w:rFonts w:ascii="Arial" w:cs="Arial" w:eastAsia="Arial" w:hAnsi="Arial"/>
                <w:sz w:val="18"/>
                <w:szCs w:val="18"/>
                <w:color w:val="auto"/>
                <w:w w:val="98"/>
              </w:rPr>
              <w:t>Vessel-owning company</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174,000</w:t>
            </w:r>
          </w:p>
        </w:tc>
        <w:tc>
          <w:tcPr>
            <w:tcW w:w="120" w:type="dxa"/>
            <w:vAlign w:val="bottom"/>
          </w:tcPr>
          <w:p>
            <w:pPr>
              <w:spacing w:after="0"/>
              <w:rPr>
                <w:sz w:val="22"/>
                <w:szCs w:val="22"/>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Hull No. 2102</w:t>
            </w:r>
          </w:p>
        </w:tc>
        <w:tc>
          <w:tcPr>
            <w:tcW w:w="1140" w:type="dxa"/>
            <w:vAlign w:val="bottom"/>
          </w:tcPr>
          <w:p>
            <w:pPr>
              <w:spacing w:after="0" w:line="256" w:lineRule="exact"/>
              <w:rPr>
                <w:sz w:val="20"/>
                <w:szCs w:val="20"/>
                <w:color w:val="auto"/>
              </w:rPr>
            </w:pPr>
            <w:r>
              <w:rPr>
                <w:rFonts w:ascii="Arial" w:cs="Arial" w:eastAsia="Arial" w:hAnsi="Arial"/>
                <w:sz w:val="18"/>
                <w:szCs w:val="18"/>
                <w:color w:val="auto"/>
              </w:rPr>
              <w:t>Q3 2016</w:t>
            </w:r>
            <w:r>
              <w:rPr>
                <w:rFonts w:ascii="Arial" w:cs="Arial" w:eastAsia="Arial" w:hAnsi="Arial"/>
                <w:sz w:val="29"/>
                <w:szCs w:val="29"/>
                <w:color w:val="auto"/>
                <w:vertAlign w:val="superscript"/>
              </w:rPr>
              <w:t>(1)</w:t>
            </w:r>
          </w:p>
        </w:tc>
      </w:tr>
      <w:tr>
        <w:trPr>
          <w:trHeight w:val="257"/>
        </w:trPr>
        <w:tc>
          <w:tcPr>
            <w:tcW w:w="2300" w:type="dxa"/>
            <w:vAlign w:val="bottom"/>
            <w:shd w:val="clear" w:color="auto" w:fill="E5FFFF"/>
          </w:tcPr>
          <w:p>
            <w:pPr>
              <w:spacing w:after="0"/>
              <w:rPr>
                <w:sz w:val="20"/>
                <w:szCs w:val="20"/>
                <w:color w:val="auto"/>
              </w:rPr>
            </w:pPr>
            <w:r>
              <w:rPr>
                <w:rFonts w:ascii="Arial" w:cs="Arial" w:eastAsia="Arial" w:hAnsi="Arial"/>
                <w:sz w:val="18"/>
                <w:szCs w:val="18"/>
                <w:color w:val="auto"/>
              </w:rPr>
              <w:t>GAS-fourteen Ltd.</w:t>
            </w:r>
          </w:p>
        </w:tc>
        <w:tc>
          <w:tcPr>
            <w:tcW w:w="1380" w:type="dxa"/>
            <w:vAlign w:val="bottom"/>
            <w:gridSpan w:val="2"/>
            <w:shd w:val="clear" w:color="auto" w:fill="E5FFFF"/>
          </w:tcPr>
          <w:p>
            <w:pPr>
              <w:ind w:left="120"/>
              <w:spacing w:after="0"/>
              <w:rPr>
                <w:sz w:val="20"/>
                <w:szCs w:val="20"/>
                <w:color w:val="auto"/>
              </w:rPr>
            </w:pPr>
            <w:r>
              <w:rPr>
                <w:rFonts w:ascii="Arial" w:cs="Arial" w:eastAsia="Arial" w:hAnsi="Arial"/>
                <w:sz w:val="18"/>
                <w:szCs w:val="18"/>
                <w:color w:val="auto"/>
              </w:rPr>
              <w:t>Bermuda</w:t>
            </w:r>
          </w:p>
        </w:tc>
        <w:tc>
          <w:tcPr>
            <w:tcW w:w="150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July 2013</w:t>
            </w:r>
          </w:p>
        </w:tc>
        <w:tc>
          <w:tcPr>
            <w:tcW w:w="1940" w:type="dxa"/>
            <w:vAlign w:val="bottom"/>
            <w:shd w:val="clear" w:color="auto" w:fill="E5FFFF"/>
          </w:tcPr>
          <w:p>
            <w:pPr>
              <w:spacing w:after="0"/>
              <w:rPr>
                <w:sz w:val="20"/>
                <w:szCs w:val="20"/>
                <w:color w:val="auto"/>
              </w:rPr>
            </w:pPr>
            <w:r>
              <w:rPr>
                <w:rFonts w:ascii="Arial" w:cs="Arial" w:eastAsia="Arial" w:hAnsi="Arial"/>
                <w:sz w:val="18"/>
                <w:szCs w:val="18"/>
                <w:color w:val="auto"/>
                <w:w w:val="98"/>
              </w:rPr>
              <w:t>Vessel-owning company</w:t>
            </w:r>
          </w:p>
        </w:tc>
        <w:tc>
          <w:tcPr>
            <w:tcW w:w="112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174,000</w:t>
            </w:r>
          </w:p>
        </w:tc>
        <w:tc>
          <w:tcPr>
            <w:tcW w:w="120" w:type="dxa"/>
            <w:vAlign w:val="bottom"/>
            <w:shd w:val="clear" w:color="auto" w:fill="E5FFFF"/>
          </w:tcPr>
          <w:p>
            <w:pPr>
              <w:spacing w:after="0"/>
              <w:rPr>
                <w:sz w:val="22"/>
                <w:szCs w:val="22"/>
                <w:color w:val="auto"/>
              </w:rPr>
            </w:pPr>
          </w:p>
        </w:tc>
        <w:tc>
          <w:tcPr>
            <w:tcW w:w="19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Hull No. 2103</w:t>
            </w:r>
          </w:p>
        </w:tc>
        <w:tc>
          <w:tcPr>
            <w:tcW w:w="1140" w:type="dxa"/>
            <w:vAlign w:val="bottom"/>
            <w:shd w:val="clear" w:color="auto" w:fill="E5FFFF"/>
          </w:tcPr>
          <w:p>
            <w:pPr>
              <w:spacing w:after="0" w:line="256" w:lineRule="exact"/>
              <w:rPr>
                <w:sz w:val="20"/>
                <w:szCs w:val="20"/>
                <w:color w:val="auto"/>
              </w:rPr>
            </w:pPr>
            <w:r>
              <w:rPr>
                <w:rFonts w:ascii="Arial" w:cs="Arial" w:eastAsia="Arial" w:hAnsi="Arial"/>
                <w:sz w:val="18"/>
                <w:szCs w:val="18"/>
                <w:color w:val="auto"/>
              </w:rPr>
              <w:t>Q4 2016</w:t>
            </w:r>
            <w:r>
              <w:rPr>
                <w:rFonts w:ascii="Arial" w:cs="Arial" w:eastAsia="Arial" w:hAnsi="Arial"/>
                <w:sz w:val="29"/>
                <w:szCs w:val="29"/>
                <w:color w:val="auto"/>
                <w:vertAlign w:val="superscript"/>
              </w:rPr>
              <w:t>(1)</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GAS-fifteen Ltd.</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Bermuda</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August 2013</w:t>
            </w:r>
          </w:p>
        </w:tc>
        <w:tc>
          <w:tcPr>
            <w:tcW w:w="1940" w:type="dxa"/>
            <w:vAlign w:val="bottom"/>
          </w:tcPr>
          <w:p>
            <w:pPr>
              <w:spacing w:after="0"/>
              <w:rPr>
                <w:sz w:val="20"/>
                <w:szCs w:val="20"/>
                <w:color w:val="auto"/>
              </w:rPr>
            </w:pPr>
            <w:r>
              <w:rPr>
                <w:rFonts w:ascii="Arial" w:cs="Arial" w:eastAsia="Arial" w:hAnsi="Arial"/>
                <w:sz w:val="18"/>
                <w:szCs w:val="18"/>
                <w:color w:val="auto"/>
                <w:w w:val="98"/>
              </w:rPr>
              <w:t>Vessel-owning company</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153,600</w:t>
            </w:r>
          </w:p>
        </w:tc>
        <w:tc>
          <w:tcPr>
            <w:tcW w:w="2040" w:type="dxa"/>
            <w:vAlign w:val="bottom"/>
            <w:gridSpan w:val="3"/>
          </w:tcPr>
          <w:p>
            <w:pPr>
              <w:ind w:left="120"/>
              <w:spacing w:after="0"/>
              <w:rPr>
                <w:sz w:val="20"/>
                <w:szCs w:val="20"/>
                <w:color w:val="auto"/>
              </w:rPr>
            </w:pPr>
            <w:r>
              <w:rPr>
                <w:rFonts w:ascii="Arial" w:cs="Arial" w:eastAsia="Arial" w:hAnsi="Arial"/>
                <w:sz w:val="18"/>
                <w:szCs w:val="18"/>
                <w:i w:val="1"/>
                <w:iCs w:val="1"/>
                <w:color w:val="auto"/>
              </w:rPr>
              <w:t>GasLog Chelsea</w:t>
            </w:r>
          </w:p>
        </w:tc>
        <w:tc>
          <w:tcPr>
            <w:tcW w:w="1140" w:type="dxa"/>
            <w:vAlign w:val="bottom"/>
          </w:tcPr>
          <w:p>
            <w:pPr>
              <w:spacing w:after="0"/>
              <w:rPr>
                <w:sz w:val="20"/>
                <w:szCs w:val="20"/>
                <w:color w:val="auto"/>
              </w:rPr>
            </w:pPr>
            <w:r>
              <w:rPr>
                <w:rFonts w:ascii="Arial" w:cs="Arial" w:eastAsia="Arial" w:hAnsi="Arial"/>
                <w:sz w:val="18"/>
                <w:szCs w:val="18"/>
                <w:color w:val="auto"/>
              </w:rPr>
              <w:t>October 2013</w:t>
            </w:r>
          </w:p>
        </w:tc>
      </w:tr>
      <w:tr>
        <w:trPr>
          <w:trHeight w:val="216"/>
        </w:trPr>
        <w:tc>
          <w:tcPr>
            <w:tcW w:w="2300" w:type="dxa"/>
            <w:vAlign w:val="bottom"/>
            <w:shd w:val="clear" w:color="auto" w:fill="E5FFFF"/>
          </w:tcPr>
          <w:p>
            <w:pPr>
              <w:spacing w:after="0"/>
              <w:rPr>
                <w:sz w:val="20"/>
                <w:szCs w:val="20"/>
                <w:color w:val="auto"/>
              </w:rPr>
            </w:pPr>
            <w:r>
              <w:rPr>
                <w:rFonts w:ascii="Arial" w:cs="Arial" w:eastAsia="Arial" w:hAnsi="Arial"/>
                <w:sz w:val="18"/>
                <w:szCs w:val="18"/>
                <w:color w:val="auto"/>
              </w:rPr>
              <w:t>GAS-eighteen Ltd.</w:t>
            </w:r>
          </w:p>
        </w:tc>
        <w:tc>
          <w:tcPr>
            <w:tcW w:w="1380" w:type="dxa"/>
            <w:vAlign w:val="bottom"/>
            <w:gridSpan w:val="2"/>
            <w:shd w:val="clear" w:color="auto" w:fill="E5FFFF"/>
          </w:tcPr>
          <w:p>
            <w:pPr>
              <w:ind w:left="120"/>
              <w:spacing w:after="0"/>
              <w:rPr>
                <w:sz w:val="20"/>
                <w:szCs w:val="20"/>
                <w:color w:val="auto"/>
              </w:rPr>
            </w:pPr>
            <w:r>
              <w:rPr>
                <w:rFonts w:ascii="Arial" w:cs="Arial" w:eastAsia="Arial" w:hAnsi="Arial"/>
                <w:sz w:val="18"/>
                <w:szCs w:val="18"/>
                <w:color w:val="auto"/>
              </w:rPr>
              <w:t>Bermuda</w:t>
            </w:r>
          </w:p>
        </w:tc>
        <w:tc>
          <w:tcPr>
            <w:tcW w:w="150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January 2014</w:t>
            </w:r>
          </w:p>
        </w:tc>
        <w:tc>
          <w:tcPr>
            <w:tcW w:w="1940" w:type="dxa"/>
            <w:vAlign w:val="bottom"/>
            <w:shd w:val="clear" w:color="auto" w:fill="E5FFFF"/>
          </w:tcPr>
          <w:p>
            <w:pPr>
              <w:spacing w:after="0"/>
              <w:rPr>
                <w:sz w:val="20"/>
                <w:szCs w:val="20"/>
                <w:color w:val="auto"/>
              </w:rPr>
            </w:pPr>
            <w:r>
              <w:rPr>
                <w:rFonts w:ascii="Arial" w:cs="Arial" w:eastAsia="Arial" w:hAnsi="Arial"/>
                <w:sz w:val="18"/>
                <w:szCs w:val="18"/>
                <w:color w:val="auto"/>
                <w:w w:val="98"/>
              </w:rPr>
              <w:t>Vessel-owning company</w:t>
            </w:r>
          </w:p>
        </w:tc>
        <w:tc>
          <w:tcPr>
            <w:tcW w:w="112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145,000</w:t>
            </w:r>
          </w:p>
        </w:tc>
        <w:tc>
          <w:tcPr>
            <w:tcW w:w="2040" w:type="dxa"/>
            <w:vAlign w:val="bottom"/>
            <w:gridSpan w:val="3"/>
            <w:shd w:val="clear" w:color="auto" w:fill="E5FFFF"/>
          </w:tcPr>
          <w:p>
            <w:pPr>
              <w:ind w:left="120"/>
              <w:spacing w:after="0"/>
              <w:rPr>
                <w:sz w:val="20"/>
                <w:szCs w:val="20"/>
                <w:color w:val="auto"/>
              </w:rPr>
            </w:pPr>
            <w:r>
              <w:rPr>
                <w:rFonts w:ascii="Arial" w:cs="Arial" w:eastAsia="Arial" w:hAnsi="Arial"/>
                <w:sz w:val="18"/>
                <w:szCs w:val="18"/>
                <w:i w:val="1"/>
                <w:iCs w:val="1"/>
                <w:color w:val="auto"/>
              </w:rPr>
              <w:t>Methane Lydon Volney</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April 2014</w:t>
            </w:r>
          </w:p>
        </w:tc>
      </w:tr>
      <w:tr>
        <w:trPr>
          <w:trHeight w:val="257"/>
        </w:trPr>
        <w:tc>
          <w:tcPr>
            <w:tcW w:w="2300" w:type="dxa"/>
            <w:vAlign w:val="bottom"/>
          </w:tcPr>
          <w:p>
            <w:pPr>
              <w:spacing w:after="0"/>
              <w:rPr>
                <w:sz w:val="20"/>
                <w:szCs w:val="20"/>
                <w:color w:val="auto"/>
              </w:rPr>
            </w:pPr>
            <w:r>
              <w:rPr>
                <w:rFonts w:ascii="Arial" w:cs="Arial" w:eastAsia="Arial" w:hAnsi="Arial"/>
                <w:sz w:val="18"/>
                <w:szCs w:val="18"/>
                <w:color w:val="auto"/>
              </w:rPr>
              <w:t>GAS-twenty two Ltd.</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Bermuda</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May 2014</w:t>
            </w:r>
          </w:p>
        </w:tc>
        <w:tc>
          <w:tcPr>
            <w:tcW w:w="1940" w:type="dxa"/>
            <w:vAlign w:val="bottom"/>
          </w:tcPr>
          <w:p>
            <w:pPr>
              <w:spacing w:after="0"/>
              <w:rPr>
                <w:sz w:val="20"/>
                <w:szCs w:val="20"/>
                <w:color w:val="auto"/>
              </w:rPr>
            </w:pPr>
            <w:r>
              <w:rPr>
                <w:rFonts w:ascii="Arial" w:cs="Arial" w:eastAsia="Arial" w:hAnsi="Arial"/>
                <w:sz w:val="18"/>
                <w:szCs w:val="18"/>
                <w:color w:val="auto"/>
                <w:w w:val="98"/>
              </w:rPr>
              <w:t>Vessel-owning company</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174,000</w:t>
            </w:r>
          </w:p>
        </w:tc>
        <w:tc>
          <w:tcPr>
            <w:tcW w:w="2040" w:type="dxa"/>
            <w:vAlign w:val="bottom"/>
            <w:gridSpan w:val="3"/>
          </w:tcPr>
          <w:p>
            <w:pPr>
              <w:ind w:left="120"/>
              <w:spacing w:after="0"/>
              <w:rPr>
                <w:sz w:val="20"/>
                <w:szCs w:val="20"/>
                <w:color w:val="auto"/>
              </w:rPr>
            </w:pPr>
            <w:r>
              <w:rPr>
                <w:rFonts w:ascii="Arial" w:cs="Arial" w:eastAsia="Arial" w:hAnsi="Arial"/>
                <w:sz w:val="18"/>
                <w:szCs w:val="18"/>
                <w:color w:val="auto"/>
              </w:rPr>
              <w:t>Hull No. 2130</w:t>
            </w:r>
          </w:p>
        </w:tc>
        <w:tc>
          <w:tcPr>
            <w:tcW w:w="1140" w:type="dxa"/>
            <w:vAlign w:val="bottom"/>
          </w:tcPr>
          <w:p>
            <w:pPr>
              <w:spacing w:after="0" w:line="256" w:lineRule="exact"/>
              <w:rPr>
                <w:sz w:val="20"/>
                <w:szCs w:val="20"/>
                <w:color w:val="auto"/>
              </w:rPr>
            </w:pPr>
            <w:r>
              <w:rPr>
                <w:rFonts w:ascii="Arial" w:cs="Arial" w:eastAsia="Arial" w:hAnsi="Arial"/>
                <w:sz w:val="18"/>
                <w:szCs w:val="18"/>
                <w:color w:val="auto"/>
              </w:rPr>
              <w:t>Q1 2018</w:t>
            </w:r>
            <w:r>
              <w:rPr>
                <w:rFonts w:ascii="Arial" w:cs="Arial" w:eastAsia="Arial" w:hAnsi="Arial"/>
                <w:sz w:val="29"/>
                <w:szCs w:val="29"/>
                <w:color w:val="auto"/>
                <w:vertAlign w:val="superscript"/>
              </w:rPr>
              <w:t>(1)</w:t>
            </w:r>
          </w:p>
        </w:tc>
      </w:tr>
      <w:tr>
        <w:trPr>
          <w:trHeight w:val="257"/>
        </w:trPr>
        <w:tc>
          <w:tcPr>
            <w:tcW w:w="2300" w:type="dxa"/>
            <w:vAlign w:val="bottom"/>
            <w:shd w:val="clear" w:color="auto" w:fill="E5FFFF"/>
          </w:tcPr>
          <w:p>
            <w:pPr>
              <w:spacing w:after="0"/>
              <w:rPr>
                <w:sz w:val="20"/>
                <w:szCs w:val="20"/>
                <w:color w:val="auto"/>
              </w:rPr>
            </w:pPr>
            <w:r>
              <w:rPr>
                <w:rFonts w:ascii="Arial" w:cs="Arial" w:eastAsia="Arial" w:hAnsi="Arial"/>
                <w:sz w:val="18"/>
                <w:szCs w:val="18"/>
                <w:color w:val="auto"/>
              </w:rPr>
              <w:t>GAS-twenty three Ltd.</w:t>
            </w:r>
          </w:p>
        </w:tc>
        <w:tc>
          <w:tcPr>
            <w:tcW w:w="1380" w:type="dxa"/>
            <w:vAlign w:val="bottom"/>
            <w:gridSpan w:val="2"/>
            <w:shd w:val="clear" w:color="auto" w:fill="E5FFFF"/>
          </w:tcPr>
          <w:p>
            <w:pPr>
              <w:ind w:left="120"/>
              <w:spacing w:after="0"/>
              <w:rPr>
                <w:sz w:val="20"/>
                <w:szCs w:val="20"/>
                <w:color w:val="auto"/>
              </w:rPr>
            </w:pPr>
            <w:r>
              <w:rPr>
                <w:rFonts w:ascii="Arial" w:cs="Arial" w:eastAsia="Arial" w:hAnsi="Arial"/>
                <w:sz w:val="18"/>
                <w:szCs w:val="18"/>
                <w:color w:val="auto"/>
              </w:rPr>
              <w:t>Bermuda</w:t>
            </w:r>
          </w:p>
        </w:tc>
        <w:tc>
          <w:tcPr>
            <w:tcW w:w="150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May 2014</w:t>
            </w:r>
          </w:p>
        </w:tc>
        <w:tc>
          <w:tcPr>
            <w:tcW w:w="1940" w:type="dxa"/>
            <w:vAlign w:val="bottom"/>
            <w:shd w:val="clear" w:color="auto" w:fill="E5FFFF"/>
          </w:tcPr>
          <w:p>
            <w:pPr>
              <w:spacing w:after="0"/>
              <w:rPr>
                <w:sz w:val="20"/>
                <w:szCs w:val="20"/>
                <w:color w:val="auto"/>
              </w:rPr>
            </w:pPr>
            <w:r>
              <w:rPr>
                <w:rFonts w:ascii="Arial" w:cs="Arial" w:eastAsia="Arial" w:hAnsi="Arial"/>
                <w:sz w:val="18"/>
                <w:szCs w:val="18"/>
                <w:color w:val="auto"/>
                <w:w w:val="98"/>
              </w:rPr>
              <w:t>Vessel-owning company</w:t>
            </w:r>
          </w:p>
        </w:tc>
        <w:tc>
          <w:tcPr>
            <w:tcW w:w="112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174,000</w:t>
            </w:r>
          </w:p>
        </w:tc>
        <w:tc>
          <w:tcPr>
            <w:tcW w:w="204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Hull No. 2131</w:t>
            </w:r>
          </w:p>
        </w:tc>
        <w:tc>
          <w:tcPr>
            <w:tcW w:w="1140" w:type="dxa"/>
            <w:vAlign w:val="bottom"/>
            <w:shd w:val="clear" w:color="auto" w:fill="E5FFFF"/>
          </w:tcPr>
          <w:p>
            <w:pPr>
              <w:spacing w:after="0" w:line="256" w:lineRule="exact"/>
              <w:rPr>
                <w:sz w:val="20"/>
                <w:szCs w:val="20"/>
                <w:color w:val="auto"/>
              </w:rPr>
            </w:pPr>
            <w:r>
              <w:rPr>
                <w:rFonts w:ascii="Arial" w:cs="Arial" w:eastAsia="Arial" w:hAnsi="Arial"/>
                <w:sz w:val="18"/>
                <w:szCs w:val="18"/>
                <w:color w:val="auto"/>
              </w:rPr>
              <w:t>Q1 2019</w:t>
            </w:r>
            <w:r>
              <w:rPr>
                <w:rFonts w:ascii="Arial" w:cs="Arial" w:eastAsia="Arial" w:hAnsi="Arial"/>
                <w:sz w:val="29"/>
                <w:szCs w:val="29"/>
                <w:color w:val="auto"/>
                <w:vertAlign w:val="superscript"/>
              </w:rPr>
              <w:t>(1)</w:t>
            </w:r>
          </w:p>
        </w:tc>
      </w:tr>
      <w:tr>
        <w:trPr>
          <w:trHeight w:val="257"/>
        </w:trPr>
        <w:tc>
          <w:tcPr>
            <w:tcW w:w="2300" w:type="dxa"/>
            <w:vAlign w:val="bottom"/>
          </w:tcPr>
          <w:p>
            <w:pPr>
              <w:spacing w:after="0"/>
              <w:rPr>
                <w:sz w:val="20"/>
                <w:szCs w:val="20"/>
                <w:color w:val="auto"/>
              </w:rPr>
            </w:pPr>
            <w:r>
              <w:rPr>
                <w:rFonts w:ascii="Arial" w:cs="Arial" w:eastAsia="Arial" w:hAnsi="Arial"/>
                <w:sz w:val="18"/>
                <w:szCs w:val="18"/>
                <w:color w:val="auto"/>
              </w:rPr>
              <w:t>GAS-twenty four Ltd.</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Bermuda</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June 2014</w:t>
            </w:r>
          </w:p>
        </w:tc>
        <w:tc>
          <w:tcPr>
            <w:tcW w:w="1940" w:type="dxa"/>
            <w:vAlign w:val="bottom"/>
          </w:tcPr>
          <w:p>
            <w:pPr>
              <w:spacing w:after="0"/>
              <w:rPr>
                <w:sz w:val="20"/>
                <w:szCs w:val="20"/>
                <w:color w:val="auto"/>
              </w:rPr>
            </w:pPr>
            <w:r>
              <w:rPr>
                <w:rFonts w:ascii="Arial" w:cs="Arial" w:eastAsia="Arial" w:hAnsi="Arial"/>
                <w:sz w:val="18"/>
                <w:szCs w:val="18"/>
                <w:color w:val="auto"/>
                <w:w w:val="98"/>
              </w:rPr>
              <w:t>Vessel-owning company</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174,000</w:t>
            </w:r>
          </w:p>
        </w:tc>
        <w:tc>
          <w:tcPr>
            <w:tcW w:w="120" w:type="dxa"/>
            <w:vAlign w:val="bottom"/>
          </w:tcPr>
          <w:p>
            <w:pPr>
              <w:spacing w:after="0"/>
              <w:rPr>
                <w:sz w:val="22"/>
                <w:szCs w:val="22"/>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Hull No. 2800</w:t>
            </w:r>
          </w:p>
        </w:tc>
        <w:tc>
          <w:tcPr>
            <w:tcW w:w="1140" w:type="dxa"/>
            <w:vAlign w:val="bottom"/>
          </w:tcPr>
          <w:p>
            <w:pPr>
              <w:spacing w:after="0" w:line="256" w:lineRule="exact"/>
              <w:rPr>
                <w:sz w:val="20"/>
                <w:szCs w:val="20"/>
                <w:color w:val="auto"/>
              </w:rPr>
            </w:pPr>
            <w:r>
              <w:rPr>
                <w:rFonts w:ascii="Arial" w:cs="Arial" w:eastAsia="Arial" w:hAnsi="Arial"/>
                <w:sz w:val="18"/>
                <w:szCs w:val="18"/>
                <w:color w:val="auto"/>
              </w:rPr>
              <w:t>Q1 2018</w:t>
            </w:r>
            <w:r>
              <w:rPr>
                <w:rFonts w:ascii="Arial" w:cs="Arial" w:eastAsia="Arial" w:hAnsi="Arial"/>
                <w:sz w:val="29"/>
                <w:szCs w:val="29"/>
                <w:color w:val="auto"/>
                <w:vertAlign w:val="superscript"/>
              </w:rPr>
              <w:t>(1)</w:t>
            </w:r>
          </w:p>
        </w:tc>
      </w:tr>
      <w:tr>
        <w:trPr>
          <w:trHeight w:val="257"/>
        </w:trPr>
        <w:tc>
          <w:tcPr>
            <w:tcW w:w="2300" w:type="dxa"/>
            <w:vAlign w:val="bottom"/>
            <w:shd w:val="clear" w:color="auto" w:fill="E5FFFF"/>
          </w:tcPr>
          <w:p>
            <w:pPr>
              <w:spacing w:after="0"/>
              <w:rPr>
                <w:sz w:val="20"/>
                <w:szCs w:val="20"/>
                <w:color w:val="auto"/>
              </w:rPr>
            </w:pPr>
            <w:r>
              <w:rPr>
                <w:rFonts w:ascii="Arial" w:cs="Arial" w:eastAsia="Arial" w:hAnsi="Arial"/>
                <w:sz w:val="18"/>
                <w:szCs w:val="18"/>
                <w:color w:val="auto"/>
              </w:rPr>
              <w:t>GAS-twenty five Ltd.</w:t>
            </w:r>
          </w:p>
        </w:tc>
        <w:tc>
          <w:tcPr>
            <w:tcW w:w="1380" w:type="dxa"/>
            <w:vAlign w:val="bottom"/>
            <w:gridSpan w:val="2"/>
            <w:shd w:val="clear" w:color="auto" w:fill="E5FFFF"/>
          </w:tcPr>
          <w:p>
            <w:pPr>
              <w:ind w:left="120"/>
              <w:spacing w:after="0"/>
              <w:rPr>
                <w:sz w:val="20"/>
                <w:szCs w:val="20"/>
                <w:color w:val="auto"/>
              </w:rPr>
            </w:pPr>
            <w:r>
              <w:rPr>
                <w:rFonts w:ascii="Arial" w:cs="Arial" w:eastAsia="Arial" w:hAnsi="Arial"/>
                <w:sz w:val="18"/>
                <w:szCs w:val="18"/>
                <w:color w:val="auto"/>
              </w:rPr>
              <w:t>Bermuda</w:t>
            </w:r>
          </w:p>
        </w:tc>
        <w:tc>
          <w:tcPr>
            <w:tcW w:w="150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June 2014</w:t>
            </w:r>
          </w:p>
        </w:tc>
        <w:tc>
          <w:tcPr>
            <w:tcW w:w="1940" w:type="dxa"/>
            <w:vAlign w:val="bottom"/>
            <w:shd w:val="clear" w:color="auto" w:fill="E5FFFF"/>
          </w:tcPr>
          <w:p>
            <w:pPr>
              <w:spacing w:after="0"/>
              <w:rPr>
                <w:sz w:val="20"/>
                <w:szCs w:val="20"/>
                <w:color w:val="auto"/>
              </w:rPr>
            </w:pPr>
            <w:r>
              <w:rPr>
                <w:rFonts w:ascii="Arial" w:cs="Arial" w:eastAsia="Arial" w:hAnsi="Arial"/>
                <w:sz w:val="18"/>
                <w:szCs w:val="18"/>
                <w:color w:val="auto"/>
                <w:w w:val="98"/>
              </w:rPr>
              <w:t>Vessel-owning company</w:t>
            </w:r>
          </w:p>
        </w:tc>
        <w:tc>
          <w:tcPr>
            <w:tcW w:w="112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174,000</w:t>
            </w:r>
          </w:p>
        </w:tc>
        <w:tc>
          <w:tcPr>
            <w:tcW w:w="120" w:type="dxa"/>
            <w:vAlign w:val="bottom"/>
            <w:shd w:val="clear" w:color="auto" w:fill="E5FFFF"/>
          </w:tcPr>
          <w:p>
            <w:pPr>
              <w:spacing w:after="0"/>
              <w:rPr>
                <w:sz w:val="22"/>
                <w:szCs w:val="22"/>
                <w:color w:val="auto"/>
              </w:rPr>
            </w:pPr>
          </w:p>
        </w:tc>
        <w:tc>
          <w:tcPr>
            <w:tcW w:w="19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Hull No. 2801</w:t>
            </w:r>
          </w:p>
        </w:tc>
        <w:tc>
          <w:tcPr>
            <w:tcW w:w="1140" w:type="dxa"/>
            <w:vAlign w:val="bottom"/>
            <w:shd w:val="clear" w:color="auto" w:fill="E5FFFF"/>
          </w:tcPr>
          <w:p>
            <w:pPr>
              <w:spacing w:after="0" w:line="256" w:lineRule="exact"/>
              <w:rPr>
                <w:sz w:val="20"/>
                <w:szCs w:val="20"/>
                <w:color w:val="auto"/>
              </w:rPr>
            </w:pPr>
            <w:r>
              <w:rPr>
                <w:rFonts w:ascii="Arial" w:cs="Arial" w:eastAsia="Arial" w:hAnsi="Arial"/>
                <w:sz w:val="18"/>
                <w:szCs w:val="18"/>
                <w:color w:val="auto"/>
              </w:rPr>
              <w:t>Q1 2018</w:t>
            </w:r>
            <w:r>
              <w:rPr>
                <w:rFonts w:ascii="Arial" w:cs="Arial" w:eastAsia="Arial" w:hAnsi="Arial"/>
                <w:sz w:val="29"/>
                <w:szCs w:val="29"/>
                <w:color w:val="auto"/>
                <w:vertAlign w:val="superscript"/>
              </w:rPr>
              <w:t>(1)</w:t>
            </w:r>
          </w:p>
        </w:tc>
      </w:tr>
      <w:tr>
        <w:trPr>
          <w:trHeight w:val="205"/>
        </w:trPr>
        <w:tc>
          <w:tcPr>
            <w:tcW w:w="2300" w:type="dxa"/>
            <w:vAlign w:val="bottom"/>
          </w:tcPr>
          <w:p>
            <w:pPr>
              <w:spacing w:after="0" w:line="206" w:lineRule="exact"/>
              <w:rPr>
                <w:sz w:val="20"/>
                <w:szCs w:val="20"/>
                <w:color w:val="auto"/>
              </w:rPr>
            </w:pPr>
            <w:r>
              <w:rPr>
                <w:rFonts w:ascii="Arial" w:cs="Arial" w:eastAsia="Arial" w:hAnsi="Arial"/>
                <w:sz w:val="18"/>
                <w:szCs w:val="18"/>
                <w:color w:val="auto"/>
              </w:rPr>
              <w:t>GAS-twenty six Ltd.</w:t>
            </w:r>
          </w:p>
        </w:tc>
        <w:tc>
          <w:tcPr>
            <w:tcW w:w="1380" w:type="dxa"/>
            <w:vAlign w:val="bottom"/>
            <w:gridSpan w:val="2"/>
          </w:tcPr>
          <w:p>
            <w:pPr>
              <w:ind w:left="120"/>
              <w:spacing w:after="0" w:line="206" w:lineRule="exact"/>
              <w:rPr>
                <w:sz w:val="20"/>
                <w:szCs w:val="20"/>
                <w:color w:val="auto"/>
              </w:rPr>
            </w:pPr>
            <w:r>
              <w:rPr>
                <w:rFonts w:ascii="Arial" w:cs="Arial" w:eastAsia="Arial" w:hAnsi="Arial"/>
                <w:sz w:val="18"/>
                <w:szCs w:val="18"/>
                <w:color w:val="auto"/>
              </w:rPr>
              <w:t>Bermuda</w:t>
            </w:r>
          </w:p>
        </w:tc>
        <w:tc>
          <w:tcPr>
            <w:tcW w:w="1500" w:type="dxa"/>
            <w:vAlign w:val="bottom"/>
            <w:gridSpan w:val="3"/>
          </w:tcPr>
          <w:p>
            <w:pPr>
              <w:ind w:left="120"/>
              <w:spacing w:after="0" w:line="206" w:lineRule="exact"/>
              <w:rPr>
                <w:sz w:val="20"/>
                <w:szCs w:val="20"/>
                <w:color w:val="auto"/>
              </w:rPr>
            </w:pPr>
            <w:r>
              <w:rPr>
                <w:rFonts w:ascii="Arial" w:cs="Arial" w:eastAsia="Arial" w:hAnsi="Arial"/>
                <w:sz w:val="18"/>
                <w:szCs w:val="18"/>
                <w:color w:val="auto"/>
              </w:rPr>
              <w:t>January 2015</w:t>
            </w:r>
          </w:p>
        </w:tc>
        <w:tc>
          <w:tcPr>
            <w:tcW w:w="1940" w:type="dxa"/>
            <w:vAlign w:val="bottom"/>
          </w:tcPr>
          <w:p>
            <w:pPr>
              <w:spacing w:after="0" w:line="206" w:lineRule="exact"/>
              <w:rPr>
                <w:sz w:val="20"/>
                <w:szCs w:val="20"/>
                <w:color w:val="auto"/>
              </w:rPr>
            </w:pPr>
            <w:r>
              <w:rPr>
                <w:rFonts w:ascii="Arial" w:cs="Arial" w:eastAsia="Arial" w:hAnsi="Arial"/>
                <w:sz w:val="18"/>
                <w:szCs w:val="18"/>
                <w:color w:val="auto"/>
              </w:rPr>
              <w:t>Finance lease asset</w:t>
            </w:r>
          </w:p>
        </w:tc>
        <w:tc>
          <w:tcPr>
            <w:tcW w:w="1120" w:type="dxa"/>
            <w:vAlign w:val="bottom"/>
            <w:gridSpan w:val="2"/>
          </w:tcPr>
          <w:p>
            <w:pPr>
              <w:ind w:left="100"/>
              <w:spacing w:after="0" w:line="206" w:lineRule="exact"/>
              <w:rPr>
                <w:sz w:val="20"/>
                <w:szCs w:val="20"/>
                <w:color w:val="auto"/>
              </w:rPr>
            </w:pPr>
            <w:r>
              <w:rPr>
                <w:rFonts w:ascii="Arial" w:cs="Arial" w:eastAsia="Arial" w:hAnsi="Arial"/>
                <w:sz w:val="18"/>
                <w:szCs w:val="18"/>
                <w:color w:val="auto"/>
              </w:rPr>
              <w:t>170,000</w:t>
            </w:r>
          </w:p>
        </w:tc>
        <w:tc>
          <w:tcPr>
            <w:tcW w:w="2040" w:type="dxa"/>
            <w:vAlign w:val="bottom"/>
            <w:gridSpan w:val="3"/>
          </w:tcPr>
          <w:p>
            <w:pPr>
              <w:ind w:left="120"/>
              <w:spacing w:after="0" w:line="206" w:lineRule="exact"/>
              <w:rPr>
                <w:sz w:val="20"/>
                <w:szCs w:val="20"/>
                <w:color w:val="auto"/>
              </w:rPr>
            </w:pPr>
            <w:r>
              <w:rPr>
                <w:rFonts w:ascii="Arial" w:cs="Arial" w:eastAsia="Arial" w:hAnsi="Arial"/>
                <w:sz w:val="18"/>
                <w:szCs w:val="18"/>
                <w:i w:val="1"/>
                <w:iCs w:val="1"/>
                <w:color w:val="auto"/>
              </w:rPr>
              <w:t>Methane Julia Louise</w:t>
            </w:r>
          </w:p>
        </w:tc>
        <w:tc>
          <w:tcPr>
            <w:tcW w:w="1140" w:type="dxa"/>
            <w:vAlign w:val="bottom"/>
          </w:tcPr>
          <w:p>
            <w:pPr>
              <w:spacing w:after="0" w:line="206" w:lineRule="exact"/>
              <w:rPr>
                <w:sz w:val="20"/>
                <w:szCs w:val="20"/>
                <w:color w:val="auto"/>
              </w:rPr>
            </w:pPr>
            <w:r>
              <w:rPr>
                <w:rFonts w:ascii="Arial" w:cs="Arial" w:eastAsia="Arial" w:hAnsi="Arial"/>
                <w:sz w:val="18"/>
                <w:szCs w:val="18"/>
                <w:color w:val="auto"/>
              </w:rPr>
              <w:t>March 2015</w:t>
            </w:r>
          </w:p>
        </w:tc>
      </w:tr>
      <w:tr>
        <w:trPr>
          <w:trHeight w:val="267"/>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40" w:type="dxa"/>
            <w:vAlign w:val="bottom"/>
          </w:tcPr>
          <w:p>
            <w:pPr>
              <w:spacing w:after="0" w:line="266" w:lineRule="exact"/>
              <w:rPr>
                <w:sz w:val="20"/>
                <w:szCs w:val="20"/>
                <w:color w:val="auto"/>
              </w:rPr>
            </w:pPr>
            <w:r>
              <w:rPr>
                <w:rFonts w:ascii="Arial" w:cs="Arial" w:eastAsia="Arial" w:hAnsi="Arial"/>
                <w:sz w:val="18"/>
                <w:szCs w:val="18"/>
                <w:color w:val="auto"/>
              </w:rPr>
              <w:t xml:space="preserve">company </w:t>
            </w:r>
            <w:r>
              <w:rPr>
                <w:rFonts w:ascii="Arial" w:cs="Arial" w:eastAsia="Arial" w:hAnsi="Arial"/>
                <w:sz w:val="30"/>
                <w:szCs w:val="30"/>
                <w:color w:val="auto"/>
                <w:vertAlign w:val="superscript"/>
              </w:rPr>
              <w:t>(2)</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16"/>
        </w:trPr>
        <w:tc>
          <w:tcPr>
            <w:tcW w:w="2300" w:type="dxa"/>
            <w:vAlign w:val="bottom"/>
            <w:shd w:val="clear" w:color="auto" w:fill="E5FFFF"/>
          </w:tcPr>
          <w:p>
            <w:pPr>
              <w:spacing w:after="0"/>
              <w:rPr>
                <w:sz w:val="20"/>
                <w:szCs w:val="20"/>
                <w:color w:val="auto"/>
              </w:rPr>
            </w:pPr>
            <w:r>
              <w:rPr>
                <w:rFonts w:ascii="Arial" w:cs="Arial" w:eastAsia="Arial" w:hAnsi="Arial"/>
                <w:sz w:val="18"/>
                <w:szCs w:val="18"/>
                <w:color w:val="auto"/>
              </w:rPr>
              <w:t>GAS-twenty seven Ltd.</w:t>
            </w:r>
          </w:p>
        </w:tc>
        <w:tc>
          <w:tcPr>
            <w:tcW w:w="1380" w:type="dxa"/>
            <w:vAlign w:val="bottom"/>
            <w:gridSpan w:val="2"/>
            <w:shd w:val="clear" w:color="auto" w:fill="E5FFFF"/>
          </w:tcPr>
          <w:p>
            <w:pPr>
              <w:ind w:left="120"/>
              <w:spacing w:after="0"/>
              <w:rPr>
                <w:sz w:val="20"/>
                <w:szCs w:val="20"/>
                <w:color w:val="auto"/>
              </w:rPr>
            </w:pPr>
            <w:r>
              <w:rPr>
                <w:rFonts w:ascii="Arial" w:cs="Arial" w:eastAsia="Arial" w:hAnsi="Arial"/>
                <w:sz w:val="18"/>
                <w:szCs w:val="18"/>
                <w:color w:val="auto"/>
              </w:rPr>
              <w:t>Bermuda</w:t>
            </w:r>
          </w:p>
        </w:tc>
        <w:tc>
          <w:tcPr>
            <w:tcW w:w="150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January 2015</w:t>
            </w:r>
          </w:p>
        </w:tc>
        <w:tc>
          <w:tcPr>
            <w:tcW w:w="1940" w:type="dxa"/>
            <w:vAlign w:val="bottom"/>
            <w:shd w:val="clear" w:color="auto" w:fill="E5FFFF"/>
          </w:tcPr>
          <w:p>
            <w:pPr>
              <w:spacing w:after="0"/>
              <w:rPr>
                <w:sz w:val="20"/>
                <w:szCs w:val="20"/>
                <w:color w:val="auto"/>
              </w:rPr>
            </w:pPr>
            <w:r>
              <w:rPr>
                <w:rFonts w:ascii="Arial" w:cs="Arial" w:eastAsia="Arial" w:hAnsi="Arial"/>
                <w:sz w:val="18"/>
                <w:szCs w:val="18"/>
                <w:color w:val="auto"/>
                <w:w w:val="98"/>
              </w:rPr>
              <w:t>Vessel-owning company</w:t>
            </w:r>
          </w:p>
        </w:tc>
        <w:tc>
          <w:tcPr>
            <w:tcW w:w="112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170,000</w:t>
            </w:r>
          </w:p>
        </w:tc>
        <w:tc>
          <w:tcPr>
            <w:tcW w:w="2040" w:type="dxa"/>
            <w:vAlign w:val="bottom"/>
            <w:gridSpan w:val="3"/>
            <w:shd w:val="clear" w:color="auto" w:fill="E5FFFF"/>
          </w:tcPr>
          <w:p>
            <w:pPr>
              <w:ind w:left="120"/>
              <w:spacing w:after="0"/>
              <w:rPr>
                <w:sz w:val="20"/>
                <w:szCs w:val="20"/>
                <w:color w:val="auto"/>
              </w:rPr>
            </w:pPr>
            <w:r>
              <w:rPr>
                <w:rFonts w:ascii="Arial" w:cs="Arial" w:eastAsia="Arial" w:hAnsi="Arial"/>
                <w:sz w:val="18"/>
                <w:szCs w:val="18"/>
                <w:i w:val="1"/>
                <w:iCs w:val="1"/>
                <w:color w:val="auto"/>
              </w:rPr>
              <w:t>Methane Becki Anne</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March 2015</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GasLog Shipping Limited</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BVI</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July 2003</w:t>
            </w:r>
          </w:p>
        </w:tc>
        <w:tc>
          <w:tcPr>
            <w:tcW w:w="1940" w:type="dxa"/>
            <w:vAlign w:val="bottom"/>
          </w:tcPr>
          <w:p>
            <w:pPr>
              <w:spacing w:after="0"/>
              <w:rPr>
                <w:sz w:val="20"/>
                <w:szCs w:val="20"/>
                <w:color w:val="auto"/>
              </w:rPr>
            </w:pPr>
            <w:r>
              <w:rPr>
                <w:rFonts w:ascii="Arial" w:cs="Arial" w:eastAsia="Arial" w:hAnsi="Arial"/>
                <w:sz w:val="18"/>
                <w:szCs w:val="18"/>
                <w:color w:val="auto"/>
              </w:rPr>
              <w:t>Dormant</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4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300" w:type="dxa"/>
            <w:vAlign w:val="bottom"/>
            <w:shd w:val="clear" w:color="auto" w:fill="E5FFFF"/>
          </w:tcPr>
          <w:p>
            <w:pPr>
              <w:spacing w:after="0"/>
              <w:rPr>
                <w:sz w:val="20"/>
                <w:szCs w:val="20"/>
                <w:color w:val="auto"/>
              </w:rPr>
            </w:pPr>
            <w:r>
              <w:rPr>
                <w:rFonts w:ascii="Arial" w:cs="Arial" w:eastAsia="Arial" w:hAnsi="Arial"/>
                <w:sz w:val="18"/>
                <w:szCs w:val="18"/>
                <w:b w:val="1"/>
                <w:bCs w:val="1"/>
                <w:color w:val="auto"/>
                <w:w w:val="96"/>
              </w:rPr>
              <w:t>32.9% interest subsidiaries:</w:t>
            </w:r>
          </w:p>
        </w:tc>
        <w:tc>
          <w:tcPr>
            <w:tcW w:w="12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9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0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8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GasLog Partners LP</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w w:val="95"/>
              </w:rPr>
              <w:t>Marshall Islands</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January 2014</w:t>
            </w:r>
          </w:p>
        </w:tc>
        <w:tc>
          <w:tcPr>
            <w:tcW w:w="1940" w:type="dxa"/>
            <w:vAlign w:val="bottom"/>
          </w:tcPr>
          <w:p>
            <w:pPr>
              <w:spacing w:after="0"/>
              <w:rPr>
                <w:sz w:val="20"/>
                <w:szCs w:val="20"/>
                <w:color w:val="auto"/>
              </w:rPr>
            </w:pPr>
            <w:r>
              <w:rPr>
                <w:rFonts w:ascii="Arial" w:cs="Arial" w:eastAsia="Arial" w:hAnsi="Arial"/>
                <w:sz w:val="18"/>
                <w:szCs w:val="18"/>
                <w:color w:val="auto"/>
              </w:rPr>
              <w:t>Holding company</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4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r>
              <w:rPr>
                <w:rFonts w:ascii="Arial" w:cs="Arial" w:eastAsia="Arial" w:hAnsi="Arial"/>
                <w:sz w:val="18"/>
                <w:szCs w:val="18"/>
                <w:color w:val="auto"/>
              </w:rPr>
              <w:t>—</w:t>
            </w:r>
          </w:p>
        </w:tc>
      </w:tr>
      <w:tr>
        <w:trPr>
          <w:trHeight w:val="202"/>
        </w:trPr>
        <w:tc>
          <w:tcPr>
            <w:tcW w:w="230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GasLog Partners Holdings</w:t>
            </w:r>
          </w:p>
        </w:tc>
        <w:tc>
          <w:tcPr>
            <w:tcW w:w="1380" w:type="dxa"/>
            <w:vAlign w:val="bottom"/>
            <w:gridSpan w:val="2"/>
            <w:shd w:val="clear" w:color="auto" w:fill="E5FFFF"/>
          </w:tcPr>
          <w:p>
            <w:pPr>
              <w:ind w:left="120"/>
              <w:spacing w:after="0" w:line="201" w:lineRule="exact"/>
              <w:rPr>
                <w:sz w:val="20"/>
                <w:szCs w:val="20"/>
                <w:color w:val="auto"/>
              </w:rPr>
            </w:pPr>
            <w:r>
              <w:rPr>
                <w:rFonts w:ascii="Arial" w:cs="Arial" w:eastAsia="Arial" w:hAnsi="Arial"/>
                <w:sz w:val="18"/>
                <w:szCs w:val="18"/>
                <w:color w:val="auto"/>
                <w:w w:val="95"/>
              </w:rPr>
              <w:t>Marshall Islands</w:t>
            </w:r>
          </w:p>
        </w:tc>
        <w:tc>
          <w:tcPr>
            <w:tcW w:w="1500" w:type="dxa"/>
            <w:vAlign w:val="bottom"/>
            <w:gridSpan w:val="3"/>
            <w:shd w:val="clear" w:color="auto" w:fill="E5FFFF"/>
          </w:tcPr>
          <w:p>
            <w:pPr>
              <w:ind w:left="120"/>
              <w:spacing w:after="0" w:line="201" w:lineRule="exact"/>
              <w:rPr>
                <w:sz w:val="20"/>
                <w:szCs w:val="20"/>
                <w:color w:val="auto"/>
              </w:rPr>
            </w:pPr>
            <w:r>
              <w:rPr>
                <w:rFonts w:ascii="Arial" w:cs="Arial" w:eastAsia="Arial" w:hAnsi="Arial"/>
                <w:sz w:val="18"/>
                <w:szCs w:val="18"/>
                <w:color w:val="auto"/>
              </w:rPr>
              <w:t>April 2014</w:t>
            </w:r>
          </w:p>
        </w:tc>
        <w:tc>
          <w:tcPr>
            <w:tcW w:w="19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Holding company</w:t>
            </w:r>
          </w:p>
        </w:tc>
        <w:tc>
          <w:tcPr>
            <w:tcW w:w="10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w:t>
            </w:r>
          </w:p>
        </w:tc>
        <w:tc>
          <w:tcPr>
            <w:tcW w:w="120" w:type="dxa"/>
            <w:vAlign w:val="bottom"/>
            <w:shd w:val="clear" w:color="auto" w:fill="E5FFFF"/>
          </w:tcPr>
          <w:p>
            <w:pPr>
              <w:spacing w:after="0"/>
              <w:rPr>
                <w:sz w:val="17"/>
                <w:szCs w:val="17"/>
                <w:color w:val="auto"/>
              </w:rPr>
            </w:pPr>
          </w:p>
        </w:tc>
        <w:tc>
          <w:tcPr>
            <w:tcW w:w="192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w:t>
            </w:r>
          </w:p>
        </w:tc>
      </w:tr>
      <w:tr>
        <w:trPr>
          <w:trHeight w:val="230"/>
        </w:trPr>
        <w:tc>
          <w:tcPr>
            <w:tcW w:w="23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LLC</w:t>
            </w:r>
          </w:p>
        </w:tc>
        <w:tc>
          <w:tcPr>
            <w:tcW w:w="120" w:type="dxa"/>
            <w:vAlign w:val="bottom"/>
            <w:shd w:val="clear" w:color="auto" w:fill="E5FFFF"/>
          </w:tcPr>
          <w:p>
            <w:pPr>
              <w:spacing w:after="0"/>
              <w:rPr>
                <w:sz w:val="20"/>
                <w:szCs w:val="20"/>
                <w:color w:val="auto"/>
              </w:rPr>
            </w:pPr>
          </w:p>
        </w:tc>
        <w:tc>
          <w:tcPr>
            <w:tcW w:w="126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26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94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02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82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140" w:type="dxa"/>
            <w:vAlign w:val="bottom"/>
            <w:shd w:val="clear" w:color="auto" w:fill="E5FFFF"/>
          </w:tcPr>
          <w:p>
            <w:pPr>
              <w:spacing w:after="0"/>
              <w:rPr>
                <w:sz w:val="20"/>
                <w:szCs w:val="20"/>
                <w:color w:val="auto"/>
              </w:rPr>
            </w:pPr>
          </w:p>
        </w:tc>
      </w:tr>
      <w:tr>
        <w:trPr>
          <w:trHeight w:val="405"/>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ind w:left="400"/>
              <w:spacing w:after="0"/>
              <w:rPr>
                <w:sz w:val="20"/>
                <w:szCs w:val="20"/>
                <w:color w:val="auto"/>
              </w:rPr>
            </w:pPr>
            <w:r>
              <w:rPr>
                <w:rFonts w:ascii="Arial" w:cs="Arial" w:eastAsia="Arial" w:hAnsi="Arial"/>
                <w:sz w:val="18"/>
                <w:szCs w:val="18"/>
                <w:color w:val="auto"/>
              </w:rPr>
              <w:t>F-7</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0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0160"/>
                    </a:xfrm>
                    <a:prstGeom prst="rect">
                      <a:avLst/>
                    </a:prstGeom>
                    <a:noFill/>
                  </pic:spPr>
                </pic:pic>
              </a:graphicData>
            </a:graphic>
          </wp:anchor>
        </w:drawing>
      </w:r>
    </w:p>
    <w:p>
      <w:pPr>
        <w:sectPr>
          <w:pgSz w:w="11900" w:h="16838" w:orient="portrait"/>
          <w:cols w:equalWidth="0" w:num="1">
            <w:col w:w="11420"/>
          </w:cols>
          <w:pgMar w:left="240" w:top="405" w:right="239" w:bottom="0"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6"/>
        </w:trPr>
        <w:tc>
          <w:tcPr>
            <w:tcW w:w="2200" w:type="dxa"/>
            <w:vAlign w:val="bottom"/>
            <w:shd w:val="clear" w:color="auto" w:fill="E5FFFF"/>
          </w:tcPr>
          <w:p>
            <w:pPr>
              <w:spacing w:after="0"/>
              <w:rPr>
                <w:sz w:val="20"/>
                <w:szCs w:val="20"/>
                <w:color w:val="auto"/>
              </w:rPr>
            </w:pPr>
            <w:r>
              <w:rPr>
                <w:rFonts w:ascii="Arial" w:cs="Arial" w:eastAsia="Arial" w:hAnsi="Arial"/>
                <w:sz w:val="18"/>
                <w:szCs w:val="18"/>
                <w:color w:val="auto"/>
              </w:rPr>
              <w:t>GAS-three Ltd.</w:t>
            </w:r>
          </w:p>
        </w:tc>
        <w:tc>
          <w:tcPr>
            <w:tcW w:w="1520" w:type="dxa"/>
            <w:vAlign w:val="bottom"/>
            <w:shd w:val="clear" w:color="auto" w:fill="E5FFFF"/>
          </w:tcPr>
          <w:p>
            <w:pPr>
              <w:ind w:left="220"/>
              <w:spacing w:after="0"/>
              <w:rPr>
                <w:sz w:val="20"/>
                <w:szCs w:val="20"/>
                <w:color w:val="auto"/>
              </w:rPr>
            </w:pPr>
            <w:r>
              <w:rPr>
                <w:rFonts w:ascii="Arial" w:cs="Arial" w:eastAsia="Arial" w:hAnsi="Arial"/>
                <w:sz w:val="18"/>
                <w:szCs w:val="18"/>
                <w:color w:val="auto"/>
              </w:rPr>
              <w:t>Bermuda</w:t>
            </w:r>
          </w:p>
        </w:tc>
        <w:tc>
          <w:tcPr>
            <w:tcW w:w="1360" w:type="dxa"/>
            <w:vAlign w:val="bottom"/>
            <w:shd w:val="clear" w:color="auto" w:fill="E5FFFF"/>
          </w:tcPr>
          <w:p>
            <w:pPr>
              <w:ind w:left="80"/>
              <w:spacing w:after="0"/>
              <w:rPr>
                <w:sz w:val="20"/>
                <w:szCs w:val="20"/>
                <w:color w:val="auto"/>
              </w:rPr>
            </w:pPr>
            <w:r>
              <w:rPr>
                <w:rFonts w:ascii="Arial" w:cs="Arial" w:eastAsia="Arial" w:hAnsi="Arial"/>
                <w:sz w:val="18"/>
                <w:szCs w:val="18"/>
                <w:color w:val="auto"/>
              </w:rPr>
              <w:t>April 2010</w:t>
            </w:r>
          </w:p>
        </w:tc>
        <w:tc>
          <w:tcPr>
            <w:tcW w:w="2000" w:type="dxa"/>
            <w:vAlign w:val="bottom"/>
            <w:shd w:val="clear" w:color="auto" w:fill="E5FFFF"/>
          </w:tcPr>
          <w:p>
            <w:pPr>
              <w:ind w:left="100"/>
              <w:spacing w:after="0"/>
              <w:rPr>
                <w:sz w:val="20"/>
                <w:szCs w:val="20"/>
                <w:color w:val="auto"/>
              </w:rPr>
            </w:pPr>
            <w:r>
              <w:rPr>
                <w:rFonts w:ascii="Arial" w:cs="Arial" w:eastAsia="Arial" w:hAnsi="Arial"/>
                <w:sz w:val="18"/>
                <w:szCs w:val="18"/>
                <w:color w:val="auto"/>
                <w:w w:val="96"/>
              </w:rPr>
              <w:t>Vessel-owning company</w:t>
            </w:r>
          </w:p>
        </w:tc>
        <w:tc>
          <w:tcPr>
            <w:tcW w:w="1000" w:type="dxa"/>
            <w:vAlign w:val="bottom"/>
            <w:shd w:val="clear" w:color="auto" w:fill="E5FFFF"/>
          </w:tcPr>
          <w:p>
            <w:pPr>
              <w:ind w:left="140"/>
              <w:spacing w:after="0"/>
              <w:rPr>
                <w:sz w:val="20"/>
                <w:szCs w:val="20"/>
                <w:color w:val="auto"/>
              </w:rPr>
            </w:pPr>
            <w:r>
              <w:rPr>
                <w:rFonts w:ascii="Arial" w:cs="Arial" w:eastAsia="Arial" w:hAnsi="Arial"/>
                <w:sz w:val="18"/>
                <w:szCs w:val="18"/>
                <w:color w:val="auto"/>
              </w:rPr>
              <w:t>155,000</w:t>
            </w:r>
          </w:p>
        </w:tc>
        <w:tc>
          <w:tcPr>
            <w:tcW w:w="2120" w:type="dxa"/>
            <w:vAlign w:val="bottom"/>
            <w:shd w:val="clear" w:color="auto" w:fill="E5FFFF"/>
          </w:tcPr>
          <w:p>
            <w:pPr>
              <w:ind w:left="280"/>
              <w:spacing w:after="0"/>
              <w:rPr>
                <w:sz w:val="20"/>
                <w:szCs w:val="20"/>
                <w:color w:val="auto"/>
              </w:rPr>
            </w:pPr>
            <w:r>
              <w:rPr>
                <w:rFonts w:ascii="Arial" w:cs="Arial" w:eastAsia="Arial" w:hAnsi="Arial"/>
                <w:sz w:val="18"/>
                <w:szCs w:val="18"/>
                <w:i w:val="1"/>
                <w:iCs w:val="1"/>
                <w:color w:val="auto"/>
              </w:rPr>
              <w:t>GasLog Shanghai</w:t>
            </w:r>
          </w:p>
        </w:tc>
        <w:tc>
          <w:tcPr>
            <w:tcW w:w="1220" w:type="dxa"/>
            <w:vAlign w:val="bottom"/>
            <w:shd w:val="clear" w:color="auto" w:fill="E5FFFF"/>
          </w:tcPr>
          <w:p>
            <w:pPr>
              <w:ind w:left="80"/>
              <w:spacing w:after="0"/>
              <w:rPr>
                <w:sz w:val="20"/>
                <w:szCs w:val="20"/>
                <w:color w:val="auto"/>
              </w:rPr>
            </w:pPr>
            <w:r>
              <w:rPr>
                <w:rFonts w:ascii="Arial" w:cs="Arial" w:eastAsia="Arial" w:hAnsi="Arial"/>
                <w:sz w:val="18"/>
                <w:szCs w:val="18"/>
                <w:color w:val="auto"/>
              </w:rPr>
              <w:t>January 2013</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GAS-four Ltd.</w:t>
            </w:r>
          </w:p>
        </w:tc>
        <w:tc>
          <w:tcPr>
            <w:tcW w:w="1520" w:type="dxa"/>
            <w:vAlign w:val="bottom"/>
          </w:tcPr>
          <w:p>
            <w:pPr>
              <w:ind w:left="220"/>
              <w:spacing w:after="0"/>
              <w:rPr>
                <w:sz w:val="20"/>
                <w:szCs w:val="20"/>
                <w:color w:val="auto"/>
              </w:rPr>
            </w:pPr>
            <w:r>
              <w:rPr>
                <w:rFonts w:ascii="Arial" w:cs="Arial" w:eastAsia="Arial" w:hAnsi="Arial"/>
                <w:sz w:val="18"/>
                <w:szCs w:val="18"/>
                <w:color w:val="auto"/>
              </w:rPr>
              <w:t>Bermuda</w:t>
            </w:r>
          </w:p>
        </w:tc>
        <w:tc>
          <w:tcPr>
            <w:tcW w:w="1360" w:type="dxa"/>
            <w:vAlign w:val="bottom"/>
          </w:tcPr>
          <w:p>
            <w:pPr>
              <w:ind w:left="80"/>
              <w:spacing w:after="0"/>
              <w:rPr>
                <w:sz w:val="20"/>
                <w:szCs w:val="20"/>
                <w:color w:val="auto"/>
              </w:rPr>
            </w:pPr>
            <w:r>
              <w:rPr>
                <w:rFonts w:ascii="Arial" w:cs="Arial" w:eastAsia="Arial" w:hAnsi="Arial"/>
                <w:sz w:val="18"/>
                <w:szCs w:val="18"/>
                <w:color w:val="auto"/>
              </w:rPr>
              <w:t>April 2010</w:t>
            </w:r>
          </w:p>
        </w:tc>
        <w:tc>
          <w:tcPr>
            <w:tcW w:w="2000" w:type="dxa"/>
            <w:vAlign w:val="bottom"/>
          </w:tcPr>
          <w:p>
            <w:pPr>
              <w:ind w:left="100"/>
              <w:spacing w:after="0"/>
              <w:rPr>
                <w:sz w:val="20"/>
                <w:szCs w:val="20"/>
                <w:color w:val="auto"/>
              </w:rPr>
            </w:pPr>
            <w:r>
              <w:rPr>
                <w:rFonts w:ascii="Arial" w:cs="Arial" w:eastAsia="Arial" w:hAnsi="Arial"/>
                <w:sz w:val="18"/>
                <w:szCs w:val="18"/>
                <w:color w:val="auto"/>
                <w:w w:val="96"/>
              </w:rPr>
              <w:t>Vessel-owning company</w:t>
            </w:r>
          </w:p>
        </w:tc>
        <w:tc>
          <w:tcPr>
            <w:tcW w:w="1000" w:type="dxa"/>
            <w:vAlign w:val="bottom"/>
          </w:tcPr>
          <w:p>
            <w:pPr>
              <w:ind w:left="140"/>
              <w:spacing w:after="0"/>
              <w:rPr>
                <w:sz w:val="20"/>
                <w:szCs w:val="20"/>
                <w:color w:val="auto"/>
              </w:rPr>
            </w:pPr>
            <w:r>
              <w:rPr>
                <w:rFonts w:ascii="Arial" w:cs="Arial" w:eastAsia="Arial" w:hAnsi="Arial"/>
                <w:sz w:val="18"/>
                <w:szCs w:val="18"/>
                <w:color w:val="auto"/>
              </w:rPr>
              <w:t>155,000</w:t>
            </w:r>
          </w:p>
        </w:tc>
        <w:tc>
          <w:tcPr>
            <w:tcW w:w="2120" w:type="dxa"/>
            <w:vAlign w:val="bottom"/>
          </w:tcPr>
          <w:p>
            <w:pPr>
              <w:ind w:left="280"/>
              <w:spacing w:after="0"/>
              <w:rPr>
                <w:sz w:val="20"/>
                <w:szCs w:val="20"/>
                <w:color w:val="auto"/>
              </w:rPr>
            </w:pPr>
            <w:r>
              <w:rPr>
                <w:rFonts w:ascii="Arial" w:cs="Arial" w:eastAsia="Arial" w:hAnsi="Arial"/>
                <w:sz w:val="18"/>
                <w:szCs w:val="18"/>
                <w:i w:val="1"/>
                <w:iCs w:val="1"/>
                <w:color w:val="auto"/>
              </w:rPr>
              <w:t>GasLog Santiago</w:t>
            </w:r>
          </w:p>
        </w:tc>
        <w:tc>
          <w:tcPr>
            <w:tcW w:w="1220" w:type="dxa"/>
            <w:vAlign w:val="bottom"/>
          </w:tcPr>
          <w:p>
            <w:pPr>
              <w:ind w:left="80"/>
              <w:spacing w:after="0"/>
              <w:rPr>
                <w:sz w:val="20"/>
                <w:szCs w:val="20"/>
                <w:color w:val="auto"/>
              </w:rPr>
            </w:pPr>
            <w:r>
              <w:rPr>
                <w:rFonts w:ascii="Arial" w:cs="Arial" w:eastAsia="Arial" w:hAnsi="Arial"/>
                <w:sz w:val="18"/>
                <w:szCs w:val="18"/>
                <w:color w:val="auto"/>
              </w:rPr>
              <w:t>March 2013</w:t>
            </w:r>
          </w:p>
        </w:tc>
      </w:tr>
      <w:tr>
        <w:trPr>
          <w:trHeight w:val="216"/>
        </w:trPr>
        <w:tc>
          <w:tcPr>
            <w:tcW w:w="2200" w:type="dxa"/>
            <w:vAlign w:val="bottom"/>
            <w:shd w:val="clear" w:color="auto" w:fill="E5FFFF"/>
          </w:tcPr>
          <w:p>
            <w:pPr>
              <w:spacing w:after="0"/>
              <w:rPr>
                <w:sz w:val="20"/>
                <w:szCs w:val="20"/>
                <w:color w:val="auto"/>
              </w:rPr>
            </w:pPr>
            <w:r>
              <w:rPr>
                <w:rFonts w:ascii="Arial" w:cs="Arial" w:eastAsia="Arial" w:hAnsi="Arial"/>
                <w:sz w:val="18"/>
                <w:szCs w:val="18"/>
                <w:color w:val="auto"/>
              </w:rPr>
              <w:t>GAS-five Ltd.</w:t>
            </w:r>
          </w:p>
        </w:tc>
        <w:tc>
          <w:tcPr>
            <w:tcW w:w="1520" w:type="dxa"/>
            <w:vAlign w:val="bottom"/>
            <w:shd w:val="clear" w:color="auto" w:fill="E5FFFF"/>
          </w:tcPr>
          <w:p>
            <w:pPr>
              <w:ind w:left="220"/>
              <w:spacing w:after="0"/>
              <w:rPr>
                <w:sz w:val="20"/>
                <w:szCs w:val="20"/>
                <w:color w:val="auto"/>
              </w:rPr>
            </w:pPr>
            <w:r>
              <w:rPr>
                <w:rFonts w:ascii="Arial" w:cs="Arial" w:eastAsia="Arial" w:hAnsi="Arial"/>
                <w:sz w:val="18"/>
                <w:szCs w:val="18"/>
                <w:color w:val="auto"/>
              </w:rPr>
              <w:t>Bermuda</w:t>
            </w:r>
          </w:p>
        </w:tc>
        <w:tc>
          <w:tcPr>
            <w:tcW w:w="1360" w:type="dxa"/>
            <w:vAlign w:val="bottom"/>
            <w:shd w:val="clear" w:color="auto" w:fill="E5FFFF"/>
          </w:tcPr>
          <w:p>
            <w:pPr>
              <w:ind w:left="80"/>
              <w:spacing w:after="0"/>
              <w:rPr>
                <w:sz w:val="20"/>
                <w:szCs w:val="20"/>
                <w:color w:val="auto"/>
              </w:rPr>
            </w:pPr>
            <w:r>
              <w:rPr>
                <w:rFonts w:ascii="Arial" w:cs="Arial" w:eastAsia="Arial" w:hAnsi="Arial"/>
                <w:sz w:val="18"/>
                <w:szCs w:val="18"/>
                <w:color w:val="auto"/>
              </w:rPr>
              <w:t>February 2011</w:t>
            </w:r>
          </w:p>
        </w:tc>
        <w:tc>
          <w:tcPr>
            <w:tcW w:w="2000" w:type="dxa"/>
            <w:vAlign w:val="bottom"/>
            <w:shd w:val="clear" w:color="auto" w:fill="E5FFFF"/>
          </w:tcPr>
          <w:p>
            <w:pPr>
              <w:ind w:left="100"/>
              <w:spacing w:after="0"/>
              <w:rPr>
                <w:sz w:val="20"/>
                <w:szCs w:val="20"/>
                <w:color w:val="auto"/>
              </w:rPr>
            </w:pPr>
            <w:r>
              <w:rPr>
                <w:rFonts w:ascii="Arial" w:cs="Arial" w:eastAsia="Arial" w:hAnsi="Arial"/>
                <w:sz w:val="18"/>
                <w:szCs w:val="18"/>
                <w:color w:val="auto"/>
                <w:w w:val="96"/>
              </w:rPr>
              <w:t>Vessel-owning company</w:t>
            </w:r>
          </w:p>
        </w:tc>
        <w:tc>
          <w:tcPr>
            <w:tcW w:w="1000" w:type="dxa"/>
            <w:vAlign w:val="bottom"/>
            <w:shd w:val="clear" w:color="auto" w:fill="E5FFFF"/>
          </w:tcPr>
          <w:p>
            <w:pPr>
              <w:ind w:left="140"/>
              <w:spacing w:after="0"/>
              <w:rPr>
                <w:sz w:val="20"/>
                <w:szCs w:val="20"/>
                <w:color w:val="auto"/>
              </w:rPr>
            </w:pPr>
            <w:r>
              <w:rPr>
                <w:rFonts w:ascii="Arial" w:cs="Arial" w:eastAsia="Arial" w:hAnsi="Arial"/>
                <w:sz w:val="18"/>
                <w:szCs w:val="18"/>
                <w:color w:val="auto"/>
              </w:rPr>
              <w:t>155,000</w:t>
            </w:r>
          </w:p>
        </w:tc>
        <w:tc>
          <w:tcPr>
            <w:tcW w:w="2120" w:type="dxa"/>
            <w:vAlign w:val="bottom"/>
            <w:shd w:val="clear" w:color="auto" w:fill="E5FFFF"/>
          </w:tcPr>
          <w:p>
            <w:pPr>
              <w:ind w:left="280"/>
              <w:spacing w:after="0"/>
              <w:rPr>
                <w:sz w:val="20"/>
                <w:szCs w:val="20"/>
                <w:color w:val="auto"/>
              </w:rPr>
            </w:pPr>
            <w:r>
              <w:rPr>
                <w:rFonts w:ascii="Arial" w:cs="Arial" w:eastAsia="Arial" w:hAnsi="Arial"/>
                <w:sz w:val="18"/>
                <w:szCs w:val="18"/>
                <w:i w:val="1"/>
                <w:iCs w:val="1"/>
                <w:color w:val="auto"/>
              </w:rPr>
              <w:t>GasLog Sydney</w:t>
            </w:r>
          </w:p>
        </w:tc>
        <w:tc>
          <w:tcPr>
            <w:tcW w:w="1220" w:type="dxa"/>
            <w:vAlign w:val="bottom"/>
            <w:shd w:val="clear" w:color="auto" w:fill="E5FFFF"/>
          </w:tcPr>
          <w:p>
            <w:pPr>
              <w:ind w:left="80"/>
              <w:spacing w:after="0"/>
              <w:rPr>
                <w:sz w:val="20"/>
                <w:szCs w:val="20"/>
                <w:color w:val="auto"/>
              </w:rPr>
            </w:pPr>
            <w:r>
              <w:rPr>
                <w:rFonts w:ascii="Arial" w:cs="Arial" w:eastAsia="Arial" w:hAnsi="Arial"/>
                <w:sz w:val="18"/>
                <w:szCs w:val="18"/>
                <w:color w:val="auto"/>
              </w:rPr>
              <w:t>May 2013</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GAS-sixteen Ltd.</w:t>
            </w:r>
          </w:p>
        </w:tc>
        <w:tc>
          <w:tcPr>
            <w:tcW w:w="1520" w:type="dxa"/>
            <w:vAlign w:val="bottom"/>
          </w:tcPr>
          <w:p>
            <w:pPr>
              <w:ind w:left="220"/>
              <w:spacing w:after="0"/>
              <w:rPr>
                <w:sz w:val="20"/>
                <w:szCs w:val="20"/>
                <w:color w:val="auto"/>
              </w:rPr>
            </w:pPr>
            <w:r>
              <w:rPr>
                <w:rFonts w:ascii="Arial" w:cs="Arial" w:eastAsia="Arial" w:hAnsi="Arial"/>
                <w:sz w:val="18"/>
                <w:szCs w:val="18"/>
                <w:color w:val="auto"/>
              </w:rPr>
              <w:t>Bermuda</w:t>
            </w:r>
          </w:p>
        </w:tc>
        <w:tc>
          <w:tcPr>
            <w:tcW w:w="1360" w:type="dxa"/>
            <w:vAlign w:val="bottom"/>
          </w:tcPr>
          <w:p>
            <w:pPr>
              <w:ind w:left="80"/>
              <w:spacing w:after="0"/>
              <w:rPr>
                <w:sz w:val="20"/>
                <w:szCs w:val="20"/>
                <w:color w:val="auto"/>
              </w:rPr>
            </w:pPr>
            <w:r>
              <w:rPr>
                <w:rFonts w:ascii="Arial" w:cs="Arial" w:eastAsia="Arial" w:hAnsi="Arial"/>
                <w:sz w:val="18"/>
                <w:szCs w:val="18"/>
                <w:color w:val="auto"/>
              </w:rPr>
              <w:t>January 2014</w:t>
            </w:r>
          </w:p>
        </w:tc>
        <w:tc>
          <w:tcPr>
            <w:tcW w:w="2000" w:type="dxa"/>
            <w:vAlign w:val="bottom"/>
          </w:tcPr>
          <w:p>
            <w:pPr>
              <w:ind w:left="100"/>
              <w:spacing w:after="0"/>
              <w:rPr>
                <w:sz w:val="20"/>
                <w:szCs w:val="20"/>
                <w:color w:val="auto"/>
              </w:rPr>
            </w:pPr>
            <w:r>
              <w:rPr>
                <w:rFonts w:ascii="Arial" w:cs="Arial" w:eastAsia="Arial" w:hAnsi="Arial"/>
                <w:sz w:val="18"/>
                <w:szCs w:val="18"/>
                <w:color w:val="auto"/>
                <w:w w:val="96"/>
              </w:rPr>
              <w:t>Vessel-owning company</w:t>
            </w:r>
          </w:p>
        </w:tc>
        <w:tc>
          <w:tcPr>
            <w:tcW w:w="1000" w:type="dxa"/>
            <w:vAlign w:val="bottom"/>
          </w:tcPr>
          <w:p>
            <w:pPr>
              <w:ind w:left="140"/>
              <w:spacing w:after="0"/>
              <w:rPr>
                <w:sz w:val="20"/>
                <w:szCs w:val="20"/>
                <w:color w:val="auto"/>
              </w:rPr>
            </w:pPr>
            <w:r>
              <w:rPr>
                <w:rFonts w:ascii="Arial" w:cs="Arial" w:eastAsia="Arial" w:hAnsi="Arial"/>
                <w:sz w:val="18"/>
                <w:szCs w:val="18"/>
                <w:color w:val="auto"/>
              </w:rPr>
              <w:t>145,000</w:t>
            </w:r>
          </w:p>
        </w:tc>
        <w:tc>
          <w:tcPr>
            <w:tcW w:w="2120" w:type="dxa"/>
            <w:vAlign w:val="bottom"/>
          </w:tcPr>
          <w:p>
            <w:pPr>
              <w:ind w:left="280"/>
              <w:spacing w:after="0"/>
              <w:rPr>
                <w:sz w:val="20"/>
                <w:szCs w:val="20"/>
                <w:color w:val="auto"/>
              </w:rPr>
            </w:pPr>
            <w:r>
              <w:rPr>
                <w:rFonts w:ascii="Arial" w:cs="Arial" w:eastAsia="Arial" w:hAnsi="Arial"/>
                <w:sz w:val="18"/>
                <w:szCs w:val="18"/>
                <w:i w:val="1"/>
                <w:iCs w:val="1"/>
                <w:color w:val="auto"/>
              </w:rPr>
              <w:t>Methane Rita Andrea</w:t>
            </w:r>
          </w:p>
        </w:tc>
        <w:tc>
          <w:tcPr>
            <w:tcW w:w="1220" w:type="dxa"/>
            <w:vAlign w:val="bottom"/>
          </w:tcPr>
          <w:p>
            <w:pPr>
              <w:ind w:left="80"/>
              <w:spacing w:after="0"/>
              <w:rPr>
                <w:sz w:val="20"/>
                <w:szCs w:val="20"/>
                <w:color w:val="auto"/>
              </w:rPr>
            </w:pPr>
            <w:r>
              <w:rPr>
                <w:rFonts w:ascii="Arial" w:cs="Arial" w:eastAsia="Arial" w:hAnsi="Arial"/>
                <w:sz w:val="18"/>
                <w:szCs w:val="18"/>
                <w:color w:val="auto"/>
              </w:rPr>
              <w:t>April 2014</w:t>
            </w:r>
          </w:p>
        </w:tc>
      </w:tr>
      <w:tr>
        <w:trPr>
          <w:trHeight w:val="216"/>
        </w:trPr>
        <w:tc>
          <w:tcPr>
            <w:tcW w:w="2200" w:type="dxa"/>
            <w:vAlign w:val="bottom"/>
            <w:shd w:val="clear" w:color="auto" w:fill="E5FFFF"/>
          </w:tcPr>
          <w:p>
            <w:pPr>
              <w:spacing w:after="0"/>
              <w:rPr>
                <w:sz w:val="20"/>
                <w:szCs w:val="20"/>
                <w:color w:val="auto"/>
              </w:rPr>
            </w:pPr>
            <w:r>
              <w:rPr>
                <w:rFonts w:ascii="Arial" w:cs="Arial" w:eastAsia="Arial" w:hAnsi="Arial"/>
                <w:sz w:val="18"/>
                <w:szCs w:val="18"/>
                <w:color w:val="auto"/>
              </w:rPr>
              <w:t>GAS-seventeen Ltd.</w:t>
            </w:r>
          </w:p>
        </w:tc>
        <w:tc>
          <w:tcPr>
            <w:tcW w:w="1520" w:type="dxa"/>
            <w:vAlign w:val="bottom"/>
            <w:shd w:val="clear" w:color="auto" w:fill="E5FFFF"/>
          </w:tcPr>
          <w:p>
            <w:pPr>
              <w:ind w:left="220"/>
              <w:spacing w:after="0"/>
              <w:rPr>
                <w:sz w:val="20"/>
                <w:szCs w:val="20"/>
                <w:color w:val="auto"/>
              </w:rPr>
            </w:pPr>
            <w:r>
              <w:rPr>
                <w:rFonts w:ascii="Arial" w:cs="Arial" w:eastAsia="Arial" w:hAnsi="Arial"/>
                <w:sz w:val="18"/>
                <w:szCs w:val="18"/>
                <w:color w:val="auto"/>
              </w:rPr>
              <w:t>Bermuda</w:t>
            </w:r>
          </w:p>
        </w:tc>
        <w:tc>
          <w:tcPr>
            <w:tcW w:w="1360" w:type="dxa"/>
            <w:vAlign w:val="bottom"/>
            <w:shd w:val="clear" w:color="auto" w:fill="E5FFFF"/>
          </w:tcPr>
          <w:p>
            <w:pPr>
              <w:ind w:left="80"/>
              <w:spacing w:after="0"/>
              <w:rPr>
                <w:sz w:val="20"/>
                <w:szCs w:val="20"/>
                <w:color w:val="auto"/>
              </w:rPr>
            </w:pPr>
            <w:r>
              <w:rPr>
                <w:rFonts w:ascii="Arial" w:cs="Arial" w:eastAsia="Arial" w:hAnsi="Arial"/>
                <w:sz w:val="18"/>
                <w:szCs w:val="18"/>
                <w:color w:val="auto"/>
              </w:rPr>
              <w:t>January 2014</w:t>
            </w:r>
          </w:p>
        </w:tc>
        <w:tc>
          <w:tcPr>
            <w:tcW w:w="2000" w:type="dxa"/>
            <w:vAlign w:val="bottom"/>
            <w:shd w:val="clear" w:color="auto" w:fill="E5FFFF"/>
          </w:tcPr>
          <w:p>
            <w:pPr>
              <w:ind w:left="100"/>
              <w:spacing w:after="0"/>
              <w:rPr>
                <w:sz w:val="20"/>
                <w:szCs w:val="20"/>
                <w:color w:val="auto"/>
              </w:rPr>
            </w:pPr>
            <w:r>
              <w:rPr>
                <w:rFonts w:ascii="Arial" w:cs="Arial" w:eastAsia="Arial" w:hAnsi="Arial"/>
                <w:sz w:val="18"/>
                <w:szCs w:val="18"/>
                <w:color w:val="auto"/>
                <w:w w:val="96"/>
              </w:rPr>
              <w:t>Vessel-owning company</w:t>
            </w:r>
          </w:p>
        </w:tc>
        <w:tc>
          <w:tcPr>
            <w:tcW w:w="1000" w:type="dxa"/>
            <w:vAlign w:val="bottom"/>
            <w:shd w:val="clear" w:color="auto" w:fill="E5FFFF"/>
          </w:tcPr>
          <w:p>
            <w:pPr>
              <w:ind w:left="140"/>
              <w:spacing w:after="0"/>
              <w:rPr>
                <w:sz w:val="20"/>
                <w:szCs w:val="20"/>
                <w:color w:val="auto"/>
              </w:rPr>
            </w:pPr>
            <w:r>
              <w:rPr>
                <w:rFonts w:ascii="Arial" w:cs="Arial" w:eastAsia="Arial" w:hAnsi="Arial"/>
                <w:sz w:val="18"/>
                <w:szCs w:val="18"/>
                <w:color w:val="auto"/>
              </w:rPr>
              <w:t>145,000</w:t>
            </w:r>
          </w:p>
        </w:tc>
        <w:tc>
          <w:tcPr>
            <w:tcW w:w="2120" w:type="dxa"/>
            <w:vAlign w:val="bottom"/>
            <w:shd w:val="clear" w:color="auto" w:fill="E5FFFF"/>
          </w:tcPr>
          <w:p>
            <w:pPr>
              <w:ind w:left="280"/>
              <w:spacing w:after="0"/>
              <w:rPr>
                <w:sz w:val="20"/>
                <w:szCs w:val="20"/>
                <w:color w:val="auto"/>
              </w:rPr>
            </w:pPr>
            <w:r>
              <w:rPr>
                <w:rFonts w:ascii="Arial" w:cs="Arial" w:eastAsia="Arial" w:hAnsi="Arial"/>
                <w:sz w:val="18"/>
                <w:szCs w:val="18"/>
                <w:i w:val="1"/>
                <w:iCs w:val="1"/>
                <w:color w:val="auto"/>
                <w:w w:val="94"/>
              </w:rPr>
              <w:t>Methane Jane Elizabeth</w:t>
            </w:r>
          </w:p>
        </w:tc>
        <w:tc>
          <w:tcPr>
            <w:tcW w:w="1220" w:type="dxa"/>
            <w:vAlign w:val="bottom"/>
            <w:shd w:val="clear" w:color="auto" w:fill="E5FFFF"/>
          </w:tcPr>
          <w:p>
            <w:pPr>
              <w:ind w:left="80"/>
              <w:spacing w:after="0"/>
              <w:rPr>
                <w:sz w:val="20"/>
                <w:szCs w:val="20"/>
                <w:color w:val="auto"/>
              </w:rPr>
            </w:pPr>
            <w:r>
              <w:rPr>
                <w:rFonts w:ascii="Arial" w:cs="Arial" w:eastAsia="Arial" w:hAnsi="Arial"/>
                <w:sz w:val="18"/>
                <w:szCs w:val="18"/>
                <w:color w:val="auto"/>
              </w:rPr>
              <w:t>April 2014</w:t>
            </w:r>
          </w:p>
        </w:tc>
      </w:tr>
      <w:tr>
        <w:trPr>
          <w:trHeight w:val="257"/>
        </w:trPr>
        <w:tc>
          <w:tcPr>
            <w:tcW w:w="2200" w:type="dxa"/>
            <w:vAlign w:val="bottom"/>
          </w:tcPr>
          <w:p>
            <w:pPr>
              <w:spacing w:after="0"/>
              <w:rPr>
                <w:sz w:val="20"/>
                <w:szCs w:val="20"/>
                <w:color w:val="auto"/>
              </w:rPr>
            </w:pPr>
            <w:r>
              <w:rPr>
                <w:rFonts w:ascii="Arial" w:cs="Arial" w:eastAsia="Arial" w:hAnsi="Arial"/>
                <w:sz w:val="18"/>
                <w:szCs w:val="18"/>
                <w:color w:val="auto"/>
              </w:rPr>
              <w:t>GAS-nineteen Ltd.</w:t>
            </w:r>
          </w:p>
        </w:tc>
        <w:tc>
          <w:tcPr>
            <w:tcW w:w="1520" w:type="dxa"/>
            <w:vAlign w:val="bottom"/>
          </w:tcPr>
          <w:p>
            <w:pPr>
              <w:ind w:left="220"/>
              <w:spacing w:after="0"/>
              <w:rPr>
                <w:sz w:val="20"/>
                <w:szCs w:val="20"/>
                <w:color w:val="auto"/>
              </w:rPr>
            </w:pPr>
            <w:r>
              <w:rPr>
                <w:rFonts w:ascii="Arial" w:cs="Arial" w:eastAsia="Arial" w:hAnsi="Arial"/>
                <w:sz w:val="18"/>
                <w:szCs w:val="18"/>
                <w:color w:val="auto"/>
              </w:rPr>
              <w:t>Bermuda</w:t>
            </w:r>
          </w:p>
        </w:tc>
        <w:tc>
          <w:tcPr>
            <w:tcW w:w="1360" w:type="dxa"/>
            <w:vAlign w:val="bottom"/>
          </w:tcPr>
          <w:p>
            <w:pPr>
              <w:ind w:left="80"/>
              <w:spacing w:after="0"/>
              <w:rPr>
                <w:sz w:val="20"/>
                <w:szCs w:val="20"/>
                <w:color w:val="auto"/>
              </w:rPr>
            </w:pPr>
            <w:r>
              <w:rPr>
                <w:rFonts w:ascii="Arial" w:cs="Arial" w:eastAsia="Arial" w:hAnsi="Arial"/>
                <w:sz w:val="18"/>
                <w:szCs w:val="18"/>
                <w:color w:val="auto"/>
              </w:rPr>
              <w:t>April 2014</w:t>
            </w:r>
          </w:p>
        </w:tc>
        <w:tc>
          <w:tcPr>
            <w:tcW w:w="2000" w:type="dxa"/>
            <w:vAlign w:val="bottom"/>
          </w:tcPr>
          <w:p>
            <w:pPr>
              <w:ind w:left="100"/>
              <w:spacing w:after="0"/>
              <w:rPr>
                <w:sz w:val="20"/>
                <w:szCs w:val="20"/>
                <w:color w:val="auto"/>
              </w:rPr>
            </w:pPr>
            <w:r>
              <w:rPr>
                <w:rFonts w:ascii="Arial" w:cs="Arial" w:eastAsia="Arial" w:hAnsi="Arial"/>
                <w:sz w:val="18"/>
                <w:szCs w:val="18"/>
                <w:color w:val="auto"/>
                <w:w w:val="96"/>
              </w:rPr>
              <w:t>Vessel-owning company</w:t>
            </w:r>
          </w:p>
        </w:tc>
        <w:tc>
          <w:tcPr>
            <w:tcW w:w="1000" w:type="dxa"/>
            <w:vAlign w:val="bottom"/>
          </w:tcPr>
          <w:p>
            <w:pPr>
              <w:ind w:left="140"/>
              <w:spacing w:after="0"/>
              <w:rPr>
                <w:sz w:val="20"/>
                <w:szCs w:val="20"/>
                <w:color w:val="auto"/>
              </w:rPr>
            </w:pPr>
            <w:r>
              <w:rPr>
                <w:rFonts w:ascii="Arial" w:cs="Arial" w:eastAsia="Arial" w:hAnsi="Arial"/>
                <w:sz w:val="18"/>
                <w:szCs w:val="18"/>
                <w:color w:val="auto"/>
              </w:rPr>
              <w:t>145,000</w:t>
            </w:r>
          </w:p>
        </w:tc>
        <w:tc>
          <w:tcPr>
            <w:tcW w:w="2120" w:type="dxa"/>
            <w:vAlign w:val="bottom"/>
          </w:tcPr>
          <w:p>
            <w:pPr>
              <w:ind w:left="280"/>
              <w:spacing w:after="0"/>
              <w:rPr>
                <w:sz w:val="20"/>
                <w:szCs w:val="20"/>
                <w:color w:val="auto"/>
              </w:rPr>
            </w:pPr>
            <w:r>
              <w:rPr>
                <w:rFonts w:ascii="Arial" w:cs="Arial" w:eastAsia="Arial" w:hAnsi="Arial"/>
                <w:sz w:val="18"/>
                <w:szCs w:val="18"/>
                <w:i w:val="1"/>
                <w:iCs w:val="1"/>
                <w:color w:val="auto"/>
                <w:w w:val="96"/>
              </w:rPr>
              <w:t>Methane Alison Victoria</w:t>
            </w:r>
          </w:p>
        </w:tc>
        <w:tc>
          <w:tcPr>
            <w:tcW w:w="1220" w:type="dxa"/>
            <w:vAlign w:val="bottom"/>
          </w:tcPr>
          <w:p>
            <w:pPr>
              <w:ind w:left="80"/>
              <w:spacing w:after="0"/>
              <w:rPr>
                <w:sz w:val="20"/>
                <w:szCs w:val="20"/>
                <w:color w:val="auto"/>
              </w:rPr>
            </w:pPr>
            <w:r>
              <w:rPr>
                <w:rFonts w:ascii="Arial" w:cs="Arial" w:eastAsia="Arial" w:hAnsi="Arial"/>
                <w:sz w:val="18"/>
                <w:szCs w:val="18"/>
                <w:color w:val="auto"/>
              </w:rPr>
              <w:t>June 2014</w:t>
            </w:r>
          </w:p>
        </w:tc>
      </w:tr>
      <w:tr>
        <w:trPr>
          <w:trHeight w:val="202"/>
        </w:trPr>
        <w:tc>
          <w:tcPr>
            <w:tcW w:w="220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GAS-twenty Ltd.</w:t>
            </w:r>
          </w:p>
        </w:tc>
        <w:tc>
          <w:tcPr>
            <w:tcW w:w="1520" w:type="dxa"/>
            <w:vAlign w:val="bottom"/>
            <w:shd w:val="clear" w:color="auto" w:fill="E5FFFF"/>
          </w:tcPr>
          <w:p>
            <w:pPr>
              <w:ind w:left="220"/>
              <w:spacing w:after="0" w:line="201" w:lineRule="exact"/>
              <w:rPr>
                <w:sz w:val="20"/>
                <w:szCs w:val="20"/>
                <w:color w:val="auto"/>
              </w:rPr>
            </w:pPr>
            <w:r>
              <w:rPr>
                <w:rFonts w:ascii="Arial" w:cs="Arial" w:eastAsia="Arial" w:hAnsi="Arial"/>
                <w:sz w:val="18"/>
                <w:szCs w:val="18"/>
                <w:color w:val="auto"/>
              </w:rPr>
              <w:t>Bermuda</w:t>
            </w:r>
          </w:p>
        </w:tc>
        <w:tc>
          <w:tcPr>
            <w:tcW w:w="1360" w:type="dxa"/>
            <w:vAlign w:val="bottom"/>
            <w:shd w:val="clear" w:color="auto" w:fill="E5FFFF"/>
          </w:tcPr>
          <w:p>
            <w:pPr>
              <w:ind w:left="80"/>
              <w:spacing w:after="0" w:line="201" w:lineRule="exact"/>
              <w:rPr>
                <w:sz w:val="20"/>
                <w:szCs w:val="20"/>
                <w:color w:val="auto"/>
              </w:rPr>
            </w:pPr>
            <w:r>
              <w:rPr>
                <w:rFonts w:ascii="Arial" w:cs="Arial" w:eastAsia="Arial" w:hAnsi="Arial"/>
                <w:sz w:val="18"/>
                <w:szCs w:val="18"/>
                <w:color w:val="auto"/>
              </w:rPr>
              <w:t>April 2014</w:t>
            </w:r>
          </w:p>
        </w:tc>
        <w:tc>
          <w:tcPr>
            <w:tcW w:w="2000" w:type="dxa"/>
            <w:vAlign w:val="bottom"/>
            <w:shd w:val="clear" w:color="auto" w:fill="E5FFFF"/>
          </w:tcPr>
          <w:p>
            <w:pPr>
              <w:ind w:left="100"/>
              <w:spacing w:after="0" w:line="201" w:lineRule="exact"/>
              <w:rPr>
                <w:sz w:val="20"/>
                <w:szCs w:val="20"/>
                <w:color w:val="auto"/>
              </w:rPr>
            </w:pPr>
            <w:r>
              <w:rPr>
                <w:rFonts w:ascii="Arial" w:cs="Arial" w:eastAsia="Arial" w:hAnsi="Arial"/>
                <w:sz w:val="18"/>
                <w:szCs w:val="18"/>
                <w:color w:val="auto"/>
                <w:w w:val="96"/>
              </w:rPr>
              <w:t>Vessel-owning company</w:t>
            </w:r>
          </w:p>
        </w:tc>
        <w:tc>
          <w:tcPr>
            <w:tcW w:w="1000" w:type="dxa"/>
            <w:vAlign w:val="bottom"/>
            <w:shd w:val="clear" w:color="auto" w:fill="E5FFFF"/>
          </w:tcPr>
          <w:p>
            <w:pPr>
              <w:ind w:left="140"/>
              <w:spacing w:after="0" w:line="201" w:lineRule="exact"/>
              <w:rPr>
                <w:sz w:val="20"/>
                <w:szCs w:val="20"/>
                <w:color w:val="auto"/>
              </w:rPr>
            </w:pPr>
            <w:r>
              <w:rPr>
                <w:rFonts w:ascii="Arial" w:cs="Arial" w:eastAsia="Arial" w:hAnsi="Arial"/>
                <w:sz w:val="18"/>
                <w:szCs w:val="18"/>
                <w:color w:val="auto"/>
              </w:rPr>
              <w:t>145,000</w:t>
            </w:r>
          </w:p>
        </w:tc>
        <w:tc>
          <w:tcPr>
            <w:tcW w:w="2120" w:type="dxa"/>
            <w:vAlign w:val="bottom"/>
            <w:shd w:val="clear" w:color="auto" w:fill="E5FFFF"/>
          </w:tcPr>
          <w:p>
            <w:pPr>
              <w:ind w:left="280"/>
              <w:spacing w:after="0" w:line="201" w:lineRule="exact"/>
              <w:rPr>
                <w:sz w:val="20"/>
                <w:szCs w:val="20"/>
                <w:color w:val="auto"/>
              </w:rPr>
            </w:pPr>
            <w:r>
              <w:rPr>
                <w:rFonts w:ascii="Arial" w:cs="Arial" w:eastAsia="Arial" w:hAnsi="Arial"/>
                <w:sz w:val="18"/>
                <w:szCs w:val="18"/>
                <w:i w:val="1"/>
                <w:iCs w:val="1"/>
                <w:color w:val="auto"/>
              </w:rPr>
              <w:t>Methane Shirley</w:t>
            </w:r>
          </w:p>
        </w:tc>
        <w:tc>
          <w:tcPr>
            <w:tcW w:w="1220" w:type="dxa"/>
            <w:vAlign w:val="bottom"/>
            <w:shd w:val="clear" w:color="auto" w:fill="E5FFFF"/>
          </w:tcPr>
          <w:p>
            <w:pPr>
              <w:ind w:left="80"/>
              <w:spacing w:after="0" w:line="201" w:lineRule="exact"/>
              <w:rPr>
                <w:sz w:val="20"/>
                <w:szCs w:val="20"/>
                <w:color w:val="auto"/>
              </w:rPr>
            </w:pPr>
            <w:r>
              <w:rPr>
                <w:rFonts w:ascii="Arial" w:cs="Arial" w:eastAsia="Arial" w:hAnsi="Arial"/>
                <w:sz w:val="18"/>
                <w:szCs w:val="18"/>
                <w:color w:val="auto"/>
              </w:rPr>
              <w:t>June 2014</w:t>
            </w:r>
          </w:p>
        </w:tc>
      </w:tr>
      <w:tr>
        <w:trPr>
          <w:trHeight w:val="230"/>
        </w:trPr>
        <w:tc>
          <w:tcPr>
            <w:tcW w:w="2200" w:type="dxa"/>
            <w:vAlign w:val="bottom"/>
            <w:shd w:val="clear" w:color="auto" w:fill="E5FFFF"/>
          </w:tcPr>
          <w:p>
            <w:pPr>
              <w:spacing w:after="0"/>
              <w:rPr>
                <w:sz w:val="20"/>
                <w:szCs w:val="20"/>
                <w:color w:val="auto"/>
              </w:rPr>
            </w:pPr>
          </w:p>
        </w:tc>
        <w:tc>
          <w:tcPr>
            <w:tcW w:w="1520" w:type="dxa"/>
            <w:vAlign w:val="bottom"/>
            <w:shd w:val="clear" w:color="auto" w:fill="E5FFFF"/>
          </w:tcPr>
          <w:p>
            <w:pPr>
              <w:spacing w:after="0"/>
              <w:rPr>
                <w:sz w:val="20"/>
                <w:szCs w:val="20"/>
                <w:color w:val="auto"/>
              </w:rPr>
            </w:pPr>
          </w:p>
        </w:tc>
        <w:tc>
          <w:tcPr>
            <w:tcW w:w="1360" w:type="dxa"/>
            <w:vAlign w:val="bottom"/>
            <w:shd w:val="clear" w:color="auto" w:fill="E5FFFF"/>
          </w:tcPr>
          <w:p>
            <w:pPr>
              <w:spacing w:after="0"/>
              <w:rPr>
                <w:sz w:val="20"/>
                <w:szCs w:val="20"/>
                <w:color w:val="auto"/>
              </w:rPr>
            </w:pPr>
          </w:p>
        </w:tc>
        <w:tc>
          <w:tcPr>
            <w:tcW w:w="2000" w:type="dxa"/>
            <w:vAlign w:val="bottom"/>
            <w:shd w:val="clear" w:color="auto" w:fill="E5FFFF"/>
          </w:tcPr>
          <w:p>
            <w:pPr>
              <w:spacing w:after="0"/>
              <w:rPr>
                <w:sz w:val="20"/>
                <w:szCs w:val="20"/>
                <w:color w:val="auto"/>
              </w:rPr>
            </w:pPr>
          </w:p>
        </w:tc>
        <w:tc>
          <w:tcPr>
            <w:tcW w:w="1000" w:type="dxa"/>
            <w:vAlign w:val="bottom"/>
            <w:shd w:val="clear" w:color="auto" w:fill="E5FFFF"/>
          </w:tcPr>
          <w:p>
            <w:pPr>
              <w:spacing w:after="0"/>
              <w:rPr>
                <w:sz w:val="20"/>
                <w:szCs w:val="20"/>
                <w:color w:val="auto"/>
              </w:rPr>
            </w:pPr>
          </w:p>
        </w:tc>
        <w:tc>
          <w:tcPr>
            <w:tcW w:w="2120" w:type="dxa"/>
            <w:vAlign w:val="bottom"/>
            <w:shd w:val="clear" w:color="auto" w:fill="E5FFFF"/>
          </w:tcPr>
          <w:p>
            <w:pPr>
              <w:ind w:left="280"/>
              <w:spacing w:after="0"/>
              <w:rPr>
                <w:sz w:val="20"/>
                <w:szCs w:val="20"/>
                <w:color w:val="auto"/>
              </w:rPr>
            </w:pPr>
            <w:r>
              <w:rPr>
                <w:rFonts w:ascii="Arial" w:cs="Arial" w:eastAsia="Arial" w:hAnsi="Arial"/>
                <w:sz w:val="18"/>
                <w:szCs w:val="18"/>
                <w:i w:val="1"/>
                <w:iCs w:val="1"/>
                <w:color w:val="auto"/>
              </w:rPr>
              <w:t>Elisabeth</w:t>
            </w:r>
          </w:p>
        </w:tc>
        <w:tc>
          <w:tcPr>
            <w:tcW w:w="1220" w:type="dxa"/>
            <w:vAlign w:val="bottom"/>
            <w:shd w:val="clear" w:color="auto" w:fill="E5FFFF"/>
          </w:tcPr>
          <w:p>
            <w:pPr>
              <w:spacing w:after="0"/>
              <w:rPr>
                <w:sz w:val="20"/>
                <w:szCs w:val="20"/>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GAS-twenty one Ltd.</w:t>
            </w:r>
          </w:p>
        </w:tc>
        <w:tc>
          <w:tcPr>
            <w:tcW w:w="1520" w:type="dxa"/>
            <w:vAlign w:val="bottom"/>
          </w:tcPr>
          <w:p>
            <w:pPr>
              <w:ind w:left="220"/>
              <w:spacing w:after="0"/>
              <w:rPr>
                <w:sz w:val="20"/>
                <w:szCs w:val="20"/>
                <w:color w:val="auto"/>
              </w:rPr>
            </w:pPr>
            <w:r>
              <w:rPr>
                <w:rFonts w:ascii="Arial" w:cs="Arial" w:eastAsia="Arial" w:hAnsi="Arial"/>
                <w:sz w:val="18"/>
                <w:szCs w:val="18"/>
                <w:color w:val="auto"/>
              </w:rPr>
              <w:t>Bermuda</w:t>
            </w:r>
          </w:p>
        </w:tc>
        <w:tc>
          <w:tcPr>
            <w:tcW w:w="1360" w:type="dxa"/>
            <w:vAlign w:val="bottom"/>
          </w:tcPr>
          <w:p>
            <w:pPr>
              <w:ind w:left="80"/>
              <w:spacing w:after="0"/>
              <w:rPr>
                <w:sz w:val="20"/>
                <w:szCs w:val="20"/>
                <w:color w:val="auto"/>
              </w:rPr>
            </w:pPr>
            <w:r>
              <w:rPr>
                <w:rFonts w:ascii="Arial" w:cs="Arial" w:eastAsia="Arial" w:hAnsi="Arial"/>
                <w:sz w:val="18"/>
                <w:szCs w:val="18"/>
                <w:color w:val="auto"/>
              </w:rPr>
              <w:t>April 2014</w:t>
            </w:r>
          </w:p>
        </w:tc>
        <w:tc>
          <w:tcPr>
            <w:tcW w:w="2000" w:type="dxa"/>
            <w:vAlign w:val="bottom"/>
          </w:tcPr>
          <w:p>
            <w:pPr>
              <w:ind w:left="100"/>
              <w:spacing w:after="0"/>
              <w:rPr>
                <w:sz w:val="20"/>
                <w:szCs w:val="20"/>
                <w:color w:val="auto"/>
              </w:rPr>
            </w:pPr>
            <w:r>
              <w:rPr>
                <w:rFonts w:ascii="Arial" w:cs="Arial" w:eastAsia="Arial" w:hAnsi="Arial"/>
                <w:sz w:val="18"/>
                <w:szCs w:val="18"/>
                <w:color w:val="auto"/>
                <w:w w:val="96"/>
              </w:rPr>
              <w:t>Vessel-owning company</w:t>
            </w:r>
          </w:p>
        </w:tc>
        <w:tc>
          <w:tcPr>
            <w:tcW w:w="1000" w:type="dxa"/>
            <w:vAlign w:val="bottom"/>
          </w:tcPr>
          <w:p>
            <w:pPr>
              <w:ind w:left="140"/>
              <w:spacing w:after="0"/>
              <w:rPr>
                <w:sz w:val="20"/>
                <w:szCs w:val="20"/>
                <w:color w:val="auto"/>
              </w:rPr>
            </w:pPr>
            <w:r>
              <w:rPr>
                <w:rFonts w:ascii="Arial" w:cs="Arial" w:eastAsia="Arial" w:hAnsi="Arial"/>
                <w:sz w:val="18"/>
                <w:szCs w:val="18"/>
                <w:color w:val="auto"/>
              </w:rPr>
              <w:t>145,000</w:t>
            </w:r>
          </w:p>
        </w:tc>
        <w:tc>
          <w:tcPr>
            <w:tcW w:w="2120" w:type="dxa"/>
            <w:vAlign w:val="bottom"/>
          </w:tcPr>
          <w:p>
            <w:pPr>
              <w:ind w:left="280"/>
              <w:spacing w:after="0"/>
              <w:rPr>
                <w:sz w:val="20"/>
                <w:szCs w:val="20"/>
                <w:color w:val="auto"/>
              </w:rPr>
            </w:pPr>
            <w:r>
              <w:rPr>
                <w:rFonts w:ascii="Arial" w:cs="Arial" w:eastAsia="Arial" w:hAnsi="Arial"/>
                <w:sz w:val="18"/>
                <w:szCs w:val="18"/>
                <w:i w:val="1"/>
                <w:iCs w:val="1"/>
                <w:color w:val="auto"/>
                <w:w w:val="99"/>
              </w:rPr>
              <w:t>Methane Heather Sally</w:t>
            </w:r>
          </w:p>
        </w:tc>
        <w:tc>
          <w:tcPr>
            <w:tcW w:w="1220" w:type="dxa"/>
            <w:vAlign w:val="bottom"/>
          </w:tcPr>
          <w:p>
            <w:pPr>
              <w:ind w:left="80"/>
              <w:spacing w:after="0"/>
              <w:rPr>
                <w:sz w:val="20"/>
                <w:szCs w:val="20"/>
                <w:color w:val="auto"/>
              </w:rPr>
            </w:pPr>
            <w:r>
              <w:rPr>
                <w:rFonts w:ascii="Arial" w:cs="Arial" w:eastAsia="Arial" w:hAnsi="Arial"/>
                <w:sz w:val="18"/>
                <w:szCs w:val="18"/>
                <w:color w:val="auto"/>
              </w:rPr>
              <w:t>June 2014</w:t>
            </w:r>
          </w:p>
        </w:tc>
      </w:tr>
      <w:tr>
        <w:trPr>
          <w:trHeight w:val="216"/>
        </w:trPr>
        <w:tc>
          <w:tcPr>
            <w:tcW w:w="220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25% interest associates:</w:t>
            </w:r>
          </w:p>
        </w:tc>
        <w:tc>
          <w:tcPr>
            <w:tcW w:w="1520" w:type="dxa"/>
            <w:vAlign w:val="bottom"/>
            <w:shd w:val="clear" w:color="auto" w:fill="E5FFFF"/>
          </w:tcPr>
          <w:p>
            <w:pPr>
              <w:spacing w:after="0"/>
              <w:rPr>
                <w:sz w:val="18"/>
                <w:szCs w:val="18"/>
                <w:color w:val="auto"/>
              </w:rPr>
            </w:pPr>
          </w:p>
        </w:tc>
        <w:tc>
          <w:tcPr>
            <w:tcW w:w="1360" w:type="dxa"/>
            <w:vAlign w:val="bottom"/>
            <w:shd w:val="clear" w:color="auto" w:fill="E5FFFF"/>
          </w:tcPr>
          <w:p>
            <w:pPr>
              <w:spacing w:after="0"/>
              <w:rPr>
                <w:sz w:val="18"/>
                <w:szCs w:val="18"/>
                <w:color w:val="auto"/>
              </w:rPr>
            </w:pPr>
          </w:p>
        </w:tc>
        <w:tc>
          <w:tcPr>
            <w:tcW w:w="200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2120" w:type="dxa"/>
            <w:vAlign w:val="bottom"/>
            <w:shd w:val="clear" w:color="auto" w:fill="E5FFFF"/>
          </w:tcPr>
          <w:p>
            <w:pPr>
              <w:spacing w:after="0"/>
              <w:rPr>
                <w:sz w:val="18"/>
                <w:szCs w:val="18"/>
                <w:color w:val="auto"/>
              </w:rPr>
            </w:pPr>
          </w:p>
        </w:tc>
        <w:tc>
          <w:tcPr>
            <w:tcW w:w="1220" w:type="dxa"/>
            <w:vAlign w:val="bottom"/>
            <w:shd w:val="clear" w:color="auto" w:fill="E5FFFF"/>
          </w:tcPr>
          <w:p>
            <w:pPr>
              <w:spacing w:after="0"/>
              <w:rPr>
                <w:sz w:val="18"/>
                <w:szCs w:val="18"/>
                <w:color w:val="auto"/>
              </w:rPr>
            </w:pPr>
          </w:p>
        </w:tc>
      </w:tr>
      <w:tr>
        <w:trPr>
          <w:trHeight w:val="202"/>
        </w:trPr>
        <w:tc>
          <w:tcPr>
            <w:tcW w:w="2200" w:type="dxa"/>
            <w:vAlign w:val="bottom"/>
          </w:tcPr>
          <w:p>
            <w:pPr>
              <w:spacing w:after="0" w:line="201" w:lineRule="exact"/>
              <w:rPr>
                <w:sz w:val="20"/>
                <w:szCs w:val="20"/>
                <w:color w:val="auto"/>
              </w:rPr>
            </w:pPr>
            <w:r>
              <w:rPr>
                <w:rFonts w:ascii="Arial" w:cs="Arial" w:eastAsia="Arial" w:hAnsi="Arial"/>
                <w:sz w:val="18"/>
                <w:szCs w:val="18"/>
                <w:color w:val="auto"/>
              </w:rPr>
              <w:t>Egypt LNG Shipping Ltd.</w:t>
            </w:r>
          </w:p>
        </w:tc>
        <w:tc>
          <w:tcPr>
            <w:tcW w:w="1520" w:type="dxa"/>
            <w:vAlign w:val="bottom"/>
          </w:tcPr>
          <w:p>
            <w:pPr>
              <w:ind w:left="220"/>
              <w:spacing w:after="0" w:line="201" w:lineRule="exact"/>
              <w:rPr>
                <w:sz w:val="20"/>
                <w:szCs w:val="20"/>
                <w:color w:val="auto"/>
              </w:rPr>
            </w:pPr>
            <w:r>
              <w:rPr>
                <w:rFonts w:ascii="Arial" w:cs="Arial" w:eastAsia="Arial" w:hAnsi="Arial"/>
                <w:sz w:val="18"/>
                <w:szCs w:val="18"/>
                <w:color w:val="auto"/>
              </w:rPr>
              <w:t>Bermuda</w:t>
            </w:r>
          </w:p>
        </w:tc>
        <w:tc>
          <w:tcPr>
            <w:tcW w:w="1360" w:type="dxa"/>
            <w:vAlign w:val="bottom"/>
          </w:tcPr>
          <w:p>
            <w:pPr>
              <w:ind w:left="80"/>
              <w:spacing w:after="0" w:line="201" w:lineRule="exact"/>
              <w:rPr>
                <w:sz w:val="20"/>
                <w:szCs w:val="20"/>
                <w:color w:val="auto"/>
              </w:rPr>
            </w:pPr>
            <w:r>
              <w:rPr>
                <w:rFonts w:ascii="Arial" w:cs="Arial" w:eastAsia="Arial" w:hAnsi="Arial"/>
                <w:sz w:val="18"/>
                <w:szCs w:val="18"/>
                <w:color w:val="auto"/>
              </w:rPr>
              <w:t>May 2010</w:t>
            </w:r>
          </w:p>
        </w:tc>
        <w:tc>
          <w:tcPr>
            <w:tcW w:w="2000" w:type="dxa"/>
            <w:vAlign w:val="bottom"/>
          </w:tcPr>
          <w:p>
            <w:pPr>
              <w:ind w:left="100"/>
              <w:spacing w:after="0" w:line="201" w:lineRule="exact"/>
              <w:rPr>
                <w:sz w:val="20"/>
                <w:szCs w:val="20"/>
                <w:color w:val="auto"/>
              </w:rPr>
            </w:pPr>
            <w:r>
              <w:rPr>
                <w:rFonts w:ascii="Arial" w:cs="Arial" w:eastAsia="Arial" w:hAnsi="Arial"/>
                <w:sz w:val="18"/>
                <w:szCs w:val="18"/>
                <w:color w:val="auto"/>
                <w:w w:val="96"/>
              </w:rPr>
              <w:t>Vessel-owning company</w:t>
            </w:r>
          </w:p>
        </w:tc>
        <w:tc>
          <w:tcPr>
            <w:tcW w:w="1000" w:type="dxa"/>
            <w:vAlign w:val="bottom"/>
          </w:tcPr>
          <w:p>
            <w:pPr>
              <w:ind w:left="140"/>
              <w:spacing w:after="0" w:line="201" w:lineRule="exact"/>
              <w:rPr>
                <w:sz w:val="20"/>
                <w:szCs w:val="20"/>
                <w:color w:val="auto"/>
              </w:rPr>
            </w:pPr>
            <w:r>
              <w:rPr>
                <w:rFonts w:ascii="Arial" w:cs="Arial" w:eastAsia="Arial" w:hAnsi="Arial"/>
                <w:sz w:val="18"/>
                <w:szCs w:val="18"/>
                <w:color w:val="auto"/>
              </w:rPr>
              <w:t>145,000</w:t>
            </w:r>
          </w:p>
        </w:tc>
        <w:tc>
          <w:tcPr>
            <w:tcW w:w="2120" w:type="dxa"/>
            <w:vAlign w:val="bottom"/>
          </w:tcPr>
          <w:p>
            <w:pPr>
              <w:ind w:left="280"/>
              <w:spacing w:after="0" w:line="201" w:lineRule="exact"/>
              <w:rPr>
                <w:sz w:val="20"/>
                <w:szCs w:val="20"/>
                <w:color w:val="auto"/>
              </w:rPr>
            </w:pPr>
            <w:r>
              <w:rPr>
                <w:rFonts w:ascii="Arial" w:cs="Arial" w:eastAsia="Arial" w:hAnsi="Arial"/>
                <w:sz w:val="18"/>
                <w:szCs w:val="18"/>
                <w:i w:val="1"/>
                <w:iCs w:val="1"/>
                <w:color w:val="auto"/>
              </w:rPr>
              <w:t>Methane Nile Eagle</w:t>
            </w:r>
          </w:p>
        </w:tc>
        <w:tc>
          <w:tcPr>
            <w:tcW w:w="1220" w:type="dxa"/>
            <w:vAlign w:val="bottom"/>
          </w:tcPr>
          <w:p>
            <w:pPr>
              <w:ind w:left="80"/>
              <w:spacing w:after="0" w:line="201" w:lineRule="exact"/>
              <w:rPr>
                <w:sz w:val="20"/>
                <w:szCs w:val="20"/>
                <w:color w:val="auto"/>
              </w:rPr>
            </w:pPr>
            <w:r>
              <w:rPr>
                <w:rFonts w:ascii="Arial" w:cs="Arial" w:eastAsia="Arial" w:hAnsi="Arial"/>
                <w:sz w:val="18"/>
                <w:szCs w:val="18"/>
                <w:color w:val="auto"/>
              </w:rPr>
              <w:t>December</w:t>
            </w:r>
          </w:p>
        </w:tc>
      </w:tr>
      <w:tr>
        <w:trPr>
          <w:trHeight w:val="230"/>
        </w:trPr>
        <w:tc>
          <w:tcPr>
            <w:tcW w:w="2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20" w:type="dxa"/>
            <w:vAlign w:val="bottom"/>
          </w:tcPr>
          <w:p>
            <w:pPr>
              <w:ind w:left="80"/>
              <w:spacing w:after="0"/>
              <w:rPr>
                <w:sz w:val="20"/>
                <w:szCs w:val="20"/>
                <w:color w:val="auto"/>
              </w:rPr>
            </w:pPr>
            <w:r>
              <w:rPr>
                <w:rFonts w:ascii="Arial" w:cs="Arial" w:eastAsia="Arial" w:hAnsi="Arial"/>
                <w:sz w:val="18"/>
                <w:szCs w:val="18"/>
                <w:color w:val="auto"/>
              </w:rPr>
              <w:t>2007</w:t>
            </w:r>
          </w:p>
        </w:tc>
      </w:tr>
      <w:tr>
        <w:trPr>
          <w:trHeight w:val="216"/>
        </w:trPr>
        <w:tc>
          <w:tcPr>
            <w:tcW w:w="220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33.33% joint venture:</w:t>
            </w:r>
          </w:p>
        </w:tc>
        <w:tc>
          <w:tcPr>
            <w:tcW w:w="1520" w:type="dxa"/>
            <w:vAlign w:val="bottom"/>
            <w:shd w:val="clear" w:color="auto" w:fill="E5FFFF"/>
          </w:tcPr>
          <w:p>
            <w:pPr>
              <w:spacing w:after="0"/>
              <w:rPr>
                <w:sz w:val="18"/>
                <w:szCs w:val="18"/>
                <w:color w:val="auto"/>
              </w:rPr>
            </w:pPr>
          </w:p>
        </w:tc>
        <w:tc>
          <w:tcPr>
            <w:tcW w:w="1360" w:type="dxa"/>
            <w:vAlign w:val="bottom"/>
            <w:shd w:val="clear" w:color="auto" w:fill="E5FFFF"/>
          </w:tcPr>
          <w:p>
            <w:pPr>
              <w:spacing w:after="0"/>
              <w:rPr>
                <w:sz w:val="18"/>
                <w:szCs w:val="18"/>
                <w:color w:val="auto"/>
              </w:rPr>
            </w:pPr>
          </w:p>
        </w:tc>
        <w:tc>
          <w:tcPr>
            <w:tcW w:w="200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2120" w:type="dxa"/>
            <w:vAlign w:val="bottom"/>
            <w:shd w:val="clear" w:color="auto" w:fill="E5FFFF"/>
          </w:tcPr>
          <w:p>
            <w:pPr>
              <w:spacing w:after="0"/>
              <w:rPr>
                <w:sz w:val="18"/>
                <w:szCs w:val="18"/>
                <w:color w:val="auto"/>
              </w:rPr>
            </w:pPr>
          </w:p>
        </w:tc>
        <w:tc>
          <w:tcPr>
            <w:tcW w:w="1220" w:type="dxa"/>
            <w:vAlign w:val="bottom"/>
            <w:shd w:val="clear" w:color="auto" w:fill="E5FFFF"/>
          </w:tcPr>
          <w:p>
            <w:pPr>
              <w:spacing w:after="0"/>
              <w:rPr>
                <w:sz w:val="18"/>
                <w:szCs w:val="18"/>
                <w:color w:val="auto"/>
              </w:rPr>
            </w:pPr>
          </w:p>
        </w:tc>
      </w:tr>
      <w:tr>
        <w:trPr>
          <w:trHeight w:val="242"/>
        </w:trPr>
        <w:tc>
          <w:tcPr>
            <w:tcW w:w="2200" w:type="dxa"/>
            <w:vAlign w:val="bottom"/>
          </w:tcPr>
          <w:p>
            <w:pPr>
              <w:spacing w:after="0"/>
              <w:rPr>
                <w:sz w:val="20"/>
                <w:szCs w:val="20"/>
                <w:color w:val="auto"/>
              </w:rPr>
            </w:pPr>
            <w:r>
              <w:rPr>
                <w:rFonts w:ascii="Arial" w:cs="Arial" w:eastAsia="Arial" w:hAnsi="Arial"/>
                <w:sz w:val="18"/>
                <w:szCs w:val="18"/>
                <w:color w:val="auto"/>
              </w:rPr>
              <w:t>The Cool Pool Limited (the</w:t>
            </w:r>
          </w:p>
        </w:tc>
        <w:tc>
          <w:tcPr>
            <w:tcW w:w="1520" w:type="dxa"/>
            <w:vAlign w:val="bottom"/>
          </w:tcPr>
          <w:p>
            <w:pPr>
              <w:ind w:left="220"/>
              <w:spacing w:after="0"/>
              <w:rPr>
                <w:sz w:val="20"/>
                <w:szCs w:val="20"/>
                <w:color w:val="auto"/>
              </w:rPr>
            </w:pPr>
            <w:r>
              <w:rPr>
                <w:rFonts w:ascii="Arial" w:cs="Arial" w:eastAsia="Arial" w:hAnsi="Arial"/>
                <w:sz w:val="18"/>
                <w:szCs w:val="18"/>
                <w:color w:val="auto"/>
                <w:w w:val="98"/>
              </w:rPr>
              <w:t>Marshall Islands</w:t>
            </w:r>
          </w:p>
        </w:tc>
        <w:tc>
          <w:tcPr>
            <w:tcW w:w="1360" w:type="dxa"/>
            <w:vAlign w:val="bottom"/>
          </w:tcPr>
          <w:p>
            <w:pPr>
              <w:ind w:left="80"/>
              <w:spacing w:after="0"/>
              <w:rPr>
                <w:sz w:val="20"/>
                <w:szCs w:val="20"/>
                <w:color w:val="auto"/>
              </w:rPr>
            </w:pPr>
            <w:r>
              <w:rPr>
                <w:rFonts w:ascii="Arial" w:cs="Arial" w:eastAsia="Arial" w:hAnsi="Arial"/>
                <w:sz w:val="18"/>
                <w:szCs w:val="18"/>
                <w:color w:val="auto"/>
                <w:w w:val="94"/>
              </w:rPr>
              <w:t>September 2015</w:t>
            </w:r>
          </w:p>
        </w:tc>
        <w:tc>
          <w:tcPr>
            <w:tcW w:w="2000" w:type="dxa"/>
            <w:vAlign w:val="bottom"/>
          </w:tcPr>
          <w:p>
            <w:pPr>
              <w:ind w:left="100"/>
              <w:spacing w:after="0"/>
              <w:rPr>
                <w:sz w:val="20"/>
                <w:szCs w:val="20"/>
                <w:color w:val="auto"/>
              </w:rPr>
            </w:pPr>
            <w:r>
              <w:rPr>
                <w:rFonts w:ascii="Arial" w:cs="Arial" w:eastAsia="Arial" w:hAnsi="Arial"/>
                <w:sz w:val="18"/>
                <w:szCs w:val="18"/>
                <w:color w:val="auto"/>
              </w:rPr>
              <w:t>Service company</w:t>
            </w:r>
          </w:p>
        </w:tc>
        <w:tc>
          <w:tcPr>
            <w:tcW w:w="1000" w:type="dxa"/>
            <w:vAlign w:val="bottom"/>
          </w:tcPr>
          <w:p>
            <w:pPr>
              <w:ind w:left="140"/>
              <w:spacing w:after="0"/>
              <w:rPr>
                <w:sz w:val="20"/>
                <w:szCs w:val="20"/>
                <w:color w:val="auto"/>
              </w:rPr>
            </w:pPr>
            <w:r>
              <w:rPr>
                <w:rFonts w:ascii="Arial" w:cs="Arial" w:eastAsia="Arial" w:hAnsi="Arial"/>
                <w:sz w:val="18"/>
                <w:szCs w:val="18"/>
                <w:color w:val="auto"/>
              </w:rPr>
              <w:t>—</w:t>
            </w:r>
          </w:p>
        </w:tc>
        <w:tc>
          <w:tcPr>
            <w:tcW w:w="2120" w:type="dxa"/>
            <w:vAlign w:val="bottom"/>
          </w:tcPr>
          <w:p>
            <w:pPr>
              <w:ind w:left="280"/>
              <w:spacing w:after="0"/>
              <w:rPr>
                <w:sz w:val="20"/>
                <w:szCs w:val="20"/>
                <w:color w:val="auto"/>
              </w:rPr>
            </w:pPr>
            <w:r>
              <w:rPr>
                <w:rFonts w:ascii="Arial" w:cs="Arial" w:eastAsia="Arial" w:hAnsi="Arial"/>
                <w:sz w:val="18"/>
                <w:szCs w:val="18"/>
                <w:color w:val="auto"/>
              </w:rPr>
              <w:t>—</w:t>
            </w:r>
          </w:p>
        </w:tc>
        <w:tc>
          <w:tcPr>
            <w:tcW w:w="122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30"/>
        </w:trPr>
        <w:tc>
          <w:tcPr>
            <w:tcW w:w="2200" w:type="dxa"/>
            <w:vAlign w:val="bottom"/>
          </w:tcPr>
          <w:p>
            <w:pPr>
              <w:ind w:left="180"/>
              <w:spacing w:after="0"/>
              <w:rPr>
                <w:sz w:val="20"/>
                <w:szCs w:val="20"/>
                <w:color w:val="auto"/>
              </w:rPr>
            </w:pPr>
            <w:r>
              <w:rPr>
                <w:rFonts w:ascii="Arial" w:cs="Arial" w:eastAsia="Arial" w:hAnsi="Arial"/>
                <w:sz w:val="18"/>
                <w:szCs w:val="18"/>
                <w:color w:val="auto"/>
              </w:rPr>
              <w:t>“Cool Pool”)</w:t>
            </w:r>
          </w:p>
        </w:tc>
        <w:tc>
          <w:tcPr>
            <w:tcW w:w="1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890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33" w:lineRule="exact"/>
        <w:rPr>
          <w:sz w:val="20"/>
          <w:szCs w:val="20"/>
          <w:color w:val="auto"/>
        </w:rPr>
      </w:pPr>
    </w:p>
    <w:p>
      <w:pPr>
        <w:ind w:left="240" w:hanging="232"/>
        <w:spacing w:after="0"/>
        <w:tabs>
          <w:tab w:leader="none" w:pos="240" w:val="left"/>
        </w:tabs>
        <w:numPr>
          <w:ilvl w:val="0"/>
          <w:numId w:val="17"/>
        </w:numPr>
        <w:rPr>
          <w:rFonts w:ascii="Arial" w:cs="Arial" w:eastAsia="Arial" w:hAnsi="Arial"/>
          <w:sz w:val="28"/>
          <w:szCs w:val="28"/>
          <w:color w:val="auto"/>
          <w:vertAlign w:val="superscript"/>
        </w:rPr>
      </w:pPr>
      <w:r>
        <w:rPr>
          <w:rFonts w:ascii="Arial" w:cs="Arial" w:eastAsia="Arial" w:hAnsi="Arial"/>
          <w:sz w:val="17"/>
          <w:szCs w:val="17"/>
          <w:color w:val="auto"/>
        </w:rPr>
        <w:t>For newbuildings, expected delivery quarters as of June 30, 2016 are presented.</w:t>
      </w:r>
    </w:p>
    <w:p>
      <w:pPr>
        <w:spacing w:after="0" w:line="1" w:lineRule="exact"/>
        <w:rPr>
          <w:rFonts w:ascii="Arial" w:cs="Arial" w:eastAsia="Arial" w:hAnsi="Arial"/>
          <w:sz w:val="28"/>
          <w:szCs w:val="28"/>
          <w:color w:val="auto"/>
          <w:vertAlign w:val="superscript"/>
        </w:rPr>
      </w:pPr>
    </w:p>
    <w:p>
      <w:pPr>
        <w:ind w:left="240" w:right="40" w:hanging="232"/>
        <w:spacing w:after="0" w:line="199" w:lineRule="auto"/>
        <w:tabs>
          <w:tab w:leader="none" w:pos="240" w:val="left"/>
        </w:tabs>
        <w:numPr>
          <w:ilvl w:val="0"/>
          <w:numId w:val="17"/>
        </w:numPr>
        <w:rPr>
          <w:rFonts w:ascii="Arial" w:cs="Arial" w:eastAsia="Arial" w:hAnsi="Arial"/>
          <w:sz w:val="28"/>
          <w:szCs w:val="28"/>
          <w:color w:val="auto"/>
          <w:vertAlign w:val="superscript"/>
        </w:rPr>
      </w:pPr>
      <w:r>
        <w:rPr>
          <w:rFonts w:ascii="Arial" w:cs="Arial" w:eastAsia="Arial" w:hAnsi="Arial"/>
          <w:sz w:val="17"/>
          <w:szCs w:val="17"/>
          <w:color w:val="auto"/>
        </w:rPr>
        <w:t xml:space="preserve">On February 24, 2016, GAS-twenty six Ltd. completed the sale and leaseback of the </w:t>
      </w:r>
      <w:r>
        <w:rPr>
          <w:rFonts w:ascii="Arial" w:cs="Arial" w:eastAsia="Arial" w:hAnsi="Arial"/>
          <w:sz w:val="17"/>
          <w:szCs w:val="17"/>
          <w:i w:val="1"/>
          <w:iCs w:val="1"/>
          <w:color w:val="auto"/>
        </w:rPr>
        <w:t>Methane Julia Louise</w:t>
      </w:r>
      <w:r>
        <w:rPr>
          <w:rFonts w:ascii="Arial" w:cs="Arial" w:eastAsia="Arial" w:hAnsi="Arial"/>
          <w:sz w:val="17"/>
          <w:szCs w:val="17"/>
          <w:color w:val="auto"/>
        </w:rPr>
        <w:t xml:space="preserve"> with a subsidiary of Mitsui Co. Ltd. (“Mitsui”). Refer to Note 5.</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229" w:lineRule="exact"/>
        <w:rPr>
          <w:sz w:val="20"/>
          <w:szCs w:val="20"/>
          <w:color w:val="auto"/>
        </w:rPr>
      </w:pPr>
    </w:p>
    <w:p>
      <w:pPr>
        <w:ind w:right="180" w:firstLine="436"/>
        <w:spacing w:after="0" w:line="255" w:lineRule="auto"/>
        <w:rPr>
          <w:sz w:val="20"/>
          <w:szCs w:val="20"/>
          <w:color w:val="auto"/>
        </w:rPr>
      </w:pPr>
      <w:r>
        <w:rPr>
          <w:rFonts w:ascii="Arial" w:cs="Arial" w:eastAsia="Arial" w:hAnsi="Arial"/>
          <w:sz w:val="18"/>
          <w:szCs w:val="18"/>
          <w:color w:val="auto"/>
        </w:rPr>
        <w:t xml:space="preserve">These unaudited condensed consolidated financial statements have been prepared in accordance with International Accounting Standard (“IAS”) 34 </w:t>
      </w:r>
      <w:r>
        <w:rPr>
          <w:rFonts w:ascii="Arial" w:cs="Arial" w:eastAsia="Arial" w:hAnsi="Arial"/>
          <w:sz w:val="18"/>
          <w:szCs w:val="18"/>
          <w:i w:val="1"/>
          <w:iCs w:val="1"/>
          <w:color w:val="auto"/>
        </w:rPr>
        <w:t xml:space="preserve">Interim Financial Reporting </w:t>
      </w:r>
      <w:r>
        <w:rPr>
          <w:rFonts w:ascii="Arial" w:cs="Arial" w:eastAsia="Arial" w:hAnsi="Arial"/>
          <w:sz w:val="18"/>
          <w:szCs w:val="18"/>
          <w:color w:val="auto"/>
        </w:rPr>
        <w:t>as issued by the International Accounting Standards Board (“IASB”). Certain information and footnote disclosures required by</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Financial Reporting Standards (“IFRS”) for a complete set of annual financial statements have been omitted, and therefore, these unaudited condensed consolidated financial statements should be read in conjunction with the Group’s annual consolidated financial statements as of and for the year ended December 31, 2015 filed with the SEC on March 14, 2016. On August 3, 2016 GasLog’s board of directors authorized the unaudited condensed consolidated financial statements for issuance.</w:t>
      </w:r>
    </w:p>
    <w:p>
      <w:pPr>
        <w:spacing w:after="0" w:line="193" w:lineRule="exact"/>
        <w:rPr>
          <w:sz w:val="20"/>
          <w:szCs w:val="20"/>
          <w:color w:val="auto"/>
        </w:rPr>
      </w:pPr>
    </w:p>
    <w:p>
      <w:pPr>
        <w:ind w:right="20" w:firstLine="436"/>
        <w:spacing w:after="0" w:line="264" w:lineRule="auto"/>
        <w:rPr>
          <w:sz w:val="20"/>
          <w:szCs w:val="20"/>
          <w:color w:val="auto"/>
        </w:rPr>
      </w:pPr>
      <w:r>
        <w:rPr>
          <w:rFonts w:ascii="Arial" w:cs="Arial" w:eastAsia="Arial" w:hAnsi="Arial"/>
          <w:sz w:val="18"/>
          <w:szCs w:val="18"/>
          <w:color w:val="auto"/>
        </w:rPr>
        <w:t>The unaudited condensed consolidated financial statements are expressed in U.S. dollars (“USD”), which is the functional currency of all of the subsidiaries in the Group because their vessels operate in international shipping markets in which revenues and expenses are primarily settled in USD, and the Group’s most significant assets and liabilities are paid for and settled in USD.</w:t>
      </w:r>
    </w:p>
    <w:p>
      <w:pPr>
        <w:spacing w:after="0" w:line="181" w:lineRule="exact"/>
        <w:rPr>
          <w:sz w:val="20"/>
          <w:szCs w:val="20"/>
          <w:color w:val="auto"/>
        </w:rPr>
      </w:pPr>
    </w:p>
    <w:p>
      <w:pPr>
        <w:ind w:right="40" w:firstLine="396"/>
        <w:spacing w:after="0" w:line="264" w:lineRule="auto"/>
        <w:rPr>
          <w:sz w:val="20"/>
          <w:szCs w:val="20"/>
          <w:color w:val="auto"/>
        </w:rPr>
      </w:pPr>
      <w:r>
        <w:rPr>
          <w:rFonts w:ascii="Arial" w:cs="Arial" w:eastAsia="Arial" w:hAnsi="Arial"/>
          <w:sz w:val="18"/>
          <w:szCs w:val="18"/>
          <w:color w:val="auto"/>
        </w:rPr>
        <w:t>The financial statements are prepared on the historical cost basis, except for the revaluation of derivative financial instruments. The same accounting policies and methods of computation have been followed in these unaudited condensed consolidated financial statements as were applied in the preparation of the Group’s financial statements for the year ended December 31, 2015.</w:t>
      </w:r>
    </w:p>
    <w:p>
      <w:pPr>
        <w:spacing w:after="0" w:line="181" w:lineRule="exact"/>
        <w:rPr>
          <w:sz w:val="20"/>
          <w:szCs w:val="20"/>
          <w:color w:val="auto"/>
        </w:rPr>
      </w:pPr>
    </w:p>
    <w:p>
      <w:pPr>
        <w:ind w:right="320" w:firstLine="383"/>
        <w:spacing w:after="0" w:line="259" w:lineRule="auto"/>
        <w:rPr>
          <w:sz w:val="20"/>
          <w:szCs w:val="20"/>
          <w:color w:val="auto"/>
        </w:rPr>
      </w:pPr>
      <w:r>
        <w:rPr>
          <w:rFonts w:ascii="Arial" w:cs="Arial" w:eastAsia="Arial" w:hAnsi="Arial"/>
          <w:sz w:val="18"/>
          <w:szCs w:val="18"/>
          <w:color w:val="auto"/>
        </w:rPr>
        <w:t>In considering going concern, management has reviewed the Group’s future cash requirements, covenant compliance and earnings projections. As of June 30, 2016, the Group’s current assets totalled $237,040, while current liabilities totalled $268,856, resulting in a negative working capital position of $31,816. Current liabilities include $35,069 of time charter hires received in advance that are classified as liabilities until such time as the criteria for recognizing the revenue as earned are met (Note 9).</w:t>
      </w:r>
    </w:p>
    <w:p>
      <w:pPr>
        <w:spacing w:after="0" w:line="187" w:lineRule="exact"/>
        <w:rPr>
          <w:sz w:val="20"/>
          <w:szCs w:val="20"/>
          <w:color w:val="auto"/>
        </w:rPr>
      </w:pPr>
    </w:p>
    <w:p>
      <w:pPr>
        <w:ind w:firstLine="436"/>
        <w:spacing w:after="0" w:line="259" w:lineRule="auto"/>
        <w:rPr>
          <w:sz w:val="20"/>
          <w:szCs w:val="20"/>
          <w:color w:val="auto"/>
        </w:rPr>
      </w:pPr>
      <w:r>
        <w:rPr>
          <w:rFonts w:ascii="Arial" w:cs="Arial" w:eastAsia="Arial" w:hAnsi="Arial"/>
          <w:sz w:val="18"/>
          <w:szCs w:val="18"/>
          <w:color w:val="auto"/>
        </w:rPr>
        <w:t>Management anticipates that the Group’s primary sources of funds will be available cash, cash from operations and borrowings under existing and new loan agreements. The Group may also seek to raise additional equity. Management believes that these sources of funds will be sufficient for the Group to meet its liquidity needs and comply with its banking covenants for at least twelve months from the end of the reporting period and therefore it is appropriate to prepare the financial statements on a going concern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and revised IFRS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Standards and amendments in issue not yet adopted</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At the date of authorization of these unaudited condensed consolidated financial statements, the following standards and amendments relevant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Group were in issue but not yet effective:</w:t>
      </w:r>
    </w:p>
    <w:p>
      <w:pPr>
        <w:spacing w:after="0" w:line="211" w:lineRule="exact"/>
        <w:rPr>
          <w:sz w:val="20"/>
          <w:szCs w:val="20"/>
          <w:color w:val="auto"/>
        </w:rPr>
      </w:pPr>
    </w:p>
    <w:p>
      <w:pPr>
        <w:ind w:right="100" w:firstLine="383"/>
        <w:spacing w:after="0" w:line="271" w:lineRule="auto"/>
        <w:rPr>
          <w:sz w:val="20"/>
          <w:szCs w:val="20"/>
          <w:color w:val="auto"/>
        </w:rPr>
      </w:pPr>
      <w:r>
        <w:rPr>
          <w:rFonts w:ascii="Arial" w:cs="Arial" w:eastAsia="Arial" w:hAnsi="Arial"/>
          <w:sz w:val="17"/>
          <w:szCs w:val="17"/>
          <w:color w:val="auto"/>
        </w:rPr>
        <w:t xml:space="preserve">In May 2014, the IASB issued IFRS 15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which applies to all contracts with customers: the main exceptions are leases, financial instruments and insurance contracts. IFRS 15 specifies how and when an IFRS reporter will recognize revenue as well as requiring such entities to provide users of financial statements with more informative, relevant disclosures. The standard supersedes IAS 18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IAS 11 </w:t>
      </w:r>
      <w:r>
        <w:rPr>
          <w:rFonts w:ascii="Arial" w:cs="Arial" w:eastAsia="Arial" w:hAnsi="Arial"/>
          <w:sz w:val="17"/>
          <w:szCs w:val="17"/>
          <w:i w:val="1"/>
          <w:iCs w:val="1"/>
          <w:color w:val="auto"/>
        </w:rPr>
        <w:t>Construction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t>
      </w:r>
      <w:r>
        <w:rPr>
          <w:rFonts w:ascii="Arial" w:cs="Arial" w:eastAsia="Arial" w:hAnsi="Arial"/>
          <w:sz w:val="17"/>
          <w:szCs w:val="17"/>
          <w:color w:val="auto"/>
        </w:rPr>
        <w:t>and a number of revenue-related interpretations. The standard was amended in September 2015 to delay the effective date to annual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beginning on or after January 1, 2018 but early adoption is permitted. In addition, the standard was further amended in April 2016 to clarify the guidance on identifying performance obligations, accounting for licences of intellectual property and the principal versus agent assessment (gross versus net revenue presentation), as well as to give new and amended illustrative examples and practical expedients. Management is currently evaluating the impact of this standard on the Group’s consolidated financial statements.</w:t>
      </w:r>
    </w:p>
    <w:p>
      <w:pPr>
        <w:spacing w:after="0" w:line="179" w:lineRule="exact"/>
        <w:rPr>
          <w:sz w:val="20"/>
          <w:szCs w:val="20"/>
          <w:color w:val="auto"/>
        </w:rPr>
      </w:pPr>
    </w:p>
    <w:p>
      <w:pPr>
        <w:ind w:right="60" w:firstLine="383"/>
        <w:spacing w:after="0" w:line="272" w:lineRule="auto"/>
        <w:rPr>
          <w:sz w:val="20"/>
          <w:szCs w:val="20"/>
          <w:color w:val="auto"/>
        </w:rPr>
      </w:pPr>
      <w:r>
        <w:rPr>
          <w:rFonts w:ascii="Arial" w:cs="Arial" w:eastAsia="Arial" w:hAnsi="Arial"/>
          <w:sz w:val="17"/>
          <w:szCs w:val="17"/>
          <w:color w:val="auto"/>
        </w:rPr>
        <w:t xml:space="preserve">In July 2014, the IASB issued the complete version of IFRS 9 </w:t>
      </w:r>
      <w:r>
        <w:rPr>
          <w:rFonts w:ascii="Arial" w:cs="Arial" w:eastAsia="Arial" w:hAnsi="Arial"/>
          <w:sz w:val="17"/>
          <w:szCs w:val="17"/>
          <w:i w:val="1"/>
          <w:iCs w:val="1"/>
          <w:color w:val="auto"/>
        </w:rPr>
        <w:t>Financial Instruments</w:t>
      </w:r>
      <w:r>
        <w:rPr>
          <w:rFonts w:ascii="Arial" w:cs="Arial" w:eastAsia="Arial" w:hAnsi="Arial"/>
          <w:sz w:val="17"/>
          <w:szCs w:val="17"/>
          <w:color w:val="auto"/>
        </w:rPr>
        <w:t>. IFRS 9 specifies how an entity should classify and measure financial assets and financial liabilities. The new standard requires all financial assets to be subsequently measured at amortized cost or fair value depending on the business model of the legal entity in relation to the management of the financial assets and the contractual cash flows of the financial assets. The standard also requires a financial liability to be classified as either at fair value through profit or loss or at amortized cost. In addition a new hedge accounting model was introduced, that is designed to be more closely aligned with how entities undertake risk management activities when hedging financial and non-financial risk exposures. The standard is effective for accounting periods beginning on or after January 1, 2018 but early adoption is permitted. Management is currently evaluating the impact of this standard on the Group’s consolidated financial statements.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3" w:right="239" w:bottom="19" w:gutter="0" w:footer="0" w:header="0"/>
        </w:sectPr>
      </w:pPr>
    </w:p>
    <w:bookmarkStart w:id="35" w:name="page36"/>
    <w:bookmarkEnd w:id="35"/>
    <w:p>
      <w:pPr>
        <w:ind w:right="40" w:firstLine="383"/>
        <w:spacing w:after="0" w:line="271" w:lineRule="auto"/>
        <w:rPr>
          <w:sz w:val="20"/>
          <w:szCs w:val="20"/>
          <w:color w:val="auto"/>
        </w:rPr>
      </w:pPr>
      <w:r>
        <w:rPr>
          <w:rFonts w:ascii="Arial" w:cs="Arial" w:eastAsia="Arial" w:hAnsi="Arial"/>
          <w:sz w:val="17"/>
          <w:szCs w:val="17"/>
          <w:color w:val="auto"/>
        </w:rPr>
        <w:t xml:space="preserve">In January 2016, the IASB issued IFRS 16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which sets out the principles for the recognition, measurement, presentation and disclosure of leases for both parties to a contract, i.e. the customer (“lessee”) and the supplier (“lessor”). IFRS 16 eliminates the classification of leases by lessees as either operating leases or finance leases and, instead, introduces a single lessee accounting model. Applying that model, a lessee is required to recognise: (a) assets and liabilities for all leases with a term of more than 12 months, unless the underlying asset is of low value; and (b) depreciation of lease assets separately from interest on lease liabilities in the statement of profit or loss. Lessors continue to classify their leases as operating leases or finance leases, and to account for those two types of leases differently. IFRS 16 supersedes the previous leases Standard, IAS 17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and related Interpretations. The standard is effective from January 1, 2019, with early adoption permitted only with concurrent adoption of IFRS 15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Management is currently evaluating the impact of this standard on the Group’s financial statements.</w:t>
      </w:r>
    </w:p>
    <w:p>
      <w:pPr>
        <w:spacing w:after="0" w:line="179" w:lineRule="exact"/>
        <w:rPr>
          <w:sz w:val="20"/>
          <w:szCs w:val="20"/>
          <w:color w:val="auto"/>
        </w:rPr>
      </w:pPr>
    </w:p>
    <w:p>
      <w:pPr>
        <w:ind w:firstLine="383"/>
        <w:spacing w:after="0" w:line="271" w:lineRule="auto"/>
        <w:rPr>
          <w:sz w:val="20"/>
          <w:szCs w:val="20"/>
          <w:color w:val="auto"/>
        </w:rPr>
      </w:pPr>
      <w:r>
        <w:rPr>
          <w:rFonts w:ascii="Arial" w:cs="Arial" w:eastAsia="Arial" w:hAnsi="Arial"/>
          <w:sz w:val="17"/>
          <w:szCs w:val="17"/>
          <w:color w:val="auto"/>
        </w:rPr>
        <w:t xml:space="preserve">In January 2016, the IASB issued amendments to IAS 7 </w:t>
      </w:r>
      <w:r>
        <w:rPr>
          <w:rFonts w:ascii="Arial" w:cs="Arial" w:eastAsia="Arial" w:hAnsi="Arial"/>
          <w:sz w:val="17"/>
          <w:szCs w:val="17"/>
          <w:i w:val="1"/>
          <w:iCs w:val="1"/>
          <w:color w:val="auto"/>
        </w:rPr>
        <w:t>Statement of Cash Flows</w:t>
      </w:r>
      <w:r>
        <w:rPr>
          <w:rFonts w:ascii="Arial" w:cs="Arial" w:eastAsia="Arial" w:hAnsi="Arial"/>
          <w:sz w:val="17"/>
          <w:szCs w:val="17"/>
          <w:color w:val="auto"/>
        </w:rPr>
        <w:t xml:space="preserve"> introducing an additional disclosure that will enable users of financial statements to evaluate changes in liabilities arising from financing activities. The amendments are part of the IASB’s Disclosure Initiative, which continues to explore how financial statement disclosure can be improved. Entities will be required to disclose changes arising from cash flows, such as drawdowns and repayments of borrowings and also non-cash changes, such as acquisitions, disposals and unrealised exchange differences. Even though a specific format is not mandated, where a reconciliation is used the disclosure should provide sufficient information to link items included in the reconciliation to the statement of financial position and statement of cash flows. The amendments are effective for annual periods beginning on or after January 1, 2017, with earlier application being permitted. Entities are not required to present comparative information for preceding periods. Management anticipates that these amendments will only have a disclosure impact on the Group’s financial statements.</w:t>
      </w:r>
    </w:p>
    <w:p>
      <w:pPr>
        <w:spacing w:after="0" w:line="179" w:lineRule="exact"/>
        <w:rPr>
          <w:sz w:val="20"/>
          <w:szCs w:val="20"/>
          <w:color w:val="auto"/>
        </w:rPr>
      </w:pPr>
    </w:p>
    <w:p>
      <w:pPr>
        <w:ind w:right="80" w:firstLine="383"/>
        <w:spacing w:after="0" w:line="273" w:lineRule="auto"/>
        <w:rPr>
          <w:sz w:val="20"/>
          <w:szCs w:val="20"/>
          <w:color w:val="auto"/>
        </w:rPr>
      </w:pPr>
      <w:r>
        <w:rPr>
          <w:rFonts w:ascii="Arial" w:cs="Arial" w:eastAsia="Arial" w:hAnsi="Arial"/>
          <w:sz w:val="17"/>
          <w:szCs w:val="17"/>
          <w:color w:val="auto"/>
        </w:rPr>
        <w:t xml:space="preserve">In June 2016, the IASB issued amendments to IFRS 2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clarifying how to account for certain types of share-based payment transactions. The amendments clarify the measurement basis for cash-settled, share-based payments and the accounting for modifications that change an award from cash-settled to equity-settled. An exception to the principles in IFRS 2 is also introduced that will require an award to be treated as if it was wholly equity-settled, where an employer is obliged to withhold an amount for the employee’s tax obligation associated with a share-based payment and pay that amount to the tax authority. The amendments are effective for annual periods beginning on or after January 1, 2018, with early adoption permitted. Management is currently evaluating the impact of these amendments on the Group’s financial statements.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impact of all other IFRS standards and amendments issued but not yet adopted is not expected to be 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Non-controlling Interest in GasLog Partners</w:t>
      </w:r>
    </w:p>
    <w:p>
      <w:pPr>
        <w:spacing w:after="0" w:line="229" w:lineRule="exact"/>
        <w:rPr>
          <w:sz w:val="20"/>
          <w:szCs w:val="20"/>
          <w:color w:val="auto"/>
        </w:rPr>
      </w:pPr>
    </w:p>
    <w:p>
      <w:pPr>
        <w:ind w:right="60" w:firstLine="256"/>
        <w:spacing w:after="0" w:line="277" w:lineRule="auto"/>
        <w:rPr>
          <w:sz w:val="20"/>
          <w:szCs w:val="20"/>
          <w:color w:val="auto"/>
        </w:rPr>
      </w:pPr>
      <w:r>
        <w:rPr>
          <w:rFonts w:ascii="Arial" w:cs="Arial" w:eastAsia="Arial" w:hAnsi="Arial"/>
          <w:sz w:val="18"/>
          <w:szCs w:val="18"/>
          <w:color w:val="auto"/>
        </w:rPr>
        <w:t>The profit allocation to non-controlling interest is based on the distribution policy for available cash stated in the Partnership Agreement and is illustrated in the table below:</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11"/>
          </w:tcPr>
          <w:p>
            <w:pPr>
              <w:jc w:val="right"/>
              <w:ind w:right="140"/>
              <w:spacing w:after="0"/>
              <w:rPr>
                <w:sz w:val="20"/>
                <w:szCs w:val="20"/>
                <w:color w:val="auto"/>
              </w:rPr>
            </w:pPr>
            <w:r>
              <w:rPr>
                <w:rFonts w:ascii="Arial" w:cs="Arial" w:eastAsia="Arial" w:hAnsi="Arial"/>
                <w:sz w:val="18"/>
                <w:szCs w:val="18"/>
                <w:b w:val="1"/>
                <w:bCs w:val="1"/>
                <w:color w:val="auto"/>
              </w:rPr>
              <w:t>Marginal Percentage Interest in Distributions</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60" w:type="dxa"/>
            <w:vAlign w:val="bottom"/>
            <w:gridSpan w:val="2"/>
          </w:tcPr>
          <w:p>
            <w:pPr>
              <w:jc w:val="center"/>
              <w:ind w:left="530"/>
              <w:spacing w:after="0" w:line="191" w:lineRule="exact"/>
              <w:rPr>
                <w:sz w:val="20"/>
                <w:szCs w:val="20"/>
                <w:color w:val="auto"/>
              </w:rPr>
            </w:pPr>
            <w:r>
              <w:rPr>
                <w:rFonts w:ascii="Arial" w:cs="Arial" w:eastAsia="Arial" w:hAnsi="Arial"/>
                <w:sz w:val="18"/>
                <w:szCs w:val="18"/>
                <w:b w:val="1"/>
                <w:bCs w:val="1"/>
                <w:color w:val="auto"/>
                <w:w w:val="93"/>
              </w:rPr>
              <w:t>Total Quarterly</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Distribution</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General</w:t>
            </w:r>
          </w:p>
        </w:tc>
        <w:tc>
          <w:tcPr>
            <w:tcW w:w="32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Holders of</w:t>
            </w:r>
          </w:p>
        </w:tc>
        <w:tc>
          <w:tcPr>
            <w:tcW w:w="0" w:type="dxa"/>
            <w:vAlign w:val="bottom"/>
          </w:tcPr>
          <w:p>
            <w:pPr>
              <w:spacing w:after="0"/>
              <w:rPr>
                <w:sz w:val="1"/>
                <w:szCs w:val="1"/>
                <w:color w:val="auto"/>
              </w:rPr>
            </w:pPr>
          </w:p>
        </w:tc>
      </w:tr>
      <w:tr>
        <w:trPr>
          <w:trHeight w:val="234"/>
        </w:trPr>
        <w:tc>
          <w:tcPr>
            <w:tcW w:w="40" w:type="dxa"/>
            <w:vAlign w:val="bottom"/>
            <w:tcBorders>
              <w:bottom w:val="single" w:sz="8" w:color="E5FFFF"/>
            </w:tcBorders>
          </w:tcPr>
          <w:p>
            <w:pPr>
              <w:spacing w:after="0"/>
              <w:rPr>
                <w:sz w:val="20"/>
                <w:szCs w:val="20"/>
                <w:color w:val="auto"/>
              </w:rPr>
            </w:pPr>
          </w:p>
        </w:tc>
        <w:tc>
          <w:tcPr>
            <w:tcW w:w="2800" w:type="dxa"/>
            <w:vAlign w:val="bottom"/>
            <w:tcBorders>
              <w:bottom w:val="single" w:sz="8" w:color="E5FFFF"/>
            </w:tcBorders>
          </w:tcPr>
          <w:p>
            <w:pPr>
              <w:spacing w:after="0"/>
              <w:rPr>
                <w:sz w:val="20"/>
                <w:szCs w:val="20"/>
                <w:color w:val="auto"/>
              </w:rPr>
            </w:pPr>
          </w:p>
        </w:tc>
        <w:tc>
          <w:tcPr>
            <w:tcW w:w="160" w:type="dxa"/>
            <w:vAlign w:val="bottom"/>
            <w:tcBorders>
              <w:bottom w:val="single" w:sz="8" w:color="E5FFFF"/>
            </w:tcBorders>
          </w:tcPr>
          <w:p>
            <w:pPr>
              <w:spacing w:after="0"/>
              <w:rPr>
                <w:sz w:val="20"/>
                <w:szCs w:val="20"/>
                <w:color w:val="auto"/>
              </w:rPr>
            </w:pPr>
          </w:p>
        </w:tc>
        <w:tc>
          <w:tcPr>
            <w:tcW w:w="1460" w:type="dxa"/>
            <w:vAlign w:val="bottom"/>
            <w:tcBorders>
              <w:bottom w:val="single" w:sz="8" w:color="E5FFFF"/>
            </w:tcBorders>
          </w:tcPr>
          <w:p>
            <w:pPr>
              <w:spacing w:after="0"/>
              <w:rPr>
                <w:sz w:val="20"/>
                <w:szCs w:val="20"/>
                <w:color w:val="auto"/>
              </w:rPr>
            </w:pPr>
          </w:p>
        </w:tc>
        <w:tc>
          <w:tcPr>
            <w:tcW w:w="2060" w:type="dxa"/>
            <w:vAlign w:val="bottom"/>
            <w:tcBorders>
              <w:bottom w:val="single" w:sz="8" w:color="auto"/>
            </w:tcBorders>
            <w:gridSpan w:val="2"/>
          </w:tcPr>
          <w:p>
            <w:pPr>
              <w:jc w:val="center"/>
              <w:ind w:left="550"/>
              <w:spacing w:after="0"/>
              <w:rPr>
                <w:sz w:val="20"/>
                <w:szCs w:val="20"/>
                <w:color w:val="auto"/>
              </w:rPr>
            </w:pPr>
            <w:r>
              <w:rPr>
                <w:rFonts w:ascii="Arial" w:cs="Arial" w:eastAsia="Arial" w:hAnsi="Arial"/>
                <w:sz w:val="18"/>
                <w:szCs w:val="18"/>
                <w:b w:val="1"/>
                <w:bCs w:val="1"/>
                <w:color w:val="auto"/>
                <w:w w:val="92"/>
              </w:rPr>
              <w:t>Target Amount</w:t>
            </w: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E5FFFF"/>
            </w:tcBorders>
          </w:tcPr>
          <w:p>
            <w:pPr>
              <w:spacing w:after="0"/>
              <w:rPr>
                <w:sz w:val="20"/>
                <w:szCs w:val="20"/>
                <w:color w:val="auto"/>
              </w:rPr>
            </w:pPr>
          </w:p>
        </w:tc>
        <w:tc>
          <w:tcPr>
            <w:tcW w:w="98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3"/>
              </w:rPr>
              <w:t>Unitholders</w:t>
            </w:r>
          </w:p>
        </w:tc>
        <w:tc>
          <w:tcPr>
            <w:tcW w:w="200" w:type="dxa"/>
            <w:vAlign w:val="bottom"/>
            <w:tcBorders>
              <w:bottom w:val="single" w:sz="8" w:color="E5FFFF"/>
            </w:tcBorders>
          </w:tcPr>
          <w:p>
            <w:pPr>
              <w:spacing w:after="0"/>
              <w:rPr>
                <w:sz w:val="20"/>
                <w:szCs w:val="20"/>
                <w:color w:val="auto"/>
              </w:rPr>
            </w:pPr>
          </w:p>
        </w:tc>
        <w:tc>
          <w:tcPr>
            <w:tcW w:w="9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Partner</w:t>
            </w:r>
          </w:p>
        </w:tc>
        <w:tc>
          <w:tcPr>
            <w:tcW w:w="320" w:type="dxa"/>
            <w:vAlign w:val="bottom"/>
            <w:tcBorders>
              <w:bottom w:val="single" w:sz="8" w:color="E5FFFF"/>
            </w:tcBorders>
          </w:tcPr>
          <w:p>
            <w:pPr>
              <w:spacing w:after="0"/>
              <w:rPr>
                <w:sz w:val="20"/>
                <w:szCs w:val="20"/>
                <w:color w:val="auto"/>
              </w:rPr>
            </w:pPr>
          </w:p>
        </w:tc>
        <w:tc>
          <w:tcPr>
            <w:tcW w:w="9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7"/>
              </w:rPr>
              <w:t>IDRs</w:t>
            </w:r>
          </w:p>
        </w:tc>
        <w:tc>
          <w:tcPr>
            <w:tcW w:w="0" w:type="dxa"/>
            <w:vAlign w:val="bottom"/>
          </w:tcPr>
          <w:p>
            <w:pPr>
              <w:spacing w:after="0"/>
              <w:rPr>
                <w:sz w:val="1"/>
                <w:szCs w:val="1"/>
                <w:color w:val="auto"/>
              </w:rPr>
            </w:pPr>
          </w:p>
        </w:tc>
      </w:tr>
      <w:tr>
        <w:trPr>
          <w:trHeight w:val="210"/>
        </w:trPr>
        <w:tc>
          <w:tcPr>
            <w:tcW w:w="4460" w:type="dxa"/>
            <w:vAlign w:val="bottom"/>
            <w:gridSpan w:val="4"/>
            <w:shd w:val="clear" w:color="auto" w:fill="E5FFFF"/>
          </w:tcPr>
          <w:p>
            <w:pPr>
              <w:spacing w:after="0"/>
              <w:rPr>
                <w:sz w:val="20"/>
                <w:szCs w:val="20"/>
                <w:color w:val="auto"/>
              </w:rPr>
            </w:pPr>
            <w:r>
              <w:rPr>
                <w:rFonts w:ascii="Arial" w:cs="Arial" w:eastAsia="Arial" w:hAnsi="Arial"/>
                <w:sz w:val="18"/>
                <w:szCs w:val="18"/>
                <w:color w:val="auto"/>
              </w:rPr>
              <w:t>Minimum Quarterly Distribution</w:t>
            </w:r>
          </w:p>
        </w:tc>
        <w:tc>
          <w:tcPr>
            <w:tcW w:w="860" w:type="dxa"/>
            <w:vAlign w:val="bottom"/>
            <w:shd w:val="clear" w:color="auto" w:fill="E5FFFF"/>
          </w:tcPr>
          <w:p>
            <w:pPr>
              <w:spacing w:after="0"/>
              <w:rPr>
                <w:sz w:val="18"/>
                <w:szCs w:val="18"/>
                <w:color w:val="auto"/>
              </w:rPr>
            </w:pPr>
          </w:p>
        </w:tc>
        <w:tc>
          <w:tcPr>
            <w:tcW w:w="1200" w:type="dxa"/>
            <w:vAlign w:val="bottom"/>
            <w:shd w:val="clear" w:color="auto" w:fill="E5FFFF"/>
          </w:tcPr>
          <w:p>
            <w:pPr>
              <w:spacing w:after="0"/>
              <w:rPr>
                <w:sz w:val="18"/>
                <w:szCs w:val="18"/>
                <w:color w:val="auto"/>
              </w:rPr>
            </w:pPr>
          </w:p>
        </w:tc>
        <w:tc>
          <w:tcPr>
            <w:tcW w:w="6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$0.375</w:t>
            </w:r>
          </w:p>
        </w:tc>
        <w:tc>
          <w:tcPr>
            <w:tcW w:w="220" w:type="dxa"/>
            <w:vAlign w:val="bottom"/>
            <w:shd w:val="clear" w:color="auto" w:fill="E5FFFF"/>
          </w:tcPr>
          <w:p>
            <w:pPr>
              <w:spacing w:after="0"/>
              <w:rPr>
                <w:sz w:val="18"/>
                <w:szCs w:val="18"/>
                <w:color w:val="auto"/>
              </w:rPr>
            </w:pPr>
          </w:p>
        </w:tc>
        <w:tc>
          <w:tcPr>
            <w:tcW w:w="8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98.0%</w:t>
            </w:r>
          </w:p>
        </w:tc>
        <w:tc>
          <w:tcPr>
            <w:tcW w:w="1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E5FFFF"/>
          </w:tcPr>
          <w:p>
            <w:pPr>
              <w:spacing w:after="0"/>
              <w:rPr>
                <w:sz w:val="18"/>
                <w:szCs w:val="18"/>
                <w:color w:val="auto"/>
              </w:rPr>
            </w:pPr>
          </w:p>
        </w:tc>
        <w:tc>
          <w:tcPr>
            <w:tcW w:w="860" w:type="dxa"/>
            <w:vAlign w:val="bottom"/>
            <w:shd w:val="clear" w:color="auto" w:fill="E5FFFF"/>
          </w:tcPr>
          <w:p>
            <w:pPr>
              <w:jc w:val="right"/>
              <w:ind w:right="90"/>
              <w:spacing w:after="0"/>
              <w:rPr>
                <w:sz w:val="20"/>
                <w:szCs w:val="20"/>
                <w:color w:val="auto"/>
              </w:rPr>
            </w:pPr>
            <w:r>
              <w:rPr>
                <w:rFonts w:ascii="Arial" w:cs="Arial" w:eastAsia="Arial" w:hAnsi="Arial"/>
                <w:sz w:val="18"/>
                <w:szCs w:val="18"/>
                <w:color w:val="auto"/>
              </w:rPr>
              <w:t>0%</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4"/>
          </w:tcPr>
          <w:p>
            <w:pPr>
              <w:spacing w:after="0"/>
              <w:rPr>
                <w:sz w:val="20"/>
                <w:szCs w:val="20"/>
                <w:color w:val="auto"/>
              </w:rPr>
            </w:pPr>
            <w:r>
              <w:rPr>
                <w:rFonts w:ascii="Arial" w:cs="Arial" w:eastAsia="Arial" w:hAnsi="Arial"/>
                <w:sz w:val="18"/>
                <w:szCs w:val="18"/>
                <w:color w:val="auto"/>
              </w:rPr>
              <w:t>First Target Distribution</w:t>
            </w:r>
          </w:p>
        </w:tc>
        <w:tc>
          <w:tcPr>
            <w:tcW w:w="860" w:type="dxa"/>
            <w:vAlign w:val="bottom"/>
          </w:tcPr>
          <w:p>
            <w:pPr>
              <w:spacing w:after="0"/>
              <w:rPr>
                <w:sz w:val="18"/>
                <w:szCs w:val="18"/>
                <w:color w:val="auto"/>
              </w:rPr>
            </w:pPr>
          </w:p>
        </w:tc>
        <w:tc>
          <w:tcPr>
            <w:tcW w:w="2060" w:type="dxa"/>
            <w:vAlign w:val="bottom"/>
            <w:gridSpan w:val="4"/>
          </w:tcPr>
          <w:p>
            <w:pPr>
              <w:jc w:val="right"/>
              <w:ind w:right="220"/>
              <w:spacing w:after="0"/>
              <w:rPr>
                <w:sz w:val="20"/>
                <w:szCs w:val="20"/>
                <w:color w:val="auto"/>
              </w:rPr>
            </w:pPr>
            <w:r>
              <w:rPr>
                <w:rFonts w:ascii="Arial" w:cs="Arial" w:eastAsia="Arial" w:hAnsi="Arial"/>
                <w:sz w:val="18"/>
                <w:szCs w:val="18"/>
                <w:color w:val="auto"/>
              </w:rPr>
              <w:t>$0.375 up to $0.43125</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98.0%</w:t>
            </w:r>
          </w:p>
        </w:tc>
        <w:tc>
          <w:tcPr>
            <w:tcW w:w="18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2.0%</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4"/>
            <w:shd w:val="clear" w:color="auto" w:fill="E5FFFF"/>
          </w:tcPr>
          <w:p>
            <w:pPr>
              <w:spacing w:after="0"/>
              <w:rPr>
                <w:sz w:val="20"/>
                <w:szCs w:val="20"/>
                <w:color w:val="auto"/>
              </w:rPr>
            </w:pPr>
            <w:r>
              <w:rPr>
                <w:rFonts w:ascii="Arial" w:cs="Arial" w:eastAsia="Arial" w:hAnsi="Arial"/>
                <w:sz w:val="18"/>
                <w:szCs w:val="18"/>
                <w:color w:val="auto"/>
              </w:rPr>
              <w:t>Second Target Distribution</w:t>
            </w:r>
          </w:p>
        </w:tc>
        <w:tc>
          <w:tcPr>
            <w:tcW w:w="860" w:type="dxa"/>
            <w:vAlign w:val="bottom"/>
            <w:shd w:val="clear" w:color="auto" w:fill="E5FFFF"/>
          </w:tcPr>
          <w:p>
            <w:pPr>
              <w:spacing w:after="0"/>
              <w:rPr>
                <w:sz w:val="18"/>
                <w:szCs w:val="18"/>
                <w:color w:val="auto"/>
              </w:rPr>
            </w:pPr>
          </w:p>
        </w:tc>
        <w:tc>
          <w:tcPr>
            <w:tcW w:w="2060" w:type="dxa"/>
            <w:vAlign w:val="bottom"/>
            <w:gridSpan w:val="4"/>
            <w:shd w:val="clear" w:color="auto" w:fill="E5FFFF"/>
          </w:tcPr>
          <w:p>
            <w:pPr>
              <w:jc w:val="right"/>
              <w:ind w:right="220"/>
              <w:spacing w:after="0"/>
              <w:rPr>
                <w:sz w:val="20"/>
                <w:szCs w:val="20"/>
                <w:color w:val="auto"/>
              </w:rPr>
            </w:pPr>
            <w:r>
              <w:rPr>
                <w:rFonts w:ascii="Arial" w:cs="Arial" w:eastAsia="Arial" w:hAnsi="Arial"/>
                <w:sz w:val="18"/>
                <w:szCs w:val="18"/>
                <w:color w:val="auto"/>
                <w:w w:val="90"/>
              </w:rPr>
              <w:t>$0.43125 up to $0.46875</w:t>
            </w:r>
          </w:p>
        </w:tc>
        <w:tc>
          <w:tcPr>
            <w:tcW w:w="8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85.0%</w:t>
            </w:r>
          </w:p>
        </w:tc>
        <w:tc>
          <w:tcPr>
            <w:tcW w:w="180" w:type="dxa"/>
            <w:vAlign w:val="bottom"/>
            <w:shd w:val="clear" w:color="auto" w:fill="E5FFFF"/>
          </w:tcPr>
          <w:p>
            <w:pPr>
              <w:spacing w:after="0"/>
              <w:rPr>
                <w:sz w:val="18"/>
                <w:szCs w:val="18"/>
                <w:color w:val="auto"/>
              </w:rPr>
            </w:pPr>
          </w:p>
        </w:tc>
        <w:tc>
          <w:tcPr>
            <w:tcW w:w="1180" w:type="dxa"/>
            <w:vAlign w:val="bottom"/>
            <w:gridSpan w:val="3"/>
            <w:shd w:val="clear" w:color="auto" w:fill="E5FFFF"/>
          </w:tcPr>
          <w:p>
            <w:pPr>
              <w:jc w:val="right"/>
              <w:ind w:right="180"/>
              <w:spacing w:after="0"/>
              <w:rPr>
                <w:sz w:val="20"/>
                <w:szCs w:val="20"/>
                <w:color w:val="auto"/>
              </w:rPr>
            </w:pPr>
            <w:r>
              <w:rPr>
                <w:rFonts w:ascii="Arial" w:cs="Arial" w:eastAsia="Arial" w:hAnsi="Arial"/>
                <w:sz w:val="18"/>
                <w:szCs w:val="18"/>
                <w:color w:val="auto"/>
              </w:rPr>
              <w:t>2.0%</w:t>
            </w:r>
          </w:p>
        </w:tc>
        <w:tc>
          <w:tcPr>
            <w:tcW w:w="1180" w:type="dxa"/>
            <w:vAlign w:val="bottom"/>
            <w:gridSpan w:val="2"/>
            <w:shd w:val="clear" w:color="auto" w:fill="E5FFFF"/>
          </w:tcPr>
          <w:p>
            <w:pPr>
              <w:jc w:val="right"/>
              <w:ind w:right="90"/>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4"/>
          </w:tcPr>
          <w:p>
            <w:pPr>
              <w:spacing w:after="0"/>
              <w:rPr>
                <w:sz w:val="20"/>
                <w:szCs w:val="20"/>
                <w:color w:val="auto"/>
              </w:rPr>
            </w:pPr>
            <w:r>
              <w:rPr>
                <w:rFonts w:ascii="Arial" w:cs="Arial" w:eastAsia="Arial" w:hAnsi="Arial"/>
                <w:sz w:val="18"/>
                <w:szCs w:val="18"/>
                <w:color w:val="auto"/>
              </w:rPr>
              <w:t>Third Target Distribution</w:t>
            </w:r>
          </w:p>
        </w:tc>
        <w:tc>
          <w:tcPr>
            <w:tcW w:w="860" w:type="dxa"/>
            <w:vAlign w:val="bottom"/>
          </w:tcPr>
          <w:p>
            <w:pPr>
              <w:spacing w:after="0"/>
              <w:rPr>
                <w:sz w:val="18"/>
                <w:szCs w:val="18"/>
                <w:color w:val="auto"/>
              </w:rPr>
            </w:pPr>
          </w:p>
        </w:tc>
        <w:tc>
          <w:tcPr>
            <w:tcW w:w="2060" w:type="dxa"/>
            <w:vAlign w:val="bottom"/>
            <w:gridSpan w:val="4"/>
          </w:tcPr>
          <w:p>
            <w:pPr>
              <w:jc w:val="right"/>
              <w:ind w:right="220"/>
              <w:spacing w:after="0"/>
              <w:rPr>
                <w:sz w:val="20"/>
                <w:szCs w:val="20"/>
                <w:color w:val="auto"/>
              </w:rPr>
            </w:pPr>
            <w:r>
              <w:rPr>
                <w:rFonts w:ascii="Arial" w:cs="Arial" w:eastAsia="Arial" w:hAnsi="Arial"/>
                <w:sz w:val="18"/>
                <w:szCs w:val="18"/>
                <w:color w:val="auto"/>
                <w:w w:val="95"/>
              </w:rPr>
              <w:t>$0.46875 up to $0.5625</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75.0%</w:t>
            </w:r>
          </w:p>
        </w:tc>
        <w:tc>
          <w:tcPr>
            <w:tcW w:w="18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2.0%</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4"/>
            <w:shd w:val="clear" w:color="auto" w:fill="E5FFFF"/>
          </w:tcPr>
          <w:p>
            <w:pPr>
              <w:spacing w:after="0"/>
              <w:rPr>
                <w:sz w:val="20"/>
                <w:szCs w:val="20"/>
                <w:color w:val="auto"/>
              </w:rPr>
            </w:pPr>
            <w:r>
              <w:rPr>
                <w:rFonts w:ascii="Arial" w:cs="Arial" w:eastAsia="Arial" w:hAnsi="Arial"/>
                <w:sz w:val="18"/>
                <w:szCs w:val="18"/>
                <w:color w:val="auto"/>
              </w:rPr>
              <w:t>Thereafter</w:t>
            </w:r>
          </w:p>
        </w:tc>
        <w:tc>
          <w:tcPr>
            <w:tcW w:w="860" w:type="dxa"/>
            <w:vAlign w:val="bottom"/>
            <w:shd w:val="clear" w:color="auto" w:fill="E5FFFF"/>
          </w:tcPr>
          <w:p>
            <w:pPr>
              <w:spacing w:after="0"/>
              <w:rPr>
                <w:sz w:val="18"/>
                <w:szCs w:val="18"/>
                <w:color w:val="auto"/>
              </w:rPr>
            </w:pPr>
          </w:p>
        </w:tc>
        <w:tc>
          <w:tcPr>
            <w:tcW w:w="2060" w:type="dxa"/>
            <w:vAlign w:val="bottom"/>
            <w:gridSpan w:val="4"/>
            <w:shd w:val="clear" w:color="auto" w:fill="E5FFFF"/>
          </w:tcPr>
          <w:p>
            <w:pPr>
              <w:jc w:val="right"/>
              <w:ind w:right="220"/>
              <w:spacing w:after="0"/>
              <w:rPr>
                <w:sz w:val="20"/>
                <w:szCs w:val="20"/>
                <w:color w:val="auto"/>
              </w:rPr>
            </w:pPr>
            <w:r>
              <w:rPr>
                <w:rFonts w:ascii="Arial" w:cs="Arial" w:eastAsia="Arial" w:hAnsi="Arial"/>
                <w:sz w:val="18"/>
                <w:szCs w:val="18"/>
                <w:color w:val="auto"/>
              </w:rPr>
              <w:t>Above $0.5625</w:t>
            </w:r>
          </w:p>
        </w:tc>
        <w:tc>
          <w:tcPr>
            <w:tcW w:w="8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E5FFFF"/>
          </w:tcPr>
          <w:p>
            <w:pPr>
              <w:spacing w:after="0"/>
              <w:rPr>
                <w:sz w:val="18"/>
                <w:szCs w:val="18"/>
                <w:color w:val="auto"/>
              </w:rPr>
            </w:pPr>
          </w:p>
        </w:tc>
        <w:tc>
          <w:tcPr>
            <w:tcW w:w="1180" w:type="dxa"/>
            <w:vAlign w:val="bottom"/>
            <w:gridSpan w:val="3"/>
            <w:shd w:val="clear" w:color="auto" w:fill="E5FFFF"/>
          </w:tcPr>
          <w:p>
            <w:pPr>
              <w:jc w:val="right"/>
              <w:ind w:right="180"/>
              <w:spacing w:after="0"/>
              <w:rPr>
                <w:sz w:val="20"/>
                <w:szCs w:val="20"/>
                <w:color w:val="auto"/>
              </w:rPr>
            </w:pPr>
            <w:r>
              <w:rPr>
                <w:rFonts w:ascii="Arial" w:cs="Arial" w:eastAsia="Arial" w:hAnsi="Arial"/>
                <w:sz w:val="18"/>
                <w:szCs w:val="18"/>
                <w:color w:val="auto"/>
              </w:rPr>
              <w:t>2.0%</w:t>
            </w:r>
          </w:p>
        </w:tc>
        <w:tc>
          <w:tcPr>
            <w:tcW w:w="1180" w:type="dxa"/>
            <w:vAlign w:val="bottom"/>
            <w:gridSpan w:val="2"/>
            <w:shd w:val="clear" w:color="auto" w:fill="E5FFFF"/>
          </w:tcPr>
          <w:p>
            <w:pPr>
              <w:jc w:val="right"/>
              <w:ind w:right="90"/>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0" w:type="dxa"/>
            <w:vAlign w:val="bottom"/>
          </w:tcPr>
          <w:p>
            <w:pPr>
              <w:spacing w:after="0"/>
              <w:rPr>
                <w:sz w:val="24"/>
                <w:szCs w:val="24"/>
                <w:color w:val="auto"/>
              </w:rPr>
            </w:pPr>
          </w:p>
        </w:tc>
        <w:tc>
          <w:tcPr>
            <w:tcW w:w="28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w w:val="88"/>
              </w:rPr>
              <w:t>Allocation of GasLog Partners’ profit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i w:val="1"/>
                <w:iCs w:val="1"/>
                <w:color w:val="auto"/>
                <w:w w:val="88"/>
              </w:rPr>
              <w:t>(*)</w:t>
            </w:r>
          </w:p>
        </w:tc>
        <w:tc>
          <w:tcPr>
            <w:tcW w:w="1460" w:type="dxa"/>
            <w:vAlign w:val="bottom"/>
            <w:vMerge w:val="restart"/>
          </w:tcPr>
          <w:p>
            <w:pPr>
              <w:spacing w:after="0"/>
              <w:rPr>
                <w:sz w:val="24"/>
                <w:szCs w:val="24"/>
                <w:color w:val="auto"/>
              </w:rPr>
            </w:pPr>
          </w:p>
        </w:tc>
        <w:tc>
          <w:tcPr>
            <w:tcW w:w="860" w:type="dxa"/>
            <w:vAlign w:val="bottom"/>
          </w:tcPr>
          <w:p>
            <w:pPr>
              <w:spacing w:after="0"/>
              <w:rPr>
                <w:sz w:val="24"/>
                <w:szCs w:val="24"/>
                <w:color w:val="auto"/>
              </w:rPr>
            </w:pPr>
          </w:p>
        </w:tc>
        <w:tc>
          <w:tcPr>
            <w:tcW w:w="2860" w:type="dxa"/>
            <w:vAlign w:val="bottom"/>
            <w:gridSpan w:val="7"/>
            <w:vMerge w:val="restart"/>
          </w:tcPr>
          <w:p>
            <w:pPr>
              <w:jc w:val="right"/>
              <w:ind w:right="500"/>
              <w:spacing w:after="0"/>
              <w:rPr>
                <w:sz w:val="20"/>
                <w:szCs w:val="20"/>
                <w:color w:val="auto"/>
              </w:rPr>
            </w:pPr>
            <w:r>
              <w:rPr>
                <w:rFonts w:ascii="Arial" w:cs="Arial" w:eastAsia="Arial" w:hAnsi="Arial"/>
                <w:sz w:val="18"/>
                <w:szCs w:val="18"/>
                <w:b w:val="1"/>
                <w:bCs w:val="1"/>
                <w:color w:val="auto"/>
                <w:w w:val="98"/>
              </w:rPr>
              <w:t>For the three months ended</w:t>
            </w:r>
          </w:p>
        </w:tc>
        <w:tc>
          <w:tcPr>
            <w:tcW w:w="180" w:type="dxa"/>
            <w:vAlign w:val="bottom"/>
          </w:tcPr>
          <w:p>
            <w:pPr>
              <w:spacing w:after="0"/>
              <w:rPr>
                <w:sz w:val="24"/>
                <w:szCs w:val="24"/>
                <w:color w:val="auto"/>
              </w:rPr>
            </w:pPr>
          </w:p>
        </w:tc>
        <w:tc>
          <w:tcPr>
            <w:tcW w:w="2480" w:type="dxa"/>
            <w:vAlign w:val="bottom"/>
            <w:gridSpan w:val="6"/>
            <w:vMerge w:val="restart"/>
          </w:tcPr>
          <w:p>
            <w:pPr>
              <w:ind w:left="10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2800" w:type="dxa"/>
            <w:vAlign w:val="bottom"/>
            <w:tcBorders>
              <w:bottom w:val="single" w:sz="8" w:color="auto"/>
            </w:tcBorders>
            <w:vMerge w:val="continue"/>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2860" w:type="dxa"/>
            <w:vAlign w:val="bottom"/>
            <w:gridSpan w:val="7"/>
            <w:vMerge w:val="continue"/>
          </w:tcPr>
          <w:p>
            <w:pPr>
              <w:spacing w:after="0"/>
              <w:rPr>
                <w:sz w:val="4"/>
                <w:szCs w:val="4"/>
                <w:color w:val="auto"/>
              </w:rPr>
            </w:pPr>
          </w:p>
        </w:tc>
        <w:tc>
          <w:tcPr>
            <w:tcW w:w="180" w:type="dxa"/>
            <w:vAlign w:val="bottom"/>
          </w:tcPr>
          <w:p>
            <w:pPr>
              <w:spacing w:after="0"/>
              <w:rPr>
                <w:sz w:val="4"/>
                <w:szCs w:val="4"/>
                <w:color w:val="auto"/>
              </w:rPr>
            </w:pPr>
          </w:p>
        </w:tc>
        <w:tc>
          <w:tcPr>
            <w:tcW w:w="2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w w:val="93"/>
              </w:rPr>
              <w:t>June 30, 2015</w:t>
            </w:r>
          </w:p>
        </w:tc>
        <w:tc>
          <w:tcPr>
            <w:tcW w:w="220" w:type="dxa"/>
            <w:vAlign w:val="bottom"/>
          </w:tcPr>
          <w:p>
            <w:pPr>
              <w:spacing w:after="0"/>
              <w:rPr>
                <w:sz w:val="20"/>
                <w:szCs w:val="20"/>
                <w:color w:val="auto"/>
              </w:rPr>
            </w:pPr>
          </w:p>
        </w:tc>
        <w:tc>
          <w:tcPr>
            <w:tcW w:w="144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2"/>
              </w:rPr>
              <w:t>June 30, 2016</w:t>
            </w:r>
          </w:p>
        </w:tc>
        <w:tc>
          <w:tcPr>
            <w:tcW w:w="136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88"/>
              </w:rPr>
              <w:t>June 30, 2015</w:t>
            </w:r>
          </w:p>
        </w:tc>
        <w:tc>
          <w:tcPr>
            <w:tcW w:w="1300" w:type="dxa"/>
            <w:vAlign w:val="bottom"/>
            <w:gridSpan w:val="3"/>
          </w:tcPr>
          <w:p>
            <w:pPr>
              <w:ind w:left="60"/>
              <w:spacing w:after="0"/>
              <w:rPr>
                <w:sz w:val="20"/>
                <w:szCs w:val="20"/>
                <w:color w:val="auto"/>
              </w:rPr>
            </w:pPr>
            <w:r>
              <w:rPr>
                <w:rFonts w:ascii="Arial" w:cs="Arial" w:eastAsia="Arial" w:hAnsi="Arial"/>
                <w:sz w:val="18"/>
                <w:szCs w:val="18"/>
                <w:b w:val="1"/>
                <w:bCs w:val="1"/>
                <w:color w:val="auto"/>
              </w:rPr>
              <w:t>June 30, 2016</w:t>
            </w:r>
          </w:p>
        </w:tc>
        <w:tc>
          <w:tcPr>
            <w:tcW w:w="0" w:type="dxa"/>
            <w:vAlign w:val="bottom"/>
          </w:tcPr>
          <w:p>
            <w:pPr>
              <w:spacing w:after="0"/>
              <w:rPr>
                <w:sz w:val="1"/>
                <w:szCs w:val="1"/>
                <w:color w:val="auto"/>
              </w:rPr>
            </w:pPr>
          </w:p>
        </w:tc>
      </w:tr>
      <w:tr>
        <w:trPr>
          <w:trHeight w:val="210"/>
        </w:trPr>
        <w:tc>
          <w:tcPr>
            <w:tcW w:w="4460" w:type="dxa"/>
            <w:vAlign w:val="bottom"/>
            <w:tcBorders>
              <w:top w:val="single" w:sz="8" w:color="E5FFFF"/>
            </w:tcBorders>
            <w:gridSpan w:val="4"/>
            <w:shd w:val="clear" w:color="auto" w:fill="E5FFFF"/>
          </w:tcPr>
          <w:p>
            <w:pPr>
              <w:spacing w:after="0"/>
              <w:rPr>
                <w:sz w:val="20"/>
                <w:szCs w:val="20"/>
                <w:color w:val="auto"/>
              </w:rPr>
            </w:pPr>
            <w:r>
              <w:rPr>
                <w:rFonts w:ascii="Arial" w:cs="Arial" w:eastAsia="Arial" w:hAnsi="Arial"/>
                <w:sz w:val="18"/>
                <w:szCs w:val="18"/>
                <w:color w:val="auto"/>
              </w:rPr>
              <w:t>Partnership’s profit attributable to:</w:t>
            </w:r>
          </w:p>
        </w:tc>
        <w:tc>
          <w:tcPr>
            <w:tcW w:w="860" w:type="dxa"/>
            <w:vAlign w:val="bottom"/>
            <w:tcBorders>
              <w:top w:val="single" w:sz="8" w:color="E5FFFF"/>
            </w:tcBorders>
            <w:shd w:val="clear" w:color="auto" w:fill="E5FFFF"/>
          </w:tcPr>
          <w:p>
            <w:pPr>
              <w:spacing w:after="0"/>
              <w:rPr>
                <w:sz w:val="18"/>
                <w:szCs w:val="18"/>
                <w:color w:val="auto"/>
              </w:rPr>
            </w:pPr>
          </w:p>
        </w:tc>
        <w:tc>
          <w:tcPr>
            <w:tcW w:w="120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42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auto"/>
            </w:tcBorders>
            <w:shd w:val="clear" w:color="auto" w:fill="E5FFFF"/>
          </w:tcPr>
          <w:p>
            <w:pPr>
              <w:spacing w:after="0"/>
              <w:rPr>
                <w:sz w:val="18"/>
                <w:szCs w:val="18"/>
                <w:color w:val="auto"/>
              </w:rPr>
            </w:pPr>
          </w:p>
        </w:tc>
        <w:tc>
          <w:tcPr>
            <w:tcW w:w="54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40" w:type="dxa"/>
            <w:vAlign w:val="bottom"/>
            <w:tcBorders>
              <w:top w:val="single" w:sz="8" w:color="auto"/>
            </w:tcBorders>
            <w:shd w:val="clear" w:color="auto" w:fill="E5FFFF"/>
          </w:tcPr>
          <w:p>
            <w:pPr>
              <w:spacing w:after="0"/>
              <w:rPr>
                <w:sz w:val="18"/>
                <w:szCs w:val="18"/>
                <w:color w:val="auto"/>
              </w:rPr>
            </w:pPr>
          </w:p>
        </w:tc>
        <w:tc>
          <w:tcPr>
            <w:tcW w:w="180" w:type="dxa"/>
            <w:vAlign w:val="bottom"/>
            <w:tcBorders>
              <w:top w:val="single" w:sz="8" w:color="auto"/>
            </w:tcBorders>
            <w:shd w:val="clear" w:color="auto" w:fill="E5FFFF"/>
          </w:tcPr>
          <w:p>
            <w:pPr>
              <w:spacing w:after="0"/>
              <w:rPr>
                <w:sz w:val="18"/>
                <w:szCs w:val="18"/>
                <w:color w:val="auto"/>
              </w:rPr>
            </w:pPr>
          </w:p>
        </w:tc>
        <w:tc>
          <w:tcPr>
            <w:tcW w:w="200" w:type="dxa"/>
            <w:vAlign w:val="bottom"/>
            <w:tcBorders>
              <w:top w:val="single" w:sz="8" w:color="auto"/>
            </w:tcBorders>
            <w:shd w:val="clear" w:color="auto" w:fill="E5FFFF"/>
          </w:tcPr>
          <w:p>
            <w:pPr>
              <w:spacing w:after="0"/>
              <w:rPr>
                <w:sz w:val="18"/>
                <w:szCs w:val="18"/>
                <w:color w:val="auto"/>
              </w:rPr>
            </w:pPr>
          </w:p>
        </w:tc>
        <w:tc>
          <w:tcPr>
            <w:tcW w:w="76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320" w:type="dxa"/>
            <w:vAlign w:val="bottom"/>
            <w:tcBorders>
              <w:top w:val="single" w:sz="8" w:color="auto"/>
            </w:tcBorders>
            <w:shd w:val="clear" w:color="auto" w:fill="E5FFFF"/>
          </w:tcPr>
          <w:p>
            <w:pPr>
              <w:spacing w:after="0"/>
              <w:rPr>
                <w:sz w:val="18"/>
                <w:szCs w:val="18"/>
                <w:color w:val="auto"/>
              </w:rPr>
            </w:pPr>
          </w:p>
        </w:tc>
        <w:tc>
          <w:tcPr>
            <w:tcW w:w="860" w:type="dxa"/>
            <w:vAlign w:val="bottom"/>
            <w:tcBorders>
              <w:top w:val="single" w:sz="8" w:color="auto"/>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4"/>
          </w:tcPr>
          <w:p>
            <w:pPr>
              <w:spacing w:after="0"/>
              <w:rPr>
                <w:sz w:val="20"/>
                <w:szCs w:val="20"/>
                <w:color w:val="auto"/>
              </w:rPr>
            </w:pPr>
            <w:r>
              <w:rPr>
                <w:rFonts w:ascii="Arial" w:cs="Arial" w:eastAsia="Arial" w:hAnsi="Arial"/>
                <w:sz w:val="18"/>
                <w:szCs w:val="18"/>
                <w:color w:val="auto"/>
              </w:rPr>
              <w:t>Common unitholders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8,525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11,295</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18,143</w:t>
            </w:r>
          </w:p>
        </w:tc>
        <w:tc>
          <w:tcPr>
            <w:tcW w:w="2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21,974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4"/>
            <w:shd w:val="clear" w:color="auto" w:fill="E5FFFF"/>
          </w:tcPr>
          <w:p>
            <w:pPr>
              <w:spacing w:after="0"/>
              <w:rPr>
                <w:sz w:val="20"/>
                <w:szCs w:val="20"/>
                <w:color w:val="auto"/>
              </w:rPr>
            </w:pPr>
            <w:r>
              <w:rPr>
                <w:rFonts w:ascii="Arial" w:cs="Arial" w:eastAsia="Arial" w:hAnsi="Arial"/>
                <w:sz w:val="18"/>
                <w:szCs w:val="18"/>
                <w:color w:val="auto"/>
              </w:rPr>
              <w:t>Subordinated unitholders</w:t>
            </w:r>
          </w:p>
        </w:tc>
        <w:tc>
          <w:tcPr>
            <w:tcW w:w="20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3,837</w:t>
            </w:r>
          </w:p>
        </w:tc>
        <w:tc>
          <w:tcPr>
            <w:tcW w:w="22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5,084</w:t>
            </w:r>
          </w:p>
        </w:tc>
        <w:tc>
          <w:tcPr>
            <w:tcW w:w="2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6,858</w:t>
            </w:r>
          </w:p>
        </w:tc>
        <w:tc>
          <w:tcPr>
            <w:tcW w:w="220" w:type="dxa"/>
            <w:vAlign w:val="bottom"/>
            <w:shd w:val="clear" w:color="auto" w:fill="E5FFFF"/>
          </w:tcPr>
          <w:p>
            <w:pPr>
              <w:spacing w:after="0"/>
              <w:rPr>
                <w:sz w:val="18"/>
                <w:szCs w:val="18"/>
                <w:color w:val="auto"/>
              </w:rPr>
            </w:pPr>
          </w:p>
        </w:tc>
        <w:tc>
          <w:tcPr>
            <w:tcW w:w="11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9,891</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4"/>
          </w:tcPr>
          <w:p>
            <w:pPr>
              <w:spacing w:after="0"/>
              <w:rPr>
                <w:sz w:val="20"/>
                <w:szCs w:val="20"/>
                <w:color w:val="auto"/>
              </w:rPr>
            </w:pPr>
            <w:r>
              <w:rPr>
                <w:rFonts w:ascii="Arial" w:cs="Arial" w:eastAsia="Arial" w:hAnsi="Arial"/>
                <w:sz w:val="18"/>
                <w:szCs w:val="18"/>
                <w:color w:val="auto"/>
              </w:rPr>
              <w:t>General partner</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347</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510</w:t>
            </w:r>
          </w:p>
        </w:tc>
        <w:tc>
          <w:tcPr>
            <w:tcW w:w="2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4"/>
            <w:shd w:val="clear" w:color="auto" w:fill="E5FFFF"/>
          </w:tcPr>
          <w:p>
            <w:pPr>
              <w:spacing w:after="0"/>
              <w:rPr>
                <w:sz w:val="20"/>
                <w:szCs w:val="20"/>
                <w:color w:val="auto"/>
              </w:rPr>
            </w:pPr>
            <w:r>
              <w:rPr>
                <w:rFonts w:ascii="Arial" w:cs="Arial" w:eastAsia="Arial" w:hAnsi="Arial"/>
                <w:sz w:val="18"/>
                <w:szCs w:val="18"/>
                <w:color w:val="auto"/>
              </w:rPr>
              <w:t>Incentive distribution rights (“IDRs”)</w:t>
            </w:r>
          </w:p>
        </w:tc>
        <w:tc>
          <w:tcPr>
            <w:tcW w:w="860" w:type="dxa"/>
            <w:vAlign w:val="bottom"/>
            <w:shd w:val="clear" w:color="auto" w:fill="E5FFFF"/>
          </w:tcPr>
          <w:p>
            <w:pPr>
              <w:spacing w:after="0"/>
              <w:rPr>
                <w:sz w:val="18"/>
                <w:szCs w:val="18"/>
                <w:color w:val="auto"/>
              </w:rPr>
            </w:pPr>
          </w:p>
        </w:tc>
        <w:tc>
          <w:tcPr>
            <w:tcW w:w="12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655</w:t>
            </w:r>
          </w:p>
        </w:tc>
        <w:tc>
          <w:tcPr>
            <w:tcW w:w="2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1,037</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E5FFFF"/>
            </w:tcBorders>
            <w:gridSpan w:val="4"/>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tcBorders>
              <w:bottom w:val="single" w:sz="8" w:color="E5FFFF"/>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12,614</w:t>
            </w:r>
          </w:p>
        </w:tc>
        <w:tc>
          <w:tcPr>
            <w:tcW w:w="220" w:type="dxa"/>
            <w:vAlign w:val="bottom"/>
            <w:tcBorders>
              <w:bottom w:val="single" w:sz="8" w:color="E5FF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17,381</w:t>
            </w:r>
          </w:p>
        </w:tc>
        <w:tc>
          <w:tcPr>
            <w:tcW w:w="220" w:type="dxa"/>
            <w:vAlign w:val="bottom"/>
            <w:tcBorders>
              <w:bottom w:val="single" w:sz="8" w:color="E5FFFF"/>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25,511</w:t>
            </w:r>
          </w:p>
        </w:tc>
        <w:tc>
          <w:tcPr>
            <w:tcW w:w="220" w:type="dxa"/>
            <w:vAlign w:val="bottom"/>
            <w:tcBorders>
              <w:bottom w:val="single" w:sz="8" w:color="E5FFFF"/>
            </w:tcBorders>
          </w:tcPr>
          <w:p>
            <w:pPr>
              <w:spacing w:after="0"/>
              <w:rPr>
                <w:sz w:val="21"/>
                <w:szCs w:val="21"/>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33,573</w:t>
            </w:r>
          </w:p>
        </w:tc>
        <w:tc>
          <w:tcPr>
            <w:tcW w:w="120" w:type="dxa"/>
            <w:vAlign w:val="bottom"/>
            <w:tcBorders>
              <w:bottom w:val="single" w:sz="8" w:color="E5FF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460" w:type="dxa"/>
            <w:vAlign w:val="bottom"/>
            <w:gridSpan w:val="4"/>
            <w:shd w:val="clear" w:color="auto" w:fill="E5FFFF"/>
          </w:tcPr>
          <w:p>
            <w:pPr>
              <w:spacing w:after="0" w:line="196" w:lineRule="exact"/>
              <w:rPr>
                <w:sz w:val="20"/>
                <w:szCs w:val="20"/>
                <w:color w:val="auto"/>
              </w:rPr>
            </w:pPr>
            <w:r>
              <w:rPr>
                <w:rFonts w:ascii="Arial" w:cs="Arial" w:eastAsia="Arial" w:hAnsi="Arial"/>
                <w:sz w:val="18"/>
                <w:szCs w:val="18"/>
                <w:color w:val="auto"/>
              </w:rPr>
              <w:t>Partnership’s profit allocated to GasLog</w:t>
            </w:r>
          </w:p>
        </w:tc>
        <w:tc>
          <w:tcPr>
            <w:tcW w:w="860" w:type="dxa"/>
            <w:vAlign w:val="bottom"/>
            <w:shd w:val="clear" w:color="auto" w:fill="E5FFFF"/>
          </w:tcPr>
          <w:p>
            <w:pPr>
              <w:spacing w:after="0"/>
              <w:rPr>
                <w:sz w:val="17"/>
                <w:szCs w:val="17"/>
                <w:color w:val="auto"/>
              </w:rPr>
            </w:pPr>
          </w:p>
        </w:tc>
        <w:tc>
          <w:tcPr>
            <w:tcW w:w="12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4,153</w:t>
            </w:r>
          </w:p>
        </w:tc>
        <w:tc>
          <w:tcPr>
            <w:tcW w:w="22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5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6,171</w:t>
            </w:r>
          </w:p>
        </w:tc>
        <w:tc>
          <w:tcPr>
            <w:tcW w:w="2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960" w:type="dxa"/>
            <w:vAlign w:val="bottom"/>
            <w:gridSpan w:val="2"/>
            <w:shd w:val="clear" w:color="auto" w:fill="E5FFFF"/>
          </w:tcPr>
          <w:p>
            <w:pPr>
              <w:jc w:val="right"/>
              <w:spacing w:after="0" w:line="196" w:lineRule="exact"/>
              <w:rPr>
                <w:sz w:val="20"/>
                <w:szCs w:val="20"/>
                <w:color w:val="auto"/>
              </w:rPr>
            </w:pPr>
            <w:r>
              <w:rPr>
                <w:rFonts w:ascii="Arial" w:cs="Arial" w:eastAsia="Arial" w:hAnsi="Arial"/>
                <w:sz w:val="18"/>
                <w:szCs w:val="18"/>
                <w:color w:val="auto"/>
              </w:rPr>
              <w:t>7,540</w:t>
            </w:r>
          </w:p>
        </w:tc>
        <w:tc>
          <w:tcPr>
            <w:tcW w:w="220" w:type="dxa"/>
            <w:vAlign w:val="bottom"/>
            <w:shd w:val="clear" w:color="auto" w:fill="E5FFFF"/>
          </w:tcPr>
          <w:p>
            <w:pPr>
              <w:spacing w:after="0"/>
              <w:rPr>
                <w:sz w:val="17"/>
                <w:szCs w:val="17"/>
                <w:color w:val="auto"/>
              </w:rPr>
            </w:pPr>
          </w:p>
        </w:tc>
        <w:tc>
          <w:tcPr>
            <w:tcW w:w="1180" w:type="dxa"/>
            <w:vAlign w:val="bottom"/>
            <w:gridSpan w:val="2"/>
            <w:shd w:val="clear" w:color="auto" w:fill="E5FFFF"/>
          </w:tcPr>
          <w:p>
            <w:pPr>
              <w:jc w:val="right"/>
              <w:spacing w:after="0" w:line="196" w:lineRule="exact"/>
              <w:rPr>
                <w:sz w:val="20"/>
                <w:szCs w:val="20"/>
                <w:color w:val="auto"/>
              </w:rPr>
            </w:pPr>
            <w:r>
              <w:rPr>
                <w:rFonts w:ascii="Arial" w:cs="Arial" w:eastAsia="Arial" w:hAnsi="Arial"/>
                <w:sz w:val="18"/>
                <w:szCs w:val="18"/>
                <w:color w:val="auto"/>
              </w:rPr>
              <w:t>11,763</w:t>
            </w:r>
          </w:p>
        </w:tc>
        <w:tc>
          <w:tcPr>
            <w:tcW w:w="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gridSpan w:val="4"/>
          </w:tcPr>
          <w:p>
            <w:pPr>
              <w:spacing w:after="0"/>
              <w:rPr>
                <w:sz w:val="20"/>
                <w:szCs w:val="20"/>
                <w:color w:val="auto"/>
              </w:rPr>
            </w:pPr>
            <w:r>
              <w:rPr>
                <w:rFonts w:ascii="Arial" w:cs="Arial" w:eastAsia="Arial" w:hAnsi="Arial"/>
                <w:sz w:val="18"/>
                <w:szCs w:val="18"/>
                <w:color w:val="auto"/>
              </w:rPr>
              <w:t>Partnership’s profit allocated to non-controlling interest</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8,461</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11,210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17,971</w:t>
            </w:r>
          </w:p>
        </w:tc>
        <w:tc>
          <w:tcPr>
            <w:tcW w:w="2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21,810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E5FFFF"/>
              <w:bottom w:val="single" w:sz="8" w:color="E5FFFF"/>
            </w:tcBorders>
            <w:gridSpan w:val="4"/>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tcBorders>
              <w:top w:val="single" w:sz="8" w:color="E5FFFF"/>
              <w:bottom w:val="single" w:sz="8" w:color="E5FFFF"/>
            </w:tcBorders>
            <w:shd w:val="clear" w:color="auto" w:fill="E5FFFF"/>
          </w:tcPr>
          <w:p>
            <w:pPr>
              <w:spacing w:after="0"/>
              <w:rPr>
                <w:sz w:val="18"/>
                <w:szCs w:val="18"/>
                <w:color w:val="auto"/>
              </w:rPr>
            </w:pPr>
          </w:p>
        </w:tc>
        <w:tc>
          <w:tcPr>
            <w:tcW w:w="1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12,614</w:t>
            </w: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420" w:type="dxa"/>
            <w:vAlign w:val="bottom"/>
            <w:tcBorders>
              <w:top w:val="single" w:sz="8" w:color="auto"/>
              <w:bottom w:val="single" w:sz="8" w:color="auto"/>
            </w:tcBorders>
            <w:shd w:val="clear" w:color="auto" w:fill="E5FFFF"/>
          </w:tcPr>
          <w:p>
            <w:pPr>
              <w:spacing w:after="0"/>
              <w:rPr>
                <w:sz w:val="18"/>
                <w:szCs w:val="18"/>
                <w:color w:val="auto"/>
              </w:rPr>
            </w:pPr>
          </w:p>
        </w:tc>
        <w:tc>
          <w:tcPr>
            <w:tcW w:w="220" w:type="dxa"/>
            <w:vAlign w:val="bottom"/>
            <w:tcBorders>
              <w:top w:val="single" w:sz="8" w:color="auto"/>
              <w:bottom w:val="single" w:sz="8" w:color="auto"/>
            </w:tcBorders>
            <w:shd w:val="clear" w:color="auto" w:fill="E5FFFF"/>
          </w:tcPr>
          <w:p>
            <w:pPr>
              <w:spacing w:after="0"/>
              <w:rPr>
                <w:sz w:val="18"/>
                <w:szCs w:val="18"/>
                <w:color w:val="auto"/>
              </w:rPr>
            </w:pPr>
          </w:p>
        </w:tc>
        <w:tc>
          <w:tcPr>
            <w:tcW w:w="5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w w:val="94"/>
              </w:rPr>
              <w:t>17,381</w:t>
            </w: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40" w:type="dxa"/>
            <w:vAlign w:val="bottom"/>
            <w:tcBorders>
              <w:top w:val="single" w:sz="8" w:color="auto"/>
              <w:bottom w:val="single" w:sz="8" w:color="auto"/>
            </w:tcBorders>
            <w:shd w:val="clear" w:color="auto" w:fill="E5FFFF"/>
          </w:tcPr>
          <w:p>
            <w:pPr>
              <w:spacing w:after="0"/>
              <w:rPr>
                <w:sz w:val="18"/>
                <w:szCs w:val="18"/>
                <w:color w:val="auto"/>
              </w:rPr>
            </w:pPr>
          </w:p>
        </w:tc>
        <w:tc>
          <w:tcPr>
            <w:tcW w:w="180" w:type="dxa"/>
            <w:vAlign w:val="bottom"/>
            <w:tcBorders>
              <w:top w:val="single" w:sz="8" w:color="auto"/>
              <w:bottom w:val="single" w:sz="8" w:color="auto"/>
            </w:tcBorders>
            <w:shd w:val="clear" w:color="auto" w:fill="E5FFFF"/>
          </w:tcPr>
          <w:p>
            <w:pPr>
              <w:spacing w:after="0"/>
              <w:rPr>
                <w:sz w:val="18"/>
                <w:szCs w:val="18"/>
                <w:color w:val="auto"/>
              </w:rPr>
            </w:pPr>
          </w:p>
        </w:tc>
        <w:tc>
          <w:tcPr>
            <w:tcW w:w="96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25,511</w:t>
            </w: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118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33,573</w:t>
            </w: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tabs>
          <w:tab w:leader="none" w:pos="1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Includes profits of: GAS-nineteen Ltd., GAS-twenty Ltd. and GAS-twenty one Ltd. for the period after their transfer to the Partnership on July 1, 2015.</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9" w:right="2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4. Tangible Fixed Assets, Vessels Under Construction and Vessel Held Under Finance Lease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movements in tangible fixed assets, vessels under construction and vessel held under finance lease are reported in the following table: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Office</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property</w:t>
            </w: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Total</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Vessel held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and other</w:t>
            </w: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tangible fixed</w:t>
            </w:r>
          </w:p>
        </w:tc>
        <w:tc>
          <w:tcPr>
            <w:tcW w:w="16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6"/>
              </w:rPr>
              <w:t>Vessels under</w:t>
            </w:r>
          </w:p>
        </w:tc>
        <w:tc>
          <w:tcPr>
            <w:tcW w:w="1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under finance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Vessels</w:t>
            </w: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tangible assets</w:t>
            </w: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78"/>
              </w:rPr>
              <w:t>assets</w:t>
            </w:r>
          </w:p>
        </w:tc>
        <w:tc>
          <w:tcPr>
            <w:tcW w:w="16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construction</w:t>
            </w:r>
          </w:p>
        </w:tc>
        <w:tc>
          <w:tcPr>
            <w:tcW w:w="1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4"/>
              </w:rPr>
              <w:t>lease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top w:val="single" w:sz="8" w:color="E5FFFF"/>
              <w:bottom w:val="single" w:sz="8" w:color="auto"/>
            </w:tcBorders>
            <w:shd w:val="clear" w:color="auto" w:fill="E5FFFF"/>
          </w:tcPr>
          <w:p>
            <w:pPr>
              <w:spacing w:after="0" w:line="170" w:lineRule="exact"/>
              <w:rPr>
                <w:sz w:val="20"/>
                <w:szCs w:val="20"/>
                <w:color w:val="auto"/>
              </w:rPr>
            </w:pPr>
            <w:r>
              <w:rPr>
                <w:rFonts w:ascii="Arial" w:cs="Arial" w:eastAsia="Arial" w:hAnsi="Arial"/>
                <w:sz w:val="18"/>
                <w:szCs w:val="18"/>
                <w:b w:val="1"/>
                <w:bCs w:val="1"/>
                <w:color w:val="auto"/>
                <w:w w:val="79"/>
              </w:rPr>
              <w:t>Cost</w:t>
            </w:r>
          </w:p>
        </w:tc>
        <w:tc>
          <w:tcPr>
            <w:tcW w:w="3880" w:type="dxa"/>
            <w:vAlign w:val="bottom"/>
            <w:tcBorders>
              <w:top w:val="single" w:sz="8" w:color="E5FFFF"/>
              <w:bottom w:val="single" w:sz="8" w:color="E5FFFF"/>
            </w:tcBorders>
            <w:gridSpan w:val="3"/>
            <w:shd w:val="clear" w:color="auto" w:fill="E5FFFF"/>
          </w:tcPr>
          <w:p>
            <w:pPr>
              <w:spacing w:after="0"/>
              <w:rPr>
                <w:sz w:val="16"/>
                <w:szCs w:val="16"/>
                <w:color w:val="auto"/>
              </w:rPr>
            </w:pPr>
          </w:p>
        </w:tc>
        <w:tc>
          <w:tcPr>
            <w:tcW w:w="1040" w:type="dxa"/>
            <w:vAlign w:val="bottom"/>
            <w:tcBorders>
              <w:top w:val="single" w:sz="8" w:color="auto"/>
              <w:bottom w:val="single" w:sz="8" w:color="E5FFFF"/>
            </w:tcBorders>
            <w:shd w:val="clear" w:color="auto" w:fill="E5FFFF"/>
          </w:tcPr>
          <w:p>
            <w:pPr>
              <w:spacing w:after="0"/>
              <w:rPr>
                <w:sz w:val="16"/>
                <w:szCs w:val="16"/>
                <w:color w:val="auto"/>
              </w:rPr>
            </w:pPr>
          </w:p>
        </w:tc>
        <w:tc>
          <w:tcPr>
            <w:tcW w:w="360" w:type="dxa"/>
            <w:vAlign w:val="bottom"/>
            <w:tcBorders>
              <w:top w:val="single" w:sz="8" w:color="E5FFFF"/>
              <w:bottom w:val="single" w:sz="8" w:color="E5FFFF"/>
            </w:tcBorders>
            <w:shd w:val="clear" w:color="auto" w:fill="E5FFFF"/>
          </w:tcPr>
          <w:p>
            <w:pPr>
              <w:spacing w:after="0"/>
              <w:rPr>
                <w:sz w:val="16"/>
                <w:szCs w:val="16"/>
                <w:color w:val="auto"/>
              </w:rPr>
            </w:pPr>
          </w:p>
        </w:tc>
        <w:tc>
          <w:tcPr>
            <w:tcW w:w="1140" w:type="dxa"/>
            <w:vAlign w:val="bottom"/>
            <w:tcBorders>
              <w:top w:val="single" w:sz="8" w:color="auto"/>
              <w:bottom w:val="single" w:sz="8" w:color="E5FFFF"/>
            </w:tcBorders>
            <w:shd w:val="clear" w:color="auto" w:fill="E5FFFF"/>
          </w:tcPr>
          <w:p>
            <w:pPr>
              <w:spacing w:after="0"/>
              <w:rPr>
                <w:sz w:val="16"/>
                <w:szCs w:val="16"/>
                <w:color w:val="auto"/>
              </w:rPr>
            </w:pPr>
          </w:p>
        </w:tc>
        <w:tc>
          <w:tcPr>
            <w:tcW w:w="360" w:type="dxa"/>
            <w:vAlign w:val="bottom"/>
            <w:tcBorders>
              <w:top w:val="single" w:sz="8" w:color="E5FFFF"/>
              <w:bottom w:val="single" w:sz="8" w:color="E5FFFF"/>
            </w:tcBorders>
            <w:shd w:val="clear" w:color="auto" w:fill="E5FFFF"/>
          </w:tcPr>
          <w:p>
            <w:pPr>
              <w:spacing w:after="0"/>
              <w:rPr>
                <w:sz w:val="16"/>
                <w:szCs w:val="16"/>
                <w:color w:val="auto"/>
              </w:rPr>
            </w:pPr>
          </w:p>
        </w:tc>
        <w:tc>
          <w:tcPr>
            <w:tcW w:w="1140" w:type="dxa"/>
            <w:vAlign w:val="bottom"/>
            <w:tcBorders>
              <w:top w:val="single" w:sz="8" w:color="auto"/>
              <w:bottom w:val="single" w:sz="8" w:color="E5FFFF"/>
            </w:tcBorders>
            <w:shd w:val="clear" w:color="auto" w:fill="E5FFFF"/>
          </w:tcPr>
          <w:p>
            <w:pPr>
              <w:spacing w:after="0"/>
              <w:rPr>
                <w:sz w:val="16"/>
                <w:szCs w:val="16"/>
                <w:color w:val="auto"/>
              </w:rPr>
            </w:pPr>
          </w:p>
        </w:tc>
        <w:tc>
          <w:tcPr>
            <w:tcW w:w="320" w:type="dxa"/>
            <w:vAlign w:val="bottom"/>
            <w:tcBorders>
              <w:top w:val="single" w:sz="8" w:color="E5FFFF"/>
              <w:bottom w:val="single" w:sz="8" w:color="E5FFFF"/>
            </w:tcBorders>
            <w:shd w:val="clear" w:color="auto" w:fill="E5FFFF"/>
          </w:tcPr>
          <w:p>
            <w:pPr>
              <w:spacing w:after="0"/>
              <w:rPr>
                <w:sz w:val="16"/>
                <w:szCs w:val="16"/>
                <w:color w:val="auto"/>
              </w:rPr>
            </w:pPr>
          </w:p>
        </w:tc>
        <w:tc>
          <w:tcPr>
            <w:tcW w:w="1360" w:type="dxa"/>
            <w:vAlign w:val="bottom"/>
            <w:tcBorders>
              <w:top w:val="single" w:sz="8" w:color="auto"/>
              <w:bottom w:val="single" w:sz="8" w:color="E5FFFF"/>
            </w:tcBorders>
            <w:shd w:val="clear" w:color="auto" w:fill="E5FFFF"/>
          </w:tcPr>
          <w:p>
            <w:pPr>
              <w:spacing w:after="0"/>
              <w:rPr>
                <w:sz w:val="16"/>
                <w:szCs w:val="16"/>
                <w:color w:val="auto"/>
              </w:rPr>
            </w:pPr>
          </w:p>
        </w:tc>
        <w:tc>
          <w:tcPr>
            <w:tcW w:w="320" w:type="dxa"/>
            <w:vAlign w:val="bottom"/>
            <w:tcBorders>
              <w:top w:val="single" w:sz="8" w:color="E5FFFF"/>
              <w:bottom w:val="single" w:sz="8" w:color="E5FFFF"/>
            </w:tcBorders>
            <w:shd w:val="clear" w:color="auto" w:fill="E5FFFF"/>
          </w:tcPr>
          <w:p>
            <w:pPr>
              <w:spacing w:after="0"/>
              <w:rPr>
                <w:sz w:val="16"/>
                <w:szCs w:val="16"/>
                <w:color w:val="auto"/>
              </w:rPr>
            </w:pPr>
          </w:p>
        </w:tc>
        <w:tc>
          <w:tcPr>
            <w:tcW w:w="1140" w:type="dxa"/>
            <w:vAlign w:val="bottom"/>
            <w:tcBorders>
              <w:top w:val="single" w:sz="8" w:color="auto"/>
              <w:bottom w:val="single" w:sz="8" w:color="E5FFFF"/>
            </w:tcBorders>
            <w:shd w:val="clear" w:color="auto" w:fill="E5FF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tcPr>
          <w:p>
            <w:pPr>
              <w:spacing w:after="0"/>
              <w:rPr>
                <w:sz w:val="20"/>
                <w:szCs w:val="20"/>
                <w:color w:val="auto"/>
              </w:rPr>
            </w:pPr>
            <w:r>
              <w:rPr>
                <w:rFonts w:ascii="Arial" w:cs="Arial" w:eastAsia="Arial" w:hAnsi="Arial"/>
                <w:sz w:val="18"/>
                <w:szCs w:val="18"/>
                <w:color w:val="auto"/>
              </w:rPr>
              <w:t>As of January 1, 2016</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3,619,255</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12,315</w:t>
            </w:r>
          </w:p>
        </w:tc>
        <w:tc>
          <w:tcPr>
            <w:tcW w:w="1140" w:type="dxa"/>
            <w:vAlign w:val="bottom"/>
          </w:tcPr>
          <w:p>
            <w:pPr>
              <w:jc w:val="right"/>
              <w:spacing w:after="0"/>
              <w:rPr>
                <w:sz w:val="20"/>
                <w:szCs w:val="20"/>
                <w:color w:val="auto"/>
              </w:rPr>
            </w:pPr>
            <w:r>
              <w:rPr>
                <w:rFonts w:ascii="Arial" w:cs="Arial" w:eastAsia="Arial" w:hAnsi="Arial"/>
                <w:sz w:val="18"/>
                <w:szCs w:val="18"/>
                <w:color w:val="auto"/>
              </w:rPr>
              <w:t>3,631,570</w:t>
            </w:r>
          </w:p>
        </w:tc>
        <w:tc>
          <w:tcPr>
            <w:tcW w:w="32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178,405</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shd w:val="clear" w:color="auto" w:fill="E5FFFF"/>
          </w:tcPr>
          <w:p>
            <w:pPr>
              <w:spacing w:after="0"/>
              <w:rPr>
                <w:sz w:val="20"/>
                <w:szCs w:val="20"/>
                <w:color w:val="auto"/>
              </w:rPr>
            </w:pPr>
            <w:r>
              <w:rPr>
                <w:rFonts w:ascii="Arial" w:cs="Arial" w:eastAsia="Arial" w:hAnsi="Arial"/>
                <w:sz w:val="18"/>
                <w:szCs w:val="18"/>
                <w:color w:val="auto"/>
              </w:rPr>
              <w:t>Sale and leaseback (Note 5)</w:t>
            </w:r>
          </w:p>
        </w:tc>
        <w:tc>
          <w:tcPr>
            <w:tcW w:w="14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(234,650)</w:t>
            </w:r>
          </w:p>
        </w:tc>
        <w:tc>
          <w:tcPr>
            <w:tcW w:w="15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(234,650)</w:t>
            </w:r>
          </w:p>
        </w:tc>
        <w:tc>
          <w:tcPr>
            <w:tcW w:w="168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227,809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tcPr>
          <w:p>
            <w:pPr>
              <w:spacing w:after="0"/>
              <w:rPr>
                <w:sz w:val="20"/>
                <w:szCs w:val="20"/>
                <w:color w:val="auto"/>
              </w:rPr>
            </w:pPr>
            <w:r>
              <w:rPr>
                <w:rFonts w:ascii="Arial" w:cs="Arial" w:eastAsia="Arial" w:hAnsi="Arial"/>
                <w:sz w:val="18"/>
                <w:szCs w:val="18"/>
                <w:color w:val="auto"/>
              </w:rPr>
              <w:t>Additions</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5,449</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939</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6,388</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375,334</w:t>
            </w:r>
          </w:p>
        </w:tc>
        <w:tc>
          <w:tcPr>
            <w:tcW w:w="1140" w:type="dxa"/>
            <w:vAlign w:val="bottom"/>
          </w:tcPr>
          <w:p>
            <w:pPr>
              <w:jc w:val="right"/>
              <w:spacing w:after="0"/>
              <w:rPr>
                <w:sz w:val="20"/>
                <w:szCs w:val="20"/>
                <w:color w:val="auto"/>
              </w:rPr>
            </w:pPr>
            <w:r>
              <w:rPr>
                <w:rFonts w:ascii="Arial" w:cs="Arial" w:eastAsia="Arial" w:hAnsi="Arial"/>
                <w:sz w:val="18"/>
                <w:szCs w:val="18"/>
                <w:color w:val="auto"/>
              </w:rPr>
              <w:t>714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shd w:val="clear" w:color="auto" w:fill="E5FFFF"/>
          </w:tcPr>
          <w:p>
            <w:pPr>
              <w:spacing w:after="0"/>
              <w:rPr>
                <w:sz w:val="20"/>
                <w:szCs w:val="20"/>
                <w:color w:val="auto"/>
              </w:rPr>
            </w:pPr>
            <w:r>
              <w:rPr>
                <w:rFonts w:ascii="Arial" w:cs="Arial" w:eastAsia="Arial" w:hAnsi="Arial"/>
                <w:sz w:val="18"/>
                <w:szCs w:val="18"/>
                <w:color w:val="auto"/>
              </w:rPr>
              <w:t>Transfer from vessels under construction</w:t>
            </w:r>
          </w:p>
        </w:tc>
        <w:tc>
          <w:tcPr>
            <w:tcW w:w="14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417,914</w:t>
            </w:r>
          </w:p>
        </w:tc>
        <w:tc>
          <w:tcPr>
            <w:tcW w:w="15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417,914</w:t>
            </w:r>
          </w:p>
        </w:tc>
        <w:tc>
          <w:tcPr>
            <w:tcW w:w="168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(417,914)</w:t>
            </w:r>
          </w:p>
        </w:tc>
        <w:tc>
          <w:tcPr>
            <w:tcW w:w="11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tcPr>
          <w:p>
            <w:pPr>
              <w:spacing w:after="0"/>
              <w:rPr>
                <w:sz w:val="20"/>
                <w:szCs w:val="20"/>
                <w:color w:val="auto"/>
              </w:rPr>
            </w:pPr>
            <w:r>
              <w:rPr>
                <w:rFonts w:ascii="Arial" w:cs="Arial" w:eastAsia="Arial" w:hAnsi="Arial"/>
                <w:sz w:val="18"/>
                <w:szCs w:val="18"/>
                <w:color w:val="auto"/>
              </w:rPr>
              <w:t>Fully amortized drydocking component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(2,520)</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(2,520)</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E5FFFF"/>
            </w:tcBorders>
            <w:gridSpan w:val="4"/>
            <w:shd w:val="clear" w:color="auto" w:fill="E5FFFF"/>
          </w:tcPr>
          <w:p>
            <w:pPr>
              <w:spacing w:after="0"/>
              <w:rPr>
                <w:sz w:val="20"/>
                <w:szCs w:val="20"/>
                <w:color w:val="auto"/>
              </w:rPr>
            </w:pPr>
            <w:r>
              <w:rPr>
                <w:rFonts w:ascii="Arial" w:cs="Arial" w:eastAsia="Arial" w:hAnsi="Arial"/>
                <w:sz w:val="18"/>
                <w:szCs w:val="18"/>
                <w:b w:val="1"/>
                <w:bCs w:val="1"/>
                <w:color w:val="auto"/>
              </w:rPr>
              <w:t>As of June 30, 2016</w:t>
            </w:r>
          </w:p>
        </w:tc>
        <w:tc>
          <w:tcPr>
            <w:tcW w:w="10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3,805,448</w:t>
            </w:r>
          </w:p>
        </w:tc>
        <w:tc>
          <w:tcPr>
            <w:tcW w:w="360" w:type="dxa"/>
            <w:vAlign w:val="bottom"/>
            <w:tcBorders>
              <w:top w:val="single" w:sz="8" w:color="E5FFFF"/>
            </w:tcBorders>
            <w:shd w:val="clear" w:color="auto" w:fill="E5FFFF"/>
          </w:tcPr>
          <w:p>
            <w:pPr>
              <w:spacing w:after="0"/>
              <w:rPr>
                <w:sz w:val="18"/>
                <w:szCs w:val="18"/>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13,254</w:t>
            </w:r>
          </w:p>
        </w:tc>
        <w:tc>
          <w:tcPr>
            <w:tcW w:w="360" w:type="dxa"/>
            <w:vAlign w:val="bottom"/>
            <w:tcBorders>
              <w:top w:val="single" w:sz="8" w:color="E5FFFF"/>
            </w:tcBorders>
            <w:shd w:val="clear" w:color="auto" w:fill="E5FFFF"/>
          </w:tcPr>
          <w:p>
            <w:pPr>
              <w:spacing w:after="0"/>
              <w:rPr>
                <w:sz w:val="18"/>
                <w:szCs w:val="18"/>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3,818,702</w:t>
            </w:r>
          </w:p>
        </w:tc>
        <w:tc>
          <w:tcPr>
            <w:tcW w:w="32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135,825</w:t>
            </w:r>
          </w:p>
        </w:tc>
        <w:tc>
          <w:tcPr>
            <w:tcW w:w="320" w:type="dxa"/>
            <w:vAlign w:val="bottom"/>
            <w:tcBorders>
              <w:top w:val="single" w:sz="8" w:color="E5FFFF"/>
            </w:tcBorders>
            <w:shd w:val="clear" w:color="auto" w:fill="E5FFFF"/>
          </w:tcPr>
          <w:p>
            <w:pPr>
              <w:spacing w:after="0"/>
              <w:rPr>
                <w:sz w:val="18"/>
                <w:szCs w:val="18"/>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228,523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220" w:type="dxa"/>
            <w:vAlign w:val="bottom"/>
            <w:gridSpan w:val="4"/>
            <w:shd w:val="clear" w:color="auto" w:fill="E5FFFF"/>
          </w:tcPr>
          <w:p>
            <w:pPr>
              <w:spacing w:after="0" w:line="176" w:lineRule="exact"/>
              <w:rPr>
                <w:sz w:val="20"/>
                <w:szCs w:val="20"/>
                <w:color w:val="auto"/>
              </w:rPr>
            </w:pPr>
            <w:r>
              <w:rPr>
                <w:rFonts w:ascii="Arial" w:cs="Arial" w:eastAsia="Arial" w:hAnsi="Arial"/>
                <w:sz w:val="18"/>
                <w:szCs w:val="18"/>
                <w:b w:val="1"/>
                <w:bCs w:val="1"/>
                <w:color w:val="auto"/>
              </w:rPr>
              <w:t>Accumulated depreciation</w:t>
            </w:r>
          </w:p>
        </w:tc>
        <w:tc>
          <w:tcPr>
            <w:tcW w:w="104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As of January 1, 2016</w:t>
            </w:r>
          </w:p>
        </w:tc>
        <w:tc>
          <w:tcPr>
            <w:tcW w:w="2220" w:type="dxa"/>
            <w:vAlign w:val="bottom"/>
            <w:tcBorders>
              <w:top w:val="single" w:sz="8" w:color="E5FFFF"/>
            </w:tcBorders>
          </w:tcPr>
          <w:p>
            <w:pPr>
              <w:spacing w:after="0"/>
              <w:rPr>
                <w:sz w:val="18"/>
                <w:szCs w:val="18"/>
                <w:color w:val="auto"/>
              </w:rPr>
            </w:pPr>
          </w:p>
        </w:tc>
        <w:tc>
          <w:tcPr>
            <w:tcW w:w="1400" w:type="dxa"/>
            <w:vAlign w:val="bottom"/>
            <w:tcBorders>
              <w:top w:val="single" w:sz="8" w:color="E5FFFF"/>
            </w:tcBorders>
            <w:gridSpan w:val="2"/>
          </w:tcPr>
          <w:p>
            <w:pPr>
              <w:jc w:val="right"/>
              <w:ind w:right="360"/>
              <w:spacing w:after="0"/>
              <w:rPr>
                <w:sz w:val="20"/>
                <w:szCs w:val="20"/>
                <w:color w:val="auto"/>
              </w:rPr>
            </w:pPr>
            <w:r>
              <w:rPr>
                <w:rFonts w:ascii="Arial" w:cs="Arial" w:eastAsia="Arial" w:hAnsi="Arial"/>
                <w:sz w:val="18"/>
                <w:szCs w:val="18"/>
                <w:color w:val="auto"/>
              </w:rPr>
              <w:t>228,531</w:t>
            </w:r>
          </w:p>
        </w:tc>
        <w:tc>
          <w:tcPr>
            <w:tcW w:w="1500" w:type="dxa"/>
            <w:vAlign w:val="bottom"/>
            <w:tcBorders>
              <w:top w:val="single" w:sz="8" w:color="E5FFFF"/>
            </w:tcBorders>
            <w:gridSpan w:val="2"/>
          </w:tcPr>
          <w:p>
            <w:pPr>
              <w:jc w:val="right"/>
              <w:ind w:right="360"/>
              <w:spacing w:after="0"/>
              <w:rPr>
                <w:sz w:val="20"/>
                <w:szCs w:val="20"/>
                <w:color w:val="auto"/>
              </w:rPr>
            </w:pPr>
            <w:r>
              <w:rPr>
                <w:rFonts w:ascii="Arial" w:cs="Arial" w:eastAsia="Arial" w:hAnsi="Arial"/>
                <w:sz w:val="18"/>
                <w:szCs w:val="18"/>
                <w:color w:val="auto"/>
              </w:rPr>
              <w:t>2,769</w:t>
            </w:r>
          </w:p>
        </w:tc>
        <w:tc>
          <w:tcPr>
            <w:tcW w:w="1460" w:type="dxa"/>
            <w:vAlign w:val="bottom"/>
            <w:tcBorders>
              <w:top w:val="single" w:sz="8" w:color="E5FFFF"/>
            </w:tcBorders>
            <w:gridSpan w:val="2"/>
          </w:tcPr>
          <w:p>
            <w:pPr>
              <w:jc w:val="right"/>
              <w:ind w:right="320"/>
              <w:spacing w:after="0"/>
              <w:rPr>
                <w:sz w:val="20"/>
                <w:szCs w:val="20"/>
                <w:color w:val="auto"/>
              </w:rPr>
            </w:pPr>
            <w:r>
              <w:rPr>
                <w:rFonts w:ascii="Arial" w:cs="Arial" w:eastAsia="Arial" w:hAnsi="Arial"/>
                <w:sz w:val="18"/>
                <w:szCs w:val="18"/>
                <w:color w:val="auto"/>
              </w:rPr>
              <w:t>231,300</w:t>
            </w:r>
          </w:p>
        </w:tc>
        <w:tc>
          <w:tcPr>
            <w:tcW w:w="1680" w:type="dxa"/>
            <w:vAlign w:val="bottom"/>
            <w:tcBorders>
              <w:top w:val="single" w:sz="8" w:color="E5FFFF"/>
            </w:tcBorders>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E5FFFF"/>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shd w:val="clear" w:color="auto" w:fill="E5FFFF"/>
          </w:tcPr>
          <w:p>
            <w:pPr>
              <w:spacing w:after="0"/>
              <w:rPr>
                <w:sz w:val="20"/>
                <w:szCs w:val="20"/>
                <w:color w:val="auto"/>
              </w:rPr>
            </w:pPr>
            <w:r>
              <w:rPr>
                <w:rFonts w:ascii="Arial" w:cs="Arial" w:eastAsia="Arial" w:hAnsi="Arial"/>
                <w:sz w:val="18"/>
                <w:szCs w:val="18"/>
                <w:color w:val="auto"/>
              </w:rPr>
              <w:t>Depreciation expense</w:t>
            </w:r>
          </w:p>
        </w:tc>
        <w:tc>
          <w:tcPr>
            <w:tcW w:w="14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54,681</w:t>
            </w:r>
          </w:p>
        </w:tc>
        <w:tc>
          <w:tcPr>
            <w:tcW w:w="15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305</w:t>
            </w:r>
          </w:p>
        </w:tc>
        <w:tc>
          <w:tcPr>
            <w:tcW w:w="14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54,986</w:t>
            </w:r>
          </w:p>
        </w:tc>
        <w:tc>
          <w:tcPr>
            <w:tcW w:w="168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tcPr>
          <w:p>
            <w:pPr>
              <w:spacing w:after="0"/>
              <w:rPr>
                <w:sz w:val="20"/>
                <w:szCs w:val="20"/>
                <w:color w:val="auto"/>
              </w:rPr>
            </w:pPr>
            <w:r>
              <w:rPr>
                <w:rFonts w:ascii="Arial" w:cs="Arial" w:eastAsia="Arial" w:hAnsi="Arial"/>
                <w:sz w:val="18"/>
                <w:szCs w:val="18"/>
                <w:color w:val="auto"/>
              </w:rPr>
              <w:t>Sale and leaseback (Note 5)</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(6,841)</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(6,841)</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shd w:val="clear" w:color="auto" w:fill="E5FFFF"/>
          </w:tcPr>
          <w:p>
            <w:pPr>
              <w:spacing w:after="0"/>
              <w:rPr>
                <w:sz w:val="20"/>
                <w:szCs w:val="20"/>
                <w:color w:val="auto"/>
              </w:rPr>
            </w:pPr>
            <w:r>
              <w:rPr>
                <w:rFonts w:ascii="Arial" w:cs="Arial" w:eastAsia="Arial" w:hAnsi="Arial"/>
                <w:sz w:val="18"/>
                <w:szCs w:val="18"/>
                <w:color w:val="auto"/>
              </w:rPr>
              <w:t>Fully amortized drydocking component</w:t>
            </w:r>
          </w:p>
        </w:tc>
        <w:tc>
          <w:tcPr>
            <w:tcW w:w="14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(2,520)</w:t>
            </w:r>
          </w:p>
        </w:tc>
        <w:tc>
          <w:tcPr>
            <w:tcW w:w="15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(2,520)</w:t>
            </w:r>
          </w:p>
        </w:tc>
        <w:tc>
          <w:tcPr>
            <w:tcW w:w="168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bottom w:val="single" w:sz="8" w:color="E5FFFF"/>
            </w:tcBorders>
            <w:gridSpan w:val="4"/>
          </w:tcPr>
          <w:p>
            <w:pPr>
              <w:spacing w:after="0"/>
              <w:rPr>
                <w:sz w:val="20"/>
                <w:szCs w:val="20"/>
                <w:color w:val="auto"/>
              </w:rPr>
            </w:pPr>
            <w:r>
              <w:rPr>
                <w:rFonts w:ascii="Arial" w:cs="Arial" w:eastAsia="Arial" w:hAnsi="Arial"/>
                <w:sz w:val="18"/>
                <w:szCs w:val="18"/>
                <w:b w:val="1"/>
                <w:bCs w:val="1"/>
                <w:color w:val="auto"/>
              </w:rPr>
              <w:t>As of June 30, 2016</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273,851</w:t>
            </w:r>
          </w:p>
        </w:tc>
        <w:tc>
          <w:tcPr>
            <w:tcW w:w="360" w:type="dxa"/>
            <w:vAlign w:val="bottom"/>
            <w:tcBorders>
              <w:bottom w:val="single" w:sz="8" w:color="E5FF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3,074</w:t>
            </w:r>
          </w:p>
        </w:tc>
        <w:tc>
          <w:tcPr>
            <w:tcW w:w="360" w:type="dxa"/>
            <w:vAlign w:val="bottom"/>
            <w:tcBorders>
              <w:bottom w:val="single" w:sz="8" w:color="E5FF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276,925</w:t>
            </w:r>
          </w:p>
        </w:tc>
        <w:tc>
          <w:tcPr>
            <w:tcW w:w="320" w:type="dxa"/>
            <w:vAlign w:val="bottom"/>
            <w:tcBorders>
              <w:bottom w:val="single" w:sz="8" w:color="E5FF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5FF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2220" w:type="dxa"/>
            <w:vAlign w:val="bottom"/>
            <w:shd w:val="clear" w:color="auto" w:fill="E5FFFF"/>
          </w:tcPr>
          <w:p>
            <w:pPr>
              <w:spacing w:after="0"/>
              <w:rPr>
                <w:sz w:val="18"/>
                <w:szCs w:val="18"/>
                <w:color w:val="auto"/>
              </w:rPr>
            </w:pPr>
          </w:p>
        </w:tc>
        <w:tc>
          <w:tcPr>
            <w:tcW w:w="104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3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2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Net book value</w:t>
            </w: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4"/>
            <w:shd w:val="clear" w:color="auto" w:fill="E5FFFF"/>
          </w:tcPr>
          <w:p>
            <w:pPr>
              <w:spacing w:after="0"/>
              <w:rPr>
                <w:sz w:val="20"/>
                <w:szCs w:val="20"/>
                <w:color w:val="auto"/>
              </w:rPr>
            </w:pPr>
            <w:r>
              <w:rPr>
                <w:rFonts w:ascii="Arial" w:cs="Arial" w:eastAsia="Arial" w:hAnsi="Arial"/>
                <w:sz w:val="18"/>
                <w:szCs w:val="18"/>
                <w:b w:val="1"/>
                <w:bCs w:val="1"/>
                <w:color w:val="auto"/>
              </w:rPr>
              <w:t>As of December 31, 2015</w:t>
            </w:r>
          </w:p>
        </w:tc>
        <w:tc>
          <w:tcPr>
            <w:tcW w:w="14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b w:val="1"/>
                <w:bCs w:val="1"/>
                <w:color w:val="auto"/>
              </w:rPr>
              <w:t>3,390,724</w:t>
            </w:r>
          </w:p>
        </w:tc>
        <w:tc>
          <w:tcPr>
            <w:tcW w:w="15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b w:val="1"/>
                <w:bCs w:val="1"/>
                <w:color w:val="auto"/>
              </w:rPr>
              <w:t>9,546</w:t>
            </w:r>
          </w:p>
        </w:tc>
        <w:tc>
          <w:tcPr>
            <w:tcW w:w="1140" w:type="dxa"/>
            <w:vAlign w:val="bottom"/>
            <w:shd w:val="clear" w:color="auto" w:fill="E5FFFF"/>
          </w:tcPr>
          <w:p>
            <w:pPr>
              <w:jc w:val="right"/>
              <w:spacing w:after="0"/>
              <w:rPr>
                <w:sz w:val="20"/>
                <w:szCs w:val="20"/>
                <w:color w:val="auto"/>
              </w:rPr>
            </w:pPr>
            <w:r>
              <w:rPr>
                <w:rFonts w:ascii="Arial" w:cs="Arial" w:eastAsia="Arial" w:hAnsi="Arial"/>
                <w:sz w:val="18"/>
                <w:szCs w:val="18"/>
                <w:b w:val="1"/>
                <w:bCs w:val="1"/>
                <w:color w:val="auto"/>
              </w:rPr>
              <w:t>3,400,270</w:t>
            </w:r>
          </w:p>
        </w:tc>
        <w:tc>
          <w:tcPr>
            <w:tcW w:w="320" w:type="dxa"/>
            <w:vAlign w:val="bottom"/>
            <w:shd w:val="clear" w:color="auto" w:fill="E5FFFF"/>
          </w:tcPr>
          <w:p>
            <w:pPr>
              <w:spacing w:after="0"/>
              <w:rPr>
                <w:sz w:val="18"/>
                <w:szCs w:val="18"/>
                <w:color w:val="auto"/>
              </w:rPr>
            </w:pPr>
          </w:p>
        </w:tc>
        <w:tc>
          <w:tcPr>
            <w:tcW w:w="168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b w:val="1"/>
                <w:bCs w:val="1"/>
                <w:color w:val="auto"/>
              </w:rPr>
              <w:t>178,405</w:t>
            </w:r>
          </w:p>
        </w:tc>
        <w:tc>
          <w:tcPr>
            <w:tcW w:w="11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gridSpan w:val="5"/>
          </w:tcPr>
          <w:p>
            <w:pPr>
              <w:spacing w:after="0"/>
              <w:rPr>
                <w:sz w:val="20"/>
                <w:szCs w:val="20"/>
                <w:color w:val="auto"/>
              </w:rPr>
            </w:pPr>
            <w:r>
              <w:rPr>
                <w:rFonts w:ascii="Arial" w:cs="Arial" w:eastAsia="Arial" w:hAnsi="Arial"/>
                <w:sz w:val="18"/>
                <w:szCs w:val="18"/>
                <w:b w:val="1"/>
                <w:bCs w:val="1"/>
                <w:color w:val="auto"/>
              </w:rPr>
              <w:t>As of June 30, 2016</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3,531,597</w:t>
            </w:r>
          </w:p>
        </w:tc>
        <w:tc>
          <w:tcPr>
            <w:tcW w:w="36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10,180</w:t>
            </w:r>
          </w:p>
        </w:tc>
        <w:tc>
          <w:tcPr>
            <w:tcW w:w="36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3,541,777</w:t>
            </w:r>
          </w:p>
        </w:tc>
        <w:tc>
          <w:tcPr>
            <w:tcW w:w="3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135,825</w:t>
            </w:r>
          </w:p>
        </w:tc>
        <w:tc>
          <w:tcPr>
            <w:tcW w:w="3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225,861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36"/>
        <w:spacing w:after="0" w:line="277" w:lineRule="auto"/>
        <w:rPr>
          <w:sz w:val="20"/>
          <w:szCs w:val="20"/>
          <w:color w:val="auto"/>
        </w:rPr>
      </w:pPr>
      <w:r>
        <w:rPr>
          <w:rFonts w:ascii="Arial" w:cs="Arial" w:eastAsia="Arial" w:hAnsi="Arial"/>
          <w:sz w:val="18"/>
          <w:szCs w:val="18"/>
          <w:color w:val="auto"/>
        </w:rPr>
        <w:t>Vessels with an aggregate carrying amount of $3,531,597 as of June 30, 2016 (December 31, 2015: $3,390,724) have been pledged as collateral under the terms of the Group’s loan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Vessels under construction</w:t>
      </w:r>
    </w:p>
    <w:p>
      <w:pPr>
        <w:spacing w:after="0" w:line="225" w:lineRule="exact"/>
        <w:rPr>
          <w:sz w:val="20"/>
          <w:szCs w:val="20"/>
          <w:color w:val="auto"/>
        </w:rPr>
      </w:pPr>
    </w:p>
    <w:p>
      <w:pPr>
        <w:jc w:val="both"/>
        <w:ind w:firstLine="436"/>
        <w:spacing w:after="0" w:line="264" w:lineRule="auto"/>
        <w:rPr>
          <w:sz w:val="20"/>
          <w:szCs w:val="20"/>
          <w:color w:val="auto"/>
        </w:rPr>
      </w:pPr>
      <w:r>
        <w:rPr>
          <w:rFonts w:ascii="Arial" w:cs="Arial" w:eastAsia="Arial" w:hAnsi="Arial"/>
          <w:sz w:val="18"/>
          <w:szCs w:val="18"/>
          <w:color w:val="auto"/>
        </w:rPr>
        <w:t xml:space="preserve">In January 2013, GAS-eleven Ltd. and GAS-twelve Ltd. entered into shipbuilding contracts with Samsung Heavy Industries Co. Ltd. (“Samsung”) for the construction of two LNG carriers (174,000 cubic meters each). The first vessel,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was delivered on March 29, 2016, while the second vessel, the </w:t>
      </w:r>
      <w:r>
        <w:rPr>
          <w:rFonts w:ascii="Arial" w:cs="Arial" w:eastAsia="Arial" w:hAnsi="Arial"/>
          <w:sz w:val="18"/>
          <w:szCs w:val="18"/>
          <w:i w:val="1"/>
          <w:iCs w:val="1"/>
          <w:color w:val="auto"/>
        </w:rPr>
        <w:t>GasLog Glasgow</w:t>
      </w:r>
      <w:r>
        <w:rPr>
          <w:rFonts w:ascii="Arial" w:cs="Arial" w:eastAsia="Arial" w:hAnsi="Arial"/>
          <w:sz w:val="18"/>
          <w:szCs w:val="18"/>
          <w:color w:val="auto"/>
        </w:rPr>
        <w:t>, was delivered on June 30, 2016.</w:t>
      </w:r>
    </w:p>
    <w:p>
      <w:pPr>
        <w:spacing w:after="0" w:line="181" w:lineRule="exact"/>
        <w:rPr>
          <w:sz w:val="20"/>
          <w:szCs w:val="20"/>
          <w:color w:val="auto"/>
        </w:rPr>
      </w:pPr>
    </w:p>
    <w:p>
      <w:pPr>
        <w:jc w:val="both"/>
        <w:ind w:right="20" w:firstLine="436"/>
        <w:spacing w:after="0" w:line="277" w:lineRule="auto"/>
        <w:rPr>
          <w:sz w:val="20"/>
          <w:szCs w:val="20"/>
          <w:color w:val="auto"/>
        </w:rPr>
      </w:pPr>
      <w:r>
        <w:rPr>
          <w:rFonts w:ascii="Arial" w:cs="Arial" w:eastAsia="Arial" w:hAnsi="Arial"/>
          <w:sz w:val="18"/>
          <w:szCs w:val="18"/>
          <w:color w:val="auto"/>
        </w:rPr>
        <w:t>In August 2013, GAS-thirteen Ltd. and GAS-fourteen Ltd. entered into shipbuilding contracts with Samsung for the construction of two LNG carriers (174,000 cubic meters each). The vessels are expected to be delivered in the second half of 2016.</w:t>
      </w:r>
    </w:p>
    <w:p>
      <w:pPr>
        <w:spacing w:after="0" w:line="170" w:lineRule="exact"/>
        <w:rPr>
          <w:sz w:val="20"/>
          <w:szCs w:val="20"/>
          <w:color w:val="auto"/>
        </w:rPr>
      </w:pPr>
    </w:p>
    <w:p>
      <w:pPr>
        <w:jc w:val="both"/>
        <w:ind w:firstLine="436"/>
        <w:spacing w:after="0" w:line="277" w:lineRule="auto"/>
        <w:rPr>
          <w:sz w:val="20"/>
          <w:szCs w:val="20"/>
          <w:color w:val="auto"/>
        </w:rPr>
      </w:pPr>
      <w:r>
        <w:rPr>
          <w:rFonts w:ascii="Arial" w:cs="Arial" w:eastAsia="Arial" w:hAnsi="Arial"/>
          <w:sz w:val="18"/>
          <w:szCs w:val="18"/>
          <w:color w:val="auto"/>
        </w:rPr>
        <w:t>In May 2014, GAS-twenty two Ltd. and GAS-twenty three Ltd. entered into shipbuilding contracts with Samsung for the construction of two LNG carriers (174,000 cubic meters each). The vessels are expected to be delivered in the first quarter of 2018 and 2019, respectively.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June 2014, GAS-twenty four Ltd. and GAS-twenty five Ltd. entered into shipbuilding contracts with Hyundai Heavy Industries Co., Ltd.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(“Hyundai”) for the construction of two LNG carriers (174,000 cubic meters each). The vessels are expected to be delivered in the first quarter of 2018.</w:t>
      </w:r>
    </w:p>
    <w:p>
      <w:pPr>
        <w:spacing w:after="0" w:line="222" w:lineRule="exact"/>
        <w:rPr>
          <w:sz w:val="20"/>
          <w:szCs w:val="20"/>
          <w:color w:val="auto"/>
        </w:rPr>
      </w:pPr>
    </w:p>
    <w:p>
      <w:pPr>
        <w:jc w:val="both"/>
        <w:ind w:firstLine="436"/>
        <w:spacing w:after="0" w:line="264" w:lineRule="auto"/>
        <w:rPr>
          <w:sz w:val="20"/>
          <w:szCs w:val="20"/>
          <w:color w:val="auto"/>
        </w:rPr>
      </w:pPr>
      <w:r>
        <w:rPr>
          <w:rFonts w:ascii="Arial" w:cs="Arial" w:eastAsia="Arial" w:hAnsi="Arial"/>
          <w:sz w:val="18"/>
          <w:szCs w:val="18"/>
          <w:color w:val="auto"/>
        </w:rPr>
        <w:t>Vessels under construction represent scheduled advance payments to the shipyards as well as certain capitalized expenditures. As of June 30, 2016, the Group has paid to the shipyard $130,471 for the vessels that are under construction and expects to pay the remaining installments as they come due upon each vessel’s keel laying, launching and delivery (Note 11).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ind w:left="440"/>
              <w:spacing w:after="0"/>
              <w:rPr>
                <w:sz w:val="20"/>
                <w:szCs w:val="20"/>
                <w:color w:val="auto"/>
              </w:rPr>
            </w:pPr>
            <w:r>
              <w:rPr>
                <w:rFonts w:ascii="Arial" w:cs="Arial" w:eastAsia="Arial" w:hAnsi="Arial"/>
                <w:sz w:val="18"/>
                <w:szCs w:val="18"/>
                <w:color w:val="auto"/>
                <w:w w:val="94"/>
              </w:rPr>
              <w:t>The vessels under construction costs as of December 31, 2015 and June 30, 2016 are as follows:</w:t>
            </w:r>
          </w:p>
        </w:tc>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780" w:type="dxa"/>
            <w:vAlign w:val="bottom"/>
          </w:tcPr>
          <w:p>
            <w:pPr>
              <w:spacing w:after="0"/>
              <w:rPr>
                <w:sz w:val="24"/>
                <w:szCs w:val="24"/>
                <w:color w:val="auto"/>
              </w:rPr>
            </w:pPr>
          </w:p>
        </w:tc>
        <w:tc>
          <w:tcPr>
            <w:tcW w:w="208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 2015</w:t>
            </w:r>
          </w:p>
        </w:tc>
        <w:tc>
          <w:tcPr>
            <w:tcW w:w="1560" w:type="dxa"/>
            <w:vAlign w:val="bottom"/>
            <w:gridSpan w:val="3"/>
          </w:tcPr>
          <w:p>
            <w:pPr>
              <w:ind w:left="200"/>
              <w:spacing w:after="0"/>
              <w:rPr>
                <w:sz w:val="20"/>
                <w:szCs w:val="20"/>
                <w:color w:val="auto"/>
              </w:rPr>
            </w:pPr>
            <w:r>
              <w:rPr>
                <w:rFonts w:ascii="Arial" w:cs="Arial" w:eastAsia="Arial" w:hAnsi="Arial"/>
                <w:sz w:val="18"/>
                <w:szCs w:val="18"/>
                <w:b w:val="1"/>
                <w:bCs w:val="1"/>
                <w:color w:val="auto"/>
              </w:rPr>
              <w:t>June 30, 2016</w:t>
            </w:r>
          </w:p>
        </w:tc>
      </w:tr>
      <w:tr>
        <w:trPr>
          <w:trHeight w:val="210"/>
        </w:trPr>
        <w:tc>
          <w:tcPr>
            <w:tcW w:w="77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Progress shipyard installments</w:t>
            </w:r>
          </w:p>
        </w:tc>
        <w:tc>
          <w:tcPr>
            <w:tcW w:w="17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170,634</w:t>
            </w:r>
          </w:p>
        </w:tc>
        <w:tc>
          <w:tcPr>
            <w:tcW w:w="360" w:type="dxa"/>
            <w:vAlign w:val="bottom"/>
            <w:tcBorders>
              <w:top w:val="single" w:sz="8" w:color="E5FFFF"/>
            </w:tcBorders>
            <w:shd w:val="clear" w:color="auto" w:fill="E5FFFF"/>
          </w:tcPr>
          <w:p>
            <w:pPr>
              <w:spacing w:after="0"/>
              <w:rPr>
                <w:sz w:val="18"/>
                <w:szCs w:val="18"/>
                <w:color w:val="auto"/>
              </w:rPr>
            </w:pPr>
          </w:p>
        </w:tc>
        <w:tc>
          <w:tcPr>
            <w:tcW w:w="14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130,471</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Onsite supervision costs</w:t>
            </w:r>
          </w:p>
        </w:tc>
        <w:tc>
          <w:tcPr>
            <w:tcW w:w="1720" w:type="dxa"/>
            <w:vAlign w:val="bottom"/>
          </w:tcPr>
          <w:p>
            <w:pPr>
              <w:jc w:val="right"/>
              <w:spacing w:after="0"/>
              <w:rPr>
                <w:sz w:val="20"/>
                <w:szCs w:val="20"/>
                <w:color w:val="auto"/>
              </w:rPr>
            </w:pPr>
            <w:r>
              <w:rPr>
                <w:rFonts w:ascii="Arial" w:cs="Arial" w:eastAsia="Arial" w:hAnsi="Arial"/>
                <w:sz w:val="18"/>
                <w:szCs w:val="18"/>
                <w:color w:val="auto"/>
              </w:rPr>
              <w:t>4,289</w:t>
            </w:r>
          </w:p>
        </w:tc>
        <w:tc>
          <w:tcPr>
            <w:tcW w:w="36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3,447</w:t>
            </w:r>
          </w:p>
        </w:tc>
        <w:tc>
          <w:tcPr>
            <w:tcW w:w="80" w:type="dxa"/>
            <w:vAlign w:val="bottom"/>
          </w:tcPr>
          <w:p>
            <w:pPr>
              <w:spacing w:after="0"/>
              <w:rPr>
                <w:sz w:val="18"/>
                <w:szCs w:val="18"/>
                <w:color w:val="auto"/>
              </w:rPr>
            </w:pPr>
          </w:p>
        </w:tc>
      </w:tr>
      <w:tr>
        <w:trPr>
          <w:trHeight w:val="216"/>
        </w:trPr>
        <w:tc>
          <w:tcPr>
            <w:tcW w:w="7780" w:type="dxa"/>
            <w:vAlign w:val="bottom"/>
            <w:shd w:val="clear" w:color="auto" w:fill="E5FFFF"/>
          </w:tcPr>
          <w:p>
            <w:pPr>
              <w:spacing w:after="0"/>
              <w:rPr>
                <w:sz w:val="20"/>
                <w:szCs w:val="20"/>
                <w:color w:val="auto"/>
              </w:rPr>
            </w:pPr>
            <w:r>
              <w:rPr>
                <w:rFonts w:ascii="Arial" w:cs="Arial" w:eastAsia="Arial" w:hAnsi="Arial"/>
                <w:sz w:val="18"/>
                <w:szCs w:val="18"/>
                <w:color w:val="auto"/>
              </w:rPr>
              <w:t>Critical spare parts, equipment and other vessel delivery expenses</w:t>
            </w:r>
          </w:p>
        </w:tc>
        <w:tc>
          <w:tcPr>
            <w:tcW w:w="1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3,482</w:t>
            </w:r>
          </w:p>
        </w:tc>
        <w:tc>
          <w:tcPr>
            <w:tcW w:w="360" w:type="dxa"/>
            <w:vAlign w:val="bottom"/>
            <w:shd w:val="clear" w:color="auto" w:fill="E5FFFF"/>
          </w:tcPr>
          <w:p>
            <w:pPr>
              <w:spacing w:after="0"/>
              <w:rPr>
                <w:sz w:val="18"/>
                <w:szCs w:val="18"/>
                <w:color w:val="auto"/>
              </w:rPr>
            </w:pPr>
          </w:p>
        </w:tc>
        <w:tc>
          <w:tcPr>
            <w:tcW w:w="14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1,907</w:t>
            </w:r>
          </w:p>
        </w:tc>
        <w:tc>
          <w:tcPr>
            <w:tcW w:w="80" w:type="dxa"/>
            <w:vAlign w:val="bottom"/>
            <w:shd w:val="clear" w:color="auto" w:fill="E5FFFF"/>
          </w:tcPr>
          <w:p>
            <w:pPr>
              <w:spacing w:after="0"/>
              <w:rPr>
                <w:sz w:val="18"/>
                <w:szCs w:val="18"/>
                <w:color w:val="auto"/>
              </w:rPr>
            </w:pPr>
          </w:p>
        </w:tc>
      </w:tr>
      <w:tr>
        <w:trPr>
          <w:trHeight w:val="210"/>
        </w:trPr>
        <w:tc>
          <w:tcPr>
            <w:tcW w:w="77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178,405</w:t>
            </w:r>
          </w:p>
        </w:tc>
        <w:tc>
          <w:tcPr>
            <w:tcW w:w="36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135,825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Sale and Leaseback</w:t>
      </w:r>
    </w:p>
    <w:p>
      <w:pPr>
        <w:spacing w:after="0" w:line="229" w:lineRule="exact"/>
        <w:rPr>
          <w:sz w:val="20"/>
          <w:szCs w:val="20"/>
          <w:color w:val="auto"/>
        </w:rPr>
      </w:pPr>
    </w:p>
    <w:p>
      <w:pPr>
        <w:ind w:right="60" w:firstLine="383"/>
        <w:spacing w:after="0" w:line="255" w:lineRule="auto"/>
        <w:rPr>
          <w:sz w:val="20"/>
          <w:szCs w:val="20"/>
          <w:color w:val="auto"/>
        </w:rPr>
      </w:pPr>
      <w:r>
        <w:rPr>
          <w:rFonts w:ascii="Arial" w:cs="Arial" w:eastAsia="Arial" w:hAnsi="Arial"/>
          <w:sz w:val="18"/>
          <w:szCs w:val="18"/>
          <w:color w:val="auto"/>
        </w:rPr>
        <w:t xml:space="preserve">On February 24, 2016, GasLog’s subsidiary, GAS-twenty six Ltd., completed the ship sale and leaseback transaction with a subsidiary of Mitsui, for the sale and leaseback of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Mitsui has the right to on-sell and lease back the vessel. The vessel was sold to Mitsui for a cash consideration of $217,000. GasLog has leased back the vessel under a bareboat charter from Mitsui for a period of up to 20 years, having a payment holiday for the first 210 days. GasLog has the option to re-purchase the vessel on pre-agreed terms no earlier than the end of year ten and no later than the end of year 17 of the bareboat charter. The bareboat hire is fixed and GasLog has a holiday period for the first 210 days. This leaseback meets the definition of a finance lease under IFRS.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7" w:name="page38"/>
    <w:bookmarkEnd w:id="37"/>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The movements in finance lease liabilities are reported in the following table:</w:t>
            </w: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As of January 1, 2016</w:t>
            </w:r>
          </w:p>
        </w:tc>
        <w:tc>
          <w:tcPr>
            <w:tcW w:w="17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56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Addition</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217,000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5FFFF"/>
          </w:tcPr>
          <w:p>
            <w:pPr>
              <w:spacing w:after="0"/>
              <w:rPr>
                <w:sz w:val="20"/>
                <w:szCs w:val="20"/>
                <w:color w:val="auto"/>
              </w:rPr>
            </w:pPr>
            <w:r>
              <w:rPr>
                <w:rFonts w:ascii="Arial" w:cs="Arial" w:eastAsia="Arial" w:hAnsi="Arial"/>
                <w:sz w:val="18"/>
                <w:szCs w:val="18"/>
                <w:color w:val="auto"/>
              </w:rPr>
              <w:t>Finance lease charge (Note 13)</w:t>
            </w:r>
          </w:p>
        </w:tc>
        <w:tc>
          <w:tcPr>
            <w:tcW w:w="17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620" w:type="dxa"/>
            <w:vAlign w:val="bottom"/>
            <w:gridSpan w:val="3"/>
            <w:shd w:val="clear" w:color="auto" w:fill="E5FFFF"/>
          </w:tcPr>
          <w:p>
            <w:pPr>
              <w:jc w:val="right"/>
              <w:ind w:right="20"/>
              <w:spacing w:after="0"/>
              <w:rPr>
                <w:sz w:val="20"/>
                <w:szCs w:val="20"/>
                <w:color w:val="auto"/>
              </w:rPr>
            </w:pPr>
            <w:r>
              <w:rPr>
                <w:rFonts w:ascii="Arial" w:cs="Arial" w:eastAsia="Arial" w:hAnsi="Arial"/>
                <w:sz w:val="18"/>
                <w:szCs w:val="18"/>
                <w:color w:val="auto"/>
              </w:rPr>
              <w:t>3,787</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As of June 30, 2016</w:t>
            </w:r>
          </w:p>
        </w:tc>
        <w:tc>
          <w:tcPr>
            <w:tcW w:w="1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220,787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6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Finance lease liability, current portion</w:t>
            </w:r>
          </w:p>
        </w:tc>
        <w:tc>
          <w:tcPr>
            <w:tcW w:w="172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tcBorders>
            <w:gridSpan w:val="2"/>
            <w:shd w:val="clear" w:color="auto" w:fill="E5FFFF"/>
          </w:tcPr>
          <w:p>
            <w:pPr>
              <w:jc w:val="right"/>
              <w:spacing w:after="0" w:line="196" w:lineRule="exact"/>
              <w:rPr>
                <w:sz w:val="20"/>
                <w:szCs w:val="20"/>
                <w:color w:val="auto"/>
              </w:rPr>
            </w:pPr>
            <w:r>
              <w:rPr>
                <w:rFonts w:ascii="Arial" w:cs="Arial" w:eastAsia="Arial" w:hAnsi="Arial"/>
                <w:sz w:val="18"/>
                <w:szCs w:val="18"/>
                <w:color w:val="auto"/>
              </w:rPr>
              <w:t>2,772</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Finance lease liability, non-current portion</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218,015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1720" w:type="dxa"/>
            <w:vAlign w:val="bottom"/>
            <w:tcBorders>
              <w:top w:val="single" w:sz="8" w:color="E5FFFF"/>
              <w:bottom w:val="single" w:sz="8" w:color="E5FFFF"/>
            </w:tcBorders>
            <w:shd w:val="clear" w:color="auto" w:fill="E5FFFF"/>
          </w:tcPr>
          <w:p>
            <w:pPr>
              <w:spacing w:after="0"/>
              <w:rPr>
                <w:sz w:val="18"/>
                <w:szCs w:val="18"/>
                <w:color w:val="auto"/>
              </w:rPr>
            </w:pP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16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220,787</w:t>
            </w:r>
          </w:p>
        </w:tc>
        <w:tc>
          <w:tcPr>
            <w:tcW w:w="20" w:type="dxa"/>
            <w:vAlign w:val="bottom"/>
            <w:tcBorders>
              <w:top w:val="single" w:sz="8" w:color="E5FFFF"/>
              <w:bottom w:val="single" w:sz="8" w:color="E5FFFF"/>
            </w:tcBorders>
            <w:shd w:val="clear" w:color="auto" w:fill="E5FFFF"/>
          </w:tcPr>
          <w:p>
            <w:pPr>
              <w:spacing w:after="0"/>
              <w:rPr>
                <w:sz w:val="18"/>
                <w:szCs w:val="18"/>
                <w:color w:val="auto"/>
              </w:rPr>
            </w:pPr>
          </w:p>
        </w:tc>
        <w:tc>
          <w:tcPr>
            <w:tcW w:w="80" w:type="dxa"/>
            <w:vAlign w:val="bottom"/>
            <w:tcBorders>
              <w:top w:val="single" w:sz="8" w:color="E5FFFF"/>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Borrowings</w:t>
            </w: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80" w:type="dxa"/>
            <w:vAlign w:val="bottom"/>
            <w:gridSpan w:val="2"/>
            <w:vMerge w:val="continue"/>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9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6"/>
              </w:rPr>
              <w:t>December 31, 2015</w:t>
            </w:r>
          </w:p>
        </w:tc>
        <w:tc>
          <w:tcPr>
            <w:tcW w:w="140" w:type="dxa"/>
            <w:vAlign w:val="bottom"/>
          </w:tcPr>
          <w:p>
            <w:pPr>
              <w:spacing w:after="0"/>
              <w:rPr>
                <w:sz w:val="24"/>
                <w:szCs w:val="24"/>
                <w:color w:val="auto"/>
              </w:rPr>
            </w:pPr>
          </w:p>
        </w:tc>
        <w:tc>
          <w:tcPr>
            <w:tcW w:w="1560" w:type="dxa"/>
            <w:vAlign w:val="bottom"/>
            <w:gridSpan w:val="3"/>
          </w:tcPr>
          <w:p>
            <w:pPr>
              <w:ind w:left="200"/>
              <w:spacing w:after="0"/>
              <w:rPr>
                <w:sz w:val="20"/>
                <w:szCs w:val="20"/>
                <w:color w:val="auto"/>
              </w:rPr>
            </w:pPr>
            <w:r>
              <w:rPr>
                <w:rFonts w:ascii="Arial" w:cs="Arial" w:eastAsia="Arial" w:hAnsi="Arial"/>
                <w:sz w:val="18"/>
                <w:szCs w:val="18"/>
                <w:b w:val="1"/>
                <w:bCs w:val="1"/>
                <w:color w:val="auto"/>
              </w:rPr>
              <w:t>June 30,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Amounts due within one year</w:t>
            </w:r>
          </w:p>
        </w:tc>
        <w:tc>
          <w:tcPr>
            <w:tcW w:w="17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645,193</w:t>
            </w:r>
          </w:p>
        </w:tc>
        <w:tc>
          <w:tcPr>
            <w:tcW w:w="22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E5FFFF"/>
            </w:tcBorders>
            <w:shd w:val="clear" w:color="auto" w:fill="E5FFFF"/>
          </w:tcPr>
          <w:p>
            <w:pPr>
              <w:spacing w:after="0"/>
              <w:rPr>
                <w:sz w:val="18"/>
                <w:szCs w:val="18"/>
                <w:color w:val="auto"/>
              </w:rPr>
            </w:pPr>
          </w:p>
        </w:tc>
        <w:tc>
          <w:tcPr>
            <w:tcW w:w="14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179,447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Less: unamortized deferred loan issuance costs</w:t>
            </w: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(8,206)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(9,399)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Borrowings, current portion</w:t>
            </w:r>
          </w:p>
        </w:tc>
        <w:tc>
          <w:tcPr>
            <w:tcW w:w="1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636,987</w:t>
            </w:r>
          </w:p>
        </w:tc>
        <w:tc>
          <w:tcPr>
            <w:tcW w:w="22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E5FFFF"/>
            </w:tcBorders>
            <w:shd w:val="clear" w:color="auto" w:fill="E5FFFF"/>
          </w:tcPr>
          <w:p>
            <w:pPr>
              <w:spacing w:after="0"/>
              <w:rPr>
                <w:sz w:val="18"/>
                <w:szCs w:val="18"/>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170,048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Amounts due after one year</w:t>
            </w:r>
          </w:p>
        </w:tc>
        <w:tc>
          <w:tcPr>
            <w:tcW w:w="1720" w:type="dxa"/>
            <w:vAlign w:val="bottom"/>
          </w:tcPr>
          <w:p>
            <w:pPr>
              <w:jc w:val="right"/>
              <w:spacing w:after="0"/>
              <w:rPr>
                <w:sz w:val="20"/>
                <w:szCs w:val="20"/>
                <w:color w:val="auto"/>
              </w:rPr>
            </w:pPr>
            <w:r>
              <w:rPr>
                <w:rFonts w:ascii="Arial" w:cs="Arial" w:eastAsia="Arial" w:hAnsi="Arial"/>
                <w:sz w:val="18"/>
                <w:szCs w:val="18"/>
                <w:color w:val="auto"/>
              </w:rPr>
              <w:t>1,762,580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2,236,045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760" w:type="dxa"/>
            <w:vAlign w:val="bottom"/>
            <w:shd w:val="clear" w:color="auto" w:fill="E5FFFF"/>
          </w:tcPr>
          <w:p>
            <w:pPr>
              <w:spacing w:after="0" w:line="256" w:lineRule="exact"/>
              <w:rPr>
                <w:sz w:val="20"/>
                <w:szCs w:val="20"/>
                <w:color w:val="auto"/>
              </w:rPr>
            </w:pPr>
            <w:r>
              <w:rPr>
                <w:rFonts w:ascii="Arial" w:cs="Arial" w:eastAsia="Arial" w:hAnsi="Arial"/>
                <w:sz w:val="18"/>
                <w:szCs w:val="18"/>
                <w:color w:val="auto"/>
              </w:rPr>
              <w:t>Plus: unamortized premium</w:t>
            </w:r>
            <w:r>
              <w:rPr>
                <w:rFonts w:ascii="Arial" w:cs="Arial" w:eastAsia="Arial" w:hAnsi="Arial"/>
                <w:sz w:val="29"/>
                <w:szCs w:val="29"/>
                <w:color w:val="auto"/>
                <w:vertAlign w:val="superscript"/>
              </w:rPr>
              <w:t>(1)</w:t>
            </w:r>
          </w:p>
        </w:tc>
        <w:tc>
          <w:tcPr>
            <w:tcW w:w="1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2,573</w:t>
            </w:r>
          </w:p>
        </w:tc>
        <w:tc>
          <w:tcPr>
            <w:tcW w:w="220" w:type="dxa"/>
            <w:vAlign w:val="bottom"/>
            <w:shd w:val="clear" w:color="auto" w:fill="E5FFFF"/>
          </w:tcPr>
          <w:p>
            <w:pPr>
              <w:spacing w:after="0"/>
              <w:rPr>
                <w:sz w:val="22"/>
                <w:szCs w:val="22"/>
                <w:color w:val="auto"/>
              </w:rPr>
            </w:pP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1,720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Less: unamortized deferred loan issuance costs</w:t>
            </w: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(27,653)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(38,093)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Borrowings, non-current portion</w:t>
            </w:r>
          </w:p>
        </w:tc>
        <w:tc>
          <w:tcPr>
            <w:tcW w:w="1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1,737,500</w:t>
            </w:r>
          </w:p>
        </w:tc>
        <w:tc>
          <w:tcPr>
            <w:tcW w:w="22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E5FFFF"/>
            </w:tcBorders>
            <w:shd w:val="clear" w:color="auto" w:fill="E5FFFF"/>
          </w:tcPr>
          <w:p>
            <w:pPr>
              <w:spacing w:after="0"/>
              <w:rPr>
                <w:sz w:val="18"/>
                <w:szCs w:val="18"/>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2,199,672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2,374,487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2,369,720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30"/>
          <w:szCs w:val="30"/>
          <w:color w:val="auto"/>
          <w:vertAlign w:val="superscript"/>
        </w:rPr>
        <w:t>(1)</w:t>
      </w:r>
      <w:r>
        <w:rPr>
          <w:sz w:val="20"/>
          <w:szCs w:val="20"/>
          <w:color w:val="auto"/>
        </w:rPr>
        <w:tab/>
      </w:r>
      <w:r>
        <w:rPr>
          <w:rFonts w:ascii="Arial" w:cs="Arial" w:eastAsia="Arial" w:hAnsi="Arial"/>
          <w:sz w:val="16"/>
          <w:szCs w:val="16"/>
          <w:color w:val="auto"/>
        </w:rPr>
        <w:t>Refer to “Senior Unsecured Notes” disclosed below for the premium.</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Loans</w:t>
      </w:r>
    </w:p>
    <w:p>
      <w:pPr>
        <w:spacing w:after="0" w:line="225" w:lineRule="exact"/>
        <w:rPr>
          <w:sz w:val="20"/>
          <w:szCs w:val="20"/>
          <w:color w:val="auto"/>
        </w:rPr>
      </w:pPr>
    </w:p>
    <w:p>
      <w:pPr>
        <w:ind w:right="320" w:firstLine="436"/>
        <w:spacing w:after="0" w:line="257" w:lineRule="auto"/>
        <w:rPr>
          <w:sz w:val="20"/>
          <w:szCs w:val="20"/>
          <w:color w:val="auto"/>
        </w:rPr>
      </w:pPr>
      <w:r>
        <w:rPr>
          <w:rFonts w:ascii="Arial" w:cs="Arial" w:eastAsia="Arial" w:hAnsi="Arial"/>
          <w:sz w:val="18"/>
          <w:szCs w:val="18"/>
          <w:color w:val="auto"/>
        </w:rPr>
        <w:t xml:space="preserve">The main terms of the Group’s loan facilities in existence as of December 31, 2015 have been disclosed in the annual audited consolidated financial statements for the year ended December 31, 2015. Refer to Note 12 “Borrowings”. During the six months ended June 30, 2016, in addition to the new transactions described below, GasLog drew down $325,934 to partially finance the delivery of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Glasgow</w:t>
      </w:r>
      <w:r>
        <w:rPr>
          <w:rFonts w:ascii="Arial" w:cs="Arial" w:eastAsia="Arial" w:hAnsi="Arial"/>
          <w:sz w:val="18"/>
          <w:szCs w:val="18"/>
          <w:color w:val="auto"/>
        </w:rPr>
        <w:t xml:space="preserve"> (six months ended June 30, 2015: $606,000) and repaid $43,884 in accordance with the repayment terms under its loan facilities (six months ended June 30, 2015: $39,824).</w:t>
      </w:r>
    </w:p>
    <w:p>
      <w:pPr>
        <w:spacing w:after="0" w:line="188" w:lineRule="exact"/>
        <w:rPr>
          <w:sz w:val="20"/>
          <w:szCs w:val="20"/>
          <w:color w:val="auto"/>
        </w:rPr>
      </w:pPr>
    </w:p>
    <w:p>
      <w:pPr>
        <w:ind w:left="760" w:right="40" w:hanging="320"/>
        <w:spacing w:after="0" w:line="255"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On February 18, 2016, subsidiaries of GasLog and GasLog Partners entered into credit agreements (the “Credit Agreements”) to refinance the debt maturities that were scheduled to become due in 2016 and 2017. The Credit Agreements are comprised of a five-year senior tranche facility of up to $396,500 and a two-year bullet junior tranche of up to $180,000. The vessels covered by the Credit Agreements are the GasLog Partners-owned </w:t>
      </w:r>
      <w:r>
        <w:rPr>
          <w:rFonts w:ascii="Arial" w:cs="Arial" w:eastAsia="Arial" w:hAnsi="Arial"/>
          <w:sz w:val="18"/>
          <w:szCs w:val="18"/>
          <w:i w:val="1"/>
          <w:iCs w:val="1"/>
          <w:color w:val="auto"/>
        </w:rPr>
        <w:t>Methane Alison Victoria</w:t>
      </w:r>
      <w:r>
        <w:rPr>
          <w:rFonts w:ascii="Arial" w:cs="Arial" w:eastAsia="Arial" w:hAnsi="Arial"/>
          <w:sz w:val="18"/>
          <w:szCs w:val="18"/>
          <w:color w:val="auto"/>
        </w:rPr>
        <w:t>,</w:t>
      </w:r>
      <w:r>
        <w:rPr>
          <w:rFonts w:ascii="Arial" w:cs="Arial" w:eastAsia="Arial" w:hAnsi="Arial"/>
          <w:sz w:val="18"/>
          <w:szCs w:val="18"/>
          <w:i w:val="1"/>
          <w:iCs w:val="1"/>
          <w:color w:val="auto"/>
        </w:rPr>
        <w:t xml:space="preserve"> Methane Shirley Elisabeth </w:t>
      </w:r>
      <w:r>
        <w:rPr>
          <w:rFonts w:ascii="Arial" w:cs="Arial" w:eastAsia="Arial" w:hAnsi="Arial"/>
          <w:sz w:val="18"/>
          <w:szCs w:val="18"/>
          <w:color w:val="auto"/>
        </w:rPr>
        <w:t>and</w:t>
      </w:r>
      <w:r>
        <w:rPr>
          <w:rFonts w:ascii="Arial" w:cs="Arial" w:eastAsia="Arial" w:hAnsi="Arial"/>
          <w:sz w:val="18"/>
          <w:szCs w:val="18"/>
          <w:i w:val="1"/>
          <w:iCs w:val="1"/>
          <w:color w:val="auto"/>
        </w:rPr>
        <w:t xml:space="preserve"> Methane Heather Sally </w:t>
      </w:r>
      <w:r>
        <w:rPr>
          <w:rFonts w:ascii="Arial" w:cs="Arial" w:eastAsia="Arial" w:hAnsi="Arial"/>
          <w:sz w:val="18"/>
          <w:szCs w:val="18"/>
          <w:color w:val="auto"/>
        </w:rPr>
        <w:t>and the GasLog-owned</w:t>
      </w:r>
      <w:r>
        <w:rPr>
          <w:rFonts w:ascii="Arial" w:cs="Arial" w:eastAsia="Arial" w:hAnsi="Arial"/>
          <w:sz w:val="18"/>
          <w:szCs w:val="18"/>
          <w:i w:val="1"/>
          <w:iCs w:val="1"/>
          <w:color w:val="auto"/>
        </w:rPr>
        <w:t xml:space="preserve"> Methane Lydon Volney </w:t>
      </w:r>
      <w:r>
        <w:rPr>
          <w:rFonts w:ascii="Arial" w:cs="Arial" w:eastAsia="Arial" w:hAnsi="Arial"/>
          <w:sz w:val="18"/>
          <w:szCs w:val="18"/>
          <w:color w:val="auto"/>
        </w:rPr>
        <w:t>and</w:t>
      </w:r>
      <w:r>
        <w:rPr>
          <w:rFonts w:ascii="Arial" w:cs="Arial" w:eastAsia="Arial" w:hAnsi="Arial"/>
          <w:sz w:val="18"/>
          <w:szCs w:val="18"/>
          <w:i w:val="1"/>
          <w:iCs w:val="1"/>
          <w:color w:val="auto"/>
        </w:rPr>
        <w:t xml:space="preserve"> Methane Becki Anne</w:t>
      </w:r>
      <w:r>
        <w:rPr>
          <w:rFonts w:ascii="Arial" w:cs="Arial" w:eastAsia="Arial" w:hAnsi="Arial"/>
          <w:sz w:val="18"/>
          <w:szCs w:val="18"/>
          <w:color w:val="auto"/>
        </w:rPr>
        <w:t>. ABN AMRO Bank N.V. and DNB (UK) Ltd. were mandated lead arrangers to the transaction. The other banks in the syndicate are: DVB</w:t>
      </w:r>
      <w:r>
        <w:rPr>
          <w:rFonts w:ascii="Arial" w:cs="Arial" w:eastAsia="Arial" w:hAnsi="Arial"/>
          <w:sz w:val="18"/>
          <w:szCs w:val="18"/>
          <w:i w:val="1"/>
          <w:iCs w:val="1"/>
          <w:color w:val="auto"/>
        </w:rPr>
        <w:t xml:space="preserve"> </w:t>
      </w:r>
      <w:r>
        <w:rPr>
          <w:rFonts w:ascii="Arial" w:cs="Arial" w:eastAsia="Arial" w:hAnsi="Arial"/>
          <w:sz w:val="18"/>
          <w:szCs w:val="18"/>
          <w:color w:val="auto"/>
        </w:rPr>
        <w:t>Bank America N.V., Commonwealth Bank of Australia, ING Bank N.V., London Branch, Credit Agricole Corporate and Investment Bank and National Australia Bank Limited.</w:t>
      </w:r>
    </w:p>
    <w:p>
      <w:pPr>
        <w:spacing w:after="0" w:line="189" w:lineRule="exact"/>
        <w:rPr>
          <w:rFonts w:ascii="Arial" w:cs="Arial" w:eastAsia="Arial" w:hAnsi="Arial"/>
          <w:sz w:val="18"/>
          <w:szCs w:val="18"/>
          <w:color w:val="auto"/>
        </w:rPr>
      </w:pPr>
    </w:p>
    <w:p>
      <w:pPr>
        <w:ind w:left="780" w:right="20"/>
        <w:spacing w:after="0" w:line="253" w:lineRule="auto"/>
        <w:rPr>
          <w:rFonts w:ascii="Arial" w:cs="Arial" w:eastAsia="Arial" w:hAnsi="Arial"/>
          <w:sz w:val="18"/>
          <w:szCs w:val="18"/>
          <w:color w:val="auto"/>
        </w:rPr>
      </w:pPr>
      <w:r>
        <w:rPr>
          <w:rFonts w:ascii="Arial" w:cs="Arial" w:eastAsia="Arial" w:hAnsi="Arial"/>
          <w:sz w:val="18"/>
          <w:szCs w:val="18"/>
          <w:color w:val="auto"/>
        </w:rPr>
        <w:t>On April 5, 2016, $395,450 and $179,750 under the senior and junior tranche, respectively, of the Credit Agreements were drawn to partially refinance $644,000 of the outstanding debt of GAS-eighteen Ltd., GAS-nineteen Ltd., GAS-twenty Ltd., GAS-twenty one Ltd. and GAS-twenty seven Ltd. The balance of $68,800 was paid from available cash. Following the decrease in the aggregate available amount by $1,300, the senior tranche facility provides for four advances of $72,288 each and a fifth advance of $106,298. The first four advances shall be repaid in 20 quarterly equal installments commencing three months after the relevant drawdown dates while the fifth advance shall be repaid in 17 quarterly equal installments commencing 12 months after the relevant drawdown date, with a balloon payment together with the final installments. The junior tranche facility provides for four advances of $29,958 each and a fifth advance of $59,918. Each advance under the junior tranche shall be repaid in full 24 months after the relevant drawdown dates. Amounts drawn will bear interest at LIBOR plus a margin (variable margin for the junior tranche).</w:t>
      </w:r>
    </w:p>
    <w:p>
      <w:pPr>
        <w:spacing w:after="0" w:line="197"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The Credit Agreements are secured as follows:</w:t>
      </w:r>
    </w:p>
    <w:p>
      <w:pPr>
        <w:spacing w:after="0" w:line="225" w:lineRule="exact"/>
        <w:rPr>
          <w:rFonts w:ascii="Arial" w:cs="Arial" w:eastAsia="Arial" w:hAnsi="Arial"/>
          <w:sz w:val="18"/>
          <w:szCs w:val="18"/>
          <w:color w:val="auto"/>
        </w:rPr>
      </w:pPr>
    </w:p>
    <w:p>
      <w:pPr>
        <w:ind w:left="1420" w:hanging="440"/>
        <w:spacing w:after="0"/>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first and second priority mortgages over the ships owned by the respective borrowers;</w:t>
      </w:r>
    </w:p>
    <w:p>
      <w:pPr>
        <w:spacing w:after="0" w:line="23" w:lineRule="exact"/>
        <w:rPr>
          <w:rFonts w:ascii="Arial" w:cs="Arial" w:eastAsia="Arial" w:hAnsi="Arial"/>
          <w:sz w:val="18"/>
          <w:szCs w:val="18"/>
          <w:color w:val="auto"/>
        </w:rPr>
      </w:pPr>
    </w:p>
    <w:p>
      <w:pPr>
        <w:ind w:left="1420" w:hanging="440"/>
        <w:spacing w:after="0"/>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guarantees from GasLog, GasLog Partners, GasLog Carriers and GasLog Partners Holdings LLC;</w:t>
      </w:r>
    </w:p>
    <w:p>
      <w:pPr>
        <w:spacing w:after="0" w:line="9" w:lineRule="exact"/>
        <w:rPr>
          <w:rFonts w:ascii="Arial" w:cs="Arial" w:eastAsia="Arial" w:hAnsi="Arial"/>
          <w:sz w:val="18"/>
          <w:szCs w:val="18"/>
          <w:color w:val="auto"/>
        </w:rPr>
      </w:pPr>
    </w:p>
    <w:p>
      <w:pPr>
        <w:ind w:left="1420" w:hanging="440"/>
        <w:spacing w:after="0"/>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share charge over the share capital of the respective borrower; and</w:t>
      </w:r>
    </w:p>
    <w:p>
      <w:pPr>
        <w:spacing w:after="0" w:line="9" w:lineRule="exact"/>
        <w:rPr>
          <w:rFonts w:ascii="Arial" w:cs="Arial" w:eastAsia="Arial" w:hAnsi="Arial"/>
          <w:sz w:val="18"/>
          <w:szCs w:val="18"/>
          <w:color w:val="auto"/>
        </w:rPr>
      </w:pPr>
    </w:p>
    <w:p>
      <w:pPr>
        <w:ind w:left="1420" w:hanging="440"/>
        <w:spacing w:after="0"/>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first and second priority assignment of all earnings and insurance related to the ship owned by the respective borrower.</w:t>
      </w:r>
    </w:p>
    <w:p>
      <w:pPr>
        <w:spacing w:after="0" w:line="211" w:lineRule="exact"/>
        <w:rPr>
          <w:sz w:val="20"/>
          <w:szCs w:val="20"/>
          <w:color w:val="auto"/>
        </w:rPr>
      </w:pPr>
    </w:p>
    <w:p>
      <w:pPr>
        <w:ind w:left="780" w:right="20"/>
        <w:spacing w:after="0" w:line="273" w:lineRule="auto"/>
        <w:rPr>
          <w:sz w:val="20"/>
          <w:szCs w:val="20"/>
          <w:color w:val="auto"/>
        </w:rPr>
      </w:pPr>
      <w:r>
        <w:rPr>
          <w:rFonts w:ascii="Arial" w:cs="Arial" w:eastAsia="Arial" w:hAnsi="Arial"/>
          <w:sz w:val="17"/>
          <w:szCs w:val="17"/>
          <w:color w:val="auto"/>
        </w:rPr>
        <w:t>The Credit Agreements impose certain operating and financial restrictions on GasLog and GasLog Partners. These restrictions generally limit GasLog’s and GasLog Partners’ collective subsidiaries’ ability to, among other things: (a) incur additional indebtedness, create liens or provide guarantees, (b) provide any form of credit or financial assistance to, or enter into any non-arms’ length transactions with, GasLog or any of its affiliates, (c) sell or otherwise dispose of assets, including GasLog’s ships, (d) engage in merger transactions, (e) enter into, terminate or amend any charter, (f) amend GasLog’s shipbuilding contracts, (g) change the manager of GasLog’s ships, or (h) acquire assets, make investments or enter into any joint venture arrangements outside of the ordinary course of business.</w:t>
      </w:r>
    </w:p>
    <w:p>
      <w:pPr>
        <w:spacing w:after="0" w:line="178" w:lineRule="exact"/>
        <w:rPr>
          <w:sz w:val="20"/>
          <w:szCs w:val="20"/>
          <w:color w:val="auto"/>
        </w:rPr>
      </w:pPr>
    </w:p>
    <w:p>
      <w:pPr>
        <w:ind w:left="780" w:right="80"/>
        <w:spacing w:after="0" w:line="277" w:lineRule="auto"/>
        <w:rPr>
          <w:sz w:val="20"/>
          <w:szCs w:val="20"/>
          <w:color w:val="auto"/>
        </w:rPr>
      </w:pPr>
      <w:r>
        <w:rPr>
          <w:rFonts w:ascii="Arial" w:cs="Arial" w:eastAsia="Arial" w:hAnsi="Arial"/>
          <w:sz w:val="18"/>
          <w:szCs w:val="18"/>
          <w:color w:val="auto"/>
        </w:rPr>
        <w:t>The Credit Agreements also impose specified financial covenants that apply to GasLog and GasLog Partners and its subsidiaries on a consolidated basis.</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financial covenants that apply to GasLog and its subsidiaries on a consolidated basis include the following:</w:t>
      </w:r>
    </w:p>
    <w:p>
      <w:pPr>
        <w:spacing w:after="0" w:line="225" w:lineRule="exact"/>
        <w:rPr>
          <w:sz w:val="20"/>
          <w:szCs w:val="20"/>
          <w:color w:val="auto"/>
        </w:rPr>
      </w:pPr>
    </w:p>
    <w:p>
      <w:pPr>
        <w:ind w:left="1420" w:hanging="440"/>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3" w:lineRule="exact"/>
        <w:rPr>
          <w:rFonts w:ascii="Arial" w:cs="Arial" w:eastAsia="Arial" w:hAnsi="Arial"/>
          <w:sz w:val="18"/>
          <w:szCs w:val="18"/>
          <w:color w:val="auto"/>
        </w:rPr>
      </w:pPr>
    </w:p>
    <w:p>
      <w:pPr>
        <w:ind w:left="1420" w:hanging="440"/>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9" w:lineRule="exact"/>
        <w:rPr>
          <w:rFonts w:ascii="Arial" w:cs="Arial" w:eastAsia="Arial" w:hAnsi="Arial"/>
          <w:sz w:val="18"/>
          <w:szCs w:val="18"/>
          <w:color w:val="auto"/>
        </w:rPr>
      </w:pPr>
    </w:p>
    <w:p>
      <w:pPr>
        <w:ind w:left="1420" w:right="120" w:hanging="440"/>
        <w:spacing w:after="0" w:line="250" w:lineRule="auto"/>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(including interest and debt repayments) on a trailing 12 months basis must be not less than 110.0%;</w:t>
      </w:r>
    </w:p>
    <w:p>
      <w:pPr>
        <w:ind w:left="1420" w:hanging="440"/>
        <w:spacing w:after="0"/>
        <w:tabs>
          <w:tab w:leader="none" w:pos="1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aggregate amount of all unencumbered cash and cash equivalents must be not less than the higher of 3.0% of total indebtedness and</w:t>
      </w:r>
    </w:p>
    <w:p>
      <w:pPr>
        <w:sectPr>
          <w:pgSz w:w="11900" w:h="16852" w:orient="portrait"/>
          <w:cols w:equalWidth="0" w:num="1">
            <w:col w:w="11420"/>
          </w:cols>
          <w:pgMar w:left="240" w:top="409" w:right="239" w:bottom="0" w:gutter="0" w:footer="0" w:header="0"/>
        </w:sectPr>
      </w:pPr>
    </w:p>
    <w:bookmarkStart w:id="38" w:name="page39"/>
    <w:bookmarkEnd w:id="38"/>
    <w:p>
      <w:pPr>
        <w:ind w:left="220"/>
        <w:spacing w:after="0"/>
        <w:rPr>
          <w:sz w:val="20"/>
          <w:szCs w:val="20"/>
          <w:color w:val="auto"/>
        </w:rPr>
      </w:pPr>
      <w:r>
        <w:rPr>
          <w:rFonts w:ascii="Arial" w:cs="Arial" w:eastAsia="Arial" w:hAnsi="Arial"/>
          <w:sz w:val="18"/>
          <w:szCs w:val="18"/>
          <w:color w:val="auto"/>
        </w:rPr>
        <w:t>$50,000 after the first drawdown;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167005</wp:posOffset>
            </wp:positionV>
            <wp:extent cx="72466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9" w:name="page40"/>
    <w:bookmarkEnd w:id="39"/>
    <w:p>
      <w:pPr>
        <w:ind w:left="1420" w:right="500" w:hanging="440"/>
        <w:spacing w:after="0" w:line="291" w:lineRule="auto"/>
        <w:tabs>
          <w:tab w:leader="none" w:pos="1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GasLog is permitted to pay dividends, provided that it holds unencumbered cash and cash equivalents equal to at least 4.0% of total indebtedness, subject to no event of default having occurred or occurring as a consequence of the payment of such dividends; and</w:t>
      </w:r>
    </w:p>
    <w:p>
      <w:pPr>
        <w:ind w:left="1420" w:hanging="440"/>
        <w:spacing w:after="0"/>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GasLog’s market value adjusted net worth must at all times be not less than $350,000.</w:t>
      </w:r>
    </w:p>
    <w:p>
      <w:pPr>
        <w:spacing w:after="0" w:line="21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financial covenants that apply to GasLog Partners include the following:</w:t>
      </w:r>
    </w:p>
    <w:p>
      <w:pPr>
        <w:spacing w:after="0" w:line="225" w:lineRule="exact"/>
        <w:rPr>
          <w:sz w:val="20"/>
          <w:szCs w:val="20"/>
          <w:color w:val="auto"/>
        </w:rPr>
      </w:pPr>
    </w:p>
    <w:p>
      <w:pPr>
        <w:ind w:left="1420" w:right="340" w:hanging="440"/>
        <w:spacing w:after="0" w:line="258"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3.0% of total indebtedness or $15,000;</w:t>
      </w:r>
    </w:p>
    <w:p>
      <w:pPr>
        <w:spacing w:after="0" w:line="1" w:lineRule="exact"/>
        <w:rPr>
          <w:rFonts w:ascii="Arial" w:cs="Arial" w:eastAsia="Arial" w:hAnsi="Arial"/>
          <w:sz w:val="18"/>
          <w:szCs w:val="18"/>
          <w:color w:val="auto"/>
        </w:rPr>
      </w:pPr>
    </w:p>
    <w:p>
      <w:pPr>
        <w:ind w:left="1420" w:hanging="440"/>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indebtedness divided by total assets must be less than 60.0%;</w:t>
      </w:r>
    </w:p>
    <w:p>
      <w:pPr>
        <w:spacing w:after="0" w:line="9" w:lineRule="exact"/>
        <w:rPr>
          <w:rFonts w:ascii="Arial" w:cs="Arial" w:eastAsia="Arial" w:hAnsi="Arial"/>
          <w:sz w:val="18"/>
          <w:szCs w:val="18"/>
          <w:color w:val="auto"/>
        </w:rPr>
      </w:pPr>
    </w:p>
    <w:p>
      <w:pPr>
        <w:ind w:left="1420" w:right="100" w:hanging="440"/>
        <w:spacing w:after="0" w:line="250"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(including interest and debt repayments) on a trailing 12 months basis must be not less than 110.0%; and</w:t>
      </w:r>
    </w:p>
    <w:p>
      <w:pPr>
        <w:ind w:left="1420" w:right="120" w:hanging="440"/>
        <w:spacing w:after="0" w:line="261"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GasLog Partners is permitted to declare or pay any dividends or distributions, subject to no event of default having occurred or occurring as a consequence of the payment of such dividends or distributions.</w:t>
      </w:r>
    </w:p>
    <w:p>
      <w:pPr>
        <w:spacing w:after="0" w:line="184" w:lineRule="exact"/>
        <w:rPr>
          <w:sz w:val="20"/>
          <w:szCs w:val="20"/>
          <w:color w:val="auto"/>
        </w:rPr>
      </w:pPr>
    </w:p>
    <w:p>
      <w:pPr>
        <w:ind w:left="780" w:right="60"/>
        <w:spacing w:after="0" w:line="259" w:lineRule="auto"/>
        <w:rPr>
          <w:sz w:val="20"/>
          <w:szCs w:val="20"/>
          <w:color w:val="auto"/>
        </w:rPr>
      </w:pPr>
      <w:r>
        <w:rPr>
          <w:rFonts w:ascii="Arial" w:cs="Arial" w:eastAsia="Arial" w:hAnsi="Arial"/>
          <w:sz w:val="18"/>
          <w:szCs w:val="18"/>
          <w:color w:val="auto"/>
        </w:rPr>
        <w:t>The Credit Agreements also impose certain restrictions relating to GasLog and GasLog Partners, and their other subsidiaries, including restrictions that limit GasLog’s and GasLog Partners’ ability to make any substantial change in the nature of GasLog’s or GasLog Partners’ business or to engage in transactions that would constitute a change of control, as defined in the Credit Agreements, without repaying all of GasLog’s and GasLog Partners’ indebtedness under the Credit Agreements in full.</w:t>
      </w:r>
    </w:p>
    <w:p>
      <w:pPr>
        <w:spacing w:after="0" w:line="187" w:lineRule="exact"/>
        <w:rPr>
          <w:sz w:val="20"/>
          <w:szCs w:val="20"/>
          <w:color w:val="auto"/>
        </w:rPr>
      </w:pPr>
    </w:p>
    <w:p>
      <w:pPr>
        <w:ind w:left="780" w:right="60"/>
        <w:spacing w:after="0" w:line="291" w:lineRule="auto"/>
        <w:rPr>
          <w:sz w:val="20"/>
          <w:szCs w:val="20"/>
          <w:color w:val="auto"/>
        </w:rPr>
      </w:pPr>
      <w:r>
        <w:rPr>
          <w:rFonts w:ascii="Arial" w:cs="Arial" w:eastAsia="Arial" w:hAnsi="Arial"/>
          <w:sz w:val="16"/>
          <w:szCs w:val="16"/>
          <w:color w:val="auto"/>
        </w:rPr>
        <w:t>The Credit Agreements contain customary events of default, including nonpayment of principal or interest, breach of covenants or material inaccuracy of representations, default under other material indebtedness and bankruptcy. In addition, they contain covenants requiring GasLog, GasLog Partners and certain of their subsidiaries to maintain the aggregate of (i) the market value, on a charter exclusive basis, of the mortgaged vessel or vessels and (ii) the market value of any additional security provided to the lenders, at not less than 115.0% until the maturity of the junior tranche, and 120.0% at any time thereafter, of the then outstanding amount under the applicable facility and any related swap exposure. If GasLog and GasLog Partners fail to comply with these covenants and are not able to obtain covenant waivers or modifications, the lenders could require prepayments or additional collateral sufficient for the compliance with such covenants, otherwise indebtedness could be accelerated.</w:t>
      </w:r>
    </w:p>
    <w:p>
      <w:pPr>
        <w:spacing w:after="0" w:line="167" w:lineRule="exact"/>
        <w:rPr>
          <w:sz w:val="20"/>
          <w:szCs w:val="20"/>
          <w:color w:val="auto"/>
        </w:rPr>
      </w:pPr>
    </w:p>
    <w:p>
      <w:pPr>
        <w:ind w:left="760" w:right="100" w:hanging="320"/>
        <w:spacing w:after="0" w:line="276" w:lineRule="auto"/>
        <w:tabs>
          <w:tab w:leader="none" w:pos="7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On February 24, 2016, following the completion of the sale and leaseback of the </w:t>
      </w:r>
      <w:r>
        <w:rPr>
          <w:rFonts w:ascii="Arial" w:cs="Arial" w:eastAsia="Arial" w:hAnsi="Arial"/>
          <w:sz w:val="17"/>
          <w:szCs w:val="17"/>
          <w:i w:val="1"/>
          <w:iCs w:val="1"/>
          <w:color w:val="auto"/>
        </w:rPr>
        <w:t>Methane Julia Louise</w:t>
      </w:r>
      <w:r>
        <w:rPr>
          <w:rFonts w:ascii="Arial" w:cs="Arial" w:eastAsia="Arial" w:hAnsi="Arial"/>
          <w:sz w:val="17"/>
          <w:szCs w:val="17"/>
          <w:color w:val="auto"/>
        </w:rPr>
        <w:t xml:space="preserve"> (Note 5), $162,500 was prepaid into the senior secured term loan facility of up to $325,000 with ABN Amro Bank N.V., Commonwealth Bank of Australia, Credit Agricole Corporate and Investment Bank, Deutsche Bank AG Filiale Deutschlandgeschäft, DNB Bank ASA, London Branch and ING Bank N.V., London Branch and $67,500 was prepaid into the subordinated term loan facility of up to $135,000 with ABN Amro Bank N.V., Credit Agricole Corporate and Investment Bank, Deutsche Bank AG Filiale Deutschlandgeschäft and DNB Bank ASA, London Branch.</w:t>
      </w:r>
    </w:p>
    <w:p>
      <w:pPr>
        <w:spacing w:after="0" w:line="172" w:lineRule="exact"/>
        <w:rPr>
          <w:rFonts w:ascii="Arial" w:cs="Arial" w:eastAsia="Arial" w:hAnsi="Arial"/>
          <w:sz w:val="17"/>
          <w:szCs w:val="17"/>
          <w:color w:val="auto"/>
        </w:rPr>
      </w:pPr>
    </w:p>
    <w:p>
      <w:pPr>
        <w:ind w:left="760" w:right="40" w:hanging="320"/>
        <w:spacing w:after="0" w:line="255"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February 25, 2016, a supplemental deed was signed with the lenders of the GAS-eight Ltd., GAS-nine Ltd. and GAS-ten Ltd. loan facility, permitting GasLog to withdraw the $21,000 maintained in blocked accounts for each of GAS-nine Ltd. and GAS-ten Ltd., provided GasLog has an executed guarantee or letter of credit with a minimum duration of six months. In connection with this, on February 26, 2016, GasLog entered into two bank guarantees, issued by BNP Paribas S.A. for GAS-nine Ltd. and GAS-ten Ltd. of $21,000 each (refer to Note 11). The bank guarantees bear interest at a margin and are available for a period of up to two years. On July 26, 2016, the bank guarantees issued by BNP Paribas S.A. were terminated.</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Group was in compliance with the covenants under its credit facilities as of June 30, 2016.</w:t>
      </w:r>
    </w:p>
    <w:p>
      <w:pPr>
        <w:spacing w:after="0" w:line="225" w:lineRule="exact"/>
        <w:rPr>
          <w:sz w:val="20"/>
          <w:szCs w:val="20"/>
          <w:color w:val="auto"/>
        </w:rPr>
      </w:pPr>
    </w:p>
    <w:p>
      <w:pPr>
        <w:ind w:firstLine="436"/>
        <w:spacing w:after="0" w:line="277" w:lineRule="auto"/>
        <w:rPr>
          <w:sz w:val="20"/>
          <w:szCs w:val="20"/>
          <w:color w:val="auto"/>
        </w:rPr>
      </w:pPr>
      <w:r>
        <w:rPr>
          <w:rFonts w:ascii="Arial" w:cs="Arial" w:eastAsia="Arial" w:hAnsi="Arial"/>
          <w:sz w:val="18"/>
          <w:szCs w:val="18"/>
          <w:color w:val="auto"/>
        </w:rPr>
        <w:t>The carrying amount of the Group’s bank debt recognized in the unaudited condensed consolidated financial statements approximates its fair value after adjusting for the unamortized loan issuance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Unsecured Notes</w:t>
      </w:r>
    </w:p>
    <w:p>
      <w:pPr>
        <w:spacing w:after="0" w:line="225" w:lineRule="exact"/>
        <w:rPr>
          <w:sz w:val="20"/>
          <w:szCs w:val="20"/>
          <w:color w:val="auto"/>
        </w:rPr>
      </w:pPr>
    </w:p>
    <w:p>
      <w:pPr>
        <w:ind w:right="180" w:firstLine="436"/>
        <w:spacing w:after="0" w:line="277" w:lineRule="auto"/>
        <w:rPr>
          <w:sz w:val="20"/>
          <w:szCs w:val="20"/>
          <w:color w:val="auto"/>
        </w:rPr>
      </w:pPr>
      <w:r>
        <w:rPr>
          <w:rFonts w:ascii="Arial" w:cs="Arial" w:eastAsia="Arial" w:hAnsi="Arial"/>
          <w:sz w:val="18"/>
          <w:szCs w:val="18"/>
          <w:color w:val="auto"/>
        </w:rPr>
        <w:t>The main terms of the Group’s senior unsecured bonds have been disclosed in the annual audited consolidated financial statements for the year ended December 31, 2015. Refer to Note 12 “Borrowings”.</w:t>
      </w:r>
    </w:p>
    <w:p>
      <w:pPr>
        <w:spacing w:after="0" w:line="170" w:lineRule="exact"/>
        <w:rPr>
          <w:sz w:val="20"/>
          <w:szCs w:val="20"/>
          <w:color w:val="auto"/>
        </w:rPr>
      </w:pPr>
    </w:p>
    <w:p>
      <w:pPr>
        <w:ind w:right="100" w:firstLine="383"/>
        <w:spacing w:after="0" w:line="302" w:lineRule="auto"/>
        <w:rPr>
          <w:sz w:val="20"/>
          <w:szCs w:val="20"/>
          <w:color w:val="auto"/>
        </w:rPr>
      </w:pPr>
      <w:r>
        <w:rPr>
          <w:rFonts w:ascii="Arial" w:cs="Arial" w:eastAsia="Arial" w:hAnsi="Arial"/>
          <w:sz w:val="16"/>
          <w:szCs w:val="16"/>
          <w:color w:val="auto"/>
        </w:rPr>
        <w:t>On June 27, 2016, GasLog completed the issuance of NOK 750,000 (equivalent to $90,150) of new senior unsecured bonds in the Norwegian bond market (the “New Bond”). The New Bond will mature in May 2021 and will have a coupon of 6.9% over 3 month NIBOR. The proceeds from the issuance were used to partly refinance GasLog’s existing bonds maturing in June 2018. Simultaneously with the issuance of the New Bond, GasLog re-purchased and cancelled GasLog’s NOK 588,000 of bonds from a total NOK 1,000,000 of bonds issued in June 27, 2013 and May 2, 2014 at a price of 103% of par value.</w:t>
      </w:r>
    </w:p>
    <w:p>
      <w:pPr>
        <w:spacing w:after="0" w:line="154" w:lineRule="exact"/>
        <w:rPr>
          <w:sz w:val="20"/>
          <w:szCs w:val="20"/>
          <w:color w:val="auto"/>
        </w:rPr>
      </w:pPr>
    </w:p>
    <w:p>
      <w:pPr>
        <w:ind w:right="20" w:firstLine="436"/>
        <w:spacing w:after="0" w:line="257" w:lineRule="auto"/>
        <w:rPr>
          <w:sz w:val="20"/>
          <w:szCs w:val="20"/>
          <w:color w:val="auto"/>
        </w:rPr>
      </w:pPr>
      <w:r>
        <w:rPr>
          <w:rFonts w:ascii="Arial" w:cs="Arial" w:eastAsia="Arial" w:hAnsi="Arial"/>
          <w:sz w:val="18"/>
          <w:szCs w:val="18"/>
          <w:color w:val="auto"/>
        </w:rPr>
        <w:t>The New Bond bears interest at NIBOR plus margin. Interest payments shall be made in arrears on a quarterly basis. GasLog may redeem the New Bond in whole or in part as follows: (a) with settlement date at any time from June 27, 2019 to but not including June 27, 2020 at 104.00% of par plus accrued interest on redeemed amount, (b) with settlement date at any time from June 27, 2020 to but not including December 27, 2020 at 102.50% of par plus accrued interest on redeemed amount, and (c) with settlement date at any time from December 27, 2020 to but not including the maturity date at 101.00% of par plus accrued interests on redeemed amount.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GasLog as issuer of the New Bond is required to comply with financial covenants which include the following:</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40" w:name="page41"/>
    <w:bookmarkEnd w:id="40"/>
    <w:p>
      <w:pPr>
        <w:ind w:left="660" w:right="4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(including interest and debt repayments) on a trailing four quarter basis must be not less than 110%;</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aggregate amount of all unencumbered cash and cash equivalents must be not less than the higher of 3% of total indebtedness or $50,000;</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Group’s market value adjusted net worth must at all times be not less than $350,000.</w:t>
      </w:r>
    </w:p>
    <w:p>
      <w:pPr>
        <w:spacing w:after="0" w:line="225"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In addition, the New Bond agreement includes a dividend restriction according to which the Group may not (i) declare or make any dividend payment or distribution, whether in cash or in kind, (ii) re-purchase any of the Group’s shares or undertake other similar transactions (including, but not limited to, total return swaps related to the Group’s shares), or (iii) grant any loans or make other distributions or transactions constituting a transfer of value to the Group’s shareholders (items (i), (ii) and (iii) collectively referred to as the “Distributions”) that in aggregate exceed during any calendar year, 50% of the Group’s consolidated net profit after taxes based on the audited annual accounts for the previous financial year (any unutilized portion of the permitted Distributions pursuant to the above may not be carried forward). For the purposes of the above, the consolidated net profit after taxes of the Group shall not include any profits related to the sale of assets (and consequently any such profits related to such assets shall not form the basis for Distributions). Under the New Bond agreement (a) GasLog is permitted to make Distributions up to a maximum amount per share per annum for the years 2016, 2017, 2018, 2019, 2020 and 2021 of $1.00/share, $1.10/share, $1.10/share, $1.20/share, $1.20/share and $1.20/share, respectively, provided that GasLog can demonstrate by delivering a compliance certificate to the Bond Trustee that no event of default is continuing or would result from such Distributions.</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carrying amount of the bonds, net of unamortized financing costs and unamortized premium, as of June 30, 2016 is $137,073 (December 31,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$112,185) while their aggregate fair value is $142,368 based on a USD/NOK exchange rate of 0.1189 as of June 30, 2016.</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Group was in compliance with the covenants under both the existing NOK bond agreement and the New Bond as of June 30,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Transactions</w:t>
      </w:r>
    </w:p>
    <w:p>
      <w:pPr>
        <w:spacing w:after="0" w:line="229" w:lineRule="exact"/>
        <w:rPr>
          <w:sz w:val="20"/>
          <w:szCs w:val="20"/>
          <w:color w:val="auto"/>
        </w:rPr>
      </w:pPr>
    </w:p>
    <w:p>
      <w:pPr>
        <w:ind w:right="240" w:firstLine="436"/>
        <w:spacing w:after="0" w:line="277" w:lineRule="auto"/>
        <w:rPr>
          <w:sz w:val="20"/>
          <w:szCs w:val="20"/>
          <w:color w:val="auto"/>
        </w:rPr>
      </w:pPr>
      <w:r>
        <w:rPr>
          <w:rFonts w:ascii="Arial" w:cs="Arial" w:eastAsia="Arial" w:hAnsi="Arial"/>
          <w:sz w:val="18"/>
          <w:szCs w:val="18"/>
          <w:color w:val="auto"/>
        </w:rPr>
        <w:t>The Group has the following balances with related parties which have been included in the unaudited condensed consolidated statements of financial position: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b w:val="1"/>
                <w:bCs w:val="1"/>
                <w:i w:val="1"/>
                <w:iCs w:val="1"/>
                <w:color w:val="auto"/>
              </w:rPr>
              <w:t>Dividends receivable and due from related parties</w:t>
            </w: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20" w:type="dxa"/>
            <w:vAlign w:val="bottom"/>
          </w:tcPr>
          <w:p>
            <w:pPr>
              <w:spacing w:after="0"/>
              <w:rPr>
                <w:sz w:val="24"/>
                <w:szCs w:val="24"/>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2015</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June 30, 2016</w:t>
            </w:r>
          </w:p>
        </w:tc>
        <w:tc>
          <w:tcPr>
            <w:tcW w:w="0" w:type="dxa"/>
            <w:vAlign w:val="bottom"/>
          </w:tcPr>
          <w:p>
            <w:pPr>
              <w:spacing w:after="0"/>
              <w:rPr>
                <w:sz w:val="1"/>
                <w:szCs w:val="1"/>
                <w:color w:val="auto"/>
              </w:rPr>
            </w:pPr>
          </w:p>
        </w:tc>
      </w:tr>
      <w:tr>
        <w:trPr>
          <w:trHeight w:val="210"/>
        </w:trPr>
        <w:tc>
          <w:tcPr>
            <w:tcW w:w="81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Dividends receivable from associate</w:t>
            </w:r>
          </w:p>
        </w:tc>
        <w:tc>
          <w:tcPr>
            <w:tcW w:w="1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925</w:t>
            </w:r>
          </w:p>
        </w:tc>
        <w:tc>
          <w:tcPr>
            <w:tcW w:w="34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Due from the Cool Pool</w:t>
            </w: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249</w:t>
            </w:r>
          </w:p>
        </w:tc>
        <w:tc>
          <w:tcPr>
            <w:tcW w:w="1360" w:type="dxa"/>
            <w:vAlign w:val="bottom"/>
          </w:tcPr>
          <w:p>
            <w:pPr>
              <w:jc w:val="right"/>
              <w:spacing w:after="0"/>
              <w:rPr>
                <w:sz w:val="20"/>
                <w:szCs w:val="20"/>
                <w:color w:val="auto"/>
              </w:rPr>
            </w:pPr>
            <w:r>
              <w:rPr>
                <w:rFonts w:ascii="Arial" w:cs="Arial" w:eastAsia="Arial" w:hAnsi="Arial"/>
                <w:sz w:val="18"/>
                <w:szCs w:val="18"/>
                <w:color w:val="auto"/>
              </w:rPr>
              <w:t>1,378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E5FFFF"/>
          </w:tcPr>
          <w:p>
            <w:pPr>
              <w:spacing w:after="0"/>
              <w:rPr>
                <w:sz w:val="20"/>
                <w:szCs w:val="20"/>
                <w:color w:val="auto"/>
              </w:rPr>
            </w:pPr>
            <w:r>
              <w:rPr>
                <w:rFonts w:ascii="Arial" w:cs="Arial" w:eastAsia="Arial" w:hAnsi="Arial"/>
                <w:sz w:val="18"/>
                <w:szCs w:val="18"/>
                <w:color w:val="auto"/>
              </w:rPr>
              <w:t>Other receivables</w:t>
            </w:r>
          </w:p>
        </w:tc>
        <w:tc>
          <w:tcPr>
            <w:tcW w:w="194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171</w:t>
            </w:r>
          </w:p>
        </w:tc>
        <w:tc>
          <w:tcPr>
            <w:tcW w:w="13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1,345</w:t>
            </w:r>
          </w:p>
        </w:tc>
        <w:tc>
          <w:tcPr>
            <w:tcW w:w="34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Current Liabilities</w:t>
            </w: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vMerge w:val="restart"/>
          </w:tcPr>
          <w:p>
            <w:pPr>
              <w:spacing w:after="0"/>
              <w:rPr>
                <w:sz w:val="20"/>
                <w:szCs w:val="20"/>
                <w:color w:val="auto"/>
              </w:rPr>
            </w:pPr>
            <w:r>
              <w:rPr>
                <w:rFonts w:ascii="Arial" w:cs="Arial" w:eastAsia="Arial" w:hAnsi="Arial"/>
                <w:sz w:val="18"/>
                <w:szCs w:val="18"/>
                <w:color w:val="auto"/>
              </w:rPr>
              <w:t>Ship management creditors</w:t>
            </w: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2015</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June 30, 2016</w:t>
            </w:r>
          </w:p>
        </w:tc>
        <w:tc>
          <w:tcPr>
            <w:tcW w:w="0" w:type="dxa"/>
            <w:vAlign w:val="bottom"/>
          </w:tcPr>
          <w:p>
            <w:pPr>
              <w:spacing w:after="0"/>
              <w:rPr>
                <w:sz w:val="1"/>
                <w:szCs w:val="1"/>
                <w:color w:val="auto"/>
              </w:rPr>
            </w:pPr>
          </w:p>
        </w:tc>
      </w:tr>
      <w:tr>
        <w:trPr>
          <w:trHeight w:val="195"/>
        </w:trPr>
        <w:tc>
          <w:tcPr>
            <w:tcW w:w="8120" w:type="dxa"/>
            <w:vAlign w:val="bottom"/>
            <w:vMerge w:val="continue"/>
          </w:tcPr>
          <w:p>
            <w:pPr>
              <w:spacing w:after="0"/>
              <w:rPr>
                <w:sz w:val="16"/>
                <w:szCs w:val="16"/>
                <w:color w:val="auto"/>
              </w:rPr>
            </w:pPr>
          </w:p>
        </w:tc>
        <w:tc>
          <w:tcPr>
            <w:tcW w:w="1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60</w:t>
            </w:r>
          </w:p>
        </w:tc>
        <w:tc>
          <w:tcPr>
            <w:tcW w:w="340" w:type="dxa"/>
            <w:vAlign w:val="bottom"/>
          </w:tcPr>
          <w:p>
            <w:pPr>
              <w:spacing w:after="0"/>
              <w:rPr>
                <w:sz w:val="16"/>
                <w:szCs w:val="16"/>
                <w:color w:val="auto"/>
              </w:rPr>
            </w:pPr>
          </w:p>
        </w:tc>
        <w:tc>
          <w:tcPr>
            <w:tcW w:w="1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163</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436"/>
        <w:spacing w:after="0" w:line="277" w:lineRule="auto"/>
        <w:rPr>
          <w:sz w:val="20"/>
          <w:szCs w:val="20"/>
          <w:color w:val="auto"/>
        </w:rPr>
      </w:pPr>
      <w:r>
        <w:rPr>
          <w:rFonts w:ascii="Arial" w:cs="Arial" w:eastAsia="Arial" w:hAnsi="Arial"/>
          <w:sz w:val="18"/>
          <w:szCs w:val="18"/>
          <w:color w:val="auto"/>
        </w:rPr>
        <w:t>Ship management creditors’ liability comprises cash collected from Egypt LNG Shipping Ltd. to cover the obligations of its vessel under the Group’s management.</w:t>
      </w:r>
    </w:p>
    <w:p>
      <w:pPr>
        <w:spacing w:after="0" w:line="170" w:lineRule="exact"/>
        <w:rPr>
          <w:sz w:val="20"/>
          <w:szCs w:val="20"/>
          <w:color w:val="auto"/>
        </w:rPr>
      </w:pPr>
    </w:p>
    <w:p>
      <w:pPr>
        <w:ind w:right="60" w:firstLine="436"/>
        <w:spacing w:after="0" w:line="277" w:lineRule="auto"/>
        <w:rPr>
          <w:sz w:val="20"/>
          <w:szCs w:val="20"/>
          <w:color w:val="auto"/>
        </w:rPr>
      </w:pPr>
      <w:r>
        <w:rPr>
          <w:rFonts w:ascii="Arial" w:cs="Arial" w:eastAsia="Arial" w:hAnsi="Arial"/>
          <w:sz w:val="18"/>
          <w:szCs w:val="18"/>
          <w:color w:val="auto"/>
        </w:rPr>
        <w:t>Amounts due to related parties of $98 as of June 30, 2016 (December 31, 2015: $163) represent payables to other related parties for the office lease and other operating expenses.</w:t>
      </w:r>
    </w:p>
    <w:p>
      <w:pPr>
        <w:spacing w:after="0" w:line="170" w:lineRule="exact"/>
        <w:rPr>
          <w:sz w:val="20"/>
          <w:szCs w:val="20"/>
          <w:color w:val="auto"/>
        </w:rPr>
      </w:pPr>
    </w:p>
    <w:p>
      <w:pPr>
        <w:ind w:right="40" w:firstLine="436"/>
        <w:spacing w:after="0" w:line="259" w:lineRule="auto"/>
        <w:rPr>
          <w:sz w:val="20"/>
          <w:szCs w:val="20"/>
          <w:color w:val="auto"/>
        </w:rPr>
      </w:pPr>
      <w:r>
        <w:rPr>
          <w:rFonts w:ascii="Arial" w:cs="Arial" w:eastAsia="Arial" w:hAnsi="Arial"/>
          <w:sz w:val="18"/>
          <w:szCs w:val="18"/>
          <w:color w:val="auto"/>
        </w:rPr>
        <w:t>In connection with the aforementioned sale and leaseback transaction (Note 5), GasLog entered into a consulting agreement with Unisea Maritime Ltd., an affiliate of Ceres Shipping, under the terms of which GasLog agreed to pay a brokerage commission fee equal to 0.25% of the agreed charter rates under the sale and leaseback transaction plus reasonable expenses (incurred in line with the Group policies). The brokerage commission fee of $430 was paid in advance for the full 20-year period of the bareboat charter.</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8. General and Administrative Expenses</w:t>
            </w: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32"/>
        </w:trPr>
        <w:tc>
          <w:tcPr>
            <w:tcW w:w="4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w w:val="93"/>
              </w:rPr>
              <w:t>An analysis of general and administrative expenses is as follows:</w:t>
            </w: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14"/>
        </w:trPr>
        <w:tc>
          <w:tcPr>
            <w:tcW w:w="4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000" w:type="dxa"/>
            <w:vAlign w:val="bottom"/>
            <w:gridSpan w:val="4"/>
          </w:tcPr>
          <w:p>
            <w:pPr>
              <w:ind w:left="280"/>
              <w:spacing w:after="0"/>
              <w:rPr>
                <w:sz w:val="20"/>
                <w:szCs w:val="20"/>
                <w:color w:val="auto"/>
              </w:rPr>
            </w:pPr>
            <w:r>
              <w:rPr>
                <w:rFonts w:ascii="Arial" w:cs="Arial" w:eastAsia="Arial" w:hAnsi="Arial"/>
                <w:sz w:val="18"/>
                <w:szCs w:val="18"/>
                <w:b w:val="1"/>
                <w:bCs w:val="1"/>
                <w:color w:val="auto"/>
              </w:rPr>
              <w:t>For the three months ended</w:t>
            </w:r>
          </w:p>
        </w:tc>
        <w:tc>
          <w:tcPr>
            <w:tcW w:w="3120" w:type="dxa"/>
            <w:vAlign w:val="bottom"/>
            <w:gridSpan w:val="4"/>
          </w:tcPr>
          <w:p>
            <w:pPr>
              <w:ind w:left="340"/>
              <w:spacing w:after="0"/>
              <w:rPr>
                <w:sz w:val="20"/>
                <w:szCs w:val="20"/>
                <w:color w:val="auto"/>
              </w:rPr>
            </w:pPr>
            <w:r>
              <w:rPr>
                <w:rFonts w:ascii="Arial" w:cs="Arial" w:eastAsia="Arial" w:hAnsi="Arial"/>
                <w:sz w:val="18"/>
                <w:szCs w:val="18"/>
                <w:b w:val="1"/>
                <w:bCs w:val="1"/>
                <w:color w:val="auto"/>
              </w:rPr>
              <w:t>For the six months ended</w:t>
            </w:r>
          </w:p>
        </w:tc>
      </w:tr>
      <w:tr>
        <w:trPr>
          <w:trHeight w:val="234"/>
        </w:trPr>
        <w:tc>
          <w:tcPr>
            <w:tcW w:w="4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June 30, 2015</w:t>
            </w:r>
          </w:p>
        </w:tc>
        <w:tc>
          <w:tcPr>
            <w:tcW w:w="150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2016</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June 30, 2015</w:t>
            </w:r>
          </w:p>
        </w:tc>
        <w:tc>
          <w:tcPr>
            <w:tcW w:w="166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2016</w:t>
            </w:r>
          </w:p>
        </w:tc>
      </w:tr>
      <w:tr>
        <w:trPr>
          <w:trHeight w:val="210"/>
        </w:trPr>
        <w:tc>
          <w:tcPr>
            <w:tcW w:w="420" w:type="dxa"/>
            <w:vAlign w:val="bottom"/>
          </w:tcPr>
          <w:p>
            <w:pPr>
              <w:spacing w:after="0"/>
              <w:rPr>
                <w:sz w:val="18"/>
                <w:szCs w:val="18"/>
                <w:color w:val="auto"/>
              </w:rPr>
            </w:pPr>
          </w:p>
        </w:tc>
        <w:tc>
          <w:tcPr>
            <w:tcW w:w="48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Employee costs</w:t>
            </w:r>
          </w:p>
        </w:tc>
        <w:tc>
          <w:tcPr>
            <w:tcW w:w="11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4,415</w:t>
            </w:r>
          </w:p>
        </w:tc>
        <w:tc>
          <w:tcPr>
            <w:tcW w:w="320" w:type="dxa"/>
            <w:vAlign w:val="bottom"/>
            <w:tcBorders>
              <w:top w:val="single" w:sz="8" w:color="E5FFFF"/>
            </w:tcBorders>
            <w:shd w:val="clear" w:color="auto" w:fill="E5FFFF"/>
          </w:tcPr>
          <w:p>
            <w:pPr>
              <w:spacing w:after="0"/>
              <w:rPr>
                <w:sz w:val="18"/>
                <w:szCs w:val="18"/>
                <w:color w:val="auto"/>
              </w:rPr>
            </w:pPr>
          </w:p>
        </w:tc>
        <w:tc>
          <w:tcPr>
            <w:tcW w:w="11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4,760</w:t>
            </w:r>
          </w:p>
        </w:tc>
        <w:tc>
          <w:tcPr>
            <w:tcW w:w="320" w:type="dxa"/>
            <w:vAlign w:val="bottom"/>
            <w:tcBorders>
              <w:top w:val="single" w:sz="8" w:color="E5FFFF"/>
            </w:tcBorders>
            <w:shd w:val="clear" w:color="auto" w:fill="E5FFFF"/>
          </w:tcPr>
          <w:p>
            <w:pPr>
              <w:spacing w:after="0"/>
              <w:rPr>
                <w:sz w:val="18"/>
                <w:szCs w:val="18"/>
                <w:color w:val="auto"/>
              </w:rPr>
            </w:pPr>
          </w:p>
        </w:tc>
        <w:tc>
          <w:tcPr>
            <w:tcW w:w="11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8,721</w:t>
            </w:r>
          </w:p>
        </w:tc>
        <w:tc>
          <w:tcPr>
            <w:tcW w:w="300" w:type="dxa"/>
            <w:vAlign w:val="bottom"/>
            <w:tcBorders>
              <w:top w:val="single" w:sz="8" w:color="E5FFFF"/>
            </w:tcBorders>
            <w:shd w:val="clear" w:color="auto" w:fill="E5FFFF"/>
          </w:tcPr>
          <w:p>
            <w:pPr>
              <w:spacing w:after="0"/>
              <w:rPr>
                <w:sz w:val="18"/>
                <w:szCs w:val="18"/>
                <w:color w:val="auto"/>
              </w:rPr>
            </w:pPr>
          </w:p>
        </w:tc>
        <w:tc>
          <w:tcPr>
            <w:tcW w:w="11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9,214</w:t>
            </w:r>
          </w:p>
        </w:tc>
        <w:tc>
          <w:tcPr>
            <w:tcW w:w="5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Board of directors’ fees</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612</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574</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1,255</w:t>
            </w:r>
          </w:p>
        </w:tc>
        <w:tc>
          <w:tcPr>
            <w:tcW w:w="1160" w:type="dxa"/>
            <w:vAlign w:val="bottom"/>
          </w:tcPr>
          <w:p>
            <w:pPr>
              <w:jc w:val="right"/>
              <w:spacing w:after="0"/>
              <w:rPr>
                <w:sz w:val="20"/>
                <w:szCs w:val="20"/>
                <w:color w:val="auto"/>
              </w:rPr>
            </w:pPr>
            <w:r>
              <w:rPr>
                <w:rFonts w:ascii="Arial" w:cs="Arial" w:eastAsia="Arial" w:hAnsi="Arial"/>
                <w:sz w:val="18"/>
                <w:szCs w:val="18"/>
                <w:color w:val="auto"/>
              </w:rPr>
              <w:t>1,166</w:t>
            </w:r>
          </w:p>
        </w:tc>
        <w:tc>
          <w:tcPr>
            <w:tcW w:w="5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880" w:type="dxa"/>
            <w:vAlign w:val="bottom"/>
            <w:shd w:val="clear" w:color="auto" w:fill="E5FFFF"/>
          </w:tcPr>
          <w:p>
            <w:pPr>
              <w:spacing w:after="0"/>
              <w:rPr>
                <w:sz w:val="20"/>
                <w:szCs w:val="20"/>
                <w:color w:val="auto"/>
              </w:rPr>
            </w:pPr>
            <w:r>
              <w:rPr>
                <w:rFonts w:ascii="Arial" w:cs="Arial" w:eastAsia="Arial" w:hAnsi="Arial"/>
                <w:sz w:val="18"/>
                <w:szCs w:val="18"/>
                <w:color w:val="auto"/>
              </w:rPr>
              <w:t>Share-based compensation</w:t>
            </w:r>
          </w:p>
        </w:tc>
        <w:tc>
          <w:tcPr>
            <w:tcW w:w="150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776</w:t>
            </w:r>
          </w:p>
        </w:tc>
        <w:tc>
          <w:tcPr>
            <w:tcW w:w="150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1,037</w:t>
            </w:r>
          </w:p>
        </w:tc>
        <w:tc>
          <w:tcPr>
            <w:tcW w:w="146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1,274</w:t>
            </w:r>
          </w:p>
        </w:tc>
        <w:tc>
          <w:tcPr>
            <w:tcW w:w="11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1,800</w:t>
            </w:r>
          </w:p>
        </w:tc>
        <w:tc>
          <w:tcPr>
            <w:tcW w:w="5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Rent and utilities</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506</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647</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1,061</w:t>
            </w:r>
          </w:p>
        </w:tc>
        <w:tc>
          <w:tcPr>
            <w:tcW w:w="1160" w:type="dxa"/>
            <w:vAlign w:val="bottom"/>
          </w:tcPr>
          <w:p>
            <w:pPr>
              <w:jc w:val="right"/>
              <w:spacing w:after="0"/>
              <w:rPr>
                <w:sz w:val="20"/>
                <w:szCs w:val="20"/>
                <w:color w:val="auto"/>
              </w:rPr>
            </w:pPr>
            <w:r>
              <w:rPr>
                <w:rFonts w:ascii="Arial" w:cs="Arial" w:eastAsia="Arial" w:hAnsi="Arial"/>
                <w:sz w:val="18"/>
                <w:szCs w:val="18"/>
                <w:color w:val="auto"/>
              </w:rPr>
              <w:t>1,158</w:t>
            </w:r>
          </w:p>
        </w:tc>
        <w:tc>
          <w:tcPr>
            <w:tcW w:w="5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880" w:type="dxa"/>
            <w:vAlign w:val="bottom"/>
            <w:shd w:val="clear" w:color="auto" w:fill="E5FFFF"/>
          </w:tcPr>
          <w:p>
            <w:pPr>
              <w:spacing w:after="0"/>
              <w:rPr>
                <w:sz w:val="20"/>
                <w:szCs w:val="20"/>
                <w:color w:val="auto"/>
              </w:rPr>
            </w:pPr>
            <w:r>
              <w:rPr>
                <w:rFonts w:ascii="Arial" w:cs="Arial" w:eastAsia="Arial" w:hAnsi="Arial"/>
                <w:sz w:val="18"/>
                <w:szCs w:val="18"/>
                <w:color w:val="auto"/>
              </w:rPr>
              <w:t>Travel and accommodation</w:t>
            </w:r>
          </w:p>
        </w:tc>
        <w:tc>
          <w:tcPr>
            <w:tcW w:w="150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528</w:t>
            </w:r>
          </w:p>
        </w:tc>
        <w:tc>
          <w:tcPr>
            <w:tcW w:w="150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546</w:t>
            </w:r>
          </w:p>
        </w:tc>
        <w:tc>
          <w:tcPr>
            <w:tcW w:w="146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1,036</w:t>
            </w:r>
          </w:p>
        </w:tc>
        <w:tc>
          <w:tcPr>
            <w:tcW w:w="11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1,255</w:t>
            </w:r>
          </w:p>
        </w:tc>
        <w:tc>
          <w:tcPr>
            <w:tcW w:w="5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Legal and professional fees</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2,682</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1,769</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4,921</w:t>
            </w:r>
          </w:p>
        </w:tc>
        <w:tc>
          <w:tcPr>
            <w:tcW w:w="1160" w:type="dxa"/>
            <w:vAlign w:val="bottom"/>
          </w:tcPr>
          <w:p>
            <w:pPr>
              <w:jc w:val="right"/>
              <w:spacing w:after="0"/>
              <w:rPr>
                <w:sz w:val="20"/>
                <w:szCs w:val="20"/>
                <w:color w:val="auto"/>
              </w:rPr>
            </w:pPr>
            <w:r>
              <w:rPr>
                <w:rFonts w:ascii="Arial" w:cs="Arial" w:eastAsia="Arial" w:hAnsi="Arial"/>
                <w:sz w:val="18"/>
                <w:szCs w:val="18"/>
                <w:color w:val="auto"/>
              </w:rPr>
              <w:t>3,160</w:t>
            </w:r>
          </w:p>
        </w:tc>
        <w:tc>
          <w:tcPr>
            <w:tcW w:w="5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880" w:type="dxa"/>
            <w:vAlign w:val="bottom"/>
            <w:shd w:val="clear" w:color="auto" w:fill="E5FFFF"/>
          </w:tcPr>
          <w:p>
            <w:pPr>
              <w:spacing w:after="0"/>
              <w:rPr>
                <w:sz w:val="20"/>
                <w:szCs w:val="20"/>
                <w:color w:val="auto"/>
              </w:rPr>
            </w:pPr>
            <w:r>
              <w:rPr>
                <w:rFonts w:ascii="Arial" w:cs="Arial" w:eastAsia="Arial" w:hAnsi="Arial"/>
                <w:sz w:val="18"/>
                <w:szCs w:val="18"/>
                <w:color w:val="auto"/>
              </w:rPr>
              <w:t>Foreign exchange differences, net</w:t>
            </w:r>
          </w:p>
        </w:tc>
        <w:tc>
          <w:tcPr>
            <w:tcW w:w="150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(1,740)</w:t>
            </w:r>
          </w:p>
        </w:tc>
        <w:tc>
          <w:tcPr>
            <w:tcW w:w="150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397</w:t>
            </w:r>
          </w:p>
        </w:tc>
        <w:tc>
          <w:tcPr>
            <w:tcW w:w="14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(260)</w:t>
            </w:r>
          </w:p>
        </w:tc>
        <w:tc>
          <w:tcPr>
            <w:tcW w:w="11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253</w:t>
            </w:r>
          </w:p>
        </w:tc>
        <w:tc>
          <w:tcPr>
            <w:tcW w:w="5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Directors’ and officers’ liability insurance</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335</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116</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652</w:t>
            </w:r>
          </w:p>
        </w:tc>
        <w:tc>
          <w:tcPr>
            <w:tcW w:w="1160" w:type="dxa"/>
            <w:vAlign w:val="bottom"/>
          </w:tcPr>
          <w:p>
            <w:pPr>
              <w:jc w:val="right"/>
              <w:spacing w:after="0"/>
              <w:rPr>
                <w:sz w:val="20"/>
                <w:szCs w:val="20"/>
                <w:color w:val="auto"/>
              </w:rPr>
            </w:pPr>
            <w:r>
              <w:rPr>
                <w:rFonts w:ascii="Arial" w:cs="Arial" w:eastAsia="Arial" w:hAnsi="Arial"/>
                <w:sz w:val="18"/>
                <w:szCs w:val="18"/>
                <w:color w:val="auto"/>
              </w:rPr>
              <w:t>182</w:t>
            </w:r>
          </w:p>
        </w:tc>
        <w:tc>
          <w:tcPr>
            <w:tcW w:w="5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880" w:type="dxa"/>
            <w:vAlign w:val="bottom"/>
            <w:shd w:val="clear" w:color="auto" w:fill="E5FFFF"/>
          </w:tcPr>
          <w:p>
            <w:pPr>
              <w:spacing w:after="0"/>
              <w:rPr>
                <w:sz w:val="20"/>
                <w:szCs w:val="20"/>
                <w:color w:val="auto"/>
              </w:rPr>
            </w:pPr>
            <w:r>
              <w:rPr>
                <w:rFonts w:ascii="Arial" w:cs="Arial" w:eastAsia="Arial" w:hAnsi="Arial"/>
                <w:sz w:val="18"/>
                <w:szCs w:val="18"/>
                <w:color w:val="auto"/>
              </w:rPr>
              <w:t>Other expenses</w:t>
            </w:r>
          </w:p>
        </w:tc>
        <w:tc>
          <w:tcPr>
            <w:tcW w:w="150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225</w:t>
            </w:r>
          </w:p>
        </w:tc>
        <w:tc>
          <w:tcPr>
            <w:tcW w:w="150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509</w:t>
            </w:r>
          </w:p>
        </w:tc>
        <w:tc>
          <w:tcPr>
            <w:tcW w:w="146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838</w:t>
            </w:r>
          </w:p>
        </w:tc>
        <w:tc>
          <w:tcPr>
            <w:tcW w:w="11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901</w:t>
            </w:r>
          </w:p>
        </w:tc>
        <w:tc>
          <w:tcPr>
            <w:tcW w:w="500" w:type="dxa"/>
            <w:vAlign w:val="bottom"/>
          </w:tcPr>
          <w:p>
            <w:pPr>
              <w:spacing w:after="0"/>
              <w:rPr>
                <w:sz w:val="18"/>
                <w:szCs w:val="18"/>
                <w:color w:val="auto"/>
              </w:rPr>
            </w:pPr>
          </w:p>
        </w:tc>
      </w:tr>
      <w:tr>
        <w:trPr>
          <w:trHeight w:val="210"/>
        </w:trPr>
        <w:tc>
          <w:tcPr>
            <w:tcW w:w="4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8,339</w:t>
            </w:r>
          </w:p>
        </w:tc>
        <w:tc>
          <w:tcPr>
            <w:tcW w:w="32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10,355</w:t>
            </w:r>
          </w:p>
        </w:tc>
        <w:tc>
          <w:tcPr>
            <w:tcW w:w="3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19,498</w:t>
            </w:r>
          </w:p>
        </w:tc>
        <w:tc>
          <w:tcPr>
            <w:tcW w:w="30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19,089</w:t>
            </w:r>
          </w:p>
        </w:tc>
        <w:tc>
          <w:tcPr>
            <w:tcW w:w="500" w:type="dxa"/>
            <w:vAlign w:val="bottom"/>
          </w:tcPr>
          <w:p>
            <w:pPr>
              <w:spacing w:after="0"/>
              <w:rPr>
                <w:sz w:val="18"/>
                <w:szCs w:val="18"/>
                <w:color w:val="auto"/>
              </w:rPr>
            </w:pPr>
          </w:p>
        </w:tc>
      </w:tr>
      <w:tr>
        <w:trPr>
          <w:trHeight w:val="20"/>
        </w:trPr>
        <w:tc>
          <w:tcPr>
            <w:tcW w:w="4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86"/>
        </w:trPr>
        <w:tc>
          <w:tcPr>
            <w:tcW w:w="4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500" w:type="dxa"/>
            <w:vAlign w:val="bottom"/>
            <w:gridSpan w:val="2"/>
          </w:tcPr>
          <w:p>
            <w:pPr>
              <w:jc w:val="right"/>
              <w:ind w:right="920"/>
              <w:spacing w:after="0"/>
              <w:rPr>
                <w:sz w:val="20"/>
                <w:szCs w:val="20"/>
                <w:color w:val="auto"/>
              </w:rPr>
            </w:pPr>
            <w:r>
              <w:rPr>
                <w:rFonts w:ascii="Arial" w:cs="Arial" w:eastAsia="Arial" w:hAnsi="Arial"/>
                <w:sz w:val="18"/>
                <w:szCs w:val="18"/>
                <w:color w:val="auto"/>
              </w:rPr>
              <w:t>F-13</w:t>
            </w: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50"/>
        </w:trPr>
        <w:tc>
          <w:tcPr>
            <w:tcW w:w="420" w:type="dxa"/>
            <w:vAlign w:val="bottom"/>
            <w:tcBorders>
              <w:bottom w:val="single" w:sz="8" w:color="C0C0C0"/>
            </w:tcBorders>
          </w:tcPr>
          <w:p>
            <w:pPr>
              <w:spacing w:after="0"/>
              <w:rPr>
                <w:sz w:val="21"/>
                <w:szCs w:val="21"/>
                <w:color w:val="auto"/>
              </w:rPr>
            </w:pPr>
          </w:p>
        </w:tc>
        <w:tc>
          <w:tcPr>
            <w:tcW w:w="4880" w:type="dxa"/>
            <w:vAlign w:val="bottom"/>
            <w:tcBorders>
              <w:bottom w:val="single" w:sz="8" w:color="C0C0C0"/>
            </w:tcBorders>
          </w:tcPr>
          <w:p>
            <w:pPr>
              <w:spacing w:after="0"/>
              <w:rPr>
                <w:sz w:val="21"/>
                <w:szCs w:val="21"/>
                <w:color w:val="auto"/>
              </w:rPr>
            </w:pPr>
          </w:p>
        </w:tc>
        <w:tc>
          <w:tcPr>
            <w:tcW w:w="1180" w:type="dxa"/>
            <w:vAlign w:val="bottom"/>
            <w:tcBorders>
              <w:bottom w:val="single" w:sz="8" w:color="C0C0C0"/>
            </w:tcBorders>
          </w:tcPr>
          <w:p>
            <w:pPr>
              <w:spacing w:after="0"/>
              <w:rPr>
                <w:sz w:val="21"/>
                <w:szCs w:val="21"/>
                <w:color w:val="auto"/>
              </w:rPr>
            </w:pPr>
          </w:p>
        </w:tc>
        <w:tc>
          <w:tcPr>
            <w:tcW w:w="320" w:type="dxa"/>
            <w:vAlign w:val="bottom"/>
            <w:tcBorders>
              <w:bottom w:val="single" w:sz="8" w:color="C0C0C0"/>
            </w:tcBorders>
          </w:tcPr>
          <w:p>
            <w:pPr>
              <w:spacing w:after="0"/>
              <w:rPr>
                <w:sz w:val="21"/>
                <w:szCs w:val="21"/>
                <w:color w:val="auto"/>
              </w:rPr>
            </w:pPr>
          </w:p>
        </w:tc>
        <w:tc>
          <w:tcPr>
            <w:tcW w:w="1180" w:type="dxa"/>
            <w:vAlign w:val="bottom"/>
            <w:tcBorders>
              <w:bottom w:val="single" w:sz="8" w:color="C0C0C0"/>
            </w:tcBorders>
          </w:tcPr>
          <w:p>
            <w:pPr>
              <w:spacing w:after="0"/>
              <w:rPr>
                <w:sz w:val="21"/>
                <w:szCs w:val="21"/>
                <w:color w:val="auto"/>
              </w:rPr>
            </w:pPr>
          </w:p>
        </w:tc>
        <w:tc>
          <w:tcPr>
            <w:tcW w:w="320" w:type="dxa"/>
            <w:vAlign w:val="bottom"/>
            <w:tcBorders>
              <w:bottom w:val="single" w:sz="8" w:color="C0C0C0"/>
            </w:tcBorders>
          </w:tcPr>
          <w:p>
            <w:pPr>
              <w:spacing w:after="0"/>
              <w:rPr>
                <w:sz w:val="21"/>
                <w:szCs w:val="21"/>
                <w:color w:val="auto"/>
              </w:rPr>
            </w:pPr>
          </w:p>
        </w:tc>
        <w:tc>
          <w:tcPr>
            <w:tcW w:w="1160" w:type="dxa"/>
            <w:vAlign w:val="bottom"/>
            <w:tcBorders>
              <w:bottom w:val="single" w:sz="8" w:color="C0C0C0"/>
            </w:tcBorders>
          </w:tcPr>
          <w:p>
            <w:pPr>
              <w:spacing w:after="0"/>
              <w:rPr>
                <w:sz w:val="21"/>
                <w:szCs w:val="21"/>
                <w:color w:val="auto"/>
              </w:rPr>
            </w:pPr>
          </w:p>
        </w:tc>
        <w:tc>
          <w:tcPr>
            <w:tcW w:w="300" w:type="dxa"/>
            <w:vAlign w:val="bottom"/>
            <w:tcBorders>
              <w:bottom w:val="single" w:sz="8" w:color="C0C0C0"/>
            </w:tcBorders>
          </w:tcPr>
          <w:p>
            <w:pPr>
              <w:spacing w:after="0"/>
              <w:rPr>
                <w:sz w:val="21"/>
                <w:szCs w:val="21"/>
                <w:color w:val="auto"/>
              </w:rPr>
            </w:pPr>
          </w:p>
        </w:tc>
        <w:tc>
          <w:tcPr>
            <w:tcW w:w="1160" w:type="dxa"/>
            <w:vAlign w:val="bottom"/>
            <w:tcBorders>
              <w:bottom w:val="single" w:sz="8" w:color="C0C0C0"/>
            </w:tcBorders>
          </w:tcPr>
          <w:p>
            <w:pPr>
              <w:spacing w:after="0"/>
              <w:rPr>
                <w:sz w:val="21"/>
                <w:szCs w:val="21"/>
                <w:color w:val="auto"/>
              </w:rPr>
            </w:pPr>
          </w:p>
        </w:tc>
        <w:tc>
          <w:tcPr>
            <w:tcW w:w="50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409" w:right="239" w:bottom="117"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r>
              <w:rPr>
                <w:rFonts w:ascii="Arial" w:cs="Arial" w:eastAsia="Arial" w:hAnsi="Arial"/>
                <w:sz w:val="18"/>
                <w:szCs w:val="18"/>
                <w:b w:val="1"/>
                <w:bCs w:val="1"/>
                <w:color w:val="auto"/>
              </w:rPr>
              <w:t>9. Other Payables and Accruals</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32"/>
        </w:trPr>
        <w:tc>
          <w:tcPr>
            <w:tcW w:w="8360" w:type="dxa"/>
            <w:vAlign w:val="bottom"/>
          </w:tcPr>
          <w:p>
            <w:pPr>
              <w:ind w:left="440"/>
              <w:spacing w:after="0"/>
              <w:rPr>
                <w:sz w:val="20"/>
                <w:szCs w:val="20"/>
                <w:color w:val="auto"/>
              </w:rPr>
            </w:pPr>
            <w:r>
              <w:rPr>
                <w:rFonts w:ascii="Arial" w:cs="Arial" w:eastAsia="Arial" w:hAnsi="Arial"/>
                <w:sz w:val="18"/>
                <w:szCs w:val="18"/>
                <w:color w:val="auto"/>
              </w:rPr>
              <w:t>An analysis of other payables and accruals is as follows:</w:t>
            </w: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14"/>
        </w:trPr>
        <w:tc>
          <w:tcPr>
            <w:tcW w:w="8360" w:type="dxa"/>
            <w:vAlign w:val="bottom"/>
          </w:tcPr>
          <w:p>
            <w:pPr>
              <w:spacing w:after="0"/>
              <w:rPr>
                <w:sz w:val="24"/>
                <w:szCs w:val="24"/>
                <w:color w:val="auto"/>
              </w:rPr>
            </w:pPr>
          </w:p>
        </w:tc>
        <w:tc>
          <w:tcPr>
            <w:tcW w:w="170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December 31,</w:t>
            </w: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8360" w:type="dxa"/>
            <w:vAlign w:val="bottom"/>
            <w:tcBorders>
              <w:bottom w:val="single" w:sz="8" w:color="E5FFFF"/>
            </w:tcBorders>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bottom w:val="single" w:sz="8" w:color="E5FFFF"/>
            </w:tcBorders>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10"/>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Social contributions</w:t>
            </w:r>
          </w:p>
        </w:tc>
        <w:tc>
          <w:tcPr>
            <w:tcW w:w="13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1,085</w:t>
            </w:r>
          </w:p>
        </w:tc>
        <w:tc>
          <w:tcPr>
            <w:tcW w:w="340" w:type="dxa"/>
            <w:vAlign w:val="bottom"/>
            <w:shd w:val="clear" w:color="auto" w:fill="E5FFFF"/>
          </w:tcPr>
          <w:p>
            <w:pPr>
              <w:spacing w:after="0"/>
              <w:rPr>
                <w:sz w:val="18"/>
                <w:szCs w:val="18"/>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837</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Unearned revenue</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30,159</w:t>
            </w:r>
          </w:p>
        </w:tc>
        <w:tc>
          <w:tcPr>
            <w:tcW w:w="1360" w:type="dxa"/>
            <w:vAlign w:val="bottom"/>
          </w:tcPr>
          <w:p>
            <w:pPr>
              <w:jc w:val="right"/>
              <w:spacing w:after="0"/>
              <w:rPr>
                <w:sz w:val="20"/>
                <w:szCs w:val="20"/>
                <w:color w:val="auto"/>
              </w:rPr>
            </w:pPr>
            <w:r>
              <w:rPr>
                <w:rFonts w:ascii="Arial" w:cs="Arial" w:eastAsia="Arial" w:hAnsi="Arial"/>
                <w:sz w:val="18"/>
                <w:szCs w:val="18"/>
                <w:color w:val="auto"/>
              </w:rPr>
              <w:t>35,069</w:t>
            </w: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Accrued legal and professional fees</w:t>
            </w:r>
          </w:p>
        </w:tc>
        <w:tc>
          <w:tcPr>
            <w:tcW w:w="170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1,030</w:t>
            </w:r>
          </w:p>
        </w:tc>
        <w:tc>
          <w:tcPr>
            <w:tcW w:w="13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1,089</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Accrued board of directors’ fees</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593</w:t>
            </w:r>
          </w:p>
        </w:tc>
        <w:tc>
          <w:tcPr>
            <w:tcW w:w="1360" w:type="dxa"/>
            <w:vAlign w:val="bottom"/>
          </w:tcPr>
          <w:p>
            <w:pPr>
              <w:jc w:val="right"/>
              <w:spacing w:after="0"/>
              <w:rPr>
                <w:sz w:val="20"/>
                <w:szCs w:val="20"/>
                <w:color w:val="auto"/>
              </w:rPr>
            </w:pPr>
            <w:r>
              <w:rPr>
                <w:rFonts w:ascii="Arial" w:cs="Arial" w:eastAsia="Arial" w:hAnsi="Arial"/>
                <w:sz w:val="18"/>
                <w:szCs w:val="18"/>
                <w:color w:val="auto"/>
              </w:rPr>
              <w:t>573</w:t>
            </w: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Accrued employee costs</w:t>
            </w:r>
          </w:p>
        </w:tc>
        <w:tc>
          <w:tcPr>
            <w:tcW w:w="170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4,955</w:t>
            </w:r>
          </w:p>
        </w:tc>
        <w:tc>
          <w:tcPr>
            <w:tcW w:w="13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4,985</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Accrued off-hire</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3,781</w:t>
            </w:r>
          </w:p>
        </w:tc>
        <w:tc>
          <w:tcPr>
            <w:tcW w:w="1360" w:type="dxa"/>
            <w:vAlign w:val="bottom"/>
          </w:tcPr>
          <w:p>
            <w:pPr>
              <w:jc w:val="right"/>
              <w:spacing w:after="0"/>
              <w:rPr>
                <w:sz w:val="20"/>
                <w:szCs w:val="20"/>
                <w:color w:val="auto"/>
              </w:rPr>
            </w:pPr>
            <w:r>
              <w:rPr>
                <w:rFonts w:ascii="Arial" w:cs="Arial" w:eastAsia="Arial" w:hAnsi="Arial"/>
                <w:sz w:val="18"/>
                <w:szCs w:val="18"/>
                <w:color w:val="auto"/>
              </w:rPr>
              <w:t>3,765</w:t>
            </w: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Accrued crew costs</w:t>
            </w:r>
          </w:p>
        </w:tc>
        <w:tc>
          <w:tcPr>
            <w:tcW w:w="170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5,244</w:t>
            </w:r>
          </w:p>
        </w:tc>
        <w:tc>
          <w:tcPr>
            <w:tcW w:w="13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4,840</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Accrued purchases</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6,207</w:t>
            </w:r>
          </w:p>
        </w:tc>
        <w:tc>
          <w:tcPr>
            <w:tcW w:w="1360" w:type="dxa"/>
            <w:vAlign w:val="bottom"/>
          </w:tcPr>
          <w:p>
            <w:pPr>
              <w:jc w:val="right"/>
              <w:spacing w:after="0"/>
              <w:rPr>
                <w:sz w:val="20"/>
                <w:szCs w:val="20"/>
                <w:color w:val="auto"/>
              </w:rPr>
            </w:pPr>
            <w:r>
              <w:rPr>
                <w:rFonts w:ascii="Arial" w:cs="Arial" w:eastAsia="Arial" w:hAnsi="Arial"/>
                <w:sz w:val="18"/>
                <w:szCs w:val="18"/>
                <w:color w:val="auto"/>
              </w:rPr>
              <w:t>6,599</w:t>
            </w: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Accrued financing costs</w:t>
            </w:r>
          </w:p>
        </w:tc>
        <w:tc>
          <w:tcPr>
            <w:tcW w:w="170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76</w:t>
            </w:r>
          </w:p>
        </w:tc>
        <w:tc>
          <w:tcPr>
            <w:tcW w:w="13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4,540</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Accrued interest</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7,713</w:t>
            </w:r>
          </w:p>
        </w:tc>
        <w:tc>
          <w:tcPr>
            <w:tcW w:w="1360" w:type="dxa"/>
            <w:vAlign w:val="bottom"/>
          </w:tcPr>
          <w:p>
            <w:pPr>
              <w:jc w:val="right"/>
              <w:spacing w:after="0"/>
              <w:rPr>
                <w:sz w:val="20"/>
                <w:szCs w:val="20"/>
                <w:color w:val="auto"/>
              </w:rPr>
            </w:pPr>
            <w:r>
              <w:rPr>
                <w:rFonts w:ascii="Arial" w:cs="Arial" w:eastAsia="Arial" w:hAnsi="Arial"/>
                <w:sz w:val="18"/>
                <w:szCs w:val="18"/>
                <w:color w:val="auto"/>
              </w:rPr>
              <w:t>11,509</w:t>
            </w: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Accrued brokerage commission on vessels’ acquisition</w:t>
            </w:r>
          </w:p>
        </w:tc>
        <w:tc>
          <w:tcPr>
            <w:tcW w:w="170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4,600</w:t>
            </w:r>
          </w:p>
        </w:tc>
        <w:tc>
          <w:tcPr>
            <w:tcW w:w="13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Other accruals</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1,641</w:t>
            </w:r>
          </w:p>
        </w:tc>
        <w:tc>
          <w:tcPr>
            <w:tcW w:w="1360" w:type="dxa"/>
            <w:vAlign w:val="bottom"/>
          </w:tcPr>
          <w:p>
            <w:pPr>
              <w:jc w:val="right"/>
              <w:spacing w:after="0"/>
              <w:rPr>
                <w:sz w:val="20"/>
                <w:szCs w:val="20"/>
                <w:color w:val="auto"/>
              </w:rPr>
            </w:pPr>
            <w:r>
              <w:rPr>
                <w:rFonts w:ascii="Arial" w:cs="Arial" w:eastAsia="Arial" w:hAnsi="Arial"/>
                <w:sz w:val="18"/>
                <w:szCs w:val="18"/>
                <w:color w:val="auto"/>
              </w:rPr>
              <w:t>918</w:t>
            </w:r>
          </w:p>
        </w:tc>
      </w:tr>
      <w:tr>
        <w:trPr>
          <w:trHeight w:val="210"/>
        </w:trPr>
        <w:tc>
          <w:tcPr>
            <w:tcW w:w="83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67,084</w:t>
            </w:r>
          </w:p>
        </w:tc>
        <w:tc>
          <w:tcPr>
            <w:tcW w:w="340" w:type="dxa"/>
            <w:vAlign w:val="bottom"/>
            <w:tcBorders>
              <w:top w:val="single" w:sz="8" w:color="E5FFFF"/>
              <w:bottom w:val="single" w:sz="8" w:color="E5FFFF"/>
            </w:tcBorders>
            <w:shd w:val="clear" w:color="auto" w:fill="E5FFFF"/>
          </w:tcPr>
          <w:p>
            <w:pPr>
              <w:spacing w:after="0"/>
              <w:rPr>
                <w:sz w:val="18"/>
                <w:szCs w:val="18"/>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74,724</w:t>
            </w:r>
          </w:p>
        </w:tc>
      </w:tr>
      <w:tr>
        <w:trPr>
          <w:trHeight w:val="20"/>
        </w:trPr>
        <w:tc>
          <w:tcPr>
            <w:tcW w:w="8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 Capital and Preferred Stock</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GasLog’s authorized share capital consists of 500,000,000 shares with a par value of $0.01 per share.</w:t>
      </w:r>
    </w:p>
    <w:p>
      <w:pPr>
        <w:spacing w:after="0" w:line="225" w:lineRule="exact"/>
        <w:rPr>
          <w:sz w:val="20"/>
          <w:szCs w:val="20"/>
          <w:color w:val="auto"/>
        </w:rPr>
      </w:pPr>
    </w:p>
    <w:p>
      <w:pPr>
        <w:ind w:right="480" w:firstLine="396"/>
        <w:spacing w:after="0" w:line="264" w:lineRule="auto"/>
        <w:rPr>
          <w:sz w:val="20"/>
          <w:szCs w:val="20"/>
          <w:color w:val="auto"/>
        </w:rPr>
      </w:pPr>
      <w:r>
        <w:rPr>
          <w:rFonts w:ascii="Arial" w:cs="Arial" w:eastAsia="Arial" w:hAnsi="Arial"/>
          <w:sz w:val="18"/>
          <w:szCs w:val="18"/>
          <w:color w:val="auto"/>
        </w:rPr>
        <w:t>As of June 30, 2016, the share capital consisted of 80,553,238 issued and outstanding common shares, par value $0.01 per share, 439,888 treasury shares and 4,600,000 preference shares. The movements in the number of shares, the share capital, the preferred stock, the contributed surplus and the treasury shares are reported in the following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gridSpan w:val="4"/>
          </w:tcPr>
          <w:p>
            <w:pPr>
              <w:ind w:left="100"/>
              <w:spacing w:after="0"/>
              <w:rPr>
                <w:sz w:val="20"/>
                <w:szCs w:val="20"/>
                <w:color w:val="auto"/>
              </w:rPr>
            </w:pPr>
            <w:r>
              <w:rPr>
                <w:rFonts w:ascii="Arial" w:cs="Arial" w:eastAsia="Arial" w:hAnsi="Arial"/>
                <w:sz w:val="18"/>
                <w:szCs w:val="18"/>
                <w:b w:val="1"/>
                <w:bCs w:val="1"/>
                <w:color w:val="auto"/>
              </w:rPr>
              <w:t>Number of Shares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9"/>
              </w:rPr>
              <w:t>Amounts</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2760" w:type="dxa"/>
            <w:vAlign w:val="bottom"/>
          </w:tcPr>
          <w:p>
            <w:pPr>
              <w:spacing w:after="0"/>
              <w:rPr>
                <w:sz w:val="16"/>
                <w:szCs w:val="16"/>
                <w:color w:val="auto"/>
              </w:rPr>
            </w:pPr>
          </w:p>
        </w:tc>
        <w:tc>
          <w:tcPr>
            <w:tcW w:w="1380" w:type="dxa"/>
            <w:vAlign w:val="bottom"/>
            <w:tcBorders>
              <w:top w:val="single" w:sz="8" w:color="auto"/>
            </w:tcBorders>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1"/>
              </w:rPr>
              <w:t>Number of</w:t>
            </w:r>
          </w:p>
        </w:tc>
        <w:tc>
          <w:tcPr>
            <w:tcW w:w="1360" w:type="dxa"/>
            <w:vAlign w:val="bottom"/>
            <w:tcBorders>
              <w:top w:val="single" w:sz="8" w:color="auto"/>
            </w:tcBorders>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rPr>
              <w:t>Number of</w:t>
            </w:r>
          </w:p>
        </w:tc>
        <w:tc>
          <w:tcPr>
            <w:tcW w:w="16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Number of</w:t>
            </w:r>
          </w:p>
        </w:tc>
        <w:tc>
          <w:tcPr>
            <w:tcW w:w="2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80"/>
              <w:spacing w:after="0" w:line="191" w:lineRule="exact"/>
              <w:rPr>
                <w:sz w:val="20"/>
                <w:szCs w:val="20"/>
                <w:color w:val="auto"/>
              </w:rPr>
            </w:pPr>
            <w:r>
              <w:rPr>
                <w:rFonts w:ascii="Arial" w:cs="Arial" w:eastAsia="Arial" w:hAnsi="Arial"/>
                <w:sz w:val="18"/>
                <w:szCs w:val="18"/>
                <w:b w:val="1"/>
                <w:bCs w:val="1"/>
                <w:color w:val="auto"/>
                <w:w w:val="92"/>
              </w:rPr>
              <w:t>Preferred</w:t>
            </w:r>
          </w:p>
        </w:tc>
        <w:tc>
          <w:tcPr>
            <w:tcW w:w="1140" w:type="dxa"/>
            <w:vAlign w:val="bottom"/>
            <w:tcBorders>
              <w:top w:val="single" w:sz="8" w:color="auto"/>
            </w:tcBorders>
            <w:gridSpan w:val="2"/>
          </w:tcPr>
          <w:p>
            <w:pPr>
              <w:jc w:val="right"/>
              <w:ind w:right="140"/>
              <w:spacing w:after="0" w:line="191" w:lineRule="exact"/>
              <w:rPr>
                <w:sz w:val="20"/>
                <w:szCs w:val="20"/>
                <w:color w:val="auto"/>
              </w:rPr>
            </w:pPr>
            <w:r>
              <w:rPr>
                <w:rFonts w:ascii="Arial" w:cs="Arial" w:eastAsia="Arial" w:hAnsi="Arial"/>
                <w:sz w:val="18"/>
                <w:szCs w:val="18"/>
                <w:b w:val="1"/>
                <w:bCs w:val="1"/>
                <w:color w:val="auto"/>
                <w:w w:val="96"/>
              </w:rPr>
              <w:t>Contributed</w:t>
            </w:r>
          </w:p>
        </w:tc>
        <w:tc>
          <w:tcPr>
            <w:tcW w:w="7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89"/>
              </w:rPr>
              <w:t>Treasury</w:t>
            </w:r>
          </w:p>
        </w:tc>
        <w:tc>
          <w:tcPr>
            <w:tcW w:w="20" w:type="dxa"/>
            <w:vAlign w:val="bottom"/>
          </w:tcPr>
          <w:p>
            <w:pPr>
              <w:spacing w:after="0"/>
              <w:rPr>
                <w:sz w:val="16"/>
                <w:szCs w:val="16"/>
                <w:color w:val="auto"/>
              </w:rPr>
            </w:pPr>
          </w:p>
        </w:tc>
      </w:tr>
      <w:tr>
        <w:trPr>
          <w:trHeight w:val="234"/>
        </w:trPr>
        <w:tc>
          <w:tcPr>
            <w:tcW w:w="2760" w:type="dxa"/>
            <w:vAlign w:val="bottom"/>
          </w:tcPr>
          <w:p>
            <w:pPr>
              <w:spacing w:after="0"/>
              <w:rPr>
                <w:sz w:val="20"/>
                <w:szCs w:val="20"/>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common shares</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9"/>
              </w:rPr>
              <w:t>treasury shares</w:t>
            </w: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Preference Shares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Share capital</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stock</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surplus</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9"/>
              </w:rPr>
              <w:t>shares</w:t>
            </w:r>
          </w:p>
        </w:tc>
      </w:tr>
      <w:tr>
        <w:trPr>
          <w:trHeight w:val="210"/>
        </w:trPr>
        <w:tc>
          <w:tcPr>
            <w:tcW w:w="27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w w:val="93"/>
              </w:rPr>
              <w:t>Outstanding as of January 1, 2016</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80,496,499</w:t>
            </w:r>
          </w:p>
        </w:tc>
        <w:tc>
          <w:tcPr>
            <w:tcW w:w="12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496,627</w:t>
            </w:r>
          </w:p>
        </w:tc>
        <w:tc>
          <w:tcPr>
            <w:tcW w:w="100" w:type="dxa"/>
            <w:vAlign w:val="bottom"/>
            <w:tcBorders>
              <w:top w:val="single" w:sz="8" w:color="E5FFFF"/>
            </w:tcBorders>
            <w:shd w:val="clear" w:color="auto" w:fill="E5FFFF"/>
          </w:tcPr>
          <w:p>
            <w:pPr>
              <w:spacing w:after="0"/>
              <w:rPr>
                <w:sz w:val="18"/>
                <w:szCs w:val="18"/>
                <w:color w:val="auto"/>
              </w:rPr>
            </w:pP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4,600,000</w:t>
            </w:r>
          </w:p>
        </w:tc>
        <w:tc>
          <w:tcPr>
            <w:tcW w:w="220" w:type="dxa"/>
            <w:vAlign w:val="bottom"/>
            <w:tcBorders>
              <w:top w:val="single" w:sz="8" w:color="E5FFFF"/>
            </w:tcBorders>
            <w:shd w:val="clear" w:color="auto" w:fill="E5FFFF"/>
          </w:tcPr>
          <w:p>
            <w:pPr>
              <w:spacing w:after="0"/>
              <w:rPr>
                <w:sz w:val="18"/>
                <w:szCs w:val="18"/>
                <w:color w:val="auto"/>
              </w:rPr>
            </w:pPr>
          </w:p>
        </w:tc>
        <w:tc>
          <w:tcPr>
            <w:tcW w:w="10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810</w:t>
            </w:r>
          </w:p>
        </w:tc>
        <w:tc>
          <w:tcPr>
            <w:tcW w:w="100" w:type="dxa"/>
            <w:vAlign w:val="bottom"/>
            <w:tcBorders>
              <w:top w:val="single" w:sz="8" w:color="E5FFFF"/>
            </w:tcBorders>
            <w:shd w:val="clear" w:color="auto" w:fill="E5FFFF"/>
          </w:tcPr>
          <w:p>
            <w:pPr>
              <w:spacing w:after="0"/>
              <w:rPr>
                <w:sz w:val="18"/>
                <w:szCs w:val="18"/>
                <w:color w:val="auto"/>
              </w:rPr>
            </w:pPr>
          </w:p>
        </w:tc>
        <w:tc>
          <w:tcPr>
            <w:tcW w:w="1040" w:type="dxa"/>
            <w:vAlign w:val="bottom"/>
            <w:tcBorders>
              <w:top w:val="single" w:sz="8" w:color="auto"/>
              <w:bottom w:val="single" w:sz="8" w:color="auto"/>
            </w:tcBorders>
            <w:shd w:val="clear" w:color="auto" w:fill="E5FFFF"/>
          </w:tcPr>
          <w:p>
            <w:pPr>
              <w:jc w:val="center"/>
              <w:ind w:left="770"/>
              <w:spacing w:after="0"/>
              <w:rPr>
                <w:sz w:val="20"/>
                <w:szCs w:val="20"/>
                <w:color w:val="auto"/>
              </w:rPr>
            </w:pPr>
            <w:r>
              <w:rPr>
                <w:rFonts w:ascii="Arial" w:cs="Arial" w:eastAsia="Arial" w:hAnsi="Arial"/>
                <w:sz w:val="18"/>
                <w:szCs w:val="18"/>
                <w:b w:val="1"/>
                <w:bCs w:val="1"/>
                <w:color w:val="auto"/>
                <w:w w:val="89"/>
              </w:rPr>
              <w:t>46</w:t>
            </w:r>
          </w:p>
        </w:tc>
        <w:tc>
          <w:tcPr>
            <w:tcW w:w="100" w:type="dxa"/>
            <w:vAlign w:val="bottom"/>
            <w:tcBorders>
              <w:top w:val="single" w:sz="8" w:color="E5FFFF"/>
            </w:tcBorders>
            <w:shd w:val="clear" w:color="auto" w:fill="E5FFFF"/>
          </w:tcPr>
          <w:p>
            <w:pPr>
              <w:spacing w:after="0"/>
              <w:rPr>
                <w:sz w:val="18"/>
                <w:szCs w:val="18"/>
                <w:color w:val="auto"/>
              </w:rPr>
            </w:pPr>
          </w:p>
        </w:tc>
        <w:tc>
          <w:tcPr>
            <w:tcW w:w="10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1,020,292</w:t>
            </w:r>
          </w:p>
        </w:tc>
        <w:tc>
          <w:tcPr>
            <w:tcW w:w="120" w:type="dxa"/>
            <w:vAlign w:val="bottom"/>
            <w:tcBorders>
              <w:top w:val="single" w:sz="8" w:color="E5FFFF"/>
            </w:tcBorders>
            <w:shd w:val="clear" w:color="auto" w:fill="E5FFFF"/>
          </w:tcPr>
          <w:p>
            <w:pPr>
              <w:spacing w:after="0"/>
              <w:rPr>
                <w:sz w:val="18"/>
                <w:szCs w:val="18"/>
                <w:color w:val="auto"/>
              </w:rPr>
            </w:pPr>
          </w:p>
        </w:tc>
        <w:tc>
          <w:tcPr>
            <w:tcW w:w="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(12,491)</w:t>
            </w:r>
          </w:p>
        </w:tc>
        <w:tc>
          <w:tcPr>
            <w:tcW w:w="20" w:type="dxa"/>
            <w:vAlign w:val="bottom"/>
          </w:tcPr>
          <w:p>
            <w:pPr>
              <w:spacing w:after="0"/>
              <w:rPr>
                <w:sz w:val="18"/>
                <w:szCs w:val="18"/>
                <w:color w:val="auto"/>
              </w:rPr>
            </w:pPr>
          </w:p>
        </w:tc>
      </w:tr>
      <w:tr>
        <w:trPr>
          <w:trHeight w:val="182"/>
        </w:trPr>
        <w:tc>
          <w:tcPr>
            <w:tcW w:w="2760" w:type="dxa"/>
            <w:vAlign w:val="bottom"/>
          </w:tcPr>
          <w:p>
            <w:pPr>
              <w:spacing w:after="0" w:line="182" w:lineRule="exact"/>
              <w:rPr>
                <w:sz w:val="20"/>
                <w:szCs w:val="20"/>
                <w:color w:val="auto"/>
              </w:rPr>
            </w:pPr>
            <w:r>
              <w:rPr>
                <w:rFonts w:ascii="Arial" w:cs="Arial" w:eastAsia="Arial" w:hAnsi="Arial"/>
                <w:sz w:val="18"/>
                <w:szCs w:val="18"/>
                <w:color w:val="auto"/>
              </w:rPr>
              <w:t>Treasury shares distributed for</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2760" w:type="dxa"/>
            <w:vAlign w:val="bottom"/>
          </w:tcPr>
          <w:p>
            <w:pPr>
              <w:ind w:left="160"/>
              <w:spacing w:after="0"/>
              <w:rPr>
                <w:sz w:val="20"/>
                <w:szCs w:val="20"/>
                <w:color w:val="auto"/>
              </w:rPr>
            </w:pPr>
            <w:r>
              <w:rPr>
                <w:rFonts w:ascii="Arial" w:cs="Arial" w:eastAsia="Arial" w:hAnsi="Arial"/>
                <w:sz w:val="18"/>
                <w:szCs w:val="18"/>
                <w:color w:val="auto"/>
              </w:rPr>
              <w:t>awards vested in the period</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56,739</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(56,739)</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center"/>
              <w:ind w:left="6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1,426</w:t>
            </w:r>
          </w:p>
        </w:tc>
      </w:tr>
      <w:tr>
        <w:trPr>
          <w:trHeight w:val="202"/>
        </w:trPr>
        <w:tc>
          <w:tcPr>
            <w:tcW w:w="276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Dividends declared deducted from</w:t>
            </w:r>
          </w:p>
        </w:tc>
        <w:tc>
          <w:tcPr>
            <w:tcW w:w="12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6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7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contributed surplus</w:t>
            </w:r>
          </w:p>
        </w:tc>
        <w:tc>
          <w:tcPr>
            <w:tcW w:w="12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6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0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0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due to accumulated deficit</w:t>
            </w:r>
          </w:p>
        </w:tc>
        <w:tc>
          <w:tcPr>
            <w:tcW w:w="138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5FFFF"/>
          </w:tcPr>
          <w:p>
            <w:pPr>
              <w:jc w:val="center"/>
              <w:ind w:left="67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(25,732)</w:t>
            </w:r>
          </w:p>
        </w:tc>
        <w:tc>
          <w:tcPr>
            <w:tcW w:w="7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10"/>
        </w:trPr>
        <w:tc>
          <w:tcPr>
            <w:tcW w:w="2760" w:type="dxa"/>
            <w:vAlign w:val="bottom"/>
          </w:tcPr>
          <w:p>
            <w:pPr>
              <w:spacing w:after="0"/>
              <w:rPr>
                <w:sz w:val="20"/>
                <w:szCs w:val="20"/>
                <w:color w:val="auto"/>
              </w:rPr>
            </w:pPr>
            <w:r>
              <w:rPr>
                <w:rFonts w:ascii="Arial" w:cs="Arial" w:eastAsia="Arial" w:hAnsi="Arial"/>
                <w:sz w:val="18"/>
                <w:szCs w:val="18"/>
                <w:b w:val="1"/>
                <w:bCs w:val="1"/>
                <w:color w:val="auto"/>
                <w:w w:val="99"/>
              </w:rPr>
              <w:t>Outstanding as of June 30, 2016</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80,553,238</w:t>
            </w:r>
          </w:p>
        </w:tc>
        <w:tc>
          <w:tcPr>
            <w:tcW w:w="1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439,888</w:t>
            </w:r>
          </w:p>
        </w:tc>
        <w:tc>
          <w:tcPr>
            <w:tcW w:w="10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4,600,000</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810</w:t>
            </w:r>
          </w:p>
        </w:tc>
        <w:tc>
          <w:tcPr>
            <w:tcW w:w="1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center"/>
              <w:ind w:left="770"/>
              <w:spacing w:after="0"/>
              <w:rPr>
                <w:sz w:val="20"/>
                <w:szCs w:val="20"/>
                <w:color w:val="auto"/>
              </w:rPr>
            </w:pPr>
            <w:r>
              <w:rPr>
                <w:rFonts w:ascii="Arial" w:cs="Arial" w:eastAsia="Arial" w:hAnsi="Arial"/>
                <w:sz w:val="18"/>
                <w:szCs w:val="18"/>
                <w:b w:val="1"/>
                <w:bCs w:val="1"/>
                <w:color w:val="auto"/>
                <w:w w:val="89"/>
              </w:rPr>
              <w:t>46</w:t>
            </w:r>
          </w:p>
        </w:tc>
        <w:tc>
          <w:tcPr>
            <w:tcW w:w="1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994,560</w:t>
            </w:r>
          </w:p>
        </w:tc>
        <w:tc>
          <w:tcPr>
            <w:tcW w:w="1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(11,065)</w:t>
            </w:r>
          </w:p>
        </w:tc>
        <w:tc>
          <w:tcPr>
            <w:tcW w:w="20" w:type="dxa"/>
            <w:vAlign w:val="bottom"/>
            <w:tcBorders>
              <w:bottom w:val="single" w:sz="8" w:color="auto"/>
            </w:tcBorders>
          </w:tcPr>
          <w:p>
            <w:pPr>
              <w:spacing w:after="0"/>
              <w:rPr>
                <w:sz w:val="18"/>
                <w:szCs w:val="18"/>
                <w:color w:val="auto"/>
              </w:rPr>
            </w:pPr>
          </w:p>
        </w:tc>
      </w:tr>
      <w:tr>
        <w:trPr>
          <w:trHeight w:val="20"/>
        </w:trPr>
        <w:tc>
          <w:tcPr>
            <w:tcW w:w="27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treasury shares were acquired by GasLog in 2014 in relation to the share-based compensation (Note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distribution</w:t>
      </w:r>
    </w:p>
    <w:p>
      <w:pPr>
        <w:spacing w:after="0" w:line="225" w:lineRule="exact"/>
        <w:rPr>
          <w:sz w:val="20"/>
          <w:szCs w:val="20"/>
          <w:color w:val="auto"/>
        </w:rPr>
      </w:pPr>
    </w:p>
    <w:p>
      <w:pPr>
        <w:ind w:right="580" w:firstLine="356"/>
        <w:spacing w:after="0" w:line="277" w:lineRule="auto"/>
        <w:rPr>
          <w:sz w:val="20"/>
          <w:szCs w:val="20"/>
          <w:color w:val="auto"/>
        </w:rPr>
      </w:pPr>
      <w:r>
        <w:rPr>
          <w:rFonts w:ascii="Arial" w:cs="Arial" w:eastAsia="Arial" w:hAnsi="Arial"/>
          <w:sz w:val="18"/>
          <w:szCs w:val="18"/>
          <w:color w:val="auto"/>
        </w:rPr>
        <w:t>On February 24, 2016 the board of directors declared a quarterly cash dividend of $0.14 per common share which was paid on March 17, 2016 to shareholders of record as of March 7, 2016 for a total amount of $11,270.</w:t>
      </w:r>
    </w:p>
    <w:p>
      <w:pPr>
        <w:spacing w:after="0" w:line="170" w:lineRule="exact"/>
        <w:rPr>
          <w:sz w:val="20"/>
          <w:szCs w:val="20"/>
          <w:color w:val="auto"/>
        </w:rPr>
      </w:pPr>
    </w:p>
    <w:p>
      <w:pPr>
        <w:ind w:right="420" w:firstLine="383"/>
        <w:spacing w:after="0" w:line="342" w:lineRule="auto"/>
        <w:rPr>
          <w:sz w:val="20"/>
          <w:szCs w:val="20"/>
          <w:color w:val="auto"/>
        </w:rPr>
      </w:pPr>
      <w:r>
        <w:rPr>
          <w:rFonts w:ascii="Arial" w:cs="Arial" w:eastAsia="Arial" w:hAnsi="Arial"/>
          <w:sz w:val="16"/>
          <w:szCs w:val="16"/>
          <w:color w:val="auto"/>
        </w:rPr>
        <w:t>On March 11, 2016, the board of directors declared a dividend on the Series A Preference Shares of $0.546875 per share or $2,515 in the aggregate payable on April 1, 2016 to holders of record as of March 31, 2016. GasLog paid the declared dividend to the transfer agent on March 30, 2016.</w:t>
      </w:r>
    </w:p>
    <w:p>
      <w:pPr>
        <w:spacing w:after="0" w:line="124" w:lineRule="exact"/>
        <w:rPr>
          <w:sz w:val="20"/>
          <w:szCs w:val="20"/>
          <w:color w:val="auto"/>
        </w:rPr>
      </w:pPr>
    </w:p>
    <w:p>
      <w:pPr>
        <w:ind w:right="120" w:firstLine="356"/>
        <w:spacing w:after="0" w:line="277" w:lineRule="auto"/>
        <w:rPr>
          <w:sz w:val="20"/>
          <w:szCs w:val="20"/>
          <w:color w:val="auto"/>
        </w:rPr>
      </w:pPr>
      <w:r>
        <w:rPr>
          <w:rFonts w:ascii="Arial" w:cs="Arial" w:eastAsia="Arial" w:hAnsi="Arial"/>
          <w:sz w:val="18"/>
          <w:szCs w:val="18"/>
          <w:color w:val="auto"/>
        </w:rPr>
        <w:t>On May 5, 2016, the board of directors declared a quarterly cash dividend of $0.14 per common share which was paid on May 26, 2016 to shareholders of record as of May 16, 2016 for a total amount of $11,277.</w:t>
      </w:r>
    </w:p>
    <w:p>
      <w:pPr>
        <w:spacing w:after="0" w:line="170" w:lineRule="exact"/>
        <w:rPr>
          <w:sz w:val="20"/>
          <w:szCs w:val="20"/>
          <w:color w:val="auto"/>
        </w:rPr>
      </w:pPr>
    </w:p>
    <w:p>
      <w:pPr>
        <w:ind w:right="40" w:firstLine="383"/>
        <w:spacing w:after="0" w:line="308" w:lineRule="auto"/>
        <w:rPr>
          <w:sz w:val="20"/>
          <w:szCs w:val="20"/>
          <w:color w:val="auto"/>
        </w:rPr>
      </w:pPr>
      <w:r>
        <w:rPr>
          <w:rFonts w:ascii="Arial" w:cs="Arial" w:eastAsia="Arial" w:hAnsi="Arial"/>
          <w:sz w:val="17"/>
          <w:szCs w:val="17"/>
          <w:color w:val="auto"/>
        </w:rPr>
        <w:t>On May 5, 2016, the board of directors declared a dividend on the Series A Preference Shares of $0.546875 per share or $2,516 in the aggregate payable on July 1, 2016 to holders of record as of June 30, 2016. GasLog paid the declared dividend to the transfer agent on June 28, 2016.</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9480" w:type="dxa"/>
            <w:vAlign w:val="bottom"/>
          </w:tcPr>
          <w:p>
            <w:pPr>
              <w:spacing w:after="0"/>
              <w:rPr>
                <w:sz w:val="20"/>
                <w:szCs w:val="20"/>
                <w:color w:val="auto"/>
              </w:rPr>
            </w:pPr>
            <w:r>
              <w:rPr>
                <w:rFonts w:ascii="Arial" w:cs="Arial" w:eastAsia="Arial" w:hAnsi="Arial"/>
                <w:sz w:val="18"/>
                <w:szCs w:val="18"/>
                <w:b w:val="1"/>
                <w:bCs w:val="1"/>
                <w:color w:val="auto"/>
              </w:rPr>
              <w:t>11. Commitments and Contingencies</w:t>
            </w: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80" w:type="dxa"/>
            <w:vAlign w:val="bottom"/>
          </w:tcPr>
          <w:p>
            <w:pPr>
              <w:spacing w:after="0"/>
              <w:rPr>
                <w:sz w:val="20"/>
                <w:szCs w:val="20"/>
                <w:color w:val="auto"/>
              </w:rPr>
            </w:pPr>
            <w:r>
              <w:rPr>
                <w:rFonts w:ascii="Arial" w:cs="Arial" w:eastAsia="Arial" w:hAnsi="Arial"/>
                <w:sz w:val="18"/>
                <w:szCs w:val="18"/>
                <w:color w:val="auto"/>
              </w:rPr>
              <w:t>(a) As of June 30, 2016 the Group had the following commitments relating to buildings under operating leases:</w:t>
            </w: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80" w:type="dxa"/>
            <w:vAlign w:val="bottom"/>
          </w:tcPr>
          <w:p>
            <w:pPr>
              <w:spacing w:after="0"/>
              <w:rPr>
                <w:sz w:val="24"/>
                <w:szCs w:val="24"/>
                <w:color w:val="auto"/>
              </w:rPr>
            </w:pPr>
          </w:p>
        </w:tc>
        <w:tc>
          <w:tcPr>
            <w:tcW w:w="19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June 30, 2016</w:t>
            </w:r>
          </w:p>
        </w:tc>
        <w:tc>
          <w:tcPr>
            <w:tcW w:w="0" w:type="dxa"/>
            <w:vAlign w:val="bottom"/>
          </w:tcPr>
          <w:p>
            <w:pPr>
              <w:spacing w:after="0"/>
              <w:rPr>
                <w:sz w:val="1"/>
                <w:szCs w:val="1"/>
                <w:color w:val="auto"/>
              </w:rPr>
            </w:pPr>
          </w:p>
        </w:tc>
      </w:tr>
      <w:tr>
        <w:trPr>
          <w:trHeight w:val="210"/>
        </w:trPr>
        <w:tc>
          <w:tcPr>
            <w:tcW w:w="94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i w:val="1"/>
                <w:iCs w:val="1"/>
                <w:color w:val="auto"/>
              </w:rPr>
              <w:t>Operating leases</w:t>
            </w:r>
          </w:p>
        </w:tc>
        <w:tc>
          <w:tcPr>
            <w:tcW w:w="172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Not later than one year</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16"/>
        </w:trPr>
        <w:tc>
          <w:tcPr>
            <w:tcW w:w="9480" w:type="dxa"/>
            <w:vAlign w:val="bottom"/>
            <w:shd w:val="clear" w:color="auto" w:fill="E5FFFF"/>
          </w:tcPr>
          <w:p>
            <w:pPr>
              <w:spacing w:after="0"/>
              <w:rPr>
                <w:sz w:val="20"/>
                <w:szCs w:val="20"/>
                <w:color w:val="auto"/>
              </w:rPr>
            </w:pPr>
            <w:r>
              <w:rPr>
                <w:rFonts w:ascii="Arial" w:cs="Arial" w:eastAsia="Arial" w:hAnsi="Arial"/>
                <w:sz w:val="18"/>
                <w:szCs w:val="18"/>
                <w:color w:val="auto"/>
              </w:rPr>
              <w:t>Later than one year and not later than three years</w:t>
            </w:r>
          </w:p>
        </w:tc>
        <w:tc>
          <w:tcPr>
            <w:tcW w:w="19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Later than three years and not later than five years</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6"/>
        </w:trPr>
        <w:tc>
          <w:tcPr>
            <w:tcW w:w="9480" w:type="dxa"/>
            <w:vAlign w:val="bottom"/>
            <w:shd w:val="clear" w:color="auto" w:fill="E5FFFF"/>
          </w:tcPr>
          <w:p>
            <w:pPr>
              <w:spacing w:after="0"/>
              <w:rPr>
                <w:sz w:val="20"/>
                <w:szCs w:val="20"/>
                <w:color w:val="auto"/>
              </w:rPr>
            </w:pPr>
            <w:r>
              <w:rPr>
                <w:rFonts w:ascii="Arial" w:cs="Arial" w:eastAsia="Arial" w:hAnsi="Arial"/>
                <w:sz w:val="18"/>
                <w:szCs w:val="18"/>
                <w:color w:val="auto"/>
              </w:rPr>
              <w:t>More than five years</w:t>
            </w:r>
          </w:p>
        </w:tc>
        <w:tc>
          <w:tcPr>
            <w:tcW w:w="19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0"/>
        </w:trPr>
        <w:tc>
          <w:tcPr>
            <w:tcW w:w="9480" w:type="dxa"/>
            <w:vAlign w:val="bottom"/>
          </w:tcPr>
          <w:p>
            <w:pPr>
              <w:spacing w:after="0"/>
              <w:rPr>
                <w:sz w:val="20"/>
                <w:szCs w:val="20"/>
                <w:color w:val="auto"/>
              </w:rPr>
            </w:pPr>
            <w:r>
              <w:rPr>
                <w:rFonts w:ascii="Arial" w:cs="Arial" w:eastAsia="Arial" w:hAnsi="Arial"/>
                <w:sz w:val="18"/>
                <w:szCs w:val="18"/>
                <w:b w:val="1"/>
                <w:bCs w:val="1"/>
                <w:color w:val="auto"/>
              </w:rPr>
              <w:t>Total operating lease commitment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5,371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Arial" w:cs="Arial" w:eastAsia="Arial" w:hAnsi="Arial"/>
                <w:sz w:val="18"/>
                <w:szCs w:val="18"/>
                <w:color w:val="auto"/>
              </w:rPr>
              <w:t>(b) Commitments relating to the vessels under construction (Note 4) as of June 30, 2016 were as follows:</w:t>
            </w: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48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80" w:type="dxa"/>
            <w:vAlign w:val="bottom"/>
          </w:tcPr>
          <w:p>
            <w:pPr>
              <w:spacing w:after="0"/>
              <w:rPr>
                <w:sz w:val="24"/>
                <w:szCs w:val="24"/>
                <w:color w:val="auto"/>
              </w:rPr>
            </w:pPr>
          </w:p>
        </w:tc>
        <w:tc>
          <w:tcPr>
            <w:tcW w:w="19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June 30, 2016</w:t>
            </w:r>
          </w:p>
        </w:tc>
        <w:tc>
          <w:tcPr>
            <w:tcW w:w="0" w:type="dxa"/>
            <w:vAlign w:val="bottom"/>
          </w:tcPr>
          <w:p>
            <w:pPr>
              <w:spacing w:after="0"/>
              <w:rPr>
                <w:sz w:val="1"/>
                <w:szCs w:val="1"/>
                <w:color w:val="auto"/>
              </w:rPr>
            </w:pPr>
          </w:p>
        </w:tc>
      </w:tr>
      <w:tr>
        <w:trPr>
          <w:trHeight w:val="210"/>
        </w:trPr>
        <w:tc>
          <w:tcPr>
            <w:tcW w:w="94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i w:val="1"/>
                <w:iCs w:val="1"/>
                <w:color w:val="auto"/>
              </w:rPr>
              <w:t>Vessels under construction</w:t>
            </w:r>
          </w:p>
        </w:tc>
        <w:tc>
          <w:tcPr>
            <w:tcW w:w="172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Not later than one year</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402,134</w:t>
            </w:r>
          </w:p>
        </w:tc>
        <w:tc>
          <w:tcPr>
            <w:tcW w:w="0" w:type="dxa"/>
            <w:vAlign w:val="bottom"/>
          </w:tcPr>
          <w:p>
            <w:pPr>
              <w:spacing w:after="0"/>
              <w:rPr>
                <w:sz w:val="1"/>
                <w:szCs w:val="1"/>
                <w:color w:val="auto"/>
              </w:rPr>
            </w:pPr>
          </w:p>
        </w:tc>
      </w:tr>
      <w:tr>
        <w:trPr>
          <w:trHeight w:val="216"/>
        </w:trPr>
        <w:tc>
          <w:tcPr>
            <w:tcW w:w="9480" w:type="dxa"/>
            <w:vAlign w:val="bottom"/>
            <w:shd w:val="clear" w:color="auto" w:fill="E5FFFF"/>
          </w:tcPr>
          <w:p>
            <w:pPr>
              <w:spacing w:after="0"/>
              <w:rPr>
                <w:sz w:val="20"/>
                <w:szCs w:val="20"/>
                <w:color w:val="auto"/>
              </w:rPr>
            </w:pPr>
            <w:r>
              <w:rPr>
                <w:rFonts w:ascii="Arial" w:cs="Arial" w:eastAsia="Arial" w:hAnsi="Arial"/>
                <w:sz w:val="18"/>
                <w:szCs w:val="18"/>
                <w:color w:val="auto"/>
              </w:rPr>
              <w:t>Later than one year and not later than three years</w:t>
            </w:r>
          </w:p>
        </w:tc>
        <w:tc>
          <w:tcPr>
            <w:tcW w:w="19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700,226</w:t>
            </w:r>
          </w:p>
        </w:tc>
        <w:tc>
          <w:tcPr>
            <w:tcW w:w="0" w:type="dxa"/>
            <w:vAlign w:val="bottom"/>
          </w:tcPr>
          <w:p>
            <w:pPr>
              <w:spacing w:after="0"/>
              <w:rPr>
                <w:sz w:val="1"/>
                <w:szCs w:val="1"/>
                <w:color w:val="auto"/>
              </w:rPr>
            </w:pPr>
          </w:p>
        </w:tc>
      </w:tr>
      <w:tr>
        <w:trPr>
          <w:trHeight w:val="210"/>
        </w:trPr>
        <w:tc>
          <w:tcPr>
            <w:tcW w:w="9480" w:type="dxa"/>
            <w:vAlign w:val="bottom"/>
          </w:tcPr>
          <w:p>
            <w:pPr>
              <w:spacing w:after="0"/>
              <w:rPr>
                <w:sz w:val="20"/>
                <w:szCs w:val="20"/>
                <w:color w:val="auto"/>
              </w:rPr>
            </w:pPr>
            <w:r>
              <w:rPr>
                <w:rFonts w:ascii="Arial" w:cs="Arial" w:eastAsia="Arial" w:hAnsi="Arial"/>
                <w:sz w:val="18"/>
                <w:szCs w:val="18"/>
                <w:b w:val="1"/>
                <w:bCs w:val="1"/>
                <w:color w:val="auto"/>
              </w:rPr>
              <w:t>Total vessels under construction commitment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1,102,360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436"/>
        <w:spacing w:after="0" w:line="297" w:lineRule="auto"/>
        <w:rPr>
          <w:sz w:val="20"/>
          <w:szCs w:val="20"/>
          <w:color w:val="auto"/>
        </w:rPr>
      </w:pPr>
      <w:r>
        <w:rPr>
          <w:rFonts w:ascii="Arial" w:cs="Arial" w:eastAsia="Arial" w:hAnsi="Arial"/>
          <w:sz w:val="16"/>
          <w:szCs w:val="16"/>
          <w:color w:val="auto"/>
        </w:rPr>
        <w:t>Based on an agreement entered into by GAS-twenty two Ltd. and GAS-twenty three Ltd. with Methane Services Limited (“MSL”) on March 8, 2016, the first two entities declared their options with Samsung to install reliquefaction plants on board the vessels. MSL agreed to reimburse 50% of such cost per vessel, resulting in an aggregate commitment to pay $3,200 per vessel to GasLog after the installation has been completed. In the case that the reliquefaction plants do not fulfill specified enhanced performance criteria during operation as set forth in the relevant agreement, GasLog will refund the reimbursed amounts to MSL in the form of a daily compensation amount per vessel. As of June 30, 2016, no construction or installation of these plants has been started.</w:t>
      </w:r>
    </w:p>
    <w:p>
      <w:pPr>
        <w:spacing w:after="0" w:line="158" w:lineRule="exact"/>
        <w:rPr>
          <w:sz w:val="20"/>
          <w:szCs w:val="20"/>
          <w:color w:val="auto"/>
        </w:rPr>
      </w:pPr>
    </w:p>
    <w:p>
      <w:pPr>
        <w:ind w:left="260" w:right="160" w:hanging="252"/>
        <w:spacing w:after="0" w:line="259" w:lineRule="auto"/>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Future gross minimum revenues receivable upon collection of hire under non-cancellable time charter agreements for vessels in operation, including a vessel under a finance lease (Note 5), as of June 30, 2016 are as follows (30 off-hire days are assumed when each vessel will undergo scheduled drydocking; in addition early delivery of the vessels by the charterers or any exercise of the charterers’ options to extend the terms of the charters are not accounted for):</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Pr>
          <w:p>
            <w:pPr>
              <w:spacing w:after="0"/>
              <w:rPr>
                <w:sz w:val="20"/>
                <w:szCs w:val="20"/>
                <w:color w:val="auto"/>
              </w:rPr>
            </w:pPr>
          </w:p>
        </w:tc>
        <w:tc>
          <w:tcPr>
            <w:tcW w:w="19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June 30, 2016</w:t>
            </w:r>
          </w:p>
        </w:tc>
      </w:tr>
      <w:tr>
        <w:trPr>
          <w:trHeight w:val="210"/>
        </w:trPr>
        <w:tc>
          <w:tcPr>
            <w:tcW w:w="94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i w:val="1"/>
                <w:iCs w:val="1"/>
                <w:color w:val="auto"/>
              </w:rPr>
              <w:t>Revenues</w:t>
            </w:r>
          </w:p>
        </w:tc>
        <w:tc>
          <w:tcPr>
            <w:tcW w:w="172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Not later than one year</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439,409</w:t>
            </w:r>
          </w:p>
        </w:tc>
      </w:tr>
      <w:tr>
        <w:trPr>
          <w:trHeight w:val="216"/>
        </w:trPr>
        <w:tc>
          <w:tcPr>
            <w:tcW w:w="9480" w:type="dxa"/>
            <w:vAlign w:val="bottom"/>
            <w:shd w:val="clear" w:color="auto" w:fill="E5FFFF"/>
          </w:tcPr>
          <w:p>
            <w:pPr>
              <w:spacing w:after="0"/>
              <w:rPr>
                <w:sz w:val="20"/>
                <w:szCs w:val="20"/>
                <w:color w:val="auto"/>
              </w:rPr>
            </w:pPr>
            <w:r>
              <w:rPr>
                <w:rFonts w:ascii="Arial" w:cs="Arial" w:eastAsia="Arial" w:hAnsi="Arial"/>
                <w:sz w:val="18"/>
                <w:szCs w:val="18"/>
                <w:color w:val="auto"/>
              </w:rPr>
              <w:t>Later than one year and not later than three years</w:t>
            </w:r>
          </w:p>
        </w:tc>
        <w:tc>
          <w:tcPr>
            <w:tcW w:w="19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758,651</w:t>
            </w: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Later than three years and not later than five years</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485,675</w:t>
            </w:r>
          </w:p>
        </w:tc>
      </w:tr>
      <w:tr>
        <w:trPr>
          <w:trHeight w:val="216"/>
        </w:trPr>
        <w:tc>
          <w:tcPr>
            <w:tcW w:w="9480" w:type="dxa"/>
            <w:vAlign w:val="bottom"/>
            <w:shd w:val="clear" w:color="auto" w:fill="E5FFFF"/>
          </w:tcPr>
          <w:p>
            <w:pPr>
              <w:spacing w:after="0"/>
              <w:rPr>
                <w:sz w:val="20"/>
                <w:szCs w:val="20"/>
                <w:color w:val="auto"/>
              </w:rPr>
            </w:pPr>
            <w:r>
              <w:rPr>
                <w:rFonts w:ascii="Arial" w:cs="Arial" w:eastAsia="Arial" w:hAnsi="Arial"/>
                <w:sz w:val="18"/>
                <w:szCs w:val="18"/>
                <w:color w:val="auto"/>
              </w:rPr>
              <w:t>More than five years</w:t>
            </w:r>
          </w:p>
        </w:tc>
        <w:tc>
          <w:tcPr>
            <w:tcW w:w="19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524,316</w:t>
            </w:r>
          </w:p>
        </w:tc>
      </w:tr>
      <w:tr>
        <w:trPr>
          <w:trHeight w:val="210"/>
        </w:trPr>
        <w:tc>
          <w:tcPr>
            <w:tcW w:w="9480" w:type="dxa"/>
            <w:vAlign w:val="bottom"/>
          </w:tcPr>
          <w:p>
            <w:pPr>
              <w:spacing w:after="0"/>
              <w:rPr>
                <w:sz w:val="20"/>
                <w:szCs w:val="20"/>
                <w:color w:val="auto"/>
              </w:rPr>
            </w:pPr>
            <w:r>
              <w:rPr>
                <w:rFonts w:ascii="Arial" w:cs="Arial" w:eastAsia="Arial" w:hAnsi="Arial"/>
                <w:sz w:val="18"/>
                <w:szCs w:val="18"/>
                <w:b w:val="1"/>
                <w:bCs w:val="1"/>
                <w:color w:val="auto"/>
              </w:rPr>
              <w:t>Total future gross minimum charter hire</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2,208,051</w:t>
            </w:r>
          </w:p>
        </w:tc>
        <w:tc>
          <w:tcPr>
            <w:tcW w:w="220" w:type="dxa"/>
            <w:vAlign w:val="bottom"/>
          </w:tcPr>
          <w:p>
            <w:pPr>
              <w:spacing w:after="0"/>
              <w:rPr>
                <w:sz w:val="18"/>
                <w:szCs w:val="18"/>
                <w:color w:val="auto"/>
              </w:rPr>
            </w:pPr>
          </w:p>
        </w:tc>
      </w:tr>
      <w:tr>
        <w:trPr>
          <w:trHeight w:val="20"/>
        </w:trPr>
        <w:tc>
          <w:tcPr>
            <w:tcW w:w="94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Future gross minimum revenues disclosed in the above table exclude the revenues of the vessels that are under construction.</w:t>
      </w:r>
    </w:p>
    <w:p>
      <w:pPr>
        <w:spacing w:after="0" w:line="225" w:lineRule="exact"/>
        <w:rPr>
          <w:sz w:val="20"/>
          <w:szCs w:val="20"/>
          <w:color w:val="auto"/>
        </w:rPr>
      </w:pPr>
    </w:p>
    <w:p>
      <w:pPr>
        <w:ind w:left="260" w:right="120" w:hanging="252"/>
        <w:spacing w:after="0" w:line="259" w:lineRule="auto"/>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Related to the acquisition of six vessels from a subsidiary of BG Group plc. (“BG Group”) in 2014 and another two vessels in 2015, the Group is committed to purchase depot spares from BG Group with an aggregate value of $8,000 of which depot spares with value $660 have been purchased as of June 30, 2016 and are included in Tangible fixed assets (Note 4). The remaining spares should be acquired before the end of the initial term of the charter party agreements.</w:t>
      </w:r>
    </w:p>
    <w:p>
      <w:pPr>
        <w:spacing w:after="0" w:line="186" w:lineRule="exact"/>
        <w:rPr>
          <w:rFonts w:ascii="Arial" w:cs="Arial" w:eastAsia="Arial" w:hAnsi="Arial"/>
          <w:sz w:val="18"/>
          <w:szCs w:val="18"/>
          <w:color w:val="auto"/>
        </w:rPr>
      </w:pPr>
    </w:p>
    <w:p>
      <w:pPr>
        <w:ind w:left="260" w:right="280" w:hanging="252"/>
        <w:spacing w:after="0" w:line="259" w:lineRule="auto"/>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November 2, 2015, following execution of a letter agreement between GasLog and MSL reimbursing MSL the sum of $2,654 for value as of November 1, 2015, adjusted for future value through January 2020 up to $3,801, allowing for the future use of the reimbursement amount against the funding of specific MSL projects, such as costs associated with change orders on LNG newbuildings and or modifications of existing vessels as agreed between the parties. As of June 30, 2016, the outstanding commitment is $2,791.</w:t>
      </w:r>
    </w:p>
    <w:p>
      <w:pPr>
        <w:spacing w:after="0" w:line="186" w:lineRule="exact"/>
        <w:rPr>
          <w:rFonts w:ascii="Arial" w:cs="Arial" w:eastAsia="Arial" w:hAnsi="Arial"/>
          <w:sz w:val="18"/>
          <w:szCs w:val="18"/>
          <w:color w:val="auto"/>
        </w:rPr>
      </w:pPr>
    </w:p>
    <w:p>
      <w:pPr>
        <w:ind w:left="260" w:right="100" w:hanging="252"/>
        <w:spacing w:after="0" w:line="312" w:lineRule="auto"/>
        <w:tabs>
          <w:tab w:leader="none" w:pos="2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On February 26, 2016, in connection with the supplemental deed signed with the lenders of GAS-eight Ltd., GAS-nine Ltd. and GAS-ten Ltd., GasLog entered into two bank guarantees, issued by BNP Paribas S.A. for GAS-nine Ltd. and GAS-ten Ltd. of $21,000 each. The bank guarantees bear interest at a margin and are available for a period of up to two years. On July 26, 2016, the bank guarantees issued by BNP Paribas S.A. were terminated.</w:t>
      </w:r>
    </w:p>
    <w:p>
      <w:pPr>
        <w:spacing w:after="0" w:line="146" w:lineRule="exact"/>
        <w:rPr>
          <w:rFonts w:ascii="Arial" w:cs="Arial" w:eastAsia="Arial" w:hAnsi="Arial"/>
          <w:sz w:val="16"/>
          <w:szCs w:val="16"/>
          <w:color w:val="auto"/>
        </w:rPr>
      </w:pPr>
    </w:p>
    <w:p>
      <w:pPr>
        <w:ind w:left="260" w:right="140" w:hanging="252"/>
        <w:spacing w:after="0" w:line="279" w:lineRule="auto"/>
        <w:tabs>
          <w:tab w:leader="none" w:pos="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 March 30, 2016, GasLog Carriers entered into a consortium agreement with third parties, setting out the terms and conditions under which the parties are prepared to form a joint venture in order to participate collaboratively in a time charter tender. In connection with the above agreement, GasLog Carriers has arranged for the provision of a $1,500 bid security, deposited in a restricted cash collateral account; in the event of the tender holder demanding such amount, GasLog Carriers will be entitled to claim 75% from the remaining participants in the consortium agreement.</w:t>
      </w:r>
    </w:p>
    <w:p>
      <w:pPr>
        <w:spacing w:after="0" w:line="171" w:lineRule="exact"/>
        <w:rPr>
          <w:sz w:val="20"/>
          <w:szCs w:val="20"/>
          <w:color w:val="auto"/>
        </w:rPr>
      </w:pPr>
    </w:p>
    <w:p>
      <w:pPr>
        <w:jc w:val="both"/>
        <w:ind w:left="260" w:right="120"/>
        <w:spacing w:after="0" w:line="279" w:lineRule="auto"/>
        <w:rPr>
          <w:sz w:val="20"/>
          <w:szCs w:val="20"/>
          <w:color w:val="auto"/>
        </w:rPr>
      </w:pPr>
      <w:r>
        <w:rPr>
          <w:rFonts w:ascii="Arial" w:cs="Arial" w:eastAsia="Arial" w:hAnsi="Arial"/>
          <w:sz w:val="17"/>
          <w:szCs w:val="17"/>
          <w:color w:val="auto"/>
        </w:rPr>
        <w:t>On March 30, 2016, in connection with the aforementioned consortium agreement, GasLog Carriers entered into a letter of credit agreement with Credit Agricole Corporate and Investment Bank for an amount of $1,500, bearing interest at a margin and available until December 31, 2016. Pursuant to this, a pledge agreement was also entered into with the aforementioned bank, with GasLog Carriers depositing $1,500 in a cash collateral account. This amount will be held as collateral until expiry of the letter of credit agreement and is thus classified under “Restricted cash”.</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43" w:name="page44"/>
    <w:bookmarkEnd w:id="43"/>
    <w:p>
      <w:pPr>
        <w:ind w:right="180" w:firstLine="436"/>
        <w:spacing w:after="0" w:line="259" w:lineRule="auto"/>
        <w:rPr>
          <w:sz w:val="20"/>
          <w:szCs w:val="20"/>
          <w:color w:val="auto"/>
        </w:rPr>
      </w:pPr>
      <w:r>
        <w:rPr>
          <w:rFonts w:ascii="Arial" w:cs="Arial" w:eastAsia="Arial" w:hAnsi="Arial"/>
          <w:sz w:val="18"/>
          <w:szCs w:val="18"/>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Group’s vessels. Currently, management is not aware of any such claims or contingent liabilities requiring disclosure in the unaudited condensed consolidated financial statements.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12. Derivative Financial Instruments</w:t>
            </w: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60" w:type="dxa"/>
            <w:vAlign w:val="bottom"/>
            <w:gridSpan w:val="2"/>
          </w:tcPr>
          <w:p>
            <w:pPr>
              <w:ind w:left="380"/>
              <w:spacing w:after="0"/>
              <w:rPr>
                <w:sz w:val="20"/>
                <w:szCs w:val="20"/>
                <w:color w:val="auto"/>
              </w:rPr>
            </w:pPr>
            <w:r>
              <w:rPr>
                <w:rFonts w:ascii="Arial" w:cs="Arial" w:eastAsia="Arial" w:hAnsi="Arial"/>
                <w:sz w:val="18"/>
                <w:szCs w:val="18"/>
                <w:color w:val="auto"/>
              </w:rPr>
              <w:t>The fair value of the derivative assets is as follows:</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December 31, 2015</w:t>
            </w:r>
          </w:p>
        </w:tc>
        <w:tc>
          <w:tcPr>
            <w:tcW w:w="130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June 30, 2016</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77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Derivative assets carried at fair value through profit or loss (FVTPL)</w:t>
            </w:r>
          </w:p>
        </w:tc>
        <w:tc>
          <w:tcPr>
            <w:tcW w:w="1500" w:type="dxa"/>
            <w:vAlign w:val="bottom"/>
            <w:tcBorders>
              <w:top w:val="single" w:sz="8" w:color="auto"/>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1280" w:type="dxa"/>
            <w:vAlign w:val="bottom"/>
            <w:tcBorders>
              <w:top w:val="single" w:sz="8" w:color="auto"/>
            </w:tcBorders>
            <w:shd w:val="clear" w:color="auto" w:fill="E5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Interest rate swaps</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61</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77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61</w:t>
            </w:r>
          </w:p>
        </w:tc>
        <w:tc>
          <w:tcPr>
            <w:tcW w:w="80" w:type="dxa"/>
            <w:vAlign w:val="bottom"/>
            <w:tcBorders>
              <w:top w:val="single" w:sz="8" w:color="E5FFFF"/>
              <w:bottom w:val="single" w:sz="8" w:color="E5FFFF"/>
            </w:tcBorders>
            <w:shd w:val="clear" w:color="auto" w:fill="E5FFFF"/>
          </w:tcPr>
          <w:p>
            <w:pPr>
              <w:spacing w:after="0"/>
              <w:rPr>
                <w:sz w:val="18"/>
                <w:szCs w:val="18"/>
                <w:color w:val="auto"/>
              </w:rPr>
            </w:pP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740" w:type="dxa"/>
            <w:vAlign w:val="bottom"/>
            <w:vMerge w:val="restart"/>
          </w:tcPr>
          <w:p>
            <w:pPr>
              <w:spacing w:after="0"/>
              <w:rPr>
                <w:sz w:val="20"/>
                <w:szCs w:val="20"/>
                <w:color w:val="auto"/>
              </w:rPr>
            </w:pPr>
            <w:r>
              <w:rPr>
                <w:rFonts w:ascii="Arial" w:cs="Arial" w:eastAsia="Arial" w:hAnsi="Arial"/>
                <w:sz w:val="18"/>
                <w:szCs w:val="18"/>
                <w:color w:val="auto"/>
              </w:rPr>
              <w:t>Derivative financial instruments, non-current asset</w:t>
            </w:r>
          </w:p>
        </w:tc>
        <w:tc>
          <w:tcPr>
            <w:tcW w:w="15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 w:type="dxa"/>
            <w:vAlign w:val="bottom"/>
          </w:tcPr>
          <w:p>
            <w:pPr>
              <w:spacing w:after="0"/>
              <w:rPr>
                <w:sz w:val="17"/>
                <w:szCs w:val="17"/>
                <w:color w:val="auto"/>
              </w:rPr>
            </w:pPr>
          </w:p>
        </w:tc>
        <w:tc>
          <w:tcPr>
            <w:tcW w:w="7740" w:type="dxa"/>
            <w:vAlign w:val="bottom"/>
            <w:tcBorders>
              <w:bottom w:val="single" w:sz="8" w:color="E5FFFF"/>
            </w:tcBorders>
            <w:vMerge w:val="continue"/>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w:t>
            </w:r>
          </w:p>
        </w:tc>
        <w:tc>
          <w:tcPr>
            <w:tcW w:w="80" w:type="dxa"/>
            <w:vAlign w:val="bottom"/>
            <w:tcBorders>
              <w:bottom w:val="single" w:sz="8" w:color="E5FFFF"/>
            </w:tcBorders>
            <w:vMerge w:val="continue"/>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77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61</w:t>
            </w:r>
          </w:p>
        </w:tc>
        <w:tc>
          <w:tcPr>
            <w:tcW w:w="80" w:type="dxa"/>
            <w:vAlign w:val="bottom"/>
            <w:tcBorders>
              <w:bottom w:val="single" w:sz="8" w:color="E5FFFF"/>
            </w:tcBorders>
            <w:shd w:val="clear" w:color="auto" w:fill="E5FFFF"/>
          </w:tcPr>
          <w:p>
            <w:pPr>
              <w:spacing w:after="0"/>
              <w:rPr>
                <w:sz w:val="18"/>
                <w:szCs w:val="18"/>
                <w:color w:val="auto"/>
              </w:rPr>
            </w:pPr>
          </w:p>
        </w:tc>
        <w:tc>
          <w:tcPr>
            <w:tcW w:w="12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ind w:left="340"/>
              <w:spacing w:after="0"/>
              <w:rPr>
                <w:sz w:val="20"/>
                <w:szCs w:val="20"/>
                <w:color w:val="auto"/>
              </w:rPr>
            </w:pPr>
            <w:r>
              <w:rPr>
                <w:rFonts w:ascii="Arial" w:cs="Arial" w:eastAsia="Arial" w:hAnsi="Arial"/>
                <w:sz w:val="18"/>
                <w:szCs w:val="18"/>
                <w:color w:val="auto"/>
              </w:rPr>
              <w:t>The fair value of the derivative liabilities is as follows:</w:t>
            </w: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60" w:type="dxa"/>
            <w:vAlign w:val="bottom"/>
            <w:gridSpan w:val="2"/>
            <w:vMerge w:val="continue"/>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December 31, 2015</w:t>
            </w:r>
          </w:p>
        </w:tc>
        <w:tc>
          <w:tcPr>
            <w:tcW w:w="130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June 30, 2016</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77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Derivative liabilities designated and effective as hedging instruments carried at fair value</w:t>
            </w:r>
          </w:p>
        </w:tc>
        <w:tc>
          <w:tcPr>
            <w:tcW w:w="1500" w:type="dxa"/>
            <w:vAlign w:val="bottom"/>
            <w:tcBorders>
              <w:top w:val="single" w:sz="8" w:color="auto"/>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1280" w:type="dxa"/>
            <w:vAlign w:val="bottom"/>
            <w:tcBorders>
              <w:top w:val="single" w:sz="8" w:color="auto"/>
            </w:tcBorders>
            <w:shd w:val="clear" w:color="auto" w:fill="E5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Interest rate swaps</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8,410</w:t>
            </w:r>
          </w:p>
        </w:tc>
        <w:tc>
          <w:tcPr>
            <w:tcW w:w="1280" w:type="dxa"/>
            <w:vAlign w:val="bottom"/>
          </w:tcPr>
          <w:p>
            <w:pPr>
              <w:jc w:val="right"/>
              <w:spacing w:after="0"/>
              <w:rPr>
                <w:sz w:val="20"/>
                <w:szCs w:val="20"/>
                <w:color w:val="auto"/>
              </w:rPr>
            </w:pPr>
            <w:r>
              <w:rPr>
                <w:rFonts w:ascii="Arial" w:cs="Arial" w:eastAsia="Arial" w:hAnsi="Arial"/>
                <w:sz w:val="18"/>
                <w:szCs w:val="18"/>
                <w:color w:val="auto"/>
              </w:rPr>
              <w:t>14,255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740" w:type="dxa"/>
            <w:vAlign w:val="bottom"/>
            <w:shd w:val="clear" w:color="auto" w:fill="E5FFFF"/>
          </w:tcPr>
          <w:p>
            <w:pPr>
              <w:spacing w:after="0"/>
              <w:rPr>
                <w:sz w:val="20"/>
                <w:szCs w:val="20"/>
                <w:color w:val="auto"/>
              </w:rPr>
            </w:pPr>
            <w:r>
              <w:rPr>
                <w:rFonts w:ascii="Arial" w:cs="Arial" w:eastAsia="Arial" w:hAnsi="Arial"/>
                <w:sz w:val="18"/>
                <w:szCs w:val="18"/>
                <w:color w:val="auto"/>
              </w:rPr>
              <w:t>Cross currency swaps</w:t>
            </w:r>
          </w:p>
        </w:tc>
        <w:tc>
          <w:tcPr>
            <w:tcW w:w="158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56,152</w:t>
            </w:r>
          </w:p>
        </w:tc>
        <w:tc>
          <w:tcPr>
            <w:tcW w:w="12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22,875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b w:val="1"/>
                <w:bCs w:val="1"/>
                <w:color w:val="auto"/>
              </w:rPr>
              <w:t>Derivative liabilities carried at fair value through profit or loss (FVTPL)</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740" w:type="dxa"/>
            <w:vAlign w:val="bottom"/>
            <w:shd w:val="clear" w:color="auto" w:fill="E5FFFF"/>
          </w:tcPr>
          <w:p>
            <w:pPr>
              <w:spacing w:after="0"/>
              <w:rPr>
                <w:sz w:val="20"/>
                <w:szCs w:val="20"/>
                <w:color w:val="auto"/>
              </w:rPr>
            </w:pPr>
            <w:r>
              <w:rPr>
                <w:rFonts w:ascii="Arial" w:cs="Arial" w:eastAsia="Arial" w:hAnsi="Arial"/>
                <w:sz w:val="18"/>
                <w:szCs w:val="18"/>
                <w:color w:val="auto"/>
              </w:rPr>
              <w:t>Interest rate swaps</w:t>
            </w:r>
          </w:p>
        </w:tc>
        <w:tc>
          <w:tcPr>
            <w:tcW w:w="158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8,212</w:t>
            </w:r>
          </w:p>
        </w:tc>
        <w:tc>
          <w:tcPr>
            <w:tcW w:w="12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17,660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774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72,774</w:t>
            </w:r>
          </w:p>
        </w:tc>
        <w:tc>
          <w:tcPr>
            <w:tcW w:w="80" w:type="dxa"/>
            <w:vAlign w:val="bottom"/>
            <w:tcBorders>
              <w:bottom w:val="single" w:sz="8" w:color="E5FFFF"/>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54,790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20" w:type="dxa"/>
            <w:vAlign w:val="bottom"/>
          </w:tcPr>
          <w:p>
            <w:pPr>
              <w:spacing w:after="0"/>
              <w:rPr>
                <w:sz w:val="17"/>
                <w:szCs w:val="17"/>
                <w:color w:val="auto"/>
              </w:rPr>
            </w:pPr>
          </w:p>
        </w:tc>
        <w:tc>
          <w:tcPr>
            <w:tcW w:w="774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Derivative financial instruments, current liability</w:t>
            </w:r>
          </w:p>
        </w:tc>
        <w:tc>
          <w:tcPr>
            <w:tcW w:w="15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14,243</w:t>
            </w:r>
          </w:p>
        </w:tc>
        <w:tc>
          <w:tcPr>
            <w:tcW w:w="80" w:type="dxa"/>
            <w:vAlign w:val="bottom"/>
            <w:shd w:val="clear" w:color="auto" w:fill="E5FFFF"/>
          </w:tcPr>
          <w:p>
            <w:pPr>
              <w:spacing w:after="0"/>
              <w:rPr>
                <w:sz w:val="17"/>
                <w:szCs w:val="17"/>
                <w:color w:val="auto"/>
              </w:rPr>
            </w:pPr>
          </w:p>
        </w:tc>
        <w:tc>
          <w:tcPr>
            <w:tcW w:w="12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13,911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Derivative financial instruments, non-current liability</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58,531</w:t>
            </w:r>
          </w:p>
        </w:tc>
        <w:tc>
          <w:tcPr>
            <w:tcW w:w="1280" w:type="dxa"/>
            <w:vAlign w:val="bottom"/>
          </w:tcPr>
          <w:p>
            <w:pPr>
              <w:jc w:val="right"/>
              <w:spacing w:after="0"/>
              <w:rPr>
                <w:sz w:val="20"/>
                <w:szCs w:val="20"/>
                <w:color w:val="auto"/>
              </w:rPr>
            </w:pPr>
            <w:r>
              <w:rPr>
                <w:rFonts w:ascii="Arial" w:cs="Arial" w:eastAsia="Arial" w:hAnsi="Arial"/>
                <w:sz w:val="18"/>
                <w:szCs w:val="18"/>
                <w:color w:val="auto"/>
              </w:rPr>
              <w:t>40,879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77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72,774</w:t>
            </w:r>
          </w:p>
        </w:tc>
        <w:tc>
          <w:tcPr>
            <w:tcW w:w="80" w:type="dxa"/>
            <w:vAlign w:val="bottom"/>
            <w:tcBorders>
              <w:top w:val="single" w:sz="8" w:color="E5FFFF"/>
              <w:bottom w:val="single" w:sz="8" w:color="E5FFFF"/>
            </w:tcBorders>
            <w:shd w:val="clear" w:color="auto" w:fill="E5FFFF"/>
          </w:tcPr>
          <w:p>
            <w:pPr>
              <w:spacing w:after="0"/>
              <w:rPr>
                <w:sz w:val="18"/>
                <w:szCs w:val="18"/>
                <w:color w:val="auto"/>
              </w:rPr>
            </w:pP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54,790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 agreements</w:t>
      </w:r>
    </w:p>
    <w:p>
      <w:pPr>
        <w:spacing w:after="0" w:line="229" w:lineRule="exact"/>
        <w:rPr>
          <w:sz w:val="20"/>
          <w:szCs w:val="20"/>
          <w:color w:val="auto"/>
        </w:rPr>
      </w:pPr>
    </w:p>
    <w:p>
      <w:pPr>
        <w:ind w:right="60" w:firstLine="356"/>
        <w:spacing w:after="0" w:line="259" w:lineRule="auto"/>
        <w:rPr>
          <w:sz w:val="20"/>
          <w:szCs w:val="20"/>
          <w:color w:val="auto"/>
        </w:rPr>
      </w:pPr>
      <w:r>
        <w:rPr>
          <w:rFonts w:ascii="Arial" w:cs="Arial" w:eastAsia="Arial" w:hAnsi="Arial"/>
          <w:sz w:val="18"/>
          <w:szCs w:val="18"/>
          <w:color w:val="auto"/>
        </w:rPr>
        <w:t>The Group enters into interest rate swap agreements which convert the floating interest rate exposure into a fixed interest rate in order to hedge a portion of the Group’s exposure to fluctuations in prevailing market interest rates. Under the interest rate swaps, the bank counterparties effect quarterly floating-rate payments to the Group for the notional amounts based on the three-month U.S. dollar LIBOR, and the Group effects quarterly payments to the banks on the notional amounts at the respective fixed rates.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 designated as cash flow hedging instruments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terms of the interest rate swaps designated as cash flow hedging instruments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3"/>
              </w:rPr>
              <w:t>Fixed</w:t>
            </w:r>
          </w:p>
        </w:tc>
        <w:tc>
          <w:tcPr>
            <w:tcW w:w="304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Notional Amount</w:t>
            </w:r>
          </w:p>
        </w:tc>
        <w:tc>
          <w:tcPr>
            <w:tcW w:w="0" w:type="dxa"/>
            <w:vAlign w:val="bottom"/>
          </w:tcPr>
          <w:p>
            <w:pPr>
              <w:spacing w:after="0"/>
              <w:rPr>
                <w:sz w:val="1"/>
                <w:szCs w:val="1"/>
                <w:color w:val="auto"/>
              </w:rPr>
            </w:pPr>
          </w:p>
        </w:tc>
      </w:tr>
      <w:tr>
        <w:trPr>
          <w:trHeight w:val="178"/>
        </w:trPr>
        <w:tc>
          <w:tcPr>
            <w:tcW w:w="1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Trade</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Effective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Termination</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Interest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Subsidiary</w:t>
            </w:r>
          </w:p>
        </w:tc>
        <w:tc>
          <w:tcPr>
            <w:tcW w:w="120" w:type="dxa"/>
            <w:vAlign w:val="bottom"/>
          </w:tcPr>
          <w:p>
            <w:pPr>
              <w:spacing w:after="0"/>
              <w:rPr>
                <w:sz w:val="20"/>
                <w:szCs w:val="20"/>
                <w:color w:val="auto"/>
              </w:rPr>
            </w:pPr>
          </w:p>
        </w:tc>
        <w:tc>
          <w:tcPr>
            <w:tcW w:w="1680" w:type="dxa"/>
            <w:vAlign w:val="bottom"/>
            <w:gridSpan w:val="2"/>
          </w:tcPr>
          <w:p>
            <w:pPr>
              <w:ind w:left="260"/>
              <w:spacing w:after="0"/>
              <w:rPr>
                <w:sz w:val="20"/>
                <w:szCs w:val="20"/>
                <w:color w:val="auto"/>
              </w:rPr>
            </w:pPr>
            <w:r>
              <w:rPr>
                <w:rFonts w:ascii="Arial" w:cs="Arial" w:eastAsia="Arial" w:hAnsi="Arial"/>
                <w:sz w:val="18"/>
                <w:szCs w:val="18"/>
                <w:b w:val="1"/>
                <w:bCs w:val="1"/>
                <w:color w:val="auto"/>
              </w:rPr>
              <w:t>Counterparty</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Rate</w:t>
            </w:r>
          </w:p>
        </w:tc>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December 31, 2015</w:t>
            </w:r>
          </w:p>
        </w:tc>
        <w:tc>
          <w:tcPr>
            <w:tcW w:w="1460" w:type="dxa"/>
            <w:vAlign w:val="bottom"/>
          </w:tcPr>
          <w:p>
            <w:pPr>
              <w:jc w:val="right"/>
              <w:ind w:right="110"/>
              <w:spacing w:after="0"/>
              <w:rPr>
                <w:sz w:val="20"/>
                <w:szCs w:val="20"/>
                <w:color w:val="auto"/>
              </w:rPr>
            </w:pPr>
            <w:r>
              <w:rPr>
                <w:rFonts w:ascii="Arial" w:cs="Arial" w:eastAsia="Arial" w:hAnsi="Arial"/>
                <w:sz w:val="18"/>
                <w:szCs w:val="18"/>
                <w:b w:val="1"/>
                <w:bCs w:val="1"/>
                <w:color w:val="auto"/>
              </w:rPr>
              <w:t>June 30, 2016</w:t>
            </w:r>
          </w:p>
        </w:tc>
        <w:tc>
          <w:tcPr>
            <w:tcW w:w="0" w:type="dxa"/>
            <w:vAlign w:val="bottom"/>
          </w:tcPr>
          <w:p>
            <w:pPr>
              <w:spacing w:after="0"/>
              <w:rPr>
                <w:sz w:val="1"/>
                <w:szCs w:val="1"/>
                <w:color w:val="auto"/>
              </w:rPr>
            </w:pPr>
          </w:p>
        </w:tc>
      </w:tr>
      <w:tr>
        <w:trPr>
          <w:trHeight w:val="210"/>
        </w:trPr>
        <w:tc>
          <w:tcPr>
            <w:tcW w:w="2000" w:type="dxa"/>
            <w:vAlign w:val="bottom"/>
            <w:tcBorders>
              <w:top w:val="single" w:sz="8" w:color="auto"/>
            </w:tcBorders>
            <w:gridSpan w:val="2"/>
            <w:shd w:val="clear" w:color="auto" w:fill="E5FFFF"/>
          </w:tcPr>
          <w:p>
            <w:pPr>
              <w:spacing w:after="0"/>
              <w:rPr>
                <w:sz w:val="20"/>
                <w:szCs w:val="20"/>
                <w:color w:val="auto"/>
              </w:rPr>
            </w:pPr>
            <w:r>
              <w:rPr>
                <w:rFonts w:ascii="Arial" w:cs="Arial" w:eastAsia="Arial" w:hAnsi="Arial"/>
                <w:sz w:val="18"/>
                <w:szCs w:val="18"/>
                <w:color w:val="auto"/>
              </w:rPr>
              <w:t>GAS-six Ltd.</w:t>
            </w:r>
          </w:p>
        </w:tc>
        <w:tc>
          <w:tcPr>
            <w:tcW w:w="120" w:type="dxa"/>
            <w:vAlign w:val="bottom"/>
            <w:tcBorders>
              <w:top w:val="single" w:sz="8" w:color="E5FFFF"/>
            </w:tcBorders>
            <w:shd w:val="clear" w:color="auto" w:fill="E5FFFF"/>
          </w:tcPr>
          <w:p>
            <w:pPr>
              <w:spacing w:after="0"/>
              <w:rPr>
                <w:sz w:val="18"/>
                <w:szCs w:val="18"/>
                <w:color w:val="auto"/>
              </w:rPr>
            </w:pPr>
          </w:p>
        </w:tc>
        <w:tc>
          <w:tcPr>
            <w:tcW w:w="158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color w:val="auto"/>
                <w:w w:val="92"/>
              </w:rPr>
              <w:t>Nordea Bank Finland</w:t>
            </w:r>
          </w:p>
        </w:tc>
        <w:tc>
          <w:tcPr>
            <w:tcW w:w="100" w:type="dxa"/>
            <w:vAlign w:val="bottom"/>
            <w:tcBorders>
              <w:top w:val="single" w:sz="8" w:color="E5FFFF"/>
            </w:tcBorders>
            <w:shd w:val="clear" w:color="auto" w:fill="E5FFFF"/>
          </w:tcPr>
          <w:p>
            <w:pPr>
              <w:spacing w:after="0"/>
              <w:rPr>
                <w:sz w:val="18"/>
                <w:szCs w:val="18"/>
                <w:color w:val="auto"/>
              </w:rPr>
            </w:pPr>
          </w:p>
        </w:tc>
        <w:tc>
          <w:tcPr>
            <w:tcW w:w="9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0"/>
              </w:rPr>
              <w:t>Nov 2011</w:t>
            </w:r>
          </w:p>
        </w:tc>
        <w:tc>
          <w:tcPr>
            <w:tcW w:w="100" w:type="dxa"/>
            <w:vAlign w:val="bottom"/>
            <w:tcBorders>
              <w:top w:val="single" w:sz="8" w:color="E5FFFF"/>
            </w:tcBorders>
            <w:shd w:val="clear" w:color="auto" w:fill="E5FFFF"/>
          </w:tcPr>
          <w:p>
            <w:pPr>
              <w:spacing w:after="0"/>
              <w:rPr>
                <w:sz w:val="18"/>
                <w:szCs w:val="18"/>
                <w:color w:val="auto"/>
              </w:rPr>
            </w:pPr>
          </w:p>
        </w:tc>
        <w:tc>
          <w:tcPr>
            <w:tcW w:w="10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0"/>
              </w:rPr>
              <w:t>July 2013</w:t>
            </w:r>
          </w:p>
        </w:tc>
        <w:tc>
          <w:tcPr>
            <w:tcW w:w="12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3"/>
              </w:rPr>
              <w:t>July 2018</w:t>
            </w:r>
          </w:p>
        </w:tc>
        <w:tc>
          <w:tcPr>
            <w:tcW w:w="100" w:type="dxa"/>
            <w:vAlign w:val="bottom"/>
            <w:tcBorders>
              <w:top w:val="single" w:sz="8" w:color="E5FFFF"/>
            </w:tcBorders>
            <w:shd w:val="clear" w:color="auto" w:fill="E5FFFF"/>
          </w:tcPr>
          <w:p>
            <w:pPr>
              <w:spacing w:after="0"/>
              <w:rPr>
                <w:sz w:val="18"/>
                <w:szCs w:val="18"/>
                <w:color w:val="auto"/>
              </w:rPr>
            </w:pPr>
          </w:p>
        </w:tc>
        <w:tc>
          <w:tcPr>
            <w:tcW w:w="10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3"/>
              </w:rPr>
              <w:t>2.04%</w:t>
            </w:r>
          </w:p>
        </w:tc>
        <w:tc>
          <w:tcPr>
            <w:tcW w:w="10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65,074</w:t>
            </w:r>
          </w:p>
        </w:tc>
        <w:tc>
          <w:tcPr>
            <w:tcW w:w="100" w:type="dxa"/>
            <w:vAlign w:val="bottom"/>
            <w:tcBorders>
              <w:top w:val="single" w:sz="8" w:color="E5FFFF"/>
            </w:tcBorders>
            <w:shd w:val="clear" w:color="auto" w:fill="E5FFFF"/>
          </w:tcPr>
          <w:p>
            <w:pPr>
              <w:spacing w:after="0"/>
              <w:rPr>
                <w:sz w:val="18"/>
                <w:szCs w:val="18"/>
                <w:color w:val="auto"/>
              </w:rPr>
            </w:pPr>
          </w:p>
        </w:tc>
        <w:tc>
          <w:tcPr>
            <w:tcW w:w="14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62,868</w:t>
            </w:r>
          </w:p>
        </w:tc>
        <w:tc>
          <w:tcPr>
            <w:tcW w:w="0" w:type="dxa"/>
            <w:vAlign w:val="bottom"/>
          </w:tcPr>
          <w:p>
            <w:pPr>
              <w:spacing w:after="0"/>
              <w:rPr>
                <w:sz w:val="1"/>
                <w:szCs w:val="1"/>
                <w:color w:val="auto"/>
              </w:rPr>
            </w:pPr>
          </w:p>
        </w:tc>
      </w:tr>
      <w:tr>
        <w:trPr>
          <w:trHeight w:val="257"/>
        </w:trPr>
        <w:tc>
          <w:tcPr>
            <w:tcW w:w="2000" w:type="dxa"/>
            <w:vAlign w:val="bottom"/>
            <w:gridSpan w:val="2"/>
          </w:tcPr>
          <w:p>
            <w:pPr>
              <w:spacing w:after="0"/>
              <w:rPr>
                <w:sz w:val="20"/>
                <w:szCs w:val="20"/>
                <w:color w:val="auto"/>
              </w:rPr>
            </w:pPr>
            <w:r>
              <w:rPr>
                <w:rFonts w:ascii="Arial" w:cs="Arial" w:eastAsia="Arial" w:hAnsi="Arial"/>
                <w:sz w:val="18"/>
                <w:szCs w:val="18"/>
                <w:color w:val="auto"/>
              </w:rPr>
              <w:t>GAS-nine Ltd.</w:t>
            </w:r>
          </w:p>
        </w:tc>
        <w:tc>
          <w:tcPr>
            <w:tcW w:w="1800" w:type="dxa"/>
            <w:vAlign w:val="bottom"/>
            <w:gridSpan w:val="3"/>
          </w:tcPr>
          <w:p>
            <w:pPr>
              <w:ind w:left="120"/>
              <w:spacing w:after="0" w:line="256" w:lineRule="exact"/>
              <w:rPr>
                <w:sz w:val="20"/>
                <w:szCs w:val="20"/>
                <w:color w:val="auto"/>
              </w:rPr>
            </w:pPr>
            <w:r>
              <w:rPr>
                <w:rFonts w:ascii="Arial" w:cs="Arial" w:eastAsia="Arial" w:hAnsi="Arial"/>
                <w:sz w:val="18"/>
                <w:szCs w:val="18"/>
                <w:color w:val="auto"/>
              </w:rPr>
              <w:t>CBA</w:t>
            </w:r>
            <w:r>
              <w:rPr>
                <w:rFonts w:ascii="Arial" w:cs="Arial" w:eastAsia="Arial" w:hAnsi="Arial"/>
                <w:sz w:val="29"/>
                <w:szCs w:val="29"/>
                <w:color w:val="auto"/>
                <w:vertAlign w:val="superscript"/>
              </w:rPr>
              <w:t>(1)</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April 2014</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Dec 2014</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Dec 2019</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2.23%</w:t>
            </w:r>
          </w:p>
        </w:tc>
        <w:tc>
          <w:tcPr>
            <w:tcW w:w="100" w:type="dxa"/>
            <w:vAlign w:val="bottom"/>
          </w:tcPr>
          <w:p>
            <w:pPr>
              <w:spacing w:after="0"/>
              <w:rPr>
                <w:sz w:val="22"/>
                <w:szCs w:val="22"/>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59,024</w:t>
            </w:r>
          </w:p>
        </w:tc>
        <w:tc>
          <w:tcPr>
            <w:tcW w:w="1460" w:type="dxa"/>
            <w:vAlign w:val="bottom"/>
          </w:tcPr>
          <w:p>
            <w:pPr>
              <w:jc w:val="right"/>
              <w:spacing w:after="0"/>
              <w:rPr>
                <w:sz w:val="20"/>
                <w:szCs w:val="20"/>
                <w:color w:val="auto"/>
              </w:rPr>
            </w:pPr>
            <w:r>
              <w:rPr>
                <w:rFonts w:ascii="Arial" w:cs="Arial" w:eastAsia="Arial" w:hAnsi="Arial"/>
                <w:sz w:val="18"/>
                <w:szCs w:val="18"/>
                <w:color w:val="auto"/>
              </w:rPr>
              <w:t>57,286</w:t>
            </w: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GAS-nine Ltd.</w:t>
            </w:r>
          </w:p>
        </w:tc>
        <w:tc>
          <w:tcPr>
            <w:tcW w:w="180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DNB Bank ASA</w:t>
            </w:r>
          </w:p>
        </w:tc>
        <w:tc>
          <w:tcPr>
            <w:tcW w:w="100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6"/>
              </w:rPr>
              <w:t>April 2014</w:t>
            </w:r>
          </w:p>
        </w:tc>
        <w:tc>
          <w:tcPr>
            <w:tcW w:w="11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0"/>
              </w:rPr>
              <w:t>Dec 2014</w:t>
            </w:r>
          </w:p>
        </w:tc>
        <w:tc>
          <w:tcPr>
            <w:tcW w:w="13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8"/>
              </w:rPr>
              <w:t>Dec 2019</w:t>
            </w:r>
          </w:p>
        </w:tc>
        <w:tc>
          <w:tcPr>
            <w:tcW w:w="10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3"/>
              </w:rPr>
              <w:t>2.24%</w:t>
            </w:r>
          </w:p>
        </w:tc>
        <w:tc>
          <w:tcPr>
            <w:tcW w:w="10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59,024</w:t>
            </w:r>
          </w:p>
        </w:tc>
        <w:tc>
          <w:tcPr>
            <w:tcW w:w="14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57,286</w:t>
            </w:r>
          </w:p>
        </w:tc>
        <w:tc>
          <w:tcPr>
            <w:tcW w:w="0" w:type="dxa"/>
            <w:vAlign w:val="bottom"/>
          </w:tcPr>
          <w:p>
            <w:pPr>
              <w:spacing w:after="0"/>
              <w:rPr>
                <w:sz w:val="1"/>
                <w:szCs w:val="1"/>
                <w:color w:val="auto"/>
              </w:rPr>
            </w:pPr>
          </w:p>
        </w:tc>
      </w:tr>
      <w:tr>
        <w:trPr>
          <w:trHeight w:val="257"/>
        </w:trPr>
        <w:tc>
          <w:tcPr>
            <w:tcW w:w="2000" w:type="dxa"/>
            <w:vAlign w:val="bottom"/>
            <w:gridSpan w:val="2"/>
          </w:tcPr>
          <w:p>
            <w:pPr>
              <w:spacing w:after="0"/>
              <w:rPr>
                <w:sz w:val="20"/>
                <w:szCs w:val="20"/>
                <w:color w:val="auto"/>
              </w:rPr>
            </w:pPr>
            <w:r>
              <w:rPr>
                <w:rFonts w:ascii="Arial" w:cs="Arial" w:eastAsia="Arial" w:hAnsi="Arial"/>
                <w:sz w:val="18"/>
                <w:szCs w:val="18"/>
                <w:color w:val="auto"/>
              </w:rPr>
              <w:t>GAS-ten Ltd.</w:t>
            </w:r>
          </w:p>
        </w:tc>
        <w:tc>
          <w:tcPr>
            <w:tcW w:w="1800" w:type="dxa"/>
            <w:vAlign w:val="bottom"/>
            <w:gridSpan w:val="3"/>
          </w:tcPr>
          <w:p>
            <w:pPr>
              <w:ind w:left="120"/>
              <w:spacing w:after="0" w:line="256" w:lineRule="exact"/>
              <w:rPr>
                <w:sz w:val="20"/>
                <w:szCs w:val="20"/>
                <w:color w:val="auto"/>
              </w:rPr>
            </w:pPr>
            <w:r>
              <w:rPr>
                <w:rFonts w:ascii="Arial" w:cs="Arial" w:eastAsia="Arial" w:hAnsi="Arial"/>
                <w:sz w:val="18"/>
                <w:szCs w:val="18"/>
                <w:color w:val="auto"/>
              </w:rPr>
              <w:t>SEB</w:t>
            </w:r>
            <w:r>
              <w:rPr>
                <w:rFonts w:ascii="Arial" w:cs="Arial" w:eastAsia="Arial" w:hAnsi="Arial"/>
                <w:sz w:val="29"/>
                <w:szCs w:val="29"/>
                <w:color w:val="auto"/>
                <w:vertAlign w:val="superscript"/>
              </w:rPr>
              <w:t>(2)</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April 2014</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 2015</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 2020</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2.25%</w:t>
            </w:r>
          </w:p>
        </w:tc>
        <w:tc>
          <w:tcPr>
            <w:tcW w:w="100" w:type="dxa"/>
            <w:vAlign w:val="bottom"/>
          </w:tcPr>
          <w:p>
            <w:pPr>
              <w:spacing w:after="0"/>
              <w:rPr>
                <w:sz w:val="22"/>
                <w:szCs w:val="22"/>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59,893</w:t>
            </w:r>
          </w:p>
        </w:tc>
        <w:tc>
          <w:tcPr>
            <w:tcW w:w="1460" w:type="dxa"/>
            <w:vAlign w:val="bottom"/>
          </w:tcPr>
          <w:p>
            <w:pPr>
              <w:jc w:val="right"/>
              <w:spacing w:after="0"/>
              <w:rPr>
                <w:sz w:val="20"/>
                <w:szCs w:val="20"/>
                <w:color w:val="auto"/>
              </w:rPr>
            </w:pPr>
            <w:r>
              <w:rPr>
                <w:rFonts w:ascii="Arial" w:cs="Arial" w:eastAsia="Arial" w:hAnsi="Arial"/>
                <w:sz w:val="18"/>
                <w:szCs w:val="18"/>
                <w:color w:val="auto"/>
              </w:rPr>
              <w:t>58,155</w:t>
            </w: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GAS-ten Ltd.</w:t>
            </w:r>
          </w:p>
        </w:tc>
        <w:tc>
          <w:tcPr>
            <w:tcW w:w="180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ING Bank N.V.</w:t>
            </w:r>
          </w:p>
        </w:tc>
        <w:tc>
          <w:tcPr>
            <w:tcW w:w="100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3"/>
              </w:rPr>
              <w:t>May 2014</w:t>
            </w: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9"/>
              </w:rPr>
              <w:t>Feb 2015</w:t>
            </w:r>
          </w:p>
        </w:tc>
        <w:tc>
          <w:tcPr>
            <w:tcW w:w="13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9"/>
              </w:rPr>
              <w:t>Feb 2020</w:t>
            </w:r>
          </w:p>
        </w:tc>
        <w:tc>
          <w:tcPr>
            <w:tcW w:w="10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3"/>
              </w:rPr>
              <w:t>2.23%</w:t>
            </w:r>
          </w:p>
        </w:tc>
        <w:tc>
          <w:tcPr>
            <w:tcW w:w="10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59,893</w:t>
            </w:r>
          </w:p>
        </w:tc>
        <w:tc>
          <w:tcPr>
            <w:tcW w:w="14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58,155</w:t>
            </w:r>
          </w:p>
        </w:tc>
        <w:tc>
          <w:tcPr>
            <w:tcW w:w="0" w:type="dxa"/>
            <w:vAlign w:val="bottom"/>
          </w:tcPr>
          <w:p>
            <w:pPr>
              <w:spacing w:after="0"/>
              <w:rPr>
                <w:sz w:val="1"/>
                <w:szCs w:val="1"/>
                <w:color w:val="auto"/>
              </w:rPr>
            </w:pPr>
          </w:p>
        </w:tc>
      </w:tr>
      <w:tr>
        <w:trPr>
          <w:trHeight w:val="257"/>
        </w:trPr>
        <w:tc>
          <w:tcPr>
            <w:tcW w:w="2000" w:type="dxa"/>
            <w:vAlign w:val="bottom"/>
            <w:gridSpan w:val="2"/>
          </w:tcPr>
          <w:p>
            <w:pPr>
              <w:spacing w:after="0" w:line="256" w:lineRule="exact"/>
              <w:rPr>
                <w:sz w:val="20"/>
                <w:szCs w:val="20"/>
                <w:color w:val="auto"/>
              </w:rPr>
            </w:pPr>
            <w:r>
              <w:rPr>
                <w:rFonts w:ascii="Arial" w:cs="Arial" w:eastAsia="Arial" w:hAnsi="Arial"/>
                <w:sz w:val="18"/>
                <w:szCs w:val="18"/>
                <w:color w:val="auto"/>
              </w:rPr>
              <w:t>GAS-fifteen Ltd.</w:t>
            </w:r>
            <w:r>
              <w:rPr>
                <w:rFonts w:ascii="Arial" w:cs="Arial" w:eastAsia="Arial" w:hAnsi="Arial"/>
                <w:sz w:val="29"/>
                <w:szCs w:val="29"/>
                <w:color w:val="auto"/>
                <w:vertAlign w:val="superscript"/>
              </w:rPr>
              <w:t>(3)</w:t>
            </w:r>
          </w:p>
        </w:tc>
        <w:tc>
          <w:tcPr>
            <w:tcW w:w="1800" w:type="dxa"/>
            <w:vAlign w:val="bottom"/>
            <w:gridSpan w:val="3"/>
          </w:tcPr>
          <w:p>
            <w:pPr>
              <w:ind w:left="120"/>
              <w:spacing w:after="0"/>
              <w:rPr>
                <w:sz w:val="20"/>
                <w:szCs w:val="20"/>
                <w:color w:val="auto"/>
              </w:rPr>
            </w:pPr>
            <w:r>
              <w:rPr>
                <w:rFonts w:ascii="Arial" w:cs="Arial" w:eastAsia="Arial" w:hAnsi="Arial"/>
                <w:sz w:val="18"/>
                <w:szCs w:val="18"/>
                <w:color w:val="auto"/>
              </w:rPr>
              <w:t>Citibank</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2014</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Sept 2014</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Sept 2018</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0.</w:t>
            </w:r>
            <w:r>
              <w:rPr>
                <w:rFonts w:ascii="Arial" w:cs="Arial" w:eastAsia="Arial" w:hAnsi="Arial"/>
                <w:sz w:val="18"/>
                <w:szCs w:val="18"/>
                <w:u w:val="single" w:color="auto"/>
                <w:color w:val="auto"/>
                <w:w w:val="91"/>
              </w:rPr>
              <w:t>66%/2.89%</w:t>
            </w:r>
          </w:p>
        </w:tc>
        <w:tc>
          <w:tcPr>
            <w:tcW w:w="100" w:type="dxa"/>
            <w:vAlign w:val="bottom"/>
          </w:tcPr>
          <w:p>
            <w:pPr>
              <w:spacing w:after="0"/>
              <w:rPr>
                <w:sz w:val="22"/>
                <w:szCs w:val="22"/>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86,660</w:t>
            </w:r>
          </w:p>
        </w:tc>
        <w:tc>
          <w:tcPr>
            <w:tcW w:w="1460" w:type="dxa"/>
            <w:vAlign w:val="bottom"/>
          </w:tcPr>
          <w:p>
            <w:pPr>
              <w:jc w:val="right"/>
              <w:spacing w:after="0"/>
              <w:rPr>
                <w:sz w:val="20"/>
                <w:szCs w:val="20"/>
                <w:color w:val="auto"/>
              </w:rPr>
            </w:pPr>
            <w:r>
              <w:rPr>
                <w:rFonts w:ascii="Arial" w:cs="Arial" w:eastAsia="Arial" w:hAnsi="Arial"/>
                <w:sz w:val="18"/>
                <w:szCs w:val="18"/>
                <w:color w:val="auto"/>
              </w:rPr>
              <w:t>83,325</w:t>
            </w:r>
          </w:p>
        </w:tc>
        <w:tc>
          <w:tcPr>
            <w:tcW w:w="0" w:type="dxa"/>
            <w:vAlign w:val="bottom"/>
          </w:tcPr>
          <w:p>
            <w:pPr>
              <w:spacing w:after="0"/>
              <w:rPr>
                <w:sz w:val="1"/>
                <w:szCs w:val="1"/>
                <w:color w:val="auto"/>
              </w:rPr>
            </w:pPr>
          </w:p>
        </w:tc>
      </w:tr>
      <w:tr>
        <w:trPr>
          <w:trHeight w:val="210"/>
        </w:trPr>
        <w:tc>
          <w:tcPr>
            <w:tcW w:w="1720" w:type="dxa"/>
            <w:vAlign w:val="bottom"/>
            <w:tcBorders>
              <w:top w:val="single" w:sz="8" w:color="E5FFFF"/>
              <w:bottom w:val="single" w:sz="8" w:color="E5FFFF"/>
            </w:tcBorders>
            <w:shd w:val="clear" w:color="auto" w:fill="E5FFFF"/>
          </w:tcPr>
          <w:p>
            <w:pPr>
              <w:spacing w:after="0"/>
              <w:rPr>
                <w:sz w:val="18"/>
                <w:szCs w:val="18"/>
                <w:color w:val="auto"/>
              </w:rPr>
            </w:pPr>
          </w:p>
        </w:tc>
        <w:tc>
          <w:tcPr>
            <w:tcW w:w="280" w:type="dxa"/>
            <w:vAlign w:val="bottom"/>
            <w:tcBorders>
              <w:top w:val="single" w:sz="8" w:color="E5FFFF"/>
              <w:bottom w:val="single" w:sz="8" w:color="E5FFFF"/>
            </w:tcBorders>
            <w:shd w:val="clear" w:color="auto" w:fill="E5FFFF"/>
          </w:tcPr>
          <w:p>
            <w:pPr>
              <w:spacing w:after="0"/>
              <w:rPr>
                <w:sz w:val="18"/>
                <w:szCs w:val="18"/>
                <w:color w:val="auto"/>
              </w:rPr>
            </w:pP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c>
          <w:tcPr>
            <w:tcW w:w="1580" w:type="dxa"/>
            <w:vAlign w:val="bottom"/>
            <w:tcBorders>
              <w:top w:val="single" w:sz="8" w:color="E5FFFF"/>
              <w:bottom w:val="single" w:sz="8" w:color="E5FFFF"/>
            </w:tcBorders>
            <w:shd w:val="clear" w:color="auto" w:fill="E5FFFF"/>
          </w:tcPr>
          <w:p>
            <w:pPr>
              <w:spacing w:after="0"/>
              <w:rPr>
                <w:sz w:val="18"/>
                <w:szCs w:val="18"/>
                <w:color w:val="auto"/>
              </w:rPr>
            </w:pP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c>
          <w:tcPr>
            <w:tcW w:w="900" w:type="dxa"/>
            <w:vAlign w:val="bottom"/>
            <w:tcBorders>
              <w:top w:val="single" w:sz="8" w:color="E5FFFF"/>
              <w:bottom w:val="single" w:sz="8" w:color="E5FFFF"/>
            </w:tcBorders>
            <w:shd w:val="clear" w:color="auto" w:fill="E5FFFF"/>
          </w:tcPr>
          <w:p>
            <w:pPr>
              <w:spacing w:after="0"/>
              <w:rPr>
                <w:sz w:val="18"/>
                <w:szCs w:val="18"/>
                <w:color w:val="auto"/>
              </w:rPr>
            </w:pP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c>
          <w:tcPr>
            <w:tcW w:w="1020" w:type="dxa"/>
            <w:vAlign w:val="bottom"/>
            <w:tcBorders>
              <w:top w:val="single" w:sz="8" w:color="E5FFFF"/>
              <w:bottom w:val="single" w:sz="8" w:color="E5FFFF"/>
            </w:tcBorders>
            <w:shd w:val="clear" w:color="auto" w:fill="E5FFFF"/>
          </w:tcPr>
          <w:p>
            <w:pPr>
              <w:spacing w:after="0"/>
              <w:rPr>
                <w:sz w:val="18"/>
                <w:szCs w:val="18"/>
                <w:color w:val="auto"/>
              </w:rPr>
            </w:pP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c>
          <w:tcPr>
            <w:tcW w:w="1240" w:type="dxa"/>
            <w:vAlign w:val="bottom"/>
            <w:tcBorders>
              <w:top w:val="single" w:sz="8" w:color="E5FFFF"/>
              <w:bottom w:val="single" w:sz="8" w:color="E5FFFF"/>
            </w:tcBorders>
            <w:shd w:val="clear" w:color="auto" w:fill="E5FFFF"/>
          </w:tcPr>
          <w:p>
            <w:pPr>
              <w:spacing w:after="0"/>
              <w:rPr>
                <w:sz w:val="18"/>
                <w:szCs w:val="18"/>
                <w:color w:val="auto"/>
              </w:rPr>
            </w:pP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c>
          <w:tcPr>
            <w:tcW w:w="1000" w:type="dxa"/>
            <w:vAlign w:val="bottom"/>
            <w:tcBorders>
              <w:top w:val="single" w:sz="8" w:color="auto"/>
              <w:bottom w:val="single" w:sz="8" w:color="auto"/>
            </w:tcBorders>
            <w:shd w:val="clear" w:color="auto" w:fill="E5FFFF"/>
          </w:tcPr>
          <w:p>
            <w:pPr>
              <w:jc w:val="center"/>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389,568</w:t>
            </w: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377,075</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2"/>
          <w:szCs w:val="12"/>
          <w:color w:val="auto"/>
        </w:rPr>
      </w:pPr>
      <w:r>
        <w:rPr>
          <w:rFonts w:ascii="Arial" w:cs="Arial" w:eastAsia="Arial" w:hAnsi="Arial"/>
          <w:sz w:val="14"/>
          <w:szCs w:val="14"/>
          <w:color w:val="auto"/>
        </w:rPr>
        <w:t>Commonwealth Bank of Australia</w:t>
      </w:r>
    </w:p>
    <w:p>
      <w:pPr>
        <w:spacing w:after="0" w:line="149" w:lineRule="exact"/>
        <w:rPr>
          <w:rFonts w:ascii="Arial" w:cs="Arial" w:eastAsia="Arial" w:hAnsi="Arial"/>
          <w:sz w:val="12"/>
          <w:szCs w:val="12"/>
          <w:color w:val="auto"/>
        </w:rPr>
      </w:pPr>
    </w:p>
    <w:p>
      <w:pPr>
        <w:ind w:left="340" w:hanging="332"/>
        <w:spacing w:after="0"/>
        <w:tabs>
          <w:tab w:leader="none" w:pos="340" w:val="left"/>
        </w:tabs>
        <w:numPr>
          <w:ilvl w:val="0"/>
          <w:numId w:val="27"/>
        </w:numPr>
        <w:rPr>
          <w:rFonts w:ascii="Arial" w:cs="Arial" w:eastAsia="Arial" w:hAnsi="Arial"/>
          <w:sz w:val="12"/>
          <w:szCs w:val="12"/>
          <w:color w:val="auto"/>
        </w:rPr>
      </w:pPr>
      <w:r>
        <w:rPr>
          <w:rFonts w:ascii="Arial" w:cs="Arial" w:eastAsia="Arial" w:hAnsi="Arial"/>
          <w:sz w:val="14"/>
          <w:szCs w:val="14"/>
          <w:color w:val="auto"/>
        </w:rPr>
        <w:t>Skandinavinska Enskilda Banken AB (publ)</w:t>
      </w:r>
    </w:p>
    <w:p>
      <w:pPr>
        <w:spacing w:after="0" w:line="149" w:lineRule="exact"/>
        <w:rPr>
          <w:rFonts w:ascii="Arial" w:cs="Arial" w:eastAsia="Arial" w:hAnsi="Arial"/>
          <w:sz w:val="12"/>
          <w:szCs w:val="12"/>
          <w:color w:val="auto"/>
        </w:rPr>
      </w:pPr>
    </w:p>
    <w:p>
      <w:pPr>
        <w:ind w:left="340" w:hanging="332"/>
        <w:spacing w:after="0"/>
        <w:tabs>
          <w:tab w:leader="none" w:pos="340" w:val="left"/>
        </w:tabs>
        <w:numPr>
          <w:ilvl w:val="0"/>
          <w:numId w:val="27"/>
        </w:numPr>
        <w:rPr>
          <w:rFonts w:ascii="Arial" w:cs="Arial" w:eastAsia="Arial" w:hAnsi="Arial"/>
          <w:sz w:val="12"/>
          <w:szCs w:val="12"/>
          <w:color w:val="auto"/>
        </w:rPr>
      </w:pPr>
      <w:r>
        <w:rPr>
          <w:rFonts w:ascii="Arial" w:cs="Arial" w:eastAsia="Arial" w:hAnsi="Arial"/>
          <w:sz w:val="14"/>
          <w:szCs w:val="14"/>
          <w:color w:val="auto"/>
        </w:rPr>
        <w:t>The fixed interest rate is agreed at 0.66% until September 2016 and at 2.89% from September 2016 to September 2018.</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derivative instruments listed above qualified as cash flow hedging instruments for accounting purposes as of June 30, 2016.</w:t>
      </w:r>
    </w:p>
    <w:p>
      <w:pPr>
        <w:spacing w:after="0" w:line="225" w:lineRule="exact"/>
        <w:rPr>
          <w:sz w:val="20"/>
          <w:szCs w:val="20"/>
          <w:color w:val="auto"/>
        </w:rPr>
      </w:pPr>
    </w:p>
    <w:p>
      <w:pPr>
        <w:ind w:right="160" w:firstLine="356"/>
        <w:spacing w:after="0" w:line="257" w:lineRule="auto"/>
        <w:rPr>
          <w:sz w:val="20"/>
          <w:szCs w:val="20"/>
          <w:color w:val="auto"/>
        </w:rPr>
      </w:pPr>
      <w:r>
        <w:rPr>
          <w:rFonts w:ascii="Arial" w:cs="Arial" w:eastAsia="Arial" w:hAnsi="Arial"/>
          <w:sz w:val="18"/>
          <w:szCs w:val="18"/>
          <w:color w:val="auto"/>
        </w:rPr>
        <w:t>For the three and six months ended June 30, 2016, the effective portion of changes in the fair value of derivatives designated as cash flow hedging instruments amounting to a loss of $1,807 and $8,246 has been recognized in Other comprehensive income (for the three and six months ended June 30, 2015: a gain of $681 and a loss of $4,939, respectively). For the three and six months ended June 30, 2016, a loss of $1,115 and $2,401, respectively, was recycled to profit or loss representing the realized loss on interest rate swaps in relation to the interest expense component of the hedge (for the three and six months ended June 30, 2015: a loss of $1,805 and $3,245, respectively).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0"/>
        </w:trPr>
        <w:tc>
          <w:tcPr>
            <w:tcW w:w="346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Interest rate swaps held for trading</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00" w:type="dxa"/>
            <w:vAlign w:val="bottom"/>
            <w:gridSpan w:val="10"/>
          </w:tcPr>
          <w:p>
            <w:pPr>
              <w:ind w:left="360"/>
              <w:spacing w:after="0"/>
              <w:rPr>
                <w:sz w:val="20"/>
                <w:szCs w:val="20"/>
                <w:color w:val="auto"/>
              </w:rPr>
            </w:pPr>
            <w:r>
              <w:rPr>
                <w:rFonts w:ascii="Arial" w:cs="Arial" w:eastAsia="Arial" w:hAnsi="Arial"/>
                <w:sz w:val="18"/>
                <w:szCs w:val="18"/>
                <w:color w:val="auto"/>
              </w:rPr>
              <w:t>The principal terms of the interest rate swaps held for trading were as follows: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Fixed</w:t>
            </w:r>
          </w:p>
        </w:tc>
        <w:tc>
          <w:tcPr>
            <w:tcW w:w="3520" w:type="dxa"/>
            <w:vAlign w:val="bottom"/>
            <w:tcBorders>
              <w:bottom w:val="single" w:sz="8" w:color="auto"/>
            </w:tcBorders>
            <w:gridSpan w:val="3"/>
          </w:tcPr>
          <w:p>
            <w:pPr>
              <w:jc w:val="right"/>
              <w:ind w:right="990"/>
              <w:spacing w:after="0"/>
              <w:rPr>
                <w:sz w:val="20"/>
                <w:szCs w:val="20"/>
                <w:color w:val="auto"/>
              </w:rPr>
            </w:pPr>
            <w:r>
              <w:rPr>
                <w:rFonts w:ascii="Arial" w:cs="Arial" w:eastAsia="Arial" w:hAnsi="Arial"/>
                <w:sz w:val="18"/>
                <w:szCs w:val="18"/>
                <w:b w:val="1"/>
                <w:bCs w:val="1"/>
                <w:color w:val="auto"/>
              </w:rPr>
              <w:t>Notional Amount</w:t>
            </w:r>
          </w:p>
        </w:tc>
        <w:tc>
          <w:tcPr>
            <w:tcW w:w="0" w:type="dxa"/>
            <w:vAlign w:val="bottom"/>
          </w:tcPr>
          <w:p>
            <w:pPr>
              <w:spacing w:after="0"/>
              <w:rPr>
                <w:sz w:val="1"/>
                <w:szCs w:val="1"/>
                <w:color w:val="auto"/>
              </w:rPr>
            </w:pPr>
          </w:p>
        </w:tc>
      </w:tr>
      <w:tr>
        <w:trPr>
          <w:trHeight w:val="178"/>
        </w:trPr>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Trade</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Effective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Termination</w:t>
            </w: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Interest</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Subsidiary</w:t>
            </w:r>
          </w:p>
        </w:tc>
        <w:tc>
          <w:tcPr>
            <w:tcW w:w="1720" w:type="dxa"/>
            <w:vAlign w:val="bottom"/>
            <w:gridSpan w:val="2"/>
          </w:tcPr>
          <w:p>
            <w:pPr>
              <w:ind w:left="280"/>
              <w:spacing w:after="0"/>
              <w:rPr>
                <w:sz w:val="20"/>
                <w:szCs w:val="20"/>
                <w:color w:val="auto"/>
              </w:rPr>
            </w:pPr>
            <w:r>
              <w:rPr>
                <w:rFonts w:ascii="Arial" w:cs="Arial" w:eastAsia="Arial" w:hAnsi="Arial"/>
                <w:sz w:val="18"/>
                <w:szCs w:val="18"/>
                <w:b w:val="1"/>
                <w:bCs w:val="1"/>
                <w:color w:val="auto"/>
              </w:rPr>
              <w:t>Counterparty</w:t>
            </w: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900" w:type="dxa"/>
            <w:vAlign w:val="bottom"/>
            <w:gridSpan w:val="2"/>
          </w:tcPr>
          <w:p>
            <w:pPr>
              <w:ind w:left="220"/>
              <w:spacing w:after="0"/>
              <w:rPr>
                <w:sz w:val="20"/>
                <w:szCs w:val="20"/>
                <w:color w:val="auto"/>
              </w:rPr>
            </w:pPr>
            <w:r>
              <w:rPr>
                <w:rFonts w:ascii="Arial" w:cs="Arial" w:eastAsia="Arial" w:hAnsi="Arial"/>
                <w:sz w:val="18"/>
                <w:szCs w:val="18"/>
                <w:b w:val="1"/>
                <w:bCs w:val="1"/>
                <w:color w:val="auto"/>
              </w:rPr>
              <w:t>Rate</w:t>
            </w:r>
          </w:p>
        </w:tc>
        <w:tc>
          <w:tcPr>
            <w:tcW w:w="2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December 31, 2015</w:t>
            </w: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rPr>
              <w:t>June 30, 2016</w:t>
            </w:r>
          </w:p>
        </w:tc>
        <w:tc>
          <w:tcPr>
            <w:tcW w:w="0" w:type="dxa"/>
            <w:vAlign w:val="bottom"/>
          </w:tcPr>
          <w:p>
            <w:pPr>
              <w:spacing w:after="0"/>
              <w:rPr>
                <w:sz w:val="1"/>
                <w:szCs w:val="1"/>
                <w:color w:val="auto"/>
              </w:rPr>
            </w:pPr>
          </w:p>
        </w:tc>
      </w:tr>
      <w:tr>
        <w:trPr>
          <w:trHeight w:val="210"/>
        </w:trPr>
        <w:tc>
          <w:tcPr>
            <w:tcW w:w="162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color w:val="auto"/>
              </w:rPr>
              <w:t>GAS-eight Ltd.</w:t>
            </w:r>
          </w:p>
        </w:tc>
        <w:tc>
          <w:tcPr>
            <w:tcW w:w="120" w:type="dxa"/>
            <w:vAlign w:val="bottom"/>
            <w:tcBorders>
              <w:top w:val="single" w:sz="8" w:color="E5FFFF"/>
            </w:tcBorders>
            <w:shd w:val="clear" w:color="auto" w:fill="E5FFFF"/>
          </w:tcPr>
          <w:p>
            <w:pPr>
              <w:spacing w:after="0"/>
              <w:rPr>
                <w:sz w:val="18"/>
                <w:szCs w:val="18"/>
                <w:color w:val="auto"/>
              </w:rPr>
            </w:pPr>
          </w:p>
        </w:tc>
        <w:tc>
          <w:tcPr>
            <w:tcW w:w="16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color w:val="auto"/>
              </w:rPr>
              <w:t>SEB</w:t>
            </w:r>
          </w:p>
        </w:tc>
        <w:tc>
          <w:tcPr>
            <w:tcW w:w="120" w:type="dxa"/>
            <w:vAlign w:val="bottom"/>
            <w:tcBorders>
              <w:top w:val="single" w:sz="8" w:color="E5FFFF"/>
            </w:tcBorders>
            <w:shd w:val="clear" w:color="auto" w:fill="E5FFFF"/>
          </w:tcPr>
          <w:p>
            <w:pPr>
              <w:spacing w:after="0"/>
              <w:rPr>
                <w:sz w:val="18"/>
                <w:szCs w:val="18"/>
                <w:color w:val="auto"/>
              </w:rPr>
            </w:pPr>
          </w:p>
        </w:tc>
        <w:tc>
          <w:tcPr>
            <w:tcW w:w="9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89"/>
              </w:rPr>
              <w:t>Feb 2012</w:t>
            </w:r>
          </w:p>
        </w:tc>
        <w:tc>
          <w:tcPr>
            <w:tcW w:w="120" w:type="dxa"/>
            <w:vAlign w:val="bottom"/>
            <w:tcBorders>
              <w:top w:val="single" w:sz="8" w:color="E5FFFF"/>
            </w:tcBorders>
            <w:shd w:val="clear" w:color="auto" w:fill="E5FFFF"/>
          </w:tcPr>
          <w:p>
            <w:pPr>
              <w:spacing w:after="0"/>
              <w:rPr>
                <w:sz w:val="18"/>
                <w:szCs w:val="18"/>
                <w:color w:val="auto"/>
              </w:rPr>
            </w:pPr>
          </w:p>
        </w:tc>
        <w:tc>
          <w:tcPr>
            <w:tcW w:w="10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2"/>
              </w:rPr>
              <w:t>Mar 2014</w:t>
            </w:r>
          </w:p>
        </w:tc>
        <w:tc>
          <w:tcPr>
            <w:tcW w:w="12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2"/>
              </w:rPr>
              <w:t>Mar 2021</w:t>
            </w:r>
          </w:p>
        </w:tc>
        <w:tc>
          <w:tcPr>
            <w:tcW w:w="100" w:type="dxa"/>
            <w:vAlign w:val="bottom"/>
            <w:tcBorders>
              <w:top w:val="single" w:sz="8" w:color="E5FFFF"/>
            </w:tcBorders>
            <w:shd w:val="clear" w:color="auto" w:fill="E5FFFF"/>
          </w:tcPr>
          <w:p>
            <w:pPr>
              <w:spacing w:after="0"/>
              <w:rPr>
                <w:sz w:val="18"/>
                <w:szCs w:val="18"/>
                <w:color w:val="auto"/>
              </w:rPr>
            </w:pPr>
          </w:p>
        </w:tc>
        <w:tc>
          <w:tcPr>
            <w:tcW w:w="800" w:type="dxa"/>
            <w:vAlign w:val="bottom"/>
            <w:tcBorders>
              <w:top w:val="single" w:sz="8" w:color="auto"/>
            </w:tcBorders>
            <w:shd w:val="clear" w:color="auto" w:fill="E5FFFF"/>
          </w:tcPr>
          <w:p>
            <w:pPr>
              <w:ind w:left="200"/>
              <w:spacing w:after="0"/>
              <w:rPr>
                <w:sz w:val="20"/>
                <w:szCs w:val="20"/>
                <w:color w:val="auto"/>
              </w:rPr>
            </w:pPr>
            <w:r>
              <w:rPr>
                <w:rFonts w:ascii="Arial" w:cs="Arial" w:eastAsia="Arial" w:hAnsi="Arial"/>
                <w:sz w:val="18"/>
                <w:szCs w:val="18"/>
                <w:color w:val="auto"/>
              </w:rPr>
              <w:t>2.26%</w:t>
            </w:r>
          </w:p>
        </w:tc>
        <w:tc>
          <w:tcPr>
            <w:tcW w:w="100" w:type="dxa"/>
            <w:vAlign w:val="bottom"/>
            <w:tcBorders>
              <w:top w:val="single" w:sz="8" w:color="E5FFFF"/>
            </w:tcBorders>
            <w:shd w:val="clear" w:color="auto" w:fill="E5FFFF"/>
          </w:tcPr>
          <w:p>
            <w:pPr>
              <w:spacing w:after="0"/>
              <w:rPr>
                <w:sz w:val="18"/>
                <w:szCs w:val="18"/>
                <w:color w:val="auto"/>
              </w:rPr>
            </w:pPr>
          </w:p>
        </w:tc>
        <w:tc>
          <w:tcPr>
            <w:tcW w:w="19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39,263</w:t>
            </w:r>
          </w:p>
        </w:tc>
        <w:tc>
          <w:tcPr>
            <w:tcW w:w="10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38,052</w:t>
            </w: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GAS-eight Ltd.</w:t>
            </w:r>
          </w:p>
        </w:tc>
        <w:tc>
          <w:tcPr>
            <w:tcW w:w="1720" w:type="dxa"/>
            <w:vAlign w:val="bottom"/>
            <w:gridSpan w:val="2"/>
          </w:tcPr>
          <w:p>
            <w:pPr>
              <w:spacing w:after="0"/>
              <w:rPr>
                <w:sz w:val="20"/>
                <w:szCs w:val="20"/>
                <w:color w:val="auto"/>
              </w:rPr>
            </w:pPr>
            <w:r>
              <w:rPr>
                <w:rFonts w:ascii="Arial" w:cs="Arial" w:eastAsia="Arial" w:hAnsi="Arial"/>
                <w:sz w:val="18"/>
                <w:szCs w:val="18"/>
                <w:color w:val="auto"/>
              </w:rPr>
              <w:t>ING Bank N.V.</w:t>
            </w: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 2012</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Mar 2014</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 2021</w:t>
            </w:r>
          </w:p>
        </w:tc>
        <w:tc>
          <w:tcPr>
            <w:tcW w:w="800" w:type="dxa"/>
            <w:vAlign w:val="bottom"/>
          </w:tcPr>
          <w:p>
            <w:pPr>
              <w:ind w:left="20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39,263</w:t>
            </w:r>
          </w:p>
        </w:tc>
        <w:tc>
          <w:tcPr>
            <w:tcW w:w="1480" w:type="dxa"/>
            <w:vAlign w:val="bottom"/>
          </w:tcPr>
          <w:p>
            <w:pPr>
              <w:jc w:val="right"/>
              <w:spacing w:after="0"/>
              <w:rPr>
                <w:sz w:val="20"/>
                <w:szCs w:val="20"/>
                <w:color w:val="auto"/>
              </w:rPr>
            </w:pPr>
            <w:r>
              <w:rPr>
                <w:rFonts w:ascii="Arial" w:cs="Arial" w:eastAsia="Arial" w:hAnsi="Arial"/>
                <w:sz w:val="18"/>
                <w:szCs w:val="18"/>
                <w:color w:val="auto"/>
              </w:rPr>
              <w:t>38,052</w:t>
            </w: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GAS-eight Ltd.</w:t>
            </w:r>
          </w:p>
        </w:tc>
        <w:tc>
          <w:tcPr>
            <w:tcW w:w="17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SEB</w:t>
            </w:r>
          </w:p>
        </w:tc>
        <w:tc>
          <w:tcPr>
            <w:tcW w:w="10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3"/>
              </w:rPr>
              <w:t>May 2012</w:t>
            </w:r>
          </w:p>
        </w:tc>
        <w:tc>
          <w:tcPr>
            <w:tcW w:w="116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2"/>
              </w:rPr>
              <w:t>Mar 2014</w:t>
            </w:r>
          </w:p>
        </w:tc>
        <w:tc>
          <w:tcPr>
            <w:tcW w:w="13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2"/>
              </w:rPr>
              <w:t>Mar 2021</w:t>
            </w:r>
          </w:p>
        </w:tc>
        <w:tc>
          <w:tcPr>
            <w:tcW w:w="800" w:type="dxa"/>
            <w:vAlign w:val="bottom"/>
            <w:shd w:val="clear" w:color="auto" w:fill="E5FFFF"/>
          </w:tcPr>
          <w:p>
            <w:pPr>
              <w:ind w:left="20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E5FFFF"/>
          </w:tcPr>
          <w:p>
            <w:pPr>
              <w:spacing w:after="0"/>
              <w:rPr>
                <w:sz w:val="18"/>
                <w:szCs w:val="18"/>
                <w:color w:val="auto"/>
              </w:rPr>
            </w:pPr>
          </w:p>
        </w:tc>
        <w:tc>
          <w:tcPr>
            <w:tcW w:w="20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12,636</w:t>
            </w:r>
          </w:p>
        </w:tc>
        <w:tc>
          <w:tcPr>
            <w:tcW w:w="14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12,247</w:t>
            </w: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GAS-eight Ltd.</w:t>
            </w:r>
          </w:p>
        </w:tc>
        <w:tc>
          <w:tcPr>
            <w:tcW w:w="1720" w:type="dxa"/>
            <w:vAlign w:val="bottom"/>
            <w:gridSpan w:val="2"/>
          </w:tcPr>
          <w:p>
            <w:pPr>
              <w:spacing w:after="0"/>
              <w:rPr>
                <w:sz w:val="20"/>
                <w:szCs w:val="20"/>
                <w:color w:val="auto"/>
              </w:rPr>
            </w:pPr>
            <w:r>
              <w:rPr>
                <w:rFonts w:ascii="Arial" w:cs="Arial" w:eastAsia="Arial" w:hAnsi="Arial"/>
                <w:sz w:val="18"/>
                <w:szCs w:val="18"/>
                <w:color w:val="auto"/>
              </w:rPr>
              <w:t>ING Bank N.V.</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May 2012</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Mar 2014</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 2021</w:t>
            </w:r>
          </w:p>
        </w:tc>
        <w:tc>
          <w:tcPr>
            <w:tcW w:w="800" w:type="dxa"/>
            <w:vAlign w:val="bottom"/>
          </w:tcPr>
          <w:p>
            <w:pPr>
              <w:ind w:left="20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8"/>
                <w:szCs w:val="18"/>
                <w:color w:val="auto"/>
              </w:rPr>
            </w:pP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12,636</w:t>
            </w:r>
          </w:p>
        </w:tc>
        <w:tc>
          <w:tcPr>
            <w:tcW w:w="1480" w:type="dxa"/>
            <w:vAlign w:val="bottom"/>
          </w:tcPr>
          <w:p>
            <w:pPr>
              <w:jc w:val="right"/>
              <w:spacing w:after="0"/>
              <w:rPr>
                <w:sz w:val="20"/>
                <w:szCs w:val="20"/>
                <w:color w:val="auto"/>
              </w:rPr>
            </w:pPr>
            <w:r>
              <w:rPr>
                <w:rFonts w:ascii="Arial" w:cs="Arial" w:eastAsia="Arial" w:hAnsi="Arial"/>
                <w:sz w:val="18"/>
                <w:szCs w:val="18"/>
                <w:color w:val="auto"/>
              </w:rPr>
              <w:t>12,247</w:t>
            </w: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GAS-eight Ltd.</w:t>
            </w:r>
          </w:p>
        </w:tc>
        <w:tc>
          <w:tcPr>
            <w:tcW w:w="17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DNB Bank ASA</w:t>
            </w:r>
          </w:p>
        </w:tc>
        <w:tc>
          <w:tcPr>
            <w:tcW w:w="10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3"/>
              </w:rPr>
              <w:t>May 2012</w:t>
            </w:r>
          </w:p>
        </w:tc>
        <w:tc>
          <w:tcPr>
            <w:tcW w:w="116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2"/>
              </w:rPr>
              <w:t>Mar 2014</w:t>
            </w:r>
          </w:p>
        </w:tc>
        <w:tc>
          <w:tcPr>
            <w:tcW w:w="13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2"/>
              </w:rPr>
              <w:t>Mar 2021</w:t>
            </w:r>
          </w:p>
        </w:tc>
        <w:tc>
          <w:tcPr>
            <w:tcW w:w="800" w:type="dxa"/>
            <w:vAlign w:val="bottom"/>
            <w:shd w:val="clear" w:color="auto" w:fill="E5FFFF"/>
          </w:tcPr>
          <w:p>
            <w:pPr>
              <w:ind w:left="20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E5FFFF"/>
          </w:tcPr>
          <w:p>
            <w:pPr>
              <w:spacing w:after="0"/>
              <w:rPr>
                <w:sz w:val="18"/>
                <w:szCs w:val="18"/>
                <w:color w:val="auto"/>
              </w:rPr>
            </w:pPr>
          </w:p>
        </w:tc>
        <w:tc>
          <w:tcPr>
            <w:tcW w:w="20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12,636</w:t>
            </w:r>
          </w:p>
        </w:tc>
        <w:tc>
          <w:tcPr>
            <w:tcW w:w="14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12,247</w:t>
            </w: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GAS-eight Ltd.</w:t>
            </w:r>
          </w:p>
        </w:tc>
        <w:tc>
          <w:tcPr>
            <w:tcW w:w="1720" w:type="dxa"/>
            <w:vAlign w:val="bottom"/>
            <w:gridSpan w:val="2"/>
          </w:tcPr>
          <w:p>
            <w:pPr>
              <w:spacing w:after="0"/>
              <w:rPr>
                <w:sz w:val="20"/>
                <w:szCs w:val="20"/>
                <w:color w:val="auto"/>
              </w:rPr>
            </w:pPr>
            <w:r>
              <w:rPr>
                <w:rFonts w:ascii="Arial" w:cs="Arial" w:eastAsia="Arial" w:hAnsi="Arial"/>
                <w:sz w:val="18"/>
                <w:szCs w:val="18"/>
                <w:color w:val="auto"/>
              </w:rPr>
              <w:t>CBA</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May 2012</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Mar 2014</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 2021</w:t>
            </w:r>
          </w:p>
        </w:tc>
        <w:tc>
          <w:tcPr>
            <w:tcW w:w="800" w:type="dxa"/>
            <w:vAlign w:val="bottom"/>
          </w:tcPr>
          <w:p>
            <w:pPr>
              <w:ind w:left="20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8"/>
                <w:szCs w:val="18"/>
                <w:color w:val="auto"/>
              </w:rPr>
            </w:pP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12,636</w:t>
            </w:r>
          </w:p>
        </w:tc>
        <w:tc>
          <w:tcPr>
            <w:tcW w:w="1480" w:type="dxa"/>
            <w:vAlign w:val="bottom"/>
          </w:tcPr>
          <w:p>
            <w:pPr>
              <w:jc w:val="right"/>
              <w:spacing w:after="0"/>
              <w:rPr>
                <w:sz w:val="20"/>
                <w:szCs w:val="20"/>
                <w:color w:val="auto"/>
              </w:rPr>
            </w:pPr>
            <w:r>
              <w:rPr>
                <w:rFonts w:ascii="Arial" w:cs="Arial" w:eastAsia="Arial" w:hAnsi="Arial"/>
                <w:sz w:val="18"/>
                <w:szCs w:val="18"/>
                <w:color w:val="auto"/>
              </w:rPr>
              <w:t>12,247</w:t>
            </w: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GAS-one Ltd.</w:t>
            </w:r>
          </w:p>
        </w:tc>
        <w:tc>
          <w:tcPr>
            <w:tcW w:w="17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Danish Ship Finance</w:t>
            </w:r>
          </w:p>
        </w:tc>
        <w:tc>
          <w:tcPr>
            <w:tcW w:w="10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0"/>
              </w:rPr>
              <w:t>Oct 2011</w:t>
            </w:r>
          </w:p>
        </w:tc>
        <w:tc>
          <w:tcPr>
            <w:tcW w:w="116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0"/>
              </w:rPr>
              <w:t>Nov 2011</w:t>
            </w:r>
          </w:p>
        </w:tc>
        <w:tc>
          <w:tcPr>
            <w:tcW w:w="13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3"/>
              </w:rPr>
              <w:t>May 2020</w:t>
            </w:r>
          </w:p>
        </w:tc>
        <w:tc>
          <w:tcPr>
            <w:tcW w:w="800" w:type="dxa"/>
            <w:vAlign w:val="bottom"/>
            <w:shd w:val="clear" w:color="auto" w:fill="E5FFFF"/>
          </w:tcPr>
          <w:p>
            <w:pPr>
              <w:ind w:left="20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E5FFFF"/>
          </w:tcPr>
          <w:p>
            <w:pPr>
              <w:spacing w:after="0"/>
              <w:rPr>
                <w:sz w:val="18"/>
                <w:szCs w:val="18"/>
                <w:color w:val="auto"/>
              </w:rPr>
            </w:pPr>
          </w:p>
        </w:tc>
        <w:tc>
          <w:tcPr>
            <w:tcW w:w="20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64,095</w:t>
            </w:r>
          </w:p>
        </w:tc>
        <w:tc>
          <w:tcPr>
            <w:tcW w:w="14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61,885</w:t>
            </w: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GAS-one Ltd.</w:t>
            </w:r>
          </w:p>
        </w:tc>
        <w:tc>
          <w:tcPr>
            <w:tcW w:w="1720" w:type="dxa"/>
            <w:vAlign w:val="bottom"/>
            <w:gridSpan w:val="2"/>
          </w:tcPr>
          <w:p>
            <w:pPr>
              <w:spacing w:after="0"/>
              <w:rPr>
                <w:sz w:val="20"/>
                <w:szCs w:val="20"/>
                <w:color w:val="auto"/>
              </w:rPr>
            </w:pPr>
            <w:r>
              <w:rPr>
                <w:rFonts w:ascii="Arial" w:cs="Arial" w:eastAsia="Arial" w:hAnsi="Arial"/>
                <w:sz w:val="18"/>
                <w:szCs w:val="18"/>
                <w:color w:val="auto"/>
              </w:rPr>
              <w:t>Danish Ship Finance</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2013</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Aug 2013</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May 2020</w:t>
            </w:r>
          </w:p>
        </w:tc>
        <w:tc>
          <w:tcPr>
            <w:tcW w:w="800" w:type="dxa"/>
            <w:vAlign w:val="bottom"/>
          </w:tcPr>
          <w:p>
            <w:pPr>
              <w:ind w:left="20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8"/>
                <w:szCs w:val="18"/>
                <w:color w:val="auto"/>
              </w:rPr>
            </w:pP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55,554</w:t>
            </w:r>
          </w:p>
        </w:tc>
        <w:tc>
          <w:tcPr>
            <w:tcW w:w="1480" w:type="dxa"/>
            <w:vAlign w:val="bottom"/>
          </w:tcPr>
          <w:p>
            <w:pPr>
              <w:jc w:val="right"/>
              <w:spacing w:after="0"/>
              <w:rPr>
                <w:sz w:val="20"/>
                <w:szCs w:val="20"/>
                <w:color w:val="auto"/>
              </w:rPr>
            </w:pPr>
            <w:r>
              <w:rPr>
                <w:rFonts w:ascii="Arial" w:cs="Arial" w:eastAsia="Arial" w:hAnsi="Arial"/>
                <w:sz w:val="18"/>
                <w:szCs w:val="18"/>
                <w:color w:val="auto"/>
              </w:rPr>
              <w:t>53,638</w:t>
            </w: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GAS-six Ltd.</w:t>
            </w:r>
          </w:p>
        </w:tc>
        <w:tc>
          <w:tcPr>
            <w:tcW w:w="17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ABN-AMRO Bank</w:t>
            </w:r>
          </w:p>
        </w:tc>
        <w:tc>
          <w:tcPr>
            <w:tcW w:w="10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3"/>
              </w:rPr>
              <w:t>May 2012</w:t>
            </w:r>
          </w:p>
        </w:tc>
        <w:tc>
          <w:tcPr>
            <w:tcW w:w="116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0"/>
              </w:rPr>
              <w:t>July 2013</w:t>
            </w:r>
          </w:p>
        </w:tc>
        <w:tc>
          <w:tcPr>
            <w:tcW w:w="13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0"/>
              </w:rPr>
              <w:t>July 2019</w:t>
            </w:r>
          </w:p>
        </w:tc>
        <w:tc>
          <w:tcPr>
            <w:tcW w:w="800" w:type="dxa"/>
            <w:vAlign w:val="bottom"/>
            <w:shd w:val="clear" w:color="auto" w:fill="E5FFFF"/>
          </w:tcPr>
          <w:p>
            <w:pPr>
              <w:ind w:left="20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E5FFFF"/>
          </w:tcPr>
          <w:p>
            <w:pPr>
              <w:spacing w:after="0"/>
              <w:rPr>
                <w:sz w:val="18"/>
                <w:szCs w:val="18"/>
                <w:color w:val="auto"/>
              </w:rPr>
            </w:pPr>
          </w:p>
        </w:tc>
        <w:tc>
          <w:tcPr>
            <w:tcW w:w="20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55,096</w:t>
            </w:r>
          </w:p>
        </w:tc>
        <w:tc>
          <w:tcPr>
            <w:tcW w:w="14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53,228</w:t>
            </w: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GAS-seven Ltd.</w:t>
            </w:r>
          </w:p>
        </w:tc>
        <w:tc>
          <w:tcPr>
            <w:tcW w:w="1720" w:type="dxa"/>
            <w:vAlign w:val="bottom"/>
            <w:gridSpan w:val="2"/>
          </w:tcPr>
          <w:p>
            <w:pPr>
              <w:spacing w:after="0"/>
              <w:rPr>
                <w:sz w:val="20"/>
                <w:szCs w:val="20"/>
                <w:color w:val="auto"/>
              </w:rPr>
            </w:pPr>
            <w:r>
              <w:rPr>
                <w:rFonts w:ascii="Arial" w:cs="Arial" w:eastAsia="Arial" w:hAnsi="Arial"/>
                <w:sz w:val="18"/>
                <w:szCs w:val="18"/>
                <w:color w:val="auto"/>
              </w:rPr>
              <w:t>Credit Suisse AG</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Mar 2012</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Nov 2013</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Nov 2020</w:t>
            </w:r>
          </w:p>
        </w:tc>
        <w:tc>
          <w:tcPr>
            <w:tcW w:w="800" w:type="dxa"/>
            <w:vAlign w:val="bottom"/>
          </w:tcPr>
          <w:p>
            <w:pPr>
              <w:ind w:left="20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8"/>
                <w:szCs w:val="18"/>
                <w:color w:val="auto"/>
              </w:rPr>
            </w:pP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96,000</w:t>
            </w:r>
          </w:p>
        </w:tc>
        <w:tc>
          <w:tcPr>
            <w:tcW w:w="1480" w:type="dxa"/>
            <w:vAlign w:val="bottom"/>
          </w:tcPr>
          <w:p>
            <w:pPr>
              <w:jc w:val="right"/>
              <w:spacing w:after="0"/>
              <w:rPr>
                <w:sz w:val="20"/>
                <w:szCs w:val="20"/>
                <w:color w:val="auto"/>
              </w:rPr>
            </w:pPr>
            <w:r>
              <w:rPr>
                <w:rFonts w:ascii="Arial" w:cs="Arial" w:eastAsia="Arial" w:hAnsi="Arial"/>
                <w:sz w:val="18"/>
                <w:szCs w:val="18"/>
                <w:color w:val="auto"/>
              </w:rPr>
              <w:t>93,000</w:t>
            </w: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GAS-seven Ltd.</w:t>
            </w:r>
          </w:p>
        </w:tc>
        <w:tc>
          <w:tcPr>
            <w:tcW w:w="17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Credit Suisse AG</w:t>
            </w:r>
          </w:p>
        </w:tc>
        <w:tc>
          <w:tcPr>
            <w:tcW w:w="10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6"/>
              </w:rPr>
              <w:t>April 2014</w:t>
            </w:r>
          </w:p>
        </w:tc>
        <w:tc>
          <w:tcPr>
            <w:tcW w:w="116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3"/>
              </w:rPr>
              <w:t>May 2014</w:t>
            </w:r>
          </w:p>
        </w:tc>
        <w:tc>
          <w:tcPr>
            <w:tcW w:w="13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3"/>
              </w:rPr>
              <w:t>May 2019</w:t>
            </w:r>
          </w:p>
        </w:tc>
        <w:tc>
          <w:tcPr>
            <w:tcW w:w="800" w:type="dxa"/>
            <w:vAlign w:val="bottom"/>
            <w:shd w:val="clear" w:color="auto" w:fill="E5FFFF"/>
          </w:tcPr>
          <w:p>
            <w:pPr>
              <w:ind w:left="200"/>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E5FFFF"/>
          </w:tcPr>
          <w:p>
            <w:pPr>
              <w:spacing w:after="0"/>
              <w:rPr>
                <w:sz w:val="18"/>
                <w:szCs w:val="18"/>
                <w:color w:val="auto"/>
              </w:rPr>
            </w:pPr>
          </w:p>
        </w:tc>
        <w:tc>
          <w:tcPr>
            <w:tcW w:w="20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32,000</w:t>
            </w:r>
          </w:p>
        </w:tc>
        <w:tc>
          <w:tcPr>
            <w:tcW w:w="14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GAS-two Ltd.</w:t>
            </w:r>
          </w:p>
        </w:tc>
        <w:tc>
          <w:tcPr>
            <w:tcW w:w="1720" w:type="dxa"/>
            <w:vAlign w:val="bottom"/>
            <w:gridSpan w:val="2"/>
          </w:tcPr>
          <w:p>
            <w:pPr>
              <w:spacing w:after="0"/>
              <w:rPr>
                <w:sz w:val="20"/>
                <w:szCs w:val="20"/>
                <w:color w:val="auto"/>
              </w:rPr>
            </w:pPr>
            <w:r>
              <w:rPr>
                <w:rFonts w:ascii="Arial" w:cs="Arial" w:eastAsia="Arial" w:hAnsi="Arial"/>
                <w:sz w:val="18"/>
                <w:szCs w:val="18"/>
                <w:color w:val="auto"/>
              </w:rPr>
              <w:t>CBA</w:t>
            </w: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Sept 2013</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 2014</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April 2018</w:t>
            </w:r>
          </w:p>
        </w:tc>
        <w:tc>
          <w:tcPr>
            <w:tcW w:w="800" w:type="dxa"/>
            <w:vAlign w:val="bottom"/>
          </w:tcPr>
          <w:p>
            <w:pPr>
              <w:ind w:left="20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28,333</w:t>
            </w:r>
          </w:p>
        </w:tc>
        <w:tc>
          <w:tcPr>
            <w:tcW w:w="1480" w:type="dxa"/>
            <w:vAlign w:val="bottom"/>
          </w:tcPr>
          <w:p>
            <w:pPr>
              <w:jc w:val="right"/>
              <w:spacing w:after="0"/>
              <w:rPr>
                <w:sz w:val="20"/>
                <w:szCs w:val="20"/>
                <w:color w:val="auto"/>
              </w:rPr>
            </w:pPr>
            <w:r>
              <w:rPr>
                <w:rFonts w:ascii="Arial" w:cs="Arial" w:eastAsia="Arial" w:hAnsi="Arial"/>
                <w:sz w:val="18"/>
                <w:szCs w:val="18"/>
                <w:color w:val="auto"/>
              </w:rPr>
              <w:t>26,667</w:t>
            </w: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GAS-two Ltd.</w:t>
            </w:r>
          </w:p>
        </w:tc>
        <w:tc>
          <w:tcPr>
            <w:tcW w:w="17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DNB Bank ASA</w:t>
            </w:r>
          </w:p>
        </w:tc>
        <w:tc>
          <w:tcPr>
            <w:tcW w:w="10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87"/>
              </w:rPr>
              <w:t>Sept 2013</w:t>
            </w:r>
          </w:p>
        </w:tc>
        <w:tc>
          <w:tcPr>
            <w:tcW w:w="116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89"/>
              </w:rPr>
              <w:t>Feb 2014</w:t>
            </w:r>
          </w:p>
        </w:tc>
        <w:tc>
          <w:tcPr>
            <w:tcW w:w="13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6"/>
              </w:rPr>
              <w:t>April 2018</w:t>
            </w:r>
          </w:p>
        </w:tc>
        <w:tc>
          <w:tcPr>
            <w:tcW w:w="800" w:type="dxa"/>
            <w:vAlign w:val="bottom"/>
            <w:shd w:val="clear" w:color="auto" w:fill="E5FFFF"/>
          </w:tcPr>
          <w:p>
            <w:pPr>
              <w:ind w:left="20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E5FFFF"/>
          </w:tcPr>
          <w:p>
            <w:pPr>
              <w:spacing w:after="0"/>
              <w:rPr>
                <w:sz w:val="18"/>
                <w:szCs w:val="18"/>
                <w:color w:val="auto"/>
              </w:rPr>
            </w:pPr>
          </w:p>
        </w:tc>
        <w:tc>
          <w:tcPr>
            <w:tcW w:w="20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28,333</w:t>
            </w:r>
          </w:p>
        </w:tc>
        <w:tc>
          <w:tcPr>
            <w:tcW w:w="14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26,667</w:t>
            </w: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GAS-two Ltd.</w:t>
            </w:r>
          </w:p>
        </w:tc>
        <w:tc>
          <w:tcPr>
            <w:tcW w:w="1720" w:type="dxa"/>
            <w:vAlign w:val="bottom"/>
            <w:gridSpan w:val="2"/>
          </w:tcPr>
          <w:p>
            <w:pPr>
              <w:spacing w:after="0"/>
              <w:rPr>
                <w:sz w:val="20"/>
                <w:szCs w:val="20"/>
                <w:color w:val="auto"/>
              </w:rPr>
            </w:pPr>
            <w:r>
              <w:rPr>
                <w:rFonts w:ascii="Arial" w:cs="Arial" w:eastAsia="Arial" w:hAnsi="Arial"/>
                <w:sz w:val="18"/>
                <w:szCs w:val="18"/>
                <w:color w:val="auto"/>
              </w:rPr>
              <w:t>SEB</w:t>
            </w: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Sept 2013</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 2014</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April 2018</w:t>
            </w:r>
          </w:p>
        </w:tc>
        <w:tc>
          <w:tcPr>
            <w:tcW w:w="800" w:type="dxa"/>
            <w:vAlign w:val="bottom"/>
          </w:tcPr>
          <w:p>
            <w:pPr>
              <w:ind w:left="20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28,333</w:t>
            </w:r>
          </w:p>
        </w:tc>
        <w:tc>
          <w:tcPr>
            <w:tcW w:w="1480" w:type="dxa"/>
            <w:vAlign w:val="bottom"/>
          </w:tcPr>
          <w:p>
            <w:pPr>
              <w:jc w:val="right"/>
              <w:spacing w:after="0"/>
              <w:rPr>
                <w:sz w:val="20"/>
                <w:szCs w:val="20"/>
                <w:color w:val="auto"/>
              </w:rPr>
            </w:pPr>
            <w:r>
              <w:rPr>
                <w:rFonts w:ascii="Arial" w:cs="Arial" w:eastAsia="Arial" w:hAnsi="Arial"/>
                <w:sz w:val="18"/>
                <w:szCs w:val="18"/>
                <w:color w:val="auto"/>
              </w:rPr>
              <w:t>26,667</w:t>
            </w:r>
          </w:p>
        </w:tc>
        <w:tc>
          <w:tcPr>
            <w:tcW w:w="0" w:type="dxa"/>
            <w:vAlign w:val="bottom"/>
          </w:tcPr>
          <w:p>
            <w:pPr>
              <w:spacing w:after="0"/>
              <w:rPr>
                <w:sz w:val="1"/>
                <w:szCs w:val="1"/>
                <w:color w:val="auto"/>
              </w:rPr>
            </w:pPr>
          </w:p>
        </w:tc>
      </w:tr>
      <w:tr>
        <w:trPr>
          <w:trHeight w:val="210"/>
        </w:trPr>
        <w:tc>
          <w:tcPr>
            <w:tcW w:w="1620" w:type="dxa"/>
            <w:vAlign w:val="bottom"/>
            <w:tcBorders>
              <w:top w:val="single" w:sz="8" w:color="E5FFFF"/>
              <w:bottom w:val="single" w:sz="8" w:color="E5FFFF"/>
            </w:tcBorders>
            <w:shd w:val="clear" w:color="auto" w:fill="E5FFFF"/>
          </w:tcPr>
          <w:p>
            <w:pPr>
              <w:spacing w:after="0"/>
              <w:rPr>
                <w:sz w:val="18"/>
                <w:szCs w:val="18"/>
                <w:color w:val="auto"/>
              </w:rPr>
            </w:pP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c>
          <w:tcPr>
            <w:tcW w:w="1600" w:type="dxa"/>
            <w:vAlign w:val="bottom"/>
            <w:tcBorders>
              <w:top w:val="single" w:sz="8" w:color="E5FFFF"/>
              <w:bottom w:val="single" w:sz="8" w:color="E5FFFF"/>
            </w:tcBorders>
            <w:shd w:val="clear" w:color="auto" w:fill="E5FFFF"/>
          </w:tcPr>
          <w:p>
            <w:pPr>
              <w:spacing w:after="0"/>
              <w:rPr>
                <w:sz w:val="18"/>
                <w:szCs w:val="18"/>
                <w:color w:val="auto"/>
              </w:rPr>
            </w:pP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c>
          <w:tcPr>
            <w:tcW w:w="920" w:type="dxa"/>
            <w:vAlign w:val="bottom"/>
            <w:tcBorders>
              <w:top w:val="single" w:sz="8" w:color="E5FFFF"/>
              <w:bottom w:val="single" w:sz="8" w:color="E5FFFF"/>
            </w:tcBorders>
            <w:shd w:val="clear" w:color="auto" w:fill="E5FFFF"/>
          </w:tcPr>
          <w:p>
            <w:pPr>
              <w:spacing w:after="0"/>
              <w:rPr>
                <w:sz w:val="18"/>
                <w:szCs w:val="18"/>
                <w:color w:val="auto"/>
              </w:rPr>
            </w:pP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c>
          <w:tcPr>
            <w:tcW w:w="1040" w:type="dxa"/>
            <w:vAlign w:val="bottom"/>
            <w:tcBorders>
              <w:top w:val="single" w:sz="8" w:color="E5FFFF"/>
              <w:bottom w:val="single" w:sz="8" w:color="E5FFFF"/>
            </w:tcBorders>
            <w:shd w:val="clear" w:color="auto" w:fill="E5FFFF"/>
          </w:tcPr>
          <w:p>
            <w:pPr>
              <w:spacing w:after="0"/>
              <w:rPr>
                <w:sz w:val="18"/>
                <w:szCs w:val="18"/>
                <w:color w:val="auto"/>
              </w:rPr>
            </w:pP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c>
          <w:tcPr>
            <w:tcW w:w="1240" w:type="dxa"/>
            <w:vAlign w:val="bottom"/>
            <w:tcBorders>
              <w:top w:val="single" w:sz="8" w:color="E5FFFF"/>
              <w:bottom w:val="single" w:sz="8" w:color="E5FFFF"/>
            </w:tcBorders>
            <w:shd w:val="clear" w:color="auto" w:fill="E5FFFF"/>
          </w:tcPr>
          <w:p>
            <w:pPr>
              <w:spacing w:after="0"/>
              <w:rPr>
                <w:sz w:val="18"/>
                <w:szCs w:val="18"/>
                <w:color w:val="auto"/>
              </w:rPr>
            </w:pP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c>
          <w:tcPr>
            <w:tcW w:w="800" w:type="dxa"/>
            <w:vAlign w:val="bottom"/>
            <w:tcBorders>
              <w:top w:val="single" w:sz="8" w:color="auto"/>
              <w:bottom w:val="single" w:sz="8" w:color="auto"/>
            </w:tcBorders>
            <w:shd w:val="clear" w:color="auto" w:fill="E5FFFF"/>
          </w:tcPr>
          <w:p>
            <w:pPr>
              <w:ind w:left="20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c>
          <w:tcPr>
            <w:tcW w:w="19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516,814</w:t>
            </w: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497,844</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36"/>
        <w:spacing w:after="0" w:line="255" w:lineRule="auto"/>
        <w:rPr>
          <w:sz w:val="20"/>
          <w:szCs w:val="20"/>
          <w:color w:val="auto"/>
        </w:rPr>
      </w:pPr>
      <w:r>
        <w:rPr>
          <w:rFonts w:ascii="Arial" w:cs="Arial" w:eastAsia="Arial" w:hAnsi="Arial"/>
          <w:sz w:val="18"/>
          <w:szCs w:val="18"/>
          <w:color w:val="auto"/>
        </w:rPr>
        <w:t>The derivative instruments listed above were not designated as cash flow hedging instruments as of June 30, 2016. The change in the fair value of these contracts for the three and six months ended June 30, 2016 amounted to a net loss of $1,372 and $9,509 (for the three and six months ended June 30, 2015: a gain of $4,079 and a loss of $430, respectively), which was recognized against profit or loss in the period incurred and is included in Loss on swaps. During the three and six months ended June 30, 2016, the net loss of $1,372 and $9,509 derived mainly from the fact that the LIBOR yield curve, which was used to calculate the present value of the estimated future cash flows, was lower than the agreed fixed interest rates resulting in an increase in derivative liabilities from interest rate swaps held for trading.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 currency swap agreements (“CCSs”)</w:t>
      </w:r>
    </w:p>
    <w:p>
      <w:pPr>
        <w:spacing w:after="0" w:line="229" w:lineRule="exact"/>
        <w:rPr>
          <w:sz w:val="20"/>
          <w:szCs w:val="20"/>
          <w:color w:val="auto"/>
        </w:rPr>
      </w:pPr>
    </w:p>
    <w:p>
      <w:pPr>
        <w:jc w:val="both"/>
        <w:ind w:right="220" w:firstLine="356"/>
        <w:spacing w:after="0" w:line="264" w:lineRule="auto"/>
        <w:rPr>
          <w:sz w:val="20"/>
          <w:szCs w:val="20"/>
          <w:color w:val="auto"/>
        </w:rPr>
      </w:pPr>
      <w:r>
        <w:rPr>
          <w:rFonts w:ascii="Arial" w:cs="Arial" w:eastAsia="Arial" w:hAnsi="Arial"/>
          <w:sz w:val="18"/>
          <w:szCs w:val="18"/>
          <w:color w:val="auto"/>
        </w:rPr>
        <w:t>The Group enters into CCSs which convert the floating interest rate exposure and the variability of the USD functional currency equivalent cash flows into a fixed interest rate and principal on maturity in order to hedge the Group’s exposure to fluctuations deriving from its senior unsecured notes which are denominated in NOK.</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principal terms of the CCSs designated as cash flow hedging instruments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3"/>
              </w:rPr>
              <w:t>Fixed</w:t>
            </w:r>
          </w:p>
        </w:tc>
        <w:tc>
          <w:tcPr>
            <w:tcW w:w="3520" w:type="dxa"/>
            <w:vAlign w:val="bottom"/>
            <w:tcBorders>
              <w:bottom w:val="single" w:sz="8" w:color="auto"/>
            </w:tcBorders>
            <w:gridSpan w:val="3"/>
          </w:tcPr>
          <w:p>
            <w:pPr>
              <w:jc w:val="right"/>
              <w:ind w:right="990"/>
              <w:spacing w:after="0"/>
              <w:rPr>
                <w:sz w:val="20"/>
                <w:szCs w:val="20"/>
                <w:color w:val="auto"/>
              </w:rPr>
            </w:pPr>
            <w:r>
              <w:rPr>
                <w:rFonts w:ascii="Arial" w:cs="Arial" w:eastAsia="Arial" w:hAnsi="Arial"/>
                <w:sz w:val="18"/>
                <w:szCs w:val="18"/>
                <w:b w:val="1"/>
                <w:bCs w:val="1"/>
                <w:color w:val="auto"/>
              </w:rPr>
              <w:t>Notional Amount</w:t>
            </w:r>
          </w:p>
        </w:tc>
        <w:tc>
          <w:tcPr>
            <w:tcW w:w="0" w:type="dxa"/>
            <w:vAlign w:val="bottom"/>
          </w:tcPr>
          <w:p>
            <w:pPr>
              <w:spacing w:after="0"/>
              <w:rPr>
                <w:sz w:val="1"/>
                <w:szCs w:val="1"/>
                <w:color w:val="auto"/>
              </w:rPr>
            </w:pPr>
          </w:p>
        </w:tc>
      </w:tr>
      <w:tr>
        <w:trPr>
          <w:trHeight w:val="178"/>
        </w:trPr>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Trade</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Effective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Termination</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Interest</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Company</w:t>
            </w:r>
          </w:p>
        </w:tc>
        <w:tc>
          <w:tcPr>
            <w:tcW w:w="120" w:type="dxa"/>
            <w:vAlign w:val="bottom"/>
            <w:tcBorders>
              <w:bottom w:val="single" w:sz="8" w:color="E5FFFF"/>
            </w:tcBorders>
            <w:gridSpan w:val="2"/>
          </w:tcPr>
          <w:p>
            <w:pPr>
              <w:spacing w:after="0"/>
              <w:rPr>
                <w:sz w:val="20"/>
                <w:szCs w:val="20"/>
                <w:color w:val="auto"/>
              </w:rPr>
            </w:pPr>
          </w:p>
        </w:tc>
        <w:tc>
          <w:tcPr>
            <w:tcW w:w="16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Counterparty</w:t>
            </w:r>
          </w:p>
        </w:tc>
        <w:tc>
          <w:tcPr>
            <w:tcW w:w="120" w:type="dxa"/>
            <w:vAlign w:val="bottom"/>
            <w:tcBorders>
              <w:bottom w:val="single" w:sz="8" w:color="E5FFFF"/>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Borders>
              <w:bottom w:val="single" w:sz="8" w:color="E5FFFF"/>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Borders>
              <w:bottom w:val="single" w:sz="8" w:color="E5FF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Borders>
              <w:bottom w:val="single" w:sz="8" w:color="E5FFFF"/>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100" w:type="dxa"/>
            <w:vAlign w:val="bottom"/>
            <w:tcBorders>
              <w:bottom w:val="single" w:sz="8" w:color="E5FFFF"/>
            </w:tcBorders>
          </w:tcPr>
          <w:p>
            <w:pPr>
              <w:spacing w:after="0"/>
              <w:rPr>
                <w:sz w:val="20"/>
                <w:szCs w:val="20"/>
                <w:color w:val="auto"/>
              </w:rPr>
            </w:pPr>
          </w:p>
        </w:tc>
        <w:tc>
          <w:tcPr>
            <w:tcW w:w="1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December 31, 2015</w:t>
            </w:r>
          </w:p>
        </w:tc>
        <w:tc>
          <w:tcPr>
            <w:tcW w:w="100" w:type="dxa"/>
            <w:vAlign w:val="bottom"/>
            <w:tcBorders>
              <w:bottom w:val="single" w:sz="8" w:color="E5FFFF"/>
            </w:tcBorders>
          </w:tcPr>
          <w:p>
            <w:pPr>
              <w:spacing w:after="0"/>
              <w:rPr>
                <w:sz w:val="20"/>
                <w:szCs w:val="20"/>
                <w:color w:val="auto"/>
              </w:rPr>
            </w:pPr>
          </w:p>
        </w:tc>
        <w:tc>
          <w:tcPr>
            <w:tcW w:w="1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June 30, 2016</w:t>
            </w:r>
          </w:p>
        </w:tc>
        <w:tc>
          <w:tcPr>
            <w:tcW w:w="0" w:type="dxa"/>
            <w:vAlign w:val="bottom"/>
          </w:tcPr>
          <w:p>
            <w:pPr>
              <w:spacing w:after="0"/>
              <w:rPr>
                <w:sz w:val="1"/>
                <w:szCs w:val="1"/>
                <w:color w:val="auto"/>
              </w:rPr>
            </w:pPr>
          </w:p>
        </w:tc>
      </w:tr>
      <w:tr>
        <w:trPr>
          <w:trHeight w:val="250"/>
        </w:trPr>
        <w:tc>
          <w:tcPr>
            <w:tcW w:w="1620" w:type="dxa"/>
            <w:vAlign w:val="bottom"/>
            <w:shd w:val="clear" w:color="auto" w:fill="E5FFFF"/>
          </w:tcPr>
          <w:p>
            <w:pPr>
              <w:spacing w:after="0" w:line="251" w:lineRule="exact"/>
              <w:rPr>
                <w:sz w:val="20"/>
                <w:szCs w:val="20"/>
                <w:color w:val="auto"/>
              </w:rPr>
            </w:pPr>
            <w:r>
              <w:rPr>
                <w:rFonts w:ascii="Arial" w:cs="Arial" w:eastAsia="Arial" w:hAnsi="Arial"/>
                <w:sz w:val="18"/>
                <w:szCs w:val="18"/>
                <w:color w:val="auto"/>
              </w:rPr>
              <w:t>GasLog Ltd.</w:t>
            </w:r>
            <w:r>
              <w:rPr>
                <w:rFonts w:ascii="Arial" w:cs="Arial" w:eastAsia="Arial" w:hAnsi="Arial"/>
                <w:sz w:val="29"/>
                <w:szCs w:val="29"/>
                <w:color w:val="auto"/>
                <w:vertAlign w:val="superscript"/>
              </w:rPr>
              <w:t>(1)</w:t>
            </w: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7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DNB Bank ASA</w:t>
            </w:r>
          </w:p>
        </w:tc>
        <w:tc>
          <w:tcPr>
            <w:tcW w:w="10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7"/>
              </w:rPr>
              <w:t>June 2013</w:t>
            </w:r>
          </w:p>
        </w:tc>
        <w:tc>
          <w:tcPr>
            <w:tcW w:w="116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7"/>
              </w:rPr>
              <w:t>June 2013</w:t>
            </w:r>
          </w:p>
        </w:tc>
        <w:tc>
          <w:tcPr>
            <w:tcW w:w="13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87"/>
              </w:rPr>
              <w:t>June 2016</w:t>
            </w:r>
          </w:p>
        </w:tc>
        <w:tc>
          <w:tcPr>
            <w:tcW w:w="8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3"/>
              </w:rPr>
              <w:t>7.40%</w:t>
            </w:r>
          </w:p>
        </w:tc>
        <w:tc>
          <w:tcPr>
            <w:tcW w:w="100" w:type="dxa"/>
            <w:vAlign w:val="bottom"/>
            <w:shd w:val="clear" w:color="auto" w:fill="E5FFFF"/>
          </w:tcPr>
          <w:p>
            <w:pPr>
              <w:spacing w:after="0"/>
              <w:rPr>
                <w:sz w:val="21"/>
                <w:szCs w:val="21"/>
                <w:color w:val="auto"/>
              </w:rPr>
            </w:pPr>
          </w:p>
        </w:tc>
        <w:tc>
          <w:tcPr>
            <w:tcW w:w="20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27,732</w:t>
            </w:r>
          </w:p>
        </w:tc>
        <w:tc>
          <w:tcPr>
            <w:tcW w:w="14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740" w:type="dxa"/>
            <w:vAlign w:val="bottom"/>
            <w:gridSpan w:val="3"/>
          </w:tcPr>
          <w:p>
            <w:pPr>
              <w:spacing w:after="0" w:line="256" w:lineRule="exact"/>
              <w:rPr>
                <w:sz w:val="20"/>
                <w:szCs w:val="20"/>
                <w:color w:val="auto"/>
              </w:rPr>
            </w:pPr>
            <w:r>
              <w:rPr>
                <w:rFonts w:ascii="Arial" w:cs="Arial" w:eastAsia="Arial" w:hAnsi="Arial"/>
                <w:sz w:val="18"/>
                <w:szCs w:val="18"/>
                <w:color w:val="auto"/>
              </w:rPr>
              <w:t>GasLog Ltd.</w:t>
            </w:r>
            <w:r>
              <w:rPr>
                <w:rFonts w:ascii="Arial" w:cs="Arial" w:eastAsia="Arial" w:hAnsi="Arial"/>
                <w:sz w:val="29"/>
                <w:szCs w:val="29"/>
                <w:color w:val="auto"/>
                <w:vertAlign w:val="superscript"/>
              </w:rPr>
              <w:t>(1)</w:t>
            </w:r>
          </w:p>
        </w:tc>
        <w:tc>
          <w:tcPr>
            <w:tcW w:w="1720" w:type="dxa"/>
            <w:vAlign w:val="bottom"/>
            <w:gridSpan w:val="2"/>
          </w:tcPr>
          <w:p>
            <w:pPr>
              <w:spacing w:after="0"/>
              <w:rPr>
                <w:sz w:val="20"/>
                <w:szCs w:val="20"/>
                <w:color w:val="auto"/>
              </w:rPr>
            </w:pPr>
            <w:r>
              <w:rPr>
                <w:rFonts w:ascii="Arial" w:cs="Arial" w:eastAsia="Arial" w:hAnsi="Arial"/>
                <w:sz w:val="18"/>
                <w:szCs w:val="18"/>
                <w:color w:val="auto"/>
              </w:rPr>
              <w:t>SEB</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2013</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2013</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2016</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7.41%</w:t>
            </w:r>
          </w:p>
        </w:tc>
        <w:tc>
          <w:tcPr>
            <w:tcW w:w="100" w:type="dxa"/>
            <w:vAlign w:val="bottom"/>
          </w:tcPr>
          <w:p>
            <w:pPr>
              <w:spacing w:after="0"/>
              <w:rPr>
                <w:sz w:val="22"/>
                <w:szCs w:val="22"/>
                <w:color w:val="auto"/>
              </w:rPr>
            </w:pP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27,731</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740" w:type="dxa"/>
            <w:vAlign w:val="bottom"/>
            <w:gridSpan w:val="3"/>
            <w:shd w:val="clear" w:color="auto" w:fill="E5FFFF"/>
          </w:tcPr>
          <w:p>
            <w:pPr>
              <w:spacing w:after="0" w:line="256" w:lineRule="exact"/>
              <w:rPr>
                <w:sz w:val="20"/>
                <w:szCs w:val="20"/>
                <w:color w:val="auto"/>
              </w:rPr>
            </w:pPr>
            <w:r>
              <w:rPr>
                <w:rFonts w:ascii="Arial" w:cs="Arial" w:eastAsia="Arial" w:hAnsi="Arial"/>
                <w:sz w:val="18"/>
                <w:szCs w:val="18"/>
                <w:color w:val="auto"/>
              </w:rPr>
              <w:t>GasLog Ltd.</w:t>
            </w:r>
            <w:r>
              <w:rPr>
                <w:rFonts w:ascii="Arial" w:cs="Arial" w:eastAsia="Arial" w:hAnsi="Arial"/>
                <w:sz w:val="29"/>
                <w:szCs w:val="29"/>
                <w:color w:val="auto"/>
                <w:vertAlign w:val="superscript"/>
              </w:rPr>
              <w:t>(1)</w:t>
            </w:r>
          </w:p>
        </w:tc>
        <w:tc>
          <w:tcPr>
            <w:tcW w:w="17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Nordea Bank Finland</w:t>
            </w:r>
          </w:p>
        </w:tc>
        <w:tc>
          <w:tcPr>
            <w:tcW w:w="10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7"/>
              </w:rPr>
              <w:t>June 2013</w:t>
            </w:r>
          </w:p>
        </w:tc>
        <w:tc>
          <w:tcPr>
            <w:tcW w:w="116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7"/>
              </w:rPr>
              <w:t>June 2013</w:t>
            </w:r>
          </w:p>
        </w:tc>
        <w:tc>
          <w:tcPr>
            <w:tcW w:w="13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87"/>
              </w:rPr>
              <w:t>June 2016</w:t>
            </w:r>
          </w:p>
        </w:tc>
        <w:tc>
          <w:tcPr>
            <w:tcW w:w="8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3"/>
              </w:rPr>
              <w:t>7.43%</w:t>
            </w:r>
          </w:p>
        </w:tc>
        <w:tc>
          <w:tcPr>
            <w:tcW w:w="100" w:type="dxa"/>
            <w:vAlign w:val="bottom"/>
            <w:shd w:val="clear" w:color="auto" w:fill="E5FFFF"/>
          </w:tcPr>
          <w:p>
            <w:pPr>
              <w:spacing w:after="0"/>
              <w:rPr>
                <w:sz w:val="22"/>
                <w:szCs w:val="22"/>
                <w:color w:val="auto"/>
              </w:rPr>
            </w:pPr>
          </w:p>
        </w:tc>
        <w:tc>
          <w:tcPr>
            <w:tcW w:w="20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27,743</w:t>
            </w:r>
          </w:p>
        </w:tc>
        <w:tc>
          <w:tcPr>
            <w:tcW w:w="14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740" w:type="dxa"/>
            <w:vAlign w:val="bottom"/>
            <w:gridSpan w:val="3"/>
          </w:tcPr>
          <w:p>
            <w:pPr>
              <w:spacing w:after="0" w:line="256" w:lineRule="exact"/>
              <w:rPr>
                <w:sz w:val="20"/>
                <w:szCs w:val="20"/>
                <w:color w:val="auto"/>
              </w:rPr>
            </w:pPr>
            <w:r>
              <w:rPr>
                <w:rFonts w:ascii="Arial" w:cs="Arial" w:eastAsia="Arial" w:hAnsi="Arial"/>
                <w:sz w:val="18"/>
                <w:szCs w:val="18"/>
                <w:color w:val="auto"/>
              </w:rPr>
              <w:t>GasLog Ltd.</w:t>
            </w:r>
            <w:r>
              <w:rPr>
                <w:rFonts w:ascii="Arial" w:cs="Arial" w:eastAsia="Arial" w:hAnsi="Arial"/>
                <w:sz w:val="29"/>
                <w:szCs w:val="29"/>
                <w:color w:val="auto"/>
                <w:vertAlign w:val="superscript"/>
              </w:rPr>
              <w:t>(1)</w:t>
            </w:r>
          </w:p>
        </w:tc>
        <w:tc>
          <w:tcPr>
            <w:tcW w:w="1720" w:type="dxa"/>
            <w:vAlign w:val="bottom"/>
            <w:gridSpan w:val="2"/>
          </w:tcPr>
          <w:p>
            <w:pPr>
              <w:spacing w:after="0"/>
              <w:rPr>
                <w:sz w:val="20"/>
                <w:szCs w:val="20"/>
                <w:color w:val="auto"/>
              </w:rPr>
            </w:pPr>
            <w:r>
              <w:rPr>
                <w:rFonts w:ascii="Arial" w:cs="Arial" w:eastAsia="Arial" w:hAnsi="Arial"/>
                <w:sz w:val="18"/>
                <w:szCs w:val="18"/>
                <w:color w:val="auto"/>
              </w:rPr>
              <w:t>DNB Bank ASA</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April 2014</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May 2014</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2018</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5.99%</w:t>
            </w:r>
          </w:p>
        </w:tc>
        <w:tc>
          <w:tcPr>
            <w:tcW w:w="100" w:type="dxa"/>
            <w:vAlign w:val="bottom"/>
          </w:tcPr>
          <w:p>
            <w:pPr>
              <w:spacing w:after="0"/>
              <w:rPr>
                <w:sz w:val="22"/>
                <w:szCs w:val="22"/>
                <w:color w:val="auto"/>
              </w:rPr>
            </w:pP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27,871</w:t>
            </w:r>
          </w:p>
        </w:tc>
        <w:tc>
          <w:tcPr>
            <w:tcW w:w="1480" w:type="dxa"/>
            <w:vAlign w:val="bottom"/>
          </w:tcPr>
          <w:p>
            <w:pPr>
              <w:jc w:val="right"/>
              <w:spacing w:after="0"/>
              <w:rPr>
                <w:sz w:val="20"/>
                <w:szCs w:val="20"/>
                <w:color w:val="auto"/>
              </w:rPr>
            </w:pPr>
            <w:r>
              <w:rPr>
                <w:rFonts w:ascii="Arial" w:cs="Arial" w:eastAsia="Arial" w:hAnsi="Arial"/>
                <w:sz w:val="18"/>
                <w:szCs w:val="18"/>
                <w:color w:val="auto"/>
              </w:rPr>
              <w:t>22,965</w:t>
            </w:r>
          </w:p>
        </w:tc>
        <w:tc>
          <w:tcPr>
            <w:tcW w:w="0" w:type="dxa"/>
            <w:vAlign w:val="bottom"/>
          </w:tcPr>
          <w:p>
            <w:pPr>
              <w:spacing w:after="0"/>
              <w:rPr>
                <w:sz w:val="1"/>
                <w:szCs w:val="1"/>
                <w:color w:val="auto"/>
              </w:rPr>
            </w:pPr>
          </w:p>
        </w:tc>
      </w:tr>
      <w:tr>
        <w:trPr>
          <w:trHeight w:val="257"/>
        </w:trPr>
        <w:tc>
          <w:tcPr>
            <w:tcW w:w="1740" w:type="dxa"/>
            <w:vAlign w:val="bottom"/>
            <w:gridSpan w:val="3"/>
            <w:shd w:val="clear" w:color="auto" w:fill="E5FFFF"/>
          </w:tcPr>
          <w:p>
            <w:pPr>
              <w:spacing w:after="0" w:line="256" w:lineRule="exact"/>
              <w:rPr>
                <w:sz w:val="20"/>
                <w:szCs w:val="20"/>
                <w:color w:val="auto"/>
              </w:rPr>
            </w:pPr>
            <w:r>
              <w:rPr>
                <w:rFonts w:ascii="Arial" w:cs="Arial" w:eastAsia="Arial" w:hAnsi="Arial"/>
                <w:sz w:val="18"/>
                <w:szCs w:val="18"/>
                <w:color w:val="auto"/>
              </w:rPr>
              <w:t>GasLog Ltd.</w:t>
            </w:r>
            <w:r>
              <w:rPr>
                <w:rFonts w:ascii="Arial" w:cs="Arial" w:eastAsia="Arial" w:hAnsi="Arial"/>
                <w:sz w:val="29"/>
                <w:szCs w:val="29"/>
                <w:color w:val="auto"/>
                <w:vertAlign w:val="superscript"/>
              </w:rPr>
              <w:t>(1)</w:t>
            </w:r>
          </w:p>
        </w:tc>
        <w:tc>
          <w:tcPr>
            <w:tcW w:w="17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SEB</w:t>
            </w:r>
          </w:p>
        </w:tc>
        <w:tc>
          <w:tcPr>
            <w:tcW w:w="10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6"/>
              </w:rPr>
              <w:t>April 2014</w:t>
            </w:r>
          </w:p>
        </w:tc>
        <w:tc>
          <w:tcPr>
            <w:tcW w:w="116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3"/>
              </w:rPr>
              <w:t>May 2014</w:t>
            </w:r>
          </w:p>
        </w:tc>
        <w:tc>
          <w:tcPr>
            <w:tcW w:w="13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87"/>
              </w:rPr>
              <w:t>June 2018</w:t>
            </w:r>
          </w:p>
        </w:tc>
        <w:tc>
          <w:tcPr>
            <w:tcW w:w="8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3"/>
              </w:rPr>
              <w:t>5.99%</w:t>
            </w:r>
          </w:p>
        </w:tc>
        <w:tc>
          <w:tcPr>
            <w:tcW w:w="100" w:type="dxa"/>
            <w:vAlign w:val="bottom"/>
            <w:shd w:val="clear" w:color="auto" w:fill="E5FFFF"/>
          </w:tcPr>
          <w:p>
            <w:pPr>
              <w:spacing w:after="0"/>
              <w:rPr>
                <w:sz w:val="22"/>
                <w:szCs w:val="22"/>
                <w:color w:val="auto"/>
              </w:rPr>
            </w:pPr>
          </w:p>
        </w:tc>
        <w:tc>
          <w:tcPr>
            <w:tcW w:w="20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27,871</w:t>
            </w:r>
          </w:p>
        </w:tc>
        <w:tc>
          <w:tcPr>
            <w:tcW w:w="14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22,965</w:t>
            </w:r>
          </w:p>
        </w:tc>
        <w:tc>
          <w:tcPr>
            <w:tcW w:w="0" w:type="dxa"/>
            <w:vAlign w:val="bottom"/>
          </w:tcPr>
          <w:p>
            <w:pPr>
              <w:spacing w:after="0"/>
              <w:rPr>
                <w:sz w:val="1"/>
                <w:szCs w:val="1"/>
                <w:color w:val="auto"/>
              </w:rPr>
            </w:pPr>
          </w:p>
        </w:tc>
      </w:tr>
      <w:tr>
        <w:trPr>
          <w:trHeight w:val="257"/>
        </w:trPr>
        <w:tc>
          <w:tcPr>
            <w:tcW w:w="1740" w:type="dxa"/>
            <w:vAlign w:val="bottom"/>
            <w:gridSpan w:val="3"/>
          </w:tcPr>
          <w:p>
            <w:pPr>
              <w:spacing w:after="0" w:line="256" w:lineRule="exact"/>
              <w:rPr>
                <w:sz w:val="20"/>
                <w:szCs w:val="20"/>
                <w:color w:val="auto"/>
              </w:rPr>
            </w:pPr>
            <w:r>
              <w:rPr>
                <w:rFonts w:ascii="Arial" w:cs="Arial" w:eastAsia="Arial" w:hAnsi="Arial"/>
                <w:sz w:val="18"/>
                <w:szCs w:val="18"/>
                <w:color w:val="auto"/>
              </w:rPr>
              <w:t>GasLog Ltd.</w:t>
            </w:r>
            <w:r>
              <w:rPr>
                <w:rFonts w:ascii="Arial" w:cs="Arial" w:eastAsia="Arial" w:hAnsi="Arial"/>
                <w:sz w:val="29"/>
                <w:szCs w:val="29"/>
                <w:color w:val="auto"/>
                <w:vertAlign w:val="superscript"/>
              </w:rPr>
              <w:t>(1)</w:t>
            </w:r>
          </w:p>
        </w:tc>
        <w:tc>
          <w:tcPr>
            <w:tcW w:w="1720" w:type="dxa"/>
            <w:vAlign w:val="bottom"/>
            <w:gridSpan w:val="2"/>
          </w:tcPr>
          <w:p>
            <w:pPr>
              <w:spacing w:after="0"/>
              <w:rPr>
                <w:sz w:val="20"/>
                <w:szCs w:val="20"/>
                <w:color w:val="auto"/>
              </w:rPr>
            </w:pPr>
            <w:r>
              <w:rPr>
                <w:rFonts w:ascii="Arial" w:cs="Arial" w:eastAsia="Arial" w:hAnsi="Arial"/>
                <w:sz w:val="18"/>
                <w:szCs w:val="18"/>
                <w:color w:val="auto"/>
              </w:rPr>
              <w:t>Nordea Bank Finland</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April 2014</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May 2014</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2018</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5.99%</w:t>
            </w:r>
          </w:p>
        </w:tc>
        <w:tc>
          <w:tcPr>
            <w:tcW w:w="100" w:type="dxa"/>
            <w:vAlign w:val="bottom"/>
          </w:tcPr>
          <w:p>
            <w:pPr>
              <w:spacing w:after="0"/>
              <w:rPr>
                <w:sz w:val="22"/>
                <w:szCs w:val="22"/>
                <w:color w:val="auto"/>
              </w:rPr>
            </w:pP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27,871</w:t>
            </w:r>
          </w:p>
        </w:tc>
        <w:tc>
          <w:tcPr>
            <w:tcW w:w="1480" w:type="dxa"/>
            <w:vAlign w:val="bottom"/>
          </w:tcPr>
          <w:p>
            <w:pPr>
              <w:jc w:val="right"/>
              <w:spacing w:after="0"/>
              <w:rPr>
                <w:sz w:val="20"/>
                <w:szCs w:val="20"/>
                <w:color w:val="auto"/>
              </w:rPr>
            </w:pPr>
            <w:r>
              <w:rPr>
                <w:rFonts w:ascii="Arial" w:cs="Arial" w:eastAsia="Arial" w:hAnsi="Arial"/>
                <w:sz w:val="18"/>
                <w:szCs w:val="18"/>
                <w:color w:val="auto"/>
              </w:rPr>
              <w:t>22,965</w:t>
            </w:r>
          </w:p>
        </w:tc>
        <w:tc>
          <w:tcPr>
            <w:tcW w:w="0" w:type="dxa"/>
            <w:vAlign w:val="bottom"/>
          </w:tcPr>
          <w:p>
            <w:pPr>
              <w:spacing w:after="0"/>
              <w:rPr>
                <w:sz w:val="1"/>
                <w:szCs w:val="1"/>
                <w:color w:val="auto"/>
              </w:rPr>
            </w:pPr>
          </w:p>
        </w:tc>
      </w:tr>
      <w:tr>
        <w:trPr>
          <w:trHeight w:val="257"/>
        </w:trPr>
        <w:tc>
          <w:tcPr>
            <w:tcW w:w="1740" w:type="dxa"/>
            <w:vAlign w:val="bottom"/>
            <w:gridSpan w:val="3"/>
            <w:shd w:val="clear" w:color="auto" w:fill="E5FFFF"/>
          </w:tcPr>
          <w:p>
            <w:pPr>
              <w:spacing w:after="0" w:line="256" w:lineRule="exact"/>
              <w:rPr>
                <w:sz w:val="20"/>
                <w:szCs w:val="20"/>
                <w:color w:val="auto"/>
              </w:rPr>
            </w:pPr>
            <w:r>
              <w:rPr>
                <w:rFonts w:ascii="Arial" w:cs="Arial" w:eastAsia="Arial" w:hAnsi="Arial"/>
                <w:sz w:val="18"/>
                <w:szCs w:val="18"/>
                <w:color w:val="auto"/>
              </w:rPr>
              <w:t>GasLog Ltd.</w:t>
            </w:r>
            <w:r>
              <w:rPr>
                <w:rFonts w:ascii="Arial" w:cs="Arial" w:eastAsia="Arial" w:hAnsi="Arial"/>
                <w:sz w:val="29"/>
                <w:szCs w:val="29"/>
                <w:color w:val="auto"/>
                <w:vertAlign w:val="superscript"/>
              </w:rPr>
              <w:t>(2)</w:t>
            </w:r>
          </w:p>
        </w:tc>
        <w:tc>
          <w:tcPr>
            <w:tcW w:w="17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DNB Bank ASA</w:t>
            </w:r>
          </w:p>
        </w:tc>
        <w:tc>
          <w:tcPr>
            <w:tcW w:w="10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7"/>
              </w:rPr>
              <w:t>June 2016</w:t>
            </w:r>
          </w:p>
        </w:tc>
        <w:tc>
          <w:tcPr>
            <w:tcW w:w="116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7"/>
              </w:rPr>
              <w:t>June 2016</w:t>
            </w:r>
          </w:p>
        </w:tc>
        <w:tc>
          <w:tcPr>
            <w:tcW w:w="13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3"/>
              </w:rPr>
              <w:t>May 2021</w:t>
            </w:r>
          </w:p>
        </w:tc>
        <w:tc>
          <w:tcPr>
            <w:tcW w:w="8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3"/>
              </w:rPr>
              <w:t>8.59%</w:t>
            </w:r>
          </w:p>
        </w:tc>
        <w:tc>
          <w:tcPr>
            <w:tcW w:w="100" w:type="dxa"/>
            <w:vAlign w:val="bottom"/>
            <w:shd w:val="clear" w:color="auto" w:fill="E5FFFF"/>
          </w:tcPr>
          <w:p>
            <w:pPr>
              <w:spacing w:after="0"/>
              <w:rPr>
                <w:sz w:val="22"/>
                <w:szCs w:val="22"/>
                <w:color w:val="auto"/>
              </w:rPr>
            </w:pPr>
          </w:p>
        </w:tc>
        <w:tc>
          <w:tcPr>
            <w:tcW w:w="20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30,050</w:t>
            </w:r>
          </w:p>
        </w:tc>
        <w:tc>
          <w:tcPr>
            <w:tcW w:w="0" w:type="dxa"/>
            <w:vAlign w:val="bottom"/>
          </w:tcPr>
          <w:p>
            <w:pPr>
              <w:spacing w:after="0"/>
              <w:rPr>
                <w:sz w:val="1"/>
                <w:szCs w:val="1"/>
                <w:color w:val="auto"/>
              </w:rPr>
            </w:pPr>
          </w:p>
        </w:tc>
      </w:tr>
      <w:tr>
        <w:trPr>
          <w:trHeight w:val="257"/>
        </w:trPr>
        <w:tc>
          <w:tcPr>
            <w:tcW w:w="1740" w:type="dxa"/>
            <w:vAlign w:val="bottom"/>
            <w:gridSpan w:val="3"/>
          </w:tcPr>
          <w:p>
            <w:pPr>
              <w:spacing w:after="0" w:line="256" w:lineRule="exact"/>
              <w:rPr>
                <w:sz w:val="20"/>
                <w:szCs w:val="20"/>
                <w:color w:val="auto"/>
              </w:rPr>
            </w:pPr>
            <w:r>
              <w:rPr>
                <w:rFonts w:ascii="Arial" w:cs="Arial" w:eastAsia="Arial" w:hAnsi="Arial"/>
                <w:sz w:val="18"/>
                <w:szCs w:val="18"/>
                <w:color w:val="auto"/>
              </w:rPr>
              <w:t>GasLog Ltd.</w:t>
            </w:r>
            <w:r>
              <w:rPr>
                <w:rFonts w:ascii="Arial" w:cs="Arial" w:eastAsia="Arial" w:hAnsi="Arial"/>
                <w:sz w:val="29"/>
                <w:szCs w:val="29"/>
                <w:color w:val="auto"/>
                <w:vertAlign w:val="superscript"/>
              </w:rPr>
              <w:t>(2)</w:t>
            </w:r>
          </w:p>
        </w:tc>
        <w:tc>
          <w:tcPr>
            <w:tcW w:w="1720" w:type="dxa"/>
            <w:vAlign w:val="bottom"/>
            <w:gridSpan w:val="2"/>
          </w:tcPr>
          <w:p>
            <w:pPr>
              <w:spacing w:after="0"/>
              <w:rPr>
                <w:sz w:val="20"/>
                <w:szCs w:val="20"/>
                <w:color w:val="auto"/>
              </w:rPr>
            </w:pPr>
            <w:r>
              <w:rPr>
                <w:rFonts w:ascii="Arial" w:cs="Arial" w:eastAsia="Arial" w:hAnsi="Arial"/>
                <w:sz w:val="18"/>
                <w:szCs w:val="18"/>
                <w:color w:val="auto"/>
              </w:rPr>
              <w:t>SEB</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2016</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2016</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May 2021</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8.59%</w:t>
            </w:r>
          </w:p>
        </w:tc>
        <w:tc>
          <w:tcPr>
            <w:tcW w:w="100" w:type="dxa"/>
            <w:vAlign w:val="bottom"/>
          </w:tcPr>
          <w:p>
            <w:pPr>
              <w:spacing w:after="0"/>
              <w:rPr>
                <w:sz w:val="22"/>
                <w:szCs w:val="22"/>
                <w:color w:val="auto"/>
              </w:rPr>
            </w:pP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30,050</w:t>
            </w:r>
          </w:p>
        </w:tc>
        <w:tc>
          <w:tcPr>
            <w:tcW w:w="0" w:type="dxa"/>
            <w:vAlign w:val="bottom"/>
          </w:tcPr>
          <w:p>
            <w:pPr>
              <w:spacing w:after="0"/>
              <w:rPr>
                <w:sz w:val="1"/>
                <w:szCs w:val="1"/>
                <w:color w:val="auto"/>
              </w:rPr>
            </w:pPr>
          </w:p>
        </w:tc>
      </w:tr>
      <w:tr>
        <w:trPr>
          <w:trHeight w:val="257"/>
        </w:trPr>
        <w:tc>
          <w:tcPr>
            <w:tcW w:w="1740" w:type="dxa"/>
            <w:vAlign w:val="bottom"/>
            <w:gridSpan w:val="3"/>
            <w:shd w:val="clear" w:color="auto" w:fill="E5FFFF"/>
          </w:tcPr>
          <w:p>
            <w:pPr>
              <w:spacing w:after="0" w:line="256" w:lineRule="exact"/>
              <w:rPr>
                <w:sz w:val="20"/>
                <w:szCs w:val="20"/>
                <w:color w:val="auto"/>
              </w:rPr>
            </w:pPr>
            <w:r>
              <w:rPr>
                <w:rFonts w:ascii="Arial" w:cs="Arial" w:eastAsia="Arial" w:hAnsi="Arial"/>
                <w:sz w:val="18"/>
                <w:szCs w:val="18"/>
                <w:color w:val="auto"/>
              </w:rPr>
              <w:t>GasLog Ltd.</w:t>
            </w:r>
            <w:r>
              <w:rPr>
                <w:rFonts w:ascii="Arial" w:cs="Arial" w:eastAsia="Arial" w:hAnsi="Arial"/>
                <w:sz w:val="29"/>
                <w:szCs w:val="29"/>
                <w:color w:val="auto"/>
                <w:vertAlign w:val="superscript"/>
              </w:rPr>
              <w:t>(2)</w:t>
            </w:r>
          </w:p>
        </w:tc>
        <w:tc>
          <w:tcPr>
            <w:tcW w:w="17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Nordea Bank Finland</w:t>
            </w:r>
          </w:p>
        </w:tc>
        <w:tc>
          <w:tcPr>
            <w:tcW w:w="10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7"/>
              </w:rPr>
              <w:t>June 2016</w:t>
            </w:r>
          </w:p>
        </w:tc>
        <w:tc>
          <w:tcPr>
            <w:tcW w:w="116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7"/>
              </w:rPr>
              <w:t>June 2016</w:t>
            </w:r>
          </w:p>
        </w:tc>
        <w:tc>
          <w:tcPr>
            <w:tcW w:w="13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3"/>
              </w:rPr>
              <w:t>May 2021</w:t>
            </w:r>
          </w:p>
        </w:tc>
        <w:tc>
          <w:tcPr>
            <w:tcW w:w="8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3"/>
              </w:rPr>
              <w:t>8.59%</w:t>
            </w:r>
          </w:p>
        </w:tc>
        <w:tc>
          <w:tcPr>
            <w:tcW w:w="100" w:type="dxa"/>
            <w:vAlign w:val="bottom"/>
            <w:shd w:val="clear" w:color="auto" w:fill="E5FFFF"/>
          </w:tcPr>
          <w:p>
            <w:pPr>
              <w:spacing w:after="0"/>
              <w:rPr>
                <w:sz w:val="22"/>
                <w:szCs w:val="22"/>
                <w:color w:val="auto"/>
              </w:rPr>
            </w:pPr>
          </w:p>
        </w:tc>
        <w:tc>
          <w:tcPr>
            <w:tcW w:w="20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30,050</w:t>
            </w: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18"/>
                <w:szCs w:val="18"/>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166,819</w:t>
            </w:r>
          </w:p>
        </w:tc>
        <w:tc>
          <w:tcPr>
            <w:tcW w:w="10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159,045</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340" w:right="160" w:hanging="332"/>
        <w:spacing w:after="0" w:line="253" w:lineRule="auto"/>
        <w:tabs>
          <w:tab w:leader="none" w:pos="340" w:val="left"/>
        </w:tabs>
        <w:numPr>
          <w:ilvl w:val="0"/>
          <w:numId w:val="28"/>
        </w:numPr>
        <w:rPr>
          <w:rFonts w:ascii="Arial" w:cs="Arial" w:eastAsia="Arial" w:hAnsi="Arial"/>
          <w:sz w:val="12"/>
          <w:szCs w:val="12"/>
          <w:color w:val="auto"/>
        </w:rPr>
      </w:pPr>
      <w:r>
        <w:rPr>
          <w:rFonts w:ascii="Arial" w:cs="Arial" w:eastAsia="Arial" w:hAnsi="Arial"/>
          <w:sz w:val="14"/>
          <w:szCs w:val="14"/>
          <w:color w:val="auto"/>
        </w:rPr>
        <w:t>On June 27, 2016, GasLog terminated the first three CCSs agreements and decreased the notional amount of the remaining three CCSs by paying their fair value on that date. The cumulative loss of $5,583 from the period that hedging was effective was recycled to profit or loss in the three and six months ended June 30, 2016.</w:t>
      </w:r>
    </w:p>
    <w:p>
      <w:pPr>
        <w:spacing w:after="0" w:line="106" w:lineRule="exact"/>
        <w:rPr>
          <w:rFonts w:ascii="Arial" w:cs="Arial" w:eastAsia="Arial" w:hAnsi="Arial"/>
          <w:sz w:val="12"/>
          <w:szCs w:val="12"/>
          <w:color w:val="auto"/>
        </w:rPr>
      </w:pPr>
    </w:p>
    <w:p>
      <w:pPr>
        <w:ind w:left="340" w:right="160" w:hanging="332"/>
        <w:spacing w:after="0" w:line="253" w:lineRule="auto"/>
        <w:tabs>
          <w:tab w:leader="none" w:pos="340" w:val="left"/>
        </w:tabs>
        <w:numPr>
          <w:ilvl w:val="0"/>
          <w:numId w:val="28"/>
        </w:numPr>
        <w:rPr>
          <w:rFonts w:ascii="Arial" w:cs="Arial" w:eastAsia="Arial" w:hAnsi="Arial"/>
          <w:sz w:val="12"/>
          <w:szCs w:val="12"/>
          <w:color w:val="auto"/>
        </w:rPr>
      </w:pPr>
      <w:r>
        <w:rPr>
          <w:rFonts w:ascii="Arial" w:cs="Arial" w:eastAsia="Arial" w:hAnsi="Arial"/>
          <w:sz w:val="14"/>
          <w:szCs w:val="14"/>
          <w:color w:val="auto"/>
        </w:rPr>
        <w:t>On June 20, 2016, in conjunction with the issuance of the New Bond (Note 6), GasLog entered into these CCSs to exchange interest payments and principal on maturity on the same terms as the New Bond.</w:t>
      </w:r>
    </w:p>
    <w:p>
      <w:pPr>
        <w:spacing w:after="0" w:line="111" w:lineRule="exact"/>
        <w:rPr>
          <w:sz w:val="20"/>
          <w:szCs w:val="20"/>
          <w:color w:val="auto"/>
        </w:rPr>
      </w:pPr>
    </w:p>
    <w:p>
      <w:pPr>
        <w:ind w:right="100" w:firstLine="356"/>
        <w:spacing w:after="0" w:line="293" w:lineRule="auto"/>
        <w:rPr>
          <w:sz w:val="20"/>
          <w:szCs w:val="20"/>
          <w:color w:val="auto"/>
        </w:rPr>
      </w:pPr>
      <w:r>
        <w:rPr>
          <w:rFonts w:ascii="Arial" w:cs="Arial" w:eastAsia="Arial" w:hAnsi="Arial"/>
          <w:sz w:val="16"/>
          <w:szCs w:val="16"/>
          <w:color w:val="auto"/>
        </w:rPr>
        <w:t>For the three and six months ended June 30, 2016, the effective portion of changes in the fair value of CCSs amounting to a loss of $6,608 and $382 has been recognized in Other comprehensive income (for the three and six months ended June 30, 2015: a gain of $4,227 and a loss of $7,582). For the three and six months ended June 30, 2016, a loss of $815 and $1,673 was recycled to profit or loss representing the realized loss on CCSs in relation to the interest expense component of the hedge (for the three and six months ended June 30, 2015: a loss $544 and $1,081, respectively). Additionally, for the three and six months ended June 30, 2016, a gain of $1,374 and a loss of $4,995, was recognized in Other comprehensive income in relation to the retranslation of the Bond in U.S. dollars as of June 30, 2016 (for the three and six months ended June 30, 2015: a loss of $2,643 and a gain of $7,824, respectively).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004"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jc w:val="right"/>
              <w:ind w:right="2130"/>
              <w:spacing w:after="0"/>
              <w:rPr>
                <w:sz w:val="20"/>
                <w:szCs w:val="20"/>
                <w:color w:val="auto"/>
              </w:rPr>
            </w:pPr>
            <w:r>
              <w:rPr>
                <w:rFonts w:ascii="Arial" w:cs="Arial" w:eastAsia="Arial" w:hAnsi="Arial"/>
                <w:sz w:val="18"/>
                <w:szCs w:val="18"/>
                <w:b w:val="1"/>
                <w:bCs w:val="1"/>
                <w:color w:val="auto"/>
                <w:w w:val="88"/>
              </w:rPr>
              <w:t>13. Financial Costs and Gain/Loss on Swaps</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An analysis of financial costs and loss on swaps is as follows:</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780" w:type="dxa"/>
            <w:vAlign w:val="bottom"/>
            <w:gridSpan w:val="4"/>
          </w:tcPr>
          <w:p>
            <w:pPr>
              <w:ind w:left="220"/>
              <w:spacing w:after="0"/>
              <w:rPr>
                <w:sz w:val="20"/>
                <w:szCs w:val="20"/>
                <w:color w:val="auto"/>
              </w:rPr>
            </w:pPr>
            <w:r>
              <w:rPr>
                <w:rFonts w:ascii="Arial" w:cs="Arial" w:eastAsia="Arial" w:hAnsi="Arial"/>
                <w:sz w:val="18"/>
                <w:szCs w:val="18"/>
                <w:b w:val="1"/>
                <w:bCs w:val="1"/>
                <w:color w:val="auto"/>
              </w:rPr>
              <w:t>For the three months ended</w:t>
            </w:r>
          </w:p>
        </w:tc>
        <w:tc>
          <w:tcPr>
            <w:tcW w:w="2620" w:type="dxa"/>
            <w:vAlign w:val="bottom"/>
            <w:gridSpan w:val="5"/>
          </w:tcPr>
          <w:p>
            <w:pPr>
              <w:ind w:left="28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2"/>
              </w:rPr>
              <w:t>June 30, 2015</w:t>
            </w: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2016</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June 30, 2015</w:t>
            </w:r>
          </w:p>
        </w:tc>
        <w:tc>
          <w:tcPr>
            <w:tcW w:w="1260" w:type="dxa"/>
            <w:vAlign w:val="bottom"/>
            <w:gridSpan w:val="3"/>
          </w:tcPr>
          <w:p>
            <w:pPr>
              <w:ind w:left="60"/>
              <w:spacing w:after="0"/>
              <w:rPr>
                <w:sz w:val="20"/>
                <w:szCs w:val="20"/>
                <w:color w:val="auto"/>
              </w:rPr>
            </w:pPr>
            <w:r>
              <w:rPr>
                <w:rFonts w:ascii="Arial" w:cs="Arial" w:eastAsia="Arial" w:hAnsi="Arial"/>
                <w:sz w:val="18"/>
                <w:szCs w:val="18"/>
                <w:b w:val="1"/>
                <w:bCs w:val="1"/>
                <w:color w:val="auto"/>
              </w:rPr>
              <w:t>June 30, 2016</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52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w w:val="97"/>
              </w:rPr>
              <w:t>Amortization and write-off of deferred loan/bond fees and premium</w:t>
            </w:r>
          </w:p>
        </w:tc>
        <w:tc>
          <w:tcPr>
            <w:tcW w:w="11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3,053</w:t>
            </w:r>
          </w:p>
        </w:tc>
        <w:tc>
          <w:tcPr>
            <w:tcW w:w="220" w:type="dxa"/>
            <w:vAlign w:val="bottom"/>
            <w:tcBorders>
              <w:top w:val="single" w:sz="8" w:color="E5FFFF"/>
            </w:tcBorders>
            <w:shd w:val="clear" w:color="auto" w:fill="E5FFFF"/>
          </w:tcPr>
          <w:p>
            <w:pPr>
              <w:spacing w:after="0"/>
              <w:rPr>
                <w:sz w:val="18"/>
                <w:szCs w:val="18"/>
                <w:color w:val="auto"/>
              </w:rPr>
            </w:pPr>
          </w:p>
        </w:tc>
        <w:tc>
          <w:tcPr>
            <w:tcW w:w="11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5,330</w:t>
            </w:r>
          </w:p>
        </w:tc>
        <w:tc>
          <w:tcPr>
            <w:tcW w:w="220" w:type="dxa"/>
            <w:vAlign w:val="bottom"/>
            <w:tcBorders>
              <w:top w:val="single" w:sz="8" w:color="E5FFFF"/>
            </w:tcBorders>
            <w:shd w:val="clear" w:color="auto" w:fill="E5FFFF"/>
          </w:tcPr>
          <w:p>
            <w:pPr>
              <w:spacing w:after="0"/>
              <w:rPr>
                <w:sz w:val="18"/>
                <w:szCs w:val="18"/>
                <w:color w:val="auto"/>
              </w:rPr>
            </w:pPr>
          </w:p>
        </w:tc>
        <w:tc>
          <w:tcPr>
            <w:tcW w:w="11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4,999</w:t>
            </w:r>
          </w:p>
        </w:tc>
        <w:tc>
          <w:tcPr>
            <w:tcW w:w="200" w:type="dxa"/>
            <w:vAlign w:val="bottom"/>
            <w:tcBorders>
              <w:top w:val="single" w:sz="8" w:color="E5FFFF"/>
            </w:tcBorders>
            <w:shd w:val="clear" w:color="auto" w:fill="E5FFFF"/>
          </w:tcPr>
          <w:p>
            <w:pPr>
              <w:spacing w:after="0"/>
              <w:rPr>
                <w:sz w:val="18"/>
                <w:szCs w:val="18"/>
                <w:color w:val="auto"/>
              </w:rPr>
            </w:pPr>
          </w:p>
        </w:tc>
        <w:tc>
          <w:tcPr>
            <w:tcW w:w="11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11,357</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Interest expense on loans and realized loss on cash flow hedges</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18,064</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17,977</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31,622</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36,290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200" w:type="dxa"/>
            <w:vAlign w:val="bottom"/>
            <w:shd w:val="clear" w:color="auto" w:fill="E5FFFF"/>
          </w:tcPr>
          <w:p>
            <w:pPr>
              <w:spacing w:after="0"/>
              <w:rPr>
                <w:sz w:val="20"/>
                <w:szCs w:val="20"/>
                <w:color w:val="auto"/>
              </w:rPr>
            </w:pPr>
            <w:r>
              <w:rPr>
                <w:rFonts w:ascii="Arial" w:cs="Arial" w:eastAsia="Arial" w:hAnsi="Arial"/>
                <w:sz w:val="18"/>
                <w:szCs w:val="18"/>
                <w:color w:val="auto"/>
                <w:w w:val="94"/>
              </w:rPr>
              <w:t>Interest expense on Bond and realized loss on cross-currency swaps</w:t>
            </w:r>
          </w:p>
        </w:tc>
        <w:tc>
          <w:tcPr>
            <w:tcW w:w="138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2,825</w:t>
            </w:r>
          </w:p>
        </w:tc>
        <w:tc>
          <w:tcPr>
            <w:tcW w:w="140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2,831</w:t>
            </w:r>
          </w:p>
        </w:tc>
        <w:tc>
          <w:tcPr>
            <w:tcW w:w="136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5,619</w:t>
            </w:r>
          </w:p>
        </w:tc>
        <w:tc>
          <w:tcPr>
            <w:tcW w:w="11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5,656</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Finance lease charge</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2,720</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3,787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200" w:type="dxa"/>
            <w:vAlign w:val="bottom"/>
            <w:shd w:val="clear" w:color="auto" w:fill="E5FFFF"/>
          </w:tcPr>
          <w:p>
            <w:pPr>
              <w:spacing w:after="0"/>
              <w:rPr>
                <w:sz w:val="20"/>
                <w:szCs w:val="20"/>
                <w:color w:val="auto"/>
              </w:rPr>
            </w:pPr>
            <w:r>
              <w:rPr>
                <w:rFonts w:ascii="Arial" w:cs="Arial" w:eastAsia="Arial" w:hAnsi="Arial"/>
                <w:sz w:val="18"/>
                <w:szCs w:val="18"/>
                <w:color w:val="auto"/>
              </w:rPr>
              <w:t>Loss arising on bond re-purchase at a premium (Note 6)</w:t>
            </w:r>
          </w:p>
        </w:tc>
        <w:tc>
          <w:tcPr>
            <w:tcW w:w="138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2,120</w:t>
            </w:r>
          </w:p>
        </w:tc>
        <w:tc>
          <w:tcPr>
            <w:tcW w:w="136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2,120</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 financial costs</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304</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505</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534</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52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financial costs</w:t>
            </w:r>
          </w:p>
        </w:tc>
        <w:tc>
          <w:tcPr>
            <w:tcW w:w="1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24,246</w:t>
            </w: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1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31,483</w:t>
            </w: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1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42,774</w:t>
            </w:r>
          </w:p>
        </w:tc>
        <w:tc>
          <w:tcPr>
            <w:tcW w:w="200" w:type="dxa"/>
            <w:vAlign w:val="bottom"/>
            <w:tcBorders>
              <w:top w:val="single" w:sz="8" w:color="E5FFFF"/>
              <w:bottom w:val="single" w:sz="8" w:color="E5FFFF"/>
            </w:tcBorders>
            <w:shd w:val="clear" w:color="auto" w:fill="E5FFFF"/>
          </w:tcPr>
          <w:p>
            <w:pPr>
              <w:spacing w:after="0"/>
              <w:rPr>
                <w:sz w:val="18"/>
                <w:szCs w:val="18"/>
                <w:color w:val="auto"/>
              </w:rPr>
            </w:pPr>
          </w:p>
        </w:tc>
        <w:tc>
          <w:tcPr>
            <w:tcW w:w="1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60,662</w:t>
            </w:r>
          </w:p>
        </w:tc>
        <w:tc>
          <w:tcPr>
            <w:tcW w:w="20" w:type="dxa"/>
            <w:vAlign w:val="bottom"/>
            <w:tcBorders>
              <w:top w:val="single" w:sz="8" w:color="E5FFFF"/>
              <w:bottom w:val="single" w:sz="8" w:color="E5FFFF"/>
            </w:tcBorders>
            <w:shd w:val="clear" w:color="auto" w:fill="E5FFFF"/>
          </w:tcPr>
          <w:p>
            <w:pPr>
              <w:spacing w:after="0"/>
              <w:rPr>
                <w:sz w:val="18"/>
                <w:szCs w:val="18"/>
                <w:color w:val="auto"/>
              </w:rPr>
            </w:pPr>
          </w:p>
        </w:tc>
        <w:tc>
          <w:tcPr>
            <w:tcW w:w="80" w:type="dxa"/>
            <w:vAlign w:val="bottom"/>
            <w:tcBorders>
              <w:top w:val="single" w:sz="8" w:color="E5FFFF"/>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200" w:type="dxa"/>
            <w:vAlign w:val="bottom"/>
            <w:vMerge w:val="restart"/>
          </w:tcPr>
          <w:p>
            <w:pPr>
              <w:spacing w:after="0"/>
              <w:rPr>
                <w:sz w:val="20"/>
                <w:szCs w:val="20"/>
                <w:color w:val="auto"/>
              </w:rPr>
            </w:pPr>
            <w:r>
              <w:rPr>
                <w:rFonts w:ascii="Arial" w:cs="Arial" w:eastAsia="Arial" w:hAnsi="Arial"/>
                <w:sz w:val="18"/>
                <w:szCs w:val="18"/>
                <w:color w:val="auto"/>
                <w:w w:val="97"/>
              </w:rPr>
              <w:t>Unrealized (gain)/loss on interest rate swaps held for trading (Note</w:t>
            </w: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2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jc w:val="right"/>
              <w:ind w:right="4710"/>
              <w:spacing w:after="0"/>
              <w:rPr>
                <w:sz w:val="20"/>
                <w:szCs w:val="20"/>
                <w:color w:val="auto"/>
              </w:rPr>
            </w:pPr>
            <w:r>
              <w:rPr>
                <w:rFonts w:ascii="Arial" w:cs="Arial" w:eastAsia="Arial" w:hAnsi="Arial"/>
                <w:sz w:val="18"/>
                <w:szCs w:val="18"/>
                <w:color w:val="auto"/>
              </w:rPr>
              <w:t>12)</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(4,079)</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1,372</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430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9,509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200" w:type="dxa"/>
            <w:vAlign w:val="bottom"/>
            <w:shd w:val="clear" w:color="auto" w:fill="E5FFFF"/>
          </w:tcPr>
          <w:p>
            <w:pPr>
              <w:spacing w:after="0"/>
              <w:rPr>
                <w:sz w:val="20"/>
                <w:szCs w:val="20"/>
                <w:color w:val="auto"/>
              </w:rPr>
            </w:pPr>
            <w:r>
              <w:rPr>
                <w:rFonts w:ascii="Arial" w:cs="Arial" w:eastAsia="Arial" w:hAnsi="Arial"/>
                <w:sz w:val="18"/>
                <w:szCs w:val="18"/>
                <w:color w:val="auto"/>
              </w:rPr>
              <w:t>Realized loss on interest rate swaps held for trading</w:t>
            </w:r>
          </w:p>
        </w:tc>
        <w:tc>
          <w:tcPr>
            <w:tcW w:w="138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2,158</w:t>
            </w:r>
          </w:p>
        </w:tc>
        <w:tc>
          <w:tcPr>
            <w:tcW w:w="140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1,740</w:t>
            </w:r>
          </w:p>
        </w:tc>
        <w:tc>
          <w:tcPr>
            <w:tcW w:w="136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4,355</w:t>
            </w:r>
          </w:p>
        </w:tc>
        <w:tc>
          <w:tcPr>
            <w:tcW w:w="11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3,668</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Recycled loss of cash flow hedges reclassified to profit or loss</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283</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5,927</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567</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6,276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200" w:type="dxa"/>
            <w:vAlign w:val="bottom"/>
            <w:shd w:val="clear" w:color="auto" w:fill="E5FFFF"/>
          </w:tcPr>
          <w:p>
            <w:pPr>
              <w:spacing w:after="0"/>
              <w:rPr>
                <w:sz w:val="20"/>
                <w:szCs w:val="20"/>
                <w:color w:val="auto"/>
              </w:rPr>
            </w:pPr>
            <w:r>
              <w:rPr>
                <w:rFonts w:ascii="Arial" w:cs="Arial" w:eastAsia="Arial" w:hAnsi="Arial"/>
                <w:sz w:val="18"/>
                <w:szCs w:val="18"/>
                <w:color w:val="auto"/>
              </w:rPr>
              <w:t>Ineffective portion of cash flow hedges</w:t>
            </w:r>
          </w:p>
        </w:tc>
        <w:tc>
          <w:tcPr>
            <w:tcW w:w="138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(11)</w:t>
            </w:r>
          </w:p>
        </w:tc>
        <w:tc>
          <w:tcPr>
            <w:tcW w:w="126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Total (gain)/loss on swaps</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(1,638</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9,039</w:t>
            </w:r>
          </w:p>
        </w:tc>
        <w:tc>
          <w:tcPr>
            <w:tcW w:w="2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5,341</w:t>
            </w:r>
          </w:p>
        </w:tc>
        <w:tc>
          <w:tcPr>
            <w:tcW w:w="20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19,453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Non-cash Items on Statements of Cash Flows</w:t>
      </w:r>
    </w:p>
    <w:p>
      <w:pPr>
        <w:spacing w:after="0" w:line="229" w:lineRule="exact"/>
        <w:rPr>
          <w:sz w:val="20"/>
          <w:szCs w:val="20"/>
          <w:color w:val="auto"/>
        </w:rPr>
      </w:pPr>
    </w:p>
    <w:p>
      <w:pPr>
        <w:ind w:right="240" w:firstLine="405"/>
        <w:spacing w:after="0" w:line="312" w:lineRule="auto"/>
        <w:rPr>
          <w:sz w:val="20"/>
          <w:szCs w:val="20"/>
          <w:color w:val="auto"/>
        </w:rPr>
      </w:pPr>
      <w:r>
        <w:rPr>
          <w:rFonts w:ascii="Arial" w:cs="Arial" w:eastAsia="Arial" w:hAnsi="Arial"/>
          <w:sz w:val="16"/>
          <w:szCs w:val="16"/>
          <w:color w:val="auto"/>
        </w:rPr>
        <w:t>As of June 30, 2016, there are capital expenditures for vessels and vessels under construction of $4,096 that have not been paid during the six months ended June 30, 2016 and are included in current liabilities (December 31, 2015: $12,576). Also, as of June 30, 2015, there were capital expenditures of $14,360 that had not been paid during the six months ended June 30, 2015 and were included in current liabilities (December 31, 2014: $7,999).</w:t>
      </w:r>
    </w:p>
    <w:p>
      <w:pPr>
        <w:spacing w:after="0" w:line="14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As of June 30, 2016, there are equity raising costs of $17 that have not been paid during the six months ended June 30, 2016 and are included in current liabilities (December 31, 2015: $59). Also, as of June 30, 2015, there were equity raising costs of $841 that had not been paid during the six months ended June 30, 2015 and were included in current liabilities (December 31, 2014: $174).</w:t>
      </w:r>
    </w:p>
    <w:p>
      <w:pPr>
        <w:spacing w:after="0" w:line="181" w:lineRule="exact"/>
        <w:rPr>
          <w:sz w:val="20"/>
          <w:szCs w:val="20"/>
          <w:color w:val="auto"/>
        </w:rPr>
      </w:pPr>
    </w:p>
    <w:p>
      <w:pPr>
        <w:ind w:right="420" w:firstLine="405"/>
        <w:spacing w:after="0" w:line="264" w:lineRule="auto"/>
        <w:rPr>
          <w:sz w:val="20"/>
          <w:szCs w:val="20"/>
          <w:color w:val="auto"/>
        </w:rPr>
      </w:pPr>
      <w:r>
        <w:rPr>
          <w:rFonts w:ascii="Arial" w:cs="Arial" w:eastAsia="Arial" w:hAnsi="Arial"/>
          <w:sz w:val="18"/>
          <w:szCs w:val="18"/>
          <w:color w:val="auto"/>
        </w:rPr>
        <w:t>As of June 30, 2016, there are loan issuance costs of $5,103 that have not been paid during the six months ended June 30, 2016 and are included in current liabilities (December 31, 2015: $247). Also, as of June 30, 2015, there were loan issuance costs of $2,985 that had not been paid during the six months ended June 30, 2015 and were included in current liabilities (December 31, 2014: $903).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Share-Based Compensation</w:t>
      </w:r>
    </w:p>
    <w:p>
      <w:pPr>
        <w:spacing w:after="0" w:line="229" w:lineRule="exact"/>
        <w:rPr>
          <w:sz w:val="20"/>
          <w:szCs w:val="20"/>
          <w:color w:val="auto"/>
        </w:rPr>
      </w:pPr>
    </w:p>
    <w:p>
      <w:pPr>
        <w:ind w:right="40" w:firstLine="357"/>
        <w:spacing w:after="0" w:line="264" w:lineRule="auto"/>
        <w:rPr>
          <w:sz w:val="20"/>
          <w:szCs w:val="20"/>
          <w:color w:val="auto"/>
        </w:rPr>
      </w:pPr>
      <w:r>
        <w:rPr>
          <w:rFonts w:ascii="Arial" w:cs="Arial" w:eastAsia="Arial" w:hAnsi="Arial"/>
          <w:sz w:val="18"/>
          <w:szCs w:val="18"/>
          <w:color w:val="auto"/>
        </w:rPr>
        <w:t>The terms of the 2013 Omnibus Incentive Compensation Plan (the “Plan”) and the assumptions for the valuation of Restricted Stock Units (“RSUs”) and Stock Appreciation Rights or Stock Options (collectively the “SARs”) have been disclosed in Note 20 “Share-Based Compensation” in the annual audited consolidated financial statements for the year ended December 31, 2015.</w:t>
      </w:r>
    </w:p>
    <w:p>
      <w:pPr>
        <w:spacing w:after="0" w:line="181" w:lineRule="exact"/>
        <w:rPr>
          <w:sz w:val="20"/>
          <w:szCs w:val="20"/>
          <w:color w:val="auto"/>
        </w:rPr>
      </w:pPr>
    </w:p>
    <w:p>
      <w:pPr>
        <w:ind w:right="60" w:firstLine="357"/>
        <w:spacing w:after="0" w:line="259" w:lineRule="auto"/>
        <w:rPr>
          <w:sz w:val="20"/>
          <w:szCs w:val="20"/>
          <w:color w:val="auto"/>
        </w:rPr>
      </w:pPr>
      <w:r>
        <w:rPr>
          <w:rFonts w:ascii="Arial" w:cs="Arial" w:eastAsia="Arial" w:hAnsi="Arial"/>
          <w:sz w:val="18"/>
          <w:szCs w:val="18"/>
          <w:color w:val="auto"/>
        </w:rPr>
        <w:t>On April 1, 2016, GasLog granted to executives, managers and certain employees of the Group, 212,837 RSUs and 848,981 SARs in accordance with the Plan. The RSUs will vest on March 31, 2019 while the SARs will vest incrementally with one-third of the SARs vesting on each of March 31, 2017, 2018 and 2019. The compensation cost for the SARs is recognized on an accelerated basis as though each separately vesting portion of the SARs is a separate award.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9"/>
              </w:rPr>
              <w:t>Exercise</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at</w:t>
            </w:r>
          </w:p>
        </w:tc>
        <w:tc>
          <w:tcPr>
            <w:tcW w:w="0" w:type="dxa"/>
            <w:vAlign w:val="bottom"/>
          </w:tcPr>
          <w:p>
            <w:pPr>
              <w:spacing w:after="0"/>
              <w:rPr>
                <w:sz w:val="1"/>
                <w:szCs w:val="1"/>
                <w:color w:val="auto"/>
              </w:rPr>
            </w:pPr>
          </w:p>
        </w:tc>
      </w:tr>
      <w:tr>
        <w:trPr>
          <w:trHeight w:val="234"/>
        </w:trPr>
        <w:tc>
          <w:tcPr>
            <w:tcW w:w="2000" w:type="dxa"/>
            <w:vAlign w:val="bottom"/>
            <w:gridSpan w:val="3"/>
          </w:tcPr>
          <w:p>
            <w:pPr>
              <w:spacing w:after="0"/>
              <w:rPr>
                <w:sz w:val="20"/>
                <w:szCs w:val="20"/>
                <w:color w:val="auto"/>
              </w:rPr>
            </w:pPr>
            <w:r>
              <w:rPr>
                <w:rFonts w:ascii="Arial" w:cs="Arial" w:eastAsia="Arial" w:hAnsi="Arial"/>
                <w:sz w:val="18"/>
                <w:szCs w:val="18"/>
                <w:b w:val="1"/>
                <w:bCs w:val="1"/>
                <w:color w:val="auto"/>
              </w:rPr>
              <w:t>Awards</w:t>
            </w:r>
          </w:p>
        </w:tc>
        <w:tc>
          <w:tcPr>
            <w:tcW w:w="8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Number</w:t>
            </w:r>
          </w:p>
        </w:tc>
        <w:tc>
          <w:tcPr>
            <w:tcW w:w="4240" w:type="dxa"/>
            <w:vAlign w:val="bottom"/>
            <w:gridSpan w:val="3"/>
          </w:tcPr>
          <w:p>
            <w:pPr>
              <w:ind w:left="220"/>
              <w:spacing w:after="0"/>
              <w:rPr>
                <w:sz w:val="20"/>
                <w:szCs w:val="20"/>
                <w:color w:val="auto"/>
              </w:rPr>
            </w:pPr>
            <w:r>
              <w:rPr>
                <w:rFonts w:ascii="Arial" w:cs="Arial" w:eastAsia="Arial" w:hAnsi="Arial"/>
                <w:sz w:val="18"/>
                <w:szCs w:val="18"/>
                <w:b w:val="1"/>
                <w:bCs w:val="1"/>
                <w:color w:val="auto"/>
              </w:rPr>
              <w:t>Grant date</w:t>
            </w:r>
          </w:p>
        </w:tc>
        <w:tc>
          <w:tcPr>
            <w:tcW w:w="2020" w:type="dxa"/>
            <w:vAlign w:val="bottom"/>
          </w:tcPr>
          <w:p>
            <w:pPr>
              <w:spacing w:after="0"/>
              <w:rPr>
                <w:sz w:val="20"/>
                <w:szCs w:val="20"/>
                <w:color w:val="auto"/>
              </w:rPr>
            </w:pPr>
            <w:r>
              <w:rPr>
                <w:rFonts w:ascii="Arial" w:cs="Arial" w:eastAsia="Arial" w:hAnsi="Arial"/>
                <w:sz w:val="18"/>
                <w:szCs w:val="18"/>
                <w:b w:val="1"/>
                <w:bCs w:val="1"/>
                <w:color w:val="auto"/>
              </w:rPr>
              <w:t>Expiry date</w:t>
            </w:r>
          </w:p>
        </w:tc>
        <w:tc>
          <w:tcPr>
            <w:tcW w:w="32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b w:val="1"/>
                <w:bCs w:val="1"/>
                <w:color w:val="auto"/>
              </w:rPr>
              <w:t>price</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grant date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RSUs</w:t>
            </w:r>
          </w:p>
        </w:tc>
        <w:tc>
          <w:tcPr>
            <w:tcW w:w="220" w:type="dxa"/>
            <w:vAlign w:val="bottom"/>
          </w:tcPr>
          <w:p>
            <w:pPr>
              <w:spacing w:after="0"/>
              <w:rPr>
                <w:sz w:val="16"/>
                <w:szCs w:val="16"/>
                <w:color w:val="auto"/>
              </w:rPr>
            </w:pP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212,837</w:t>
            </w:r>
          </w:p>
        </w:tc>
        <w:tc>
          <w:tcPr>
            <w:tcW w:w="220" w:type="dxa"/>
            <w:vAlign w:val="bottom"/>
          </w:tcPr>
          <w:p>
            <w:pPr>
              <w:spacing w:after="0"/>
              <w:rPr>
                <w:sz w:val="16"/>
                <w:szCs w:val="16"/>
                <w:color w:val="auto"/>
              </w:rPr>
            </w:pPr>
          </w:p>
        </w:tc>
        <w:tc>
          <w:tcPr>
            <w:tcW w:w="3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April 1, 2016</w:t>
            </w:r>
          </w:p>
        </w:tc>
        <w:tc>
          <w:tcPr>
            <w:tcW w:w="220" w:type="dxa"/>
            <w:vAlign w:val="bottom"/>
          </w:tcPr>
          <w:p>
            <w:pPr>
              <w:spacing w:after="0"/>
              <w:rPr>
                <w:sz w:val="16"/>
                <w:szCs w:val="16"/>
                <w:color w:val="auto"/>
              </w:rPr>
            </w:pPr>
          </w:p>
        </w:tc>
        <w:tc>
          <w:tcPr>
            <w:tcW w:w="2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w:t>
            </w:r>
          </w:p>
        </w:tc>
        <w:tc>
          <w:tcPr>
            <w:tcW w:w="320" w:type="dxa"/>
            <w:vAlign w:val="bottom"/>
          </w:tcPr>
          <w:p>
            <w:pPr>
              <w:spacing w:after="0"/>
              <w:rPr>
                <w:sz w:val="16"/>
                <w:szCs w:val="16"/>
                <w:color w:val="auto"/>
              </w:rPr>
            </w:pPr>
          </w:p>
        </w:tc>
        <w:tc>
          <w:tcPr>
            <w:tcW w:w="7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n/a</w:t>
            </w:r>
          </w:p>
        </w:tc>
        <w:tc>
          <w:tcPr>
            <w:tcW w:w="340" w:type="dxa"/>
            <w:vAlign w:val="bottom"/>
            <w:vMerge w:val="continue"/>
          </w:tcPr>
          <w:p>
            <w:pPr>
              <w:spacing w:after="0"/>
              <w:rPr>
                <w:sz w:val="16"/>
                <w:szCs w:val="16"/>
                <w:color w:val="auto"/>
              </w:rPr>
            </w:pPr>
          </w:p>
        </w:tc>
        <w:tc>
          <w:tcPr>
            <w:tcW w:w="9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30"/>
        </w:trPr>
        <w:tc>
          <w:tcPr>
            <w:tcW w:w="2000" w:type="dxa"/>
            <w:vAlign w:val="bottom"/>
            <w:gridSpan w:val="3"/>
          </w:tcPr>
          <w:p>
            <w:pPr>
              <w:spacing w:after="0"/>
              <w:rPr>
                <w:sz w:val="20"/>
                <w:szCs w:val="20"/>
                <w:color w:val="auto"/>
              </w:rPr>
            </w:pPr>
            <w:r>
              <w:rPr>
                <w:rFonts w:ascii="Arial" w:cs="Arial" w:eastAsia="Arial" w:hAnsi="Arial"/>
                <w:sz w:val="18"/>
                <w:szCs w:val="18"/>
                <w:color w:val="auto"/>
              </w:rPr>
              <w:t>SARs</w:t>
            </w:r>
          </w:p>
        </w:tc>
        <w:tc>
          <w:tcPr>
            <w:tcW w:w="820" w:type="dxa"/>
            <w:vAlign w:val="bottom"/>
          </w:tcPr>
          <w:p>
            <w:pPr>
              <w:jc w:val="right"/>
              <w:spacing w:after="0"/>
              <w:rPr>
                <w:sz w:val="20"/>
                <w:szCs w:val="20"/>
                <w:color w:val="auto"/>
              </w:rPr>
            </w:pPr>
            <w:r>
              <w:rPr>
                <w:rFonts w:ascii="Arial" w:cs="Arial" w:eastAsia="Arial" w:hAnsi="Arial"/>
                <w:sz w:val="18"/>
                <w:szCs w:val="18"/>
                <w:color w:val="auto"/>
              </w:rPr>
              <w:t>848,981</w:t>
            </w:r>
          </w:p>
        </w:tc>
        <w:tc>
          <w:tcPr>
            <w:tcW w:w="4240" w:type="dxa"/>
            <w:vAlign w:val="bottom"/>
            <w:gridSpan w:val="3"/>
          </w:tcPr>
          <w:p>
            <w:pPr>
              <w:ind w:left="220"/>
              <w:spacing w:after="0"/>
              <w:rPr>
                <w:sz w:val="20"/>
                <w:szCs w:val="20"/>
                <w:color w:val="auto"/>
              </w:rPr>
            </w:pPr>
            <w:r>
              <w:rPr>
                <w:rFonts w:ascii="Arial" w:cs="Arial" w:eastAsia="Arial" w:hAnsi="Arial"/>
                <w:sz w:val="18"/>
                <w:szCs w:val="18"/>
                <w:color w:val="auto"/>
              </w:rPr>
              <w:t>April 1, 2016</w:t>
            </w:r>
          </w:p>
        </w:tc>
        <w:tc>
          <w:tcPr>
            <w:tcW w:w="2020" w:type="dxa"/>
            <w:vAlign w:val="bottom"/>
          </w:tcPr>
          <w:p>
            <w:pPr>
              <w:spacing w:after="0"/>
              <w:rPr>
                <w:sz w:val="20"/>
                <w:szCs w:val="20"/>
                <w:color w:val="auto"/>
              </w:rPr>
            </w:pPr>
            <w:r>
              <w:rPr>
                <w:rFonts w:ascii="Arial" w:cs="Arial" w:eastAsia="Arial" w:hAnsi="Arial"/>
                <w:sz w:val="18"/>
                <w:szCs w:val="18"/>
                <w:color w:val="auto"/>
              </w:rPr>
              <w:t>March 31, 2026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9.28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2.3263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60" w:firstLine="357"/>
        <w:spacing w:after="0" w:line="259" w:lineRule="auto"/>
        <w:rPr>
          <w:sz w:val="20"/>
          <w:szCs w:val="20"/>
          <w:color w:val="auto"/>
        </w:rPr>
      </w:pPr>
      <w:r>
        <w:rPr>
          <w:rFonts w:ascii="Arial" w:cs="Arial" w:eastAsia="Arial" w:hAnsi="Arial"/>
          <w:sz w:val="18"/>
          <w:szCs w:val="18"/>
          <w:color w:val="auto"/>
        </w:rPr>
        <w:t>In accordance with the terms of the Plan, there are only service condition requirements. The awards will be settled in cash or in shares at the sole discretion of the compensation committee of the board of directors. These awards have been treated as equity settled because the Group has no present obligation to settle in cash. The amount to be settled for each SAR exercised is computed in each case, as the excess, if any, of the fair market value (the closing price of shares) on the exercise date over the exercise price of the SAR.</w:t>
      </w:r>
    </w:p>
    <w:p>
      <w:pPr>
        <w:spacing w:after="0" w:line="187" w:lineRule="exact"/>
        <w:rPr>
          <w:sz w:val="20"/>
          <w:szCs w:val="20"/>
          <w:color w:val="auto"/>
        </w:rPr>
      </w:pPr>
    </w:p>
    <w:p>
      <w:pPr>
        <w:jc w:val="both"/>
        <w:ind w:right="40" w:firstLine="436"/>
        <w:spacing w:after="0" w:line="342" w:lineRule="auto"/>
        <w:rPr>
          <w:sz w:val="20"/>
          <w:szCs w:val="20"/>
          <w:color w:val="auto"/>
        </w:rPr>
      </w:pPr>
      <w:r>
        <w:rPr>
          <w:rFonts w:ascii="Arial" w:cs="Arial" w:eastAsia="Arial" w:hAnsi="Arial"/>
          <w:sz w:val="16"/>
          <w:szCs w:val="16"/>
          <w:color w:val="auto"/>
        </w:rPr>
        <w:t>The fair value of the SARs has been calculated based on the Modified Black-Scholes-Merton method. Expected volatility was based on historical share price volatility for the period since GasLog’s initial public offering. The significant assumptions used to estimate the fair value of the SARs are set out below:</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Inputs into the model</w:t>
      </w:r>
    </w:p>
    <w:p>
      <w:pPr>
        <w:spacing w:after="0" w:line="27"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708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color w:val="auto"/>
              </w:rPr>
              <w:t>Grant date share closing price</w:t>
            </w:r>
          </w:p>
        </w:tc>
        <w:tc>
          <w:tcPr>
            <w:tcW w:w="2640" w:type="dxa"/>
            <w:vAlign w:val="bottom"/>
            <w:tcBorders>
              <w:top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E5FFFF"/>
          </w:tcPr>
          <w:p>
            <w:pPr>
              <w:ind w:left="320"/>
              <w:spacing w:after="0"/>
              <w:rPr>
                <w:sz w:val="20"/>
                <w:szCs w:val="20"/>
                <w:color w:val="auto"/>
              </w:rPr>
            </w:pPr>
            <w:r>
              <w:rPr>
                <w:rFonts w:ascii="Arial" w:cs="Arial" w:eastAsia="Arial" w:hAnsi="Arial"/>
                <w:sz w:val="18"/>
                <w:szCs w:val="18"/>
                <w:color w:val="auto"/>
              </w:rPr>
              <w:t>9.28</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Exercise price</w:t>
            </w: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ind w:left="320"/>
              <w:spacing w:after="0"/>
              <w:rPr>
                <w:sz w:val="20"/>
                <w:szCs w:val="20"/>
                <w:color w:val="auto"/>
              </w:rPr>
            </w:pPr>
            <w:r>
              <w:rPr>
                <w:rFonts w:ascii="Arial" w:cs="Arial" w:eastAsia="Arial" w:hAnsi="Arial"/>
                <w:sz w:val="18"/>
                <w:szCs w:val="18"/>
                <w:color w:val="auto"/>
              </w:rPr>
              <w:t>9.28</w:t>
            </w:r>
          </w:p>
        </w:tc>
      </w:tr>
      <w:tr>
        <w:trPr>
          <w:trHeight w:val="216"/>
        </w:trPr>
        <w:tc>
          <w:tcPr>
            <w:tcW w:w="7080" w:type="dxa"/>
            <w:vAlign w:val="bottom"/>
            <w:shd w:val="clear" w:color="auto" w:fill="E5FFFF"/>
          </w:tcPr>
          <w:p>
            <w:pPr>
              <w:spacing w:after="0"/>
              <w:rPr>
                <w:sz w:val="20"/>
                <w:szCs w:val="20"/>
                <w:color w:val="auto"/>
              </w:rPr>
            </w:pPr>
            <w:r>
              <w:rPr>
                <w:rFonts w:ascii="Arial" w:cs="Arial" w:eastAsia="Arial" w:hAnsi="Arial"/>
                <w:sz w:val="18"/>
                <w:szCs w:val="18"/>
                <w:color w:val="auto"/>
              </w:rPr>
              <w:t>Expected volatility</w:t>
            </w:r>
          </w:p>
        </w:tc>
        <w:tc>
          <w:tcPr>
            <w:tcW w:w="2640" w:type="dxa"/>
            <w:vAlign w:val="bottom"/>
            <w:shd w:val="clear" w:color="auto" w:fill="E5FFFF"/>
          </w:tcPr>
          <w:p>
            <w:pPr>
              <w:spacing w:after="0"/>
              <w:rPr>
                <w:sz w:val="18"/>
                <w:szCs w:val="18"/>
                <w:color w:val="auto"/>
              </w:rPr>
            </w:pPr>
          </w:p>
        </w:tc>
        <w:tc>
          <w:tcPr>
            <w:tcW w:w="880" w:type="dxa"/>
            <w:vAlign w:val="bottom"/>
            <w:shd w:val="clear" w:color="auto" w:fill="E5FFFF"/>
          </w:tcPr>
          <w:p>
            <w:pPr>
              <w:ind w:left="320"/>
              <w:spacing w:after="0"/>
              <w:rPr>
                <w:sz w:val="20"/>
                <w:szCs w:val="20"/>
                <w:color w:val="auto"/>
              </w:rPr>
            </w:pPr>
            <w:r>
              <w:rPr>
                <w:rFonts w:ascii="Arial" w:cs="Arial" w:eastAsia="Arial" w:hAnsi="Arial"/>
                <w:sz w:val="18"/>
                <w:szCs w:val="18"/>
                <w:color w:val="auto"/>
              </w:rPr>
              <w:t>47.3%</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Expected term</w:t>
            </w:r>
          </w:p>
        </w:tc>
        <w:tc>
          <w:tcPr>
            <w:tcW w:w="264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Arial" w:cs="Arial" w:eastAsia="Arial" w:hAnsi="Arial"/>
                <w:sz w:val="18"/>
                <w:szCs w:val="18"/>
                <w:color w:val="auto"/>
              </w:rPr>
              <w:t>6 years</w:t>
            </w:r>
          </w:p>
        </w:tc>
      </w:tr>
      <w:tr>
        <w:trPr>
          <w:trHeight w:val="216"/>
        </w:trPr>
        <w:tc>
          <w:tcPr>
            <w:tcW w:w="7080" w:type="dxa"/>
            <w:vAlign w:val="bottom"/>
            <w:shd w:val="clear" w:color="auto" w:fill="E5FFFF"/>
          </w:tcPr>
          <w:p>
            <w:pPr>
              <w:spacing w:after="0"/>
              <w:rPr>
                <w:sz w:val="20"/>
                <w:szCs w:val="20"/>
                <w:color w:val="auto"/>
              </w:rPr>
            </w:pPr>
            <w:r>
              <w:rPr>
                <w:rFonts w:ascii="Arial" w:cs="Arial" w:eastAsia="Arial" w:hAnsi="Arial"/>
                <w:sz w:val="18"/>
                <w:szCs w:val="18"/>
                <w:color w:val="auto"/>
              </w:rPr>
              <w:t>Risk-free interest rate for the period similar to the expected term</w:t>
            </w:r>
          </w:p>
        </w:tc>
        <w:tc>
          <w:tcPr>
            <w:tcW w:w="2640" w:type="dxa"/>
            <w:vAlign w:val="bottom"/>
            <w:shd w:val="clear" w:color="auto" w:fill="E5FFFF"/>
          </w:tcPr>
          <w:p>
            <w:pPr>
              <w:spacing w:after="0"/>
              <w:rPr>
                <w:sz w:val="18"/>
                <w:szCs w:val="18"/>
                <w:color w:val="auto"/>
              </w:rPr>
            </w:pPr>
          </w:p>
        </w:tc>
        <w:tc>
          <w:tcPr>
            <w:tcW w:w="880" w:type="dxa"/>
            <w:vAlign w:val="bottom"/>
            <w:shd w:val="clear" w:color="auto" w:fill="E5FFFF"/>
          </w:tcPr>
          <w:p>
            <w:pPr>
              <w:ind w:left="320"/>
              <w:spacing w:after="0"/>
              <w:rPr>
                <w:sz w:val="20"/>
                <w:szCs w:val="20"/>
                <w:color w:val="auto"/>
              </w:rPr>
            </w:pPr>
            <w:r>
              <w:rPr>
                <w:rFonts w:ascii="Arial" w:cs="Arial" w:eastAsia="Arial" w:hAnsi="Arial"/>
                <w:sz w:val="18"/>
                <w:szCs w:val="18"/>
                <w:color w:val="auto"/>
              </w:rPr>
              <w:t>1.37%</w:t>
            </w:r>
          </w:p>
        </w:tc>
      </w:tr>
    </w:tbl>
    <w:p>
      <w:pPr>
        <w:spacing w:after="0" w:line="202" w:lineRule="exact"/>
        <w:rPr>
          <w:sz w:val="20"/>
          <w:szCs w:val="20"/>
          <w:color w:val="auto"/>
        </w:rPr>
      </w:pPr>
    </w:p>
    <w:p>
      <w:pPr>
        <w:ind w:right="20" w:firstLine="357"/>
        <w:spacing w:after="0" w:line="277" w:lineRule="auto"/>
        <w:rPr>
          <w:sz w:val="20"/>
          <w:szCs w:val="20"/>
          <w:color w:val="auto"/>
        </w:rPr>
      </w:pPr>
      <w:r>
        <w:rPr>
          <w:rFonts w:ascii="Arial" w:cs="Arial" w:eastAsia="Arial" w:hAnsi="Arial"/>
          <w:sz w:val="18"/>
          <w:szCs w:val="18"/>
          <w:color w:val="auto"/>
        </w:rPr>
        <w:t>The fair value of the RSUs was determined by using the grant date closing price of $9.28 per common unit and was not further adjusted since the holders are entitled to dividends.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41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w w:val="98"/>
              </w:rPr>
              <w:t>Movement in RSUs and SARs during the period</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420" w:type="dxa"/>
            <w:vAlign w:val="bottom"/>
            <w:gridSpan w:val="4"/>
          </w:tcPr>
          <w:p>
            <w:pPr>
              <w:jc w:val="right"/>
              <w:ind w:right="1200"/>
              <w:spacing w:after="0"/>
              <w:rPr>
                <w:sz w:val="20"/>
                <w:szCs w:val="20"/>
                <w:color w:val="auto"/>
              </w:rPr>
            </w:pPr>
            <w:r>
              <w:rPr>
                <w:rFonts w:ascii="Arial" w:cs="Arial" w:eastAsia="Arial" w:hAnsi="Arial"/>
                <w:sz w:val="18"/>
                <w:szCs w:val="18"/>
                <w:color w:val="auto"/>
                <w:w w:val="98"/>
              </w:rPr>
              <w:t>The summary of RSUs and SARs is presented below:</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4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average</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average</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exercise</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share price at</w:t>
            </w: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average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Number of</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price per</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the date of</w:t>
            </w: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contractual</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Aggregate fair</w:t>
            </w:r>
          </w:p>
        </w:tc>
      </w:tr>
      <w:tr>
        <w:trPr>
          <w:trHeight w:val="234"/>
        </w:trPr>
        <w:tc>
          <w:tcPr>
            <w:tcW w:w="4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awards</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exercise</w:t>
            </w: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life</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value</w:t>
            </w:r>
          </w:p>
        </w:tc>
      </w:tr>
      <w:tr>
        <w:trPr>
          <w:trHeight w:val="210"/>
        </w:trPr>
        <w:tc>
          <w:tcPr>
            <w:tcW w:w="420" w:type="dxa"/>
            <w:vAlign w:val="bottom"/>
          </w:tcPr>
          <w:p>
            <w:pPr>
              <w:spacing w:after="0"/>
              <w:rPr>
                <w:sz w:val="18"/>
                <w:szCs w:val="18"/>
                <w:color w:val="auto"/>
              </w:rPr>
            </w:pPr>
          </w:p>
        </w:tc>
        <w:tc>
          <w:tcPr>
            <w:tcW w:w="36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RSUs</w:t>
            </w:r>
          </w:p>
        </w:tc>
        <w:tc>
          <w:tcPr>
            <w:tcW w:w="116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080" w:type="dxa"/>
            <w:vAlign w:val="bottom"/>
            <w:tcBorders>
              <w:top w:val="single" w:sz="8" w:color="auto"/>
            </w:tcBorders>
            <w:shd w:val="clear" w:color="auto" w:fill="E5FFFF"/>
          </w:tcPr>
          <w:p>
            <w:pPr>
              <w:spacing w:after="0"/>
              <w:rPr>
                <w:sz w:val="18"/>
                <w:szCs w:val="18"/>
                <w:color w:val="auto"/>
              </w:rPr>
            </w:pPr>
          </w:p>
        </w:tc>
        <w:tc>
          <w:tcPr>
            <w:tcW w:w="200" w:type="dxa"/>
            <w:vAlign w:val="bottom"/>
            <w:tcBorders>
              <w:top w:val="single" w:sz="8" w:color="E5FFFF"/>
            </w:tcBorders>
            <w:shd w:val="clear" w:color="auto" w:fill="E5FFFF"/>
          </w:tcPr>
          <w:p>
            <w:pPr>
              <w:spacing w:after="0"/>
              <w:rPr>
                <w:sz w:val="18"/>
                <w:szCs w:val="18"/>
                <w:color w:val="auto"/>
              </w:rPr>
            </w:pPr>
          </w:p>
        </w:tc>
        <w:tc>
          <w:tcPr>
            <w:tcW w:w="128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160" w:type="dxa"/>
            <w:vAlign w:val="bottom"/>
            <w:tcBorders>
              <w:top w:val="single" w:sz="8" w:color="auto"/>
            </w:tcBorders>
            <w:shd w:val="clear" w:color="auto" w:fill="E5FFFF"/>
          </w:tcPr>
          <w:p>
            <w:pPr>
              <w:spacing w:after="0"/>
              <w:rPr>
                <w:sz w:val="18"/>
                <w:szCs w:val="18"/>
                <w:color w:val="auto"/>
              </w:rPr>
            </w:pPr>
          </w:p>
        </w:tc>
        <w:tc>
          <w:tcPr>
            <w:tcW w:w="180" w:type="dxa"/>
            <w:vAlign w:val="bottom"/>
            <w:tcBorders>
              <w:top w:val="single" w:sz="8" w:color="E5FFFF"/>
            </w:tcBorders>
            <w:shd w:val="clear" w:color="auto" w:fill="E5FFFF"/>
          </w:tcPr>
          <w:p>
            <w:pPr>
              <w:spacing w:after="0"/>
              <w:rPr>
                <w:sz w:val="18"/>
                <w:szCs w:val="18"/>
                <w:color w:val="auto"/>
              </w:rPr>
            </w:pPr>
          </w:p>
        </w:tc>
        <w:tc>
          <w:tcPr>
            <w:tcW w:w="138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b w:val="1"/>
                <w:bCs w:val="1"/>
                <w:color w:val="auto"/>
              </w:rPr>
              <w:t>Outstanding as of January 1, 2016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216,968</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tcPr>
          <w:p>
            <w:pPr>
              <w:ind w:left="110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1.38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3,986</w:t>
            </w:r>
          </w:p>
        </w:tc>
      </w:tr>
      <w:tr>
        <w:trPr>
          <w:trHeight w:val="216"/>
        </w:trPr>
        <w:tc>
          <w:tcPr>
            <w:tcW w:w="420" w:type="dxa"/>
            <w:vAlign w:val="bottom"/>
          </w:tcPr>
          <w:p>
            <w:pPr>
              <w:spacing w:after="0"/>
              <w:rPr>
                <w:sz w:val="18"/>
                <w:szCs w:val="18"/>
                <w:color w:val="auto"/>
              </w:rPr>
            </w:pPr>
          </w:p>
        </w:tc>
        <w:tc>
          <w:tcPr>
            <w:tcW w:w="3620" w:type="dxa"/>
            <w:vAlign w:val="bottom"/>
            <w:shd w:val="clear" w:color="auto" w:fill="E5FFFF"/>
          </w:tcPr>
          <w:p>
            <w:pPr>
              <w:spacing w:after="0"/>
              <w:rPr>
                <w:sz w:val="20"/>
                <w:szCs w:val="20"/>
                <w:color w:val="auto"/>
              </w:rPr>
            </w:pPr>
            <w:r>
              <w:rPr>
                <w:rFonts w:ascii="Arial" w:cs="Arial" w:eastAsia="Arial" w:hAnsi="Arial"/>
                <w:sz w:val="18"/>
                <w:szCs w:val="18"/>
                <w:color w:val="auto"/>
              </w:rPr>
              <w:t>Granted during the period</w:t>
            </w:r>
          </w:p>
        </w:tc>
        <w:tc>
          <w:tcPr>
            <w:tcW w:w="138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212,837</w:t>
            </w:r>
          </w:p>
        </w:tc>
        <w:tc>
          <w:tcPr>
            <w:tcW w:w="128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shd w:val="clear" w:color="auto" w:fill="E5FFFF"/>
          </w:tcPr>
          <w:p>
            <w:pPr>
              <w:ind w:left="110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1,975</w:t>
            </w:r>
          </w:p>
        </w:tc>
      </w:tr>
      <w:tr>
        <w:trPr>
          <w:trHeight w:val="216"/>
        </w:trPr>
        <w:tc>
          <w:tcPr>
            <w:tcW w:w="4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Forfeited during the period</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(340)</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tcPr>
          <w:p>
            <w:pPr>
              <w:ind w:left="110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420" w:type="dxa"/>
            <w:vAlign w:val="bottom"/>
          </w:tcPr>
          <w:p>
            <w:pPr>
              <w:spacing w:after="0"/>
              <w:rPr>
                <w:sz w:val="18"/>
                <w:szCs w:val="18"/>
                <w:color w:val="auto"/>
              </w:rPr>
            </w:pPr>
          </w:p>
        </w:tc>
        <w:tc>
          <w:tcPr>
            <w:tcW w:w="3620" w:type="dxa"/>
            <w:vAlign w:val="bottom"/>
            <w:shd w:val="clear" w:color="auto" w:fill="E5FFFF"/>
          </w:tcPr>
          <w:p>
            <w:pPr>
              <w:spacing w:after="0"/>
              <w:rPr>
                <w:sz w:val="20"/>
                <w:szCs w:val="20"/>
                <w:color w:val="auto"/>
              </w:rPr>
            </w:pPr>
            <w:r>
              <w:rPr>
                <w:rFonts w:ascii="Arial" w:cs="Arial" w:eastAsia="Arial" w:hAnsi="Arial"/>
                <w:sz w:val="18"/>
                <w:szCs w:val="18"/>
                <w:color w:val="auto"/>
              </w:rPr>
              <w:t>Vested during the period</w:t>
            </w:r>
          </w:p>
        </w:tc>
        <w:tc>
          <w:tcPr>
            <w:tcW w:w="138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(61,028)</w:t>
            </w:r>
          </w:p>
        </w:tc>
        <w:tc>
          <w:tcPr>
            <w:tcW w:w="128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shd w:val="clear" w:color="auto" w:fill="E5FFFF"/>
          </w:tcPr>
          <w:p>
            <w:pPr>
              <w:ind w:left="110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(729)</w:t>
            </w:r>
          </w:p>
        </w:tc>
      </w:tr>
      <w:tr>
        <w:trPr>
          <w:trHeight w:val="250"/>
        </w:trPr>
        <w:tc>
          <w:tcPr>
            <w:tcW w:w="420" w:type="dxa"/>
            <w:vAlign w:val="bottom"/>
          </w:tcPr>
          <w:p>
            <w:pPr>
              <w:spacing w:after="0"/>
              <w:rPr>
                <w:sz w:val="21"/>
                <w:szCs w:val="21"/>
                <w:color w:val="auto"/>
              </w:rPr>
            </w:pPr>
          </w:p>
        </w:tc>
        <w:tc>
          <w:tcPr>
            <w:tcW w:w="362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Outstanding as of June 30, 2016</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368,437</w:t>
            </w:r>
          </w:p>
        </w:tc>
        <w:tc>
          <w:tcPr>
            <w:tcW w:w="220" w:type="dxa"/>
            <w:vAlign w:val="bottom"/>
            <w:tcBorders>
              <w:bottom w:val="single" w:sz="8" w:color="E5FFFF"/>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E5FFFF"/>
            </w:tcBorders>
          </w:tcPr>
          <w:p>
            <w:pPr>
              <w:spacing w:after="0"/>
              <w:rPr>
                <w:sz w:val="21"/>
                <w:szCs w:val="21"/>
                <w:color w:val="auto"/>
              </w:rPr>
            </w:pPr>
          </w:p>
        </w:tc>
        <w:tc>
          <w:tcPr>
            <w:tcW w:w="128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8"/>
                <w:szCs w:val="18"/>
                <w:b w:val="1"/>
                <w:bCs w:val="1"/>
                <w:color w:val="auto"/>
                <w:w w:val="88"/>
              </w:rPr>
              <w:t>—</w:t>
            </w:r>
          </w:p>
        </w:tc>
        <w:tc>
          <w:tcPr>
            <w:tcW w:w="220" w:type="dxa"/>
            <w:vAlign w:val="bottom"/>
            <w:tcBorders>
              <w:bottom w:val="single" w:sz="8" w:color="E5FFFF"/>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w:t>
            </w:r>
          </w:p>
        </w:tc>
        <w:tc>
          <w:tcPr>
            <w:tcW w:w="180" w:type="dxa"/>
            <w:vAlign w:val="bottom"/>
            <w:tcBorders>
              <w:bottom w:val="single" w:sz="8" w:color="E5FFFF"/>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5,225</w:t>
            </w:r>
          </w:p>
        </w:tc>
        <w:tc>
          <w:tcPr>
            <w:tcW w:w="100" w:type="dxa"/>
            <w:vAlign w:val="bottom"/>
            <w:tcBorders>
              <w:bottom w:val="single" w:sz="8" w:color="E5FFFF"/>
            </w:tcBorders>
          </w:tcPr>
          <w:p>
            <w:pPr>
              <w:spacing w:after="0"/>
              <w:rPr>
                <w:sz w:val="21"/>
                <w:szCs w:val="21"/>
                <w:color w:val="auto"/>
              </w:rPr>
            </w:pPr>
          </w:p>
        </w:tc>
      </w:tr>
      <w:tr>
        <w:trPr>
          <w:trHeight w:val="197"/>
        </w:trPr>
        <w:tc>
          <w:tcPr>
            <w:tcW w:w="420" w:type="dxa"/>
            <w:vAlign w:val="bottom"/>
          </w:tcPr>
          <w:p>
            <w:pPr>
              <w:spacing w:after="0"/>
              <w:rPr>
                <w:sz w:val="17"/>
                <w:szCs w:val="17"/>
                <w:color w:val="auto"/>
              </w:rPr>
            </w:pPr>
          </w:p>
        </w:tc>
        <w:tc>
          <w:tcPr>
            <w:tcW w:w="3620" w:type="dxa"/>
            <w:vAlign w:val="bottom"/>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SARs</w:t>
            </w:r>
          </w:p>
        </w:tc>
        <w:tc>
          <w:tcPr>
            <w:tcW w:w="11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2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16"/>
        </w:trPr>
        <w:tc>
          <w:tcPr>
            <w:tcW w:w="4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b w:val="1"/>
                <w:bCs w:val="1"/>
                <w:color w:val="auto"/>
              </w:rPr>
              <w:t>Outstanding as of January 1, 2016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873,228</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18.81</w:t>
            </w:r>
          </w:p>
        </w:tc>
        <w:tc>
          <w:tcPr>
            <w:tcW w:w="1500" w:type="dxa"/>
            <w:vAlign w:val="bottom"/>
            <w:gridSpan w:val="2"/>
          </w:tcPr>
          <w:p>
            <w:pPr>
              <w:ind w:left="110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8.28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4,056</w:t>
            </w:r>
          </w:p>
        </w:tc>
      </w:tr>
      <w:tr>
        <w:trPr>
          <w:trHeight w:val="216"/>
        </w:trPr>
        <w:tc>
          <w:tcPr>
            <w:tcW w:w="420" w:type="dxa"/>
            <w:vAlign w:val="bottom"/>
          </w:tcPr>
          <w:p>
            <w:pPr>
              <w:spacing w:after="0"/>
              <w:rPr>
                <w:sz w:val="18"/>
                <w:szCs w:val="18"/>
                <w:color w:val="auto"/>
              </w:rPr>
            </w:pPr>
          </w:p>
        </w:tc>
        <w:tc>
          <w:tcPr>
            <w:tcW w:w="3620" w:type="dxa"/>
            <w:vAlign w:val="bottom"/>
            <w:shd w:val="clear" w:color="auto" w:fill="E5FFFF"/>
          </w:tcPr>
          <w:p>
            <w:pPr>
              <w:spacing w:after="0"/>
              <w:rPr>
                <w:sz w:val="20"/>
                <w:szCs w:val="20"/>
                <w:color w:val="auto"/>
              </w:rPr>
            </w:pPr>
            <w:r>
              <w:rPr>
                <w:rFonts w:ascii="Arial" w:cs="Arial" w:eastAsia="Arial" w:hAnsi="Arial"/>
                <w:sz w:val="18"/>
                <w:szCs w:val="18"/>
                <w:color w:val="auto"/>
              </w:rPr>
              <w:t>Granted during the period</w:t>
            </w:r>
          </w:p>
        </w:tc>
        <w:tc>
          <w:tcPr>
            <w:tcW w:w="138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848,981</w:t>
            </w:r>
          </w:p>
        </w:tc>
        <w:tc>
          <w:tcPr>
            <w:tcW w:w="128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9.28</w:t>
            </w:r>
          </w:p>
        </w:tc>
        <w:tc>
          <w:tcPr>
            <w:tcW w:w="1500" w:type="dxa"/>
            <w:vAlign w:val="bottom"/>
            <w:gridSpan w:val="2"/>
            <w:shd w:val="clear" w:color="auto" w:fill="E5FFFF"/>
          </w:tcPr>
          <w:p>
            <w:pPr>
              <w:ind w:left="110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1,975</w:t>
            </w:r>
          </w:p>
        </w:tc>
      </w:tr>
      <w:tr>
        <w:trPr>
          <w:trHeight w:val="216"/>
        </w:trPr>
        <w:tc>
          <w:tcPr>
            <w:tcW w:w="4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Forfeited during the period</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(392)</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19.48</w:t>
            </w:r>
          </w:p>
        </w:tc>
        <w:tc>
          <w:tcPr>
            <w:tcW w:w="1500" w:type="dxa"/>
            <w:vAlign w:val="bottom"/>
            <w:gridSpan w:val="2"/>
          </w:tcPr>
          <w:p>
            <w:pPr>
              <w:ind w:left="110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0"/>
        </w:trPr>
        <w:tc>
          <w:tcPr>
            <w:tcW w:w="420" w:type="dxa"/>
            <w:vAlign w:val="bottom"/>
          </w:tcPr>
          <w:p>
            <w:pPr>
              <w:spacing w:after="0"/>
              <w:rPr>
                <w:sz w:val="18"/>
                <w:szCs w:val="18"/>
                <w:color w:val="auto"/>
              </w:rPr>
            </w:pPr>
          </w:p>
        </w:tc>
        <w:tc>
          <w:tcPr>
            <w:tcW w:w="36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Outstanding as of June 30, 2016</w:t>
            </w:r>
          </w:p>
        </w:tc>
        <w:tc>
          <w:tcPr>
            <w:tcW w:w="1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1,721,817</w:t>
            </w: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10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14.11</w:t>
            </w:r>
          </w:p>
        </w:tc>
        <w:tc>
          <w:tcPr>
            <w:tcW w:w="200" w:type="dxa"/>
            <w:vAlign w:val="bottom"/>
            <w:tcBorders>
              <w:top w:val="single" w:sz="8" w:color="E5FFFF"/>
              <w:bottom w:val="single" w:sz="8" w:color="E5FFFF"/>
            </w:tcBorders>
            <w:shd w:val="clear" w:color="auto" w:fill="E5FFFF"/>
          </w:tcPr>
          <w:p>
            <w:pPr>
              <w:spacing w:after="0"/>
              <w:rPr>
                <w:sz w:val="18"/>
                <w:szCs w:val="18"/>
                <w:color w:val="auto"/>
              </w:rPr>
            </w:pPr>
          </w:p>
        </w:tc>
        <w:tc>
          <w:tcPr>
            <w:tcW w:w="1280" w:type="dxa"/>
            <w:vAlign w:val="bottom"/>
            <w:tcBorders>
              <w:top w:val="single" w:sz="8" w:color="auto"/>
              <w:bottom w:val="single" w:sz="8" w:color="auto"/>
            </w:tcBorders>
            <w:shd w:val="clear" w:color="auto" w:fill="E5FFFF"/>
          </w:tcPr>
          <w:p>
            <w:pPr>
              <w:ind w:left="1100"/>
              <w:spacing w:after="0"/>
              <w:rPr>
                <w:sz w:val="20"/>
                <w:szCs w:val="20"/>
                <w:color w:val="auto"/>
              </w:rPr>
            </w:pPr>
            <w:r>
              <w:rPr>
                <w:rFonts w:ascii="Arial" w:cs="Arial" w:eastAsia="Arial" w:hAnsi="Arial"/>
                <w:sz w:val="18"/>
                <w:szCs w:val="18"/>
                <w:b w:val="1"/>
                <w:bCs w:val="1"/>
                <w:color w:val="auto"/>
                <w:w w:val="88"/>
              </w:rPr>
              <w:t>—</w:t>
            </w: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1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8.75</w:t>
            </w:r>
          </w:p>
        </w:tc>
        <w:tc>
          <w:tcPr>
            <w:tcW w:w="180" w:type="dxa"/>
            <w:vAlign w:val="bottom"/>
            <w:tcBorders>
              <w:top w:val="single" w:sz="8" w:color="E5FFFF"/>
              <w:bottom w:val="single" w:sz="8" w:color="E5FFFF"/>
            </w:tcBorders>
            <w:shd w:val="clear" w:color="auto" w:fill="E5FFFF"/>
          </w:tcPr>
          <w:p>
            <w:pPr>
              <w:spacing w:after="0"/>
              <w:rPr>
                <w:sz w:val="18"/>
                <w:szCs w:val="18"/>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6,029</w:t>
            </w: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r>
      <w:tr>
        <w:trPr>
          <w:trHeight w:val="20"/>
        </w:trPr>
        <w:tc>
          <w:tcPr>
            <w:tcW w:w="4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June 30, 2016, 586,220 SARs have vested but have not been exercised.</w:t>
      </w:r>
    </w:p>
    <w:p>
      <w:pPr>
        <w:spacing w:after="0" w:line="225" w:lineRule="exact"/>
        <w:rPr>
          <w:sz w:val="20"/>
          <w:szCs w:val="20"/>
          <w:color w:val="auto"/>
        </w:rPr>
      </w:pPr>
    </w:p>
    <w:p>
      <w:pPr>
        <w:jc w:val="both"/>
        <w:ind w:right="420" w:firstLine="357"/>
        <w:spacing w:after="0" w:line="264" w:lineRule="auto"/>
        <w:rPr>
          <w:sz w:val="20"/>
          <w:szCs w:val="20"/>
          <w:color w:val="auto"/>
        </w:rPr>
      </w:pPr>
      <w:r>
        <w:rPr>
          <w:rFonts w:ascii="Arial" w:cs="Arial" w:eastAsia="Arial" w:hAnsi="Arial"/>
          <w:sz w:val="18"/>
          <w:szCs w:val="18"/>
          <w:color w:val="auto"/>
        </w:rPr>
        <w:t>The terms of the 2015 Long-Term Incentive Plan (the “GasLog Partners’ Plan”) and the assumptions for the valuation of Restricted Common Units (“RCUs”) and Performance Common Units (“PCUs”) have been disclosed in Note 20 “Share-Based Compensation” in the annual audited consolidated financial statements for the year ended December 31, 2015.</w:t>
      </w:r>
    </w:p>
    <w:p>
      <w:pPr>
        <w:spacing w:after="0" w:line="18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On April 1, 2016, GasLog Partners granted to its executives 24,925 RCUs and 24,925 PCUs in accordance with the GasLog Partners’ Plan. The RCUs and PCUs will vest on March 31, 2019 subject to the recipients’ continued service; vesting of the PCUs is also subject to the achievement of certain performance targets in relation to total unitholder return. Specifically, the performance measure is based on the total unitholder return (“TUR”) achieved by the Partnership during the performance period, benchmarked against the TUR of a selected group of peer companies. TUR above the 75th percentile of the peer group results in 100% of the award vesting; TUR between the 50th-75th percentile of the peer group results in 50% of award vesting; TUR below the 50th percentile of the peer group results in none of the award vesting. The holders are entitled to cash distributions that will be accrued and settled on vesting.</w:t>
      </w:r>
    </w:p>
    <w:p>
      <w:pPr>
        <w:spacing w:after="0" w:line="16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Fair value at</w:t>
            </w:r>
          </w:p>
        </w:tc>
      </w:tr>
      <w:tr>
        <w:trPr>
          <w:trHeight w:val="234"/>
        </w:trPr>
        <w:tc>
          <w:tcPr>
            <w:tcW w:w="20" w:type="dxa"/>
            <w:vAlign w:val="bottom"/>
          </w:tcPr>
          <w:p>
            <w:pPr>
              <w:spacing w:after="0"/>
              <w:rPr>
                <w:sz w:val="20"/>
                <w:szCs w:val="20"/>
                <w:color w:val="auto"/>
              </w:rPr>
            </w:pPr>
          </w:p>
        </w:tc>
        <w:tc>
          <w:tcPr>
            <w:tcW w:w="3020" w:type="dxa"/>
            <w:vAlign w:val="bottom"/>
            <w:gridSpan w:val="2"/>
          </w:tcPr>
          <w:p>
            <w:pPr>
              <w:ind w:left="1160"/>
              <w:spacing w:after="0"/>
              <w:rPr>
                <w:sz w:val="20"/>
                <w:szCs w:val="20"/>
                <w:color w:val="auto"/>
              </w:rPr>
            </w:pPr>
            <w:r>
              <w:rPr>
                <w:rFonts w:ascii="Arial" w:cs="Arial" w:eastAsia="Arial" w:hAnsi="Arial"/>
                <w:sz w:val="18"/>
                <w:szCs w:val="18"/>
                <w:b w:val="1"/>
                <w:bCs w:val="1"/>
                <w:color w:val="auto"/>
              </w:rPr>
              <w:t>Awards</w:t>
            </w:r>
          </w:p>
        </w:tc>
        <w:tc>
          <w:tcPr>
            <w:tcW w:w="1180" w:type="dxa"/>
            <w:vAlign w:val="bottom"/>
            <w:gridSpan w:val="2"/>
          </w:tcPr>
          <w:p>
            <w:pPr>
              <w:ind w:left="160"/>
              <w:spacing w:after="0"/>
              <w:rPr>
                <w:sz w:val="20"/>
                <w:szCs w:val="20"/>
                <w:color w:val="auto"/>
              </w:rPr>
            </w:pPr>
            <w:r>
              <w:rPr>
                <w:rFonts w:ascii="Arial" w:cs="Arial" w:eastAsia="Arial" w:hAnsi="Arial"/>
                <w:sz w:val="18"/>
                <w:szCs w:val="18"/>
                <w:b w:val="1"/>
                <w:bCs w:val="1"/>
                <w:color w:val="auto"/>
              </w:rPr>
              <w:t>Number</w:t>
            </w:r>
          </w:p>
        </w:tc>
        <w:tc>
          <w:tcPr>
            <w:tcW w:w="2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Grant date</w:t>
            </w:r>
          </w:p>
        </w:tc>
        <w:tc>
          <w:tcPr>
            <w:tcW w:w="1740" w:type="dxa"/>
            <w:vAlign w:val="bottom"/>
          </w:tcPr>
          <w:p>
            <w:pPr>
              <w:ind w:left="400"/>
              <w:spacing w:after="0"/>
              <w:rPr>
                <w:sz w:val="20"/>
                <w:szCs w:val="20"/>
                <w:color w:val="auto"/>
              </w:rPr>
            </w:pPr>
            <w:r>
              <w:rPr>
                <w:rFonts w:ascii="Arial" w:cs="Arial" w:eastAsia="Arial" w:hAnsi="Arial"/>
                <w:sz w:val="18"/>
                <w:szCs w:val="18"/>
                <w:b w:val="1"/>
                <w:bCs w:val="1"/>
                <w:color w:val="auto"/>
              </w:rPr>
              <w:t>Expiry date</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grant date</w:t>
            </w:r>
          </w:p>
        </w:tc>
      </w:tr>
      <w:tr>
        <w:trPr>
          <w:trHeight w:val="195"/>
        </w:trPr>
        <w:tc>
          <w:tcPr>
            <w:tcW w:w="20" w:type="dxa"/>
            <w:vAlign w:val="bottom"/>
          </w:tcPr>
          <w:p>
            <w:pPr>
              <w:spacing w:after="0"/>
              <w:rPr>
                <w:sz w:val="16"/>
                <w:szCs w:val="16"/>
                <w:color w:val="auto"/>
              </w:rPr>
            </w:pPr>
          </w:p>
        </w:tc>
        <w:tc>
          <w:tcPr>
            <w:tcW w:w="2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RCUs</w:t>
            </w:r>
          </w:p>
        </w:tc>
        <w:tc>
          <w:tcPr>
            <w:tcW w:w="120" w:type="dxa"/>
            <w:vAlign w:val="bottom"/>
          </w:tcPr>
          <w:p>
            <w:pPr>
              <w:spacing w:after="0"/>
              <w:rPr>
                <w:sz w:val="16"/>
                <w:szCs w:val="16"/>
                <w:color w:val="auto"/>
              </w:rPr>
            </w:pP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24,925</w:t>
            </w:r>
          </w:p>
        </w:tc>
        <w:tc>
          <w:tcPr>
            <w:tcW w:w="220" w:type="dxa"/>
            <w:vAlign w:val="bottom"/>
          </w:tcPr>
          <w:p>
            <w:pPr>
              <w:spacing w:after="0"/>
              <w:rPr>
                <w:sz w:val="16"/>
                <w:szCs w:val="16"/>
                <w:color w:val="auto"/>
              </w:rPr>
            </w:pPr>
          </w:p>
        </w:tc>
        <w:tc>
          <w:tcPr>
            <w:tcW w:w="18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April 1, 2016</w:t>
            </w:r>
          </w:p>
        </w:tc>
        <w:tc>
          <w:tcPr>
            <w:tcW w:w="300" w:type="dxa"/>
            <w:vAlign w:val="bottom"/>
          </w:tcPr>
          <w:p>
            <w:pPr>
              <w:spacing w:after="0"/>
              <w:rPr>
                <w:sz w:val="16"/>
                <w:szCs w:val="16"/>
                <w:color w:val="auto"/>
              </w:rPr>
            </w:pPr>
          </w:p>
        </w:tc>
        <w:tc>
          <w:tcPr>
            <w:tcW w:w="1740" w:type="dxa"/>
            <w:vAlign w:val="bottom"/>
            <w:tcBorders>
              <w:top w:val="single" w:sz="8" w:color="auto"/>
            </w:tcBorders>
          </w:tcPr>
          <w:p>
            <w:pPr>
              <w:ind w:left="1500"/>
              <w:spacing w:after="0" w:line="195" w:lineRule="exact"/>
              <w:rPr>
                <w:sz w:val="20"/>
                <w:szCs w:val="20"/>
                <w:color w:val="auto"/>
              </w:rPr>
            </w:pPr>
            <w:r>
              <w:rPr>
                <w:rFonts w:ascii="Arial" w:cs="Arial" w:eastAsia="Arial" w:hAnsi="Arial"/>
                <w:sz w:val="18"/>
                <w:szCs w:val="18"/>
                <w:color w:val="auto"/>
                <w:w w:val="87"/>
              </w:rPr>
              <w:t>n/a</w:t>
            </w:r>
          </w:p>
        </w:tc>
        <w:tc>
          <w:tcPr>
            <w:tcW w:w="2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16.45</w:t>
            </w:r>
          </w:p>
        </w:tc>
      </w:tr>
      <w:tr>
        <w:trPr>
          <w:trHeight w:val="230"/>
        </w:trPr>
        <w:tc>
          <w:tcPr>
            <w:tcW w:w="3040" w:type="dxa"/>
            <w:vAlign w:val="bottom"/>
            <w:gridSpan w:val="3"/>
          </w:tcPr>
          <w:p>
            <w:pPr>
              <w:spacing w:after="0"/>
              <w:rPr>
                <w:sz w:val="20"/>
                <w:szCs w:val="20"/>
                <w:color w:val="auto"/>
              </w:rPr>
            </w:pPr>
            <w:r>
              <w:rPr>
                <w:rFonts w:ascii="Arial" w:cs="Arial" w:eastAsia="Arial" w:hAnsi="Arial"/>
                <w:sz w:val="18"/>
                <w:szCs w:val="18"/>
                <w:color w:val="auto"/>
              </w:rPr>
              <w:t>PCUs</w:t>
            </w:r>
          </w:p>
        </w:tc>
        <w:tc>
          <w:tcPr>
            <w:tcW w:w="960" w:type="dxa"/>
            <w:vAlign w:val="bottom"/>
          </w:tcPr>
          <w:p>
            <w:pPr>
              <w:jc w:val="right"/>
              <w:spacing w:after="0"/>
              <w:rPr>
                <w:sz w:val="20"/>
                <w:szCs w:val="20"/>
                <w:color w:val="auto"/>
              </w:rPr>
            </w:pPr>
            <w:r>
              <w:rPr>
                <w:rFonts w:ascii="Arial" w:cs="Arial" w:eastAsia="Arial" w:hAnsi="Arial"/>
                <w:sz w:val="18"/>
                <w:szCs w:val="18"/>
                <w:color w:val="auto"/>
              </w:rPr>
              <w:t>24,925</w:t>
            </w:r>
          </w:p>
        </w:tc>
        <w:tc>
          <w:tcPr>
            <w:tcW w:w="220" w:type="dxa"/>
            <w:vAlign w:val="bottom"/>
          </w:tcPr>
          <w:p>
            <w:pPr>
              <w:spacing w:after="0"/>
              <w:rPr>
                <w:sz w:val="20"/>
                <w:szCs w:val="20"/>
                <w:color w:val="auto"/>
              </w:rPr>
            </w:pPr>
          </w:p>
        </w:tc>
        <w:tc>
          <w:tcPr>
            <w:tcW w:w="21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April 1, 2016</w:t>
            </w:r>
          </w:p>
        </w:tc>
        <w:tc>
          <w:tcPr>
            <w:tcW w:w="1740" w:type="dxa"/>
            <w:vAlign w:val="bottom"/>
          </w:tcPr>
          <w:p>
            <w:pPr>
              <w:ind w:left="1500"/>
              <w:spacing w:after="0"/>
              <w:rPr>
                <w:sz w:val="20"/>
                <w:szCs w:val="20"/>
                <w:color w:val="auto"/>
              </w:rPr>
            </w:pPr>
            <w:r>
              <w:rPr>
                <w:rFonts w:ascii="Arial" w:cs="Arial" w:eastAsia="Arial" w:hAnsi="Arial"/>
                <w:sz w:val="18"/>
                <w:szCs w:val="18"/>
                <w:color w:val="auto"/>
                <w:w w:val="87"/>
              </w:rPr>
              <w:t>n/a</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16.45</w:t>
            </w:r>
          </w:p>
        </w:tc>
      </w:tr>
    </w:tbl>
    <w:p>
      <w:pPr>
        <w:spacing w:after="0" w:line="202" w:lineRule="exact"/>
        <w:rPr>
          <w:sz w:val="20"/>
          <w:szCs w:val="20"/>
          <w:color w:val="auto"/>
        </w:rPr>
      </w:pPr>
    </w:p>
    <w:p>
      <w:pPr>
        <w:jc w:val="both"/>
        <w:ind w:right="260" w:firstLine="357"/>
        <w:spacing w:after="0" w:line="264" w:lineRule="auto"/>
        <w:rPr>
          <w:sz w:val="20"/>
          <w:szCs w:val="20"/>
          <w:color w:val="auto"/>
        </w:rPr>
      </w:pPr>
      <w:r>
        <w:rPr>
          <w:rFonts w:ascii="Arial" w:cs="Arial" w:eastAsia="Arial" w:hAnsi="Arial"/>
          <w:sz w:val="18"/>
          <w:szCs w:val="18"/>
          <w:color w:val="auto"/>
        </w:rPr>
        <w:t>In accordance with the terms of the GasLog Partners’ Plan, the awards will be settled in cash or in common units at the sole discretion of the board of directors or such committee as may be designated by the board to administer the GasLog Partners’ Plan. These awards have been treated as equity settled because the Partnership has no present obligation to settle them in cash.</w:t>
      </w:r>
    </w:p>
    <w:p>
      <w:pPr>
        <w:spacing w:after="0" w:line="181" w:lineRule="exact"/>
        <w:rPr>
          <w:sz w:val="20"/>
          <w:szCs w:val="20"/>
          <w:color w:val="auto"/>
        </w:rPr>
      </w:pPr>
    </w:p>
    <w:p>
      <w:pPr>
        <w:ind w:right="120" w:firstLine="357"/>
        <w:spacing w:after="0" w:line="277" w:lineRule="auto"/>
        <w:rPr>
          <w:sz w:val="20"/>
          <w:szCs w:val="20"/>
          <w:color w:val="auto"/>
        </w:rPr>
      </w:pPr>
      <w:r>
        <w:rPr>
          <w:rFonts w:ascii="Arial" w:cs="Arial" w:eastAsia="Arial" w:hAnsi="Arial"/>
          <w:sz w:val="18"/>
          <w:szCs w:val="18"/>
          <w:color w:val="auto"/>
        </w:rPr>
        <w:t>The fair value of the RCUs and PCUs in accordance with the GasLog Partners’ Plan was determined by using the grant date closing price of $16.45 per common unit and was not further adjusted since the holders are entitled to cash distributions.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Movement in RCUs and PCUs during the period</w:t>
            </w: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32"/>
        </w:trPr>
        <w:tc>
          <w:tcPr>
            <w:tcW w:w="5640" w:type="dxa"/>
            <w:vAlign w:val="bottom"/>
            <w:gridSpan w:val="2"/>
          </w:tcPr>
          <w:p>
            <w:pPr>
              <w:ind w:left="340"/>
              <w:spacing w:after="0"/>
              <w:rPr>
                <w:sz w:val="20"/>
                <w:szCs w:val="20"/>
                <w:color w:val="auto"/>
              </w:rPr>
            </w:pPr>
            <w:r>
              <w:rPr>
                <w:rFonts w:ascii="Arial" w:cs="Arial" w:eastAsia="Arial" w:hAnsi="Arial"/>
                <w:sz w:val="18"/>
                <w:szCs w:val="18"/>
                <w:color w:val="auto"/>
              </w:rPr>
              <w:t>The summary of RCUs and PCUs is presented below:</w:t>
            </w: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14"/>
        </w:trPr>
        <w:tc>
          <w:tcPr>
            <w:tcW w:w="8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Weighted</w:t>
            </w:r>
          </w:p>
        </w:tc>
        <w:tc>
          <w:tcPr>
            <w:tcW w:w="144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Number of</w:t>
            </w:r>
          </w:p>
        </w:tc>
        <w:tc>
          <w:tcPr>
            <w:tcW w:w="16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average</w:t>
            </w:r>
          </w:p>
        </w:tc>
        <w:tc>
          <w:tcPr>
            <w:tcW w:w="1440" w:type="dxa"/>
            <w:vAlign w:val="bottom"/>
          </w:tcPr>
          <w:p>
            <w:pPr>
              <w:jc w:val="right"/>
              <w:ind w:right="230"/>
              <w:spacing w:after="0"/>
              <w:rPr>
                <w:sz w:val="20"/>
                <w:szCs w:val="20"/>
                <w:color w:val="auto"/>
              </w:rPr>
            </w:pPr>
            <w:r>
              <w:rPr>
                <w:rFonts w:ascii="Arial" w:cs="Arial" w:eastAsia="Arial" w:hAnsi="Arial"/>
                <w:sz w:val="18"/>
                <w:szCs w:val="18"/>
                <w:b w:val="1"/>
                <w:bCs w:val="1"/>
                <w:color w:val="auto"/>
              </w:rPr>
              <w:t>Aggregate</w:t>
            </w:r>
          </w:p>
        </w:tc>
      </w:tr>
      <w:tr>
        <w:trPr>
          <w:trHeight w:val="234"/>
        </w:trPr>
        <w:tc>
          <w:tcPr>
            <w:tcW w:w="88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awards</w:t>
            </w:r>
          </w:p>
        </w:tc>
        <w:tc>
          <w:tcPr>
            <w:tcW w:w="16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contractual life</w:t>
            </w:r>
          </w:p>
        </w:tc>
        <w:tc>
          <w:tcPr>
            <w:tcW w:w="1440" w:type="dxa"/>
            <w:vAlign w:val="bottom"/>
          </w:tcPr>
          <w:p>
            <w:pPr>
              <w:jc w:val="right"/>
              <w:ind w:right="27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880" w:type="dxa"/>
            <w:vAlign w:val="bottom"/>
          </w:tcPr>
          <w:p>
            <w:pPr>
              <w:spacing w:after="0"/>
              <w:rPr>
                <w:sz w:val="18"/>
                <w:szCs w:val="18"/>
                <w:color w:val="auto"/>
              </w:rPr>
            </w:pPr>
          </w:p>
        </w:tc>
        <w:tc>
          <w:tcPr>
            <w:tcW w:w="47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RCUs</w:t>
            </w:r>
          </w:p>
        </w:tc>
        <w:tc>
          <w:tcPr>
            <w:tcW w:w="1560" w:type="dxa"/>
            <w:vAlign w:val="bottom"/>
            <w:tcBorders>
              <w:top w:val="single" w:sz="8" w:color="auto"/>
            </w:tcBorders>
            <w:shd w:val="clear" w:color="auto" w:fill="E5FFFF"/>
          </w:tcPr>
          <w:p>
            <w:pPr>
              <w:spacing w:after="0"/>
              <w:rPr>
                <w:sz w:val="18"/>
                <w:szCs w:val="18"/>
                <w:color w:val="auto"/>
              </w:rPr>
            </w:pPr>
          </w:p>
        </w:tc>
        <w:tc>
          <w:tcPr>
            <w:tcW w:w="280" w:type="dxa"/>
            <w:vAlign w:val="bottom"/>
            <w:tcBorders>
              <w:top w:val="single" w:sz="8" w:color="E5FFFF"/>
            </w:tcBorders>
            <w:shd w:val="clear" w:color="auto" w:fill="E5FFFF"/>
          </w:tcPr>
          <w:p>
            <w:pPr>
              <w:spacing w:after="0"/>
              <w:rPr>
                <w:sz w:val="18"/>
                <w:szCs w:val="18"/>
                <w:color w:val="auto"/>
              </w:rPr>
            </w:pPr>
          </w:p>
        </w:tc>
        <w:tc>
          <w:tcPr>
            <w:tcW w:w="1460" w:type="dxa"/>
            <w:vAlign w:val="bottom"/>
            <w:tcBorders>
              <w:top w:val="single" w:sz="8" w:color="auto"/>
            </w:tcBorders>
            <w:shd w:val="clear" w:color="auto" w:fill="E5FFFF"/>
          </w:tcPr>
          <w:p>
            <w:pPr>
              <w:spacing w:after="0"/>
              <w:rPr>
                <w:sz w:val="18"/>
                <w:szCs w:val="18"/>
                <w:color w:val="auto"/>
              </w:rPr>
            </w:pPr>
          </w:p>
        </w:tc>
        <w:tc>
          <w:tcPr>
            <w:tcW w:w="180" w:type="dxa"/>
            <w:vAlign w:val="bottom"/>
            <w:tcBorders>
              <w:top w:val="single" w:sz="8" w:color="E5FFFF"/>
            </w:tcBorders>
            <w:shd w:val="clear" w:color="auto" w:fill="E5FFFF"/>
          </w:tcPr>
          <w:p>
            <w:pPr>
              <w:spacing w:after="0"/>
              <w:rPr>
                <w:sz w:val="18"/>
                <w:szCs w:val="18"/>
                <w:color w:val="auto"/>
              </w:rPr>
            </w:pPr>
          </w:p>
        </w:tc>
        <w:tc>
          <w:tcPr>
            <w:tcW w:w="1440" w:type="dxa"/>
            <w:vAlign w:val="bottom"/>
            <w:tcBorders>
              <w:top w:val="single" w:sz="8" w:color="auto"/>
            </w:tcBorders>
            <w:shd w:val="clear" w:color="auto" w:fill="E5FF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Outstanding as of January 1, 2016</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16,999</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2.25</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410</w:t>
            </w:r>
          </w:p>
        </w:tc>
      </w:tr>
      <w:tr>
        <w:trPr>
          <w:trHeight w:val="216"/>
        </w:trPr>
        <w:tc>
          <w:tcPr>
            <w:tcW w:w="880" w:type="dxa"/>
            <w:vAlign w:val="bottom"/>
          </w:tcPr>
          <w:p>
            <w:pPr>
              <w:spacing w:after="0"/>
              <w:rPr>
                <w:sz w:val="18"/>
                <w:szCs w:val="18"/>
                <w:color w:val="auto"/>
              </w:rPr>
            </w:pPr>
          </w:p>
        </w:tc>
        <w:tc>
          <w:tcPr>
            <w:tcW w:w="4760" w:type="dxa"/>
            <w:vAlign w:val="bottom"/>
            <w:shd w:val="clear" w:color="auto" w:fill="E5FFFF"/>
          </w:tcPr>
          <w:p>
            <w:pPr>
              <w:spacing w:after="0"/>
              <w:rPr>
                <w:sz w:val="20"/>
                <w:szCs w:val="20"/>
                <w:color w:val="auto"/>
              </w:rPr>
            </w:pPr>
            <w:r>
              <w:rPr>
                <w:rFonts w:ascii="Arial" w:cs="Arial" w:eastAsia="Arial" w:hAnsi="Arial"/>
                <w:sz w:val="18"/>
                <w:szCs w:val="18"/>
                <w:color w:val="auto"/>
              </w:rPr>
              <w:t>Granted during the period</w:t>
            </w:r>
          </w:p>
        </w:tc>
        <w:tc>
          <w:tcPr>
            <w:tcW w:w="15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24,925</w:t>
            </w:r>
          </w:p>
        </w:tc>
        <w:tc>
          <w:tcPr>
            <w:tcW w:w="280" w:type="dxa"/>
            <w:vAlign w:val="bottom"/>
            <w:shd w:val="clear" w:color="auto" w:fill="E5FFFF"/>
          </w:tcPr>
          <w:p>
            <w:pPr>
              <w:spacing w:after="0"/>
              <w:rPr>
                <w:sz w:val="18"/>
                <w:szCs w:val="18"/>
                <w:color w:val="auto"/>
              </w:rPr>
            </w:pPr>
          </w:p>
        </w:tc>
        <w:tc>
          <w:tcPr>
            <w:tcW w:w="164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410</w:t>
            </w:r>
          </w:p>
        </w:tc>
      </w:tr>
      <w:tr>
        <w:trPr>
          <w:trHeight w:val="250"/>
        </w:trPr>
        <w:tc>
          <w:tcPr>
            <w:tcW w:w="5640" w:type="dxa"/>
            <w:vAlign w:val="bottom"/>
            <w:gridSpan w:val="2"/>
          </w:tcPr>
          <w:p>
            <w:pPr>
              <w:ind w:left="860"/>
              <w:spacing w:after="0"/>
              <w:rPr>
                <w:sz w:val="20"/>
                <w:szCs w:val="20"/>
                <w:color w:val="auto"/>
              </w:rPr>
            </w:pPr>
            <w:r>
              <w:rPr>
                <w:rFonts w:ascii="Arial" w:cs="Arial" w:eastAsia="Arial" w:hAnsi="Arial"/>
                <w:sz w:val="18"/>
                <w:szCs w:val="18"/>
                <w:b w:val="1"/>
                <w:bCs w:val="1"/>
                <w:color w:val="auto"/>
              </w:rPr>
              <w:t>Outstanding as of June 30, 2016</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41,924</w:t>
            </w:r>
          </w:p>
        </w:tc>
        <w:tc>
          <w:tcPr>
            <w:tcW w:w="280" w:type="dxa"/>
            <w:vAlign w:val="bottom"/>
          </w:tcPr>
          <w:p>
            <w:pPr>
              <w:spacing w:after="0"/>
              <w:rPr>
                <w:sz w:val="21"/>
                <w:szCs w:val="21"/>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w:t>
            </w:r>
          </w:p>
        </w:tc>
        <w:tc>
          <w:tcPr>
            <w:tcW w:w="180" w:type="dxa"/>
            <w:vAlign w:val="bottom"/>
          </w:tcPr>
          <w:p>
            <w:pPr>
              <w:spacing w:after="0"/>
              <w:rPr>
                <w:sz w:val="21"/>
                <w:szCs w:val="21"/>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820</w:t>
            </w:r>
          </w:p>
        </w:tc>
      </w:tr>
      <w:tr>
        <w:trPr>
          <w:trHeight w:val="197"/>
        </w:trPr>
        <w:tc>
          <w:tcPr>
            <w:tcW w:w="880" w:type="dxa"/>
            <w:vAlign w:val="bottom"/>
          </w:tcPr>
          <w:p>
            <w:pPr>
              <w:spacing w:after="0"/>
              <w:rPr>
                <w:sz w:val="17"/>
                <w:szCs w:val="17"/>
                <w:color w:val="auto"/>
              </w:rPr>
            </w:pPr>
          </w:p>
        </w:tc>
        <w:tc>
          <w:tcPr>
            <w:tcW w:w="476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PCUs</w:t>
            </w:r>
          </w:p>
        </w:tc>
        <w:tc>
          <w:tcPr>
            <w:tcW w:w="1560" w:type="dxa"/>
            <w:vAlign w:val="bottom"/>
            <w:tcBorders>
              <w:top w:val="single" w:sz="8" w:color="auto"/>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tcBorders>
            <w:shd w:val="clear" w:color="auto" w:fill="E5FFFF"/>
          </w:tcPr>
          <w:p>
            <w:pPr>
              <w:spacing w:after="0"/>
              <w:rPr>
                <w:sz w:val="17"/>
                <w:szCs w:val="17"/>
                <w:color w:val="auto"/>
              </w:rPr>
            </w:pPr>
          </w:p>
        </w:tc>
        <w:tc>
          <w:tcPr>
            <w:tcW w:w="180" w:type="dxa"/>
            <w:vAlign w:val="bottom"/>
            <w:tcBorders>
              <w:top w:val="single" w:sz="8" w:color="E5FFFF"/>
            </w:tcBorders>
            <w:shd w:val="clear" w:color="auto" w:fill="E5FFFF"/>
          </w:tcPr>
          <w:p>
            <w:pPr>
              <w:spacing w:after="0"/>
              <w:rPr>
                <w:sz w:val="17"/>
                <w:szCs w:val="17"/>
                <w:color w:val="auto"/>
              </w:rPr>
            </w:pPr>
          </w:p>
        </w:tc>
        <w:tc>
          <w:tcPr>
            <w:tcW w:w="1440" w:type="dxa"/>
            <w:vAlign w:val="bottom"/>
            <w:tcBorders>
              <w:top w:val="single" w:sz="8" w:color="auto"/>
            </w:tcBorders>
            <w:shd w:val="clear" w:color="auto" w:fill="E5FFFF"/>
          </w:tcPr>
          <w:p>
            <w:pPr>
              <w:spacing w:after="0"/>
              <w:rPr>
                <w:sz w:val="17"/>
                <w:szCs w:val="17"/>
                <w:color w:val="auto"/>
              </w:rPr>
            </w:pPr>
          </w:p>
        </w:tc>
      </w:tr>
      <w:tr>
        <w:trPr>
          <w:trHeight w:val="216"/>
        </w:trPr>
        <w:tc>
          <w:tcPr>
            <w:tcW w:w="8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Outstanding as of January 1, 2016</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16,999</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2.25</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410</w:t>
            </w:r>
          </w:p>
        </w:tc>
      </w:tr>
      <w:tr>
        <w:trPr>
          <w:trHeight w:val="216"/>
        </w:trPr>
        <w:tc>
          <w:tcPr>
            <w:tcW w:w="880" w:type="dxa"/>
            <w:vAlign w:val="bottom"/>
          </w:tcPr>
          <w:p>
            <w:pPr>
              <w:spacing w:after="0"/>
              <w:rPr>
                <w:sz w:val="18"/>
                <w:szCs w:val="18"/>
                <w:color w:val="auto"/>
              </w:rPr>
            </w:pPr>
          </w:p>
        </w:tc>
        <w:tc>
          <w:tcPr>
            <w:tcW w:w="4760" w:type="dxa"/>
            <w:vAlign w:val="bottom"/>
            <w:shd w:val="clear" w:color="auto" w:fill="E5FFFF"/>
          </w:tcPr>
          <w:p>
            <w:pPr>
              <w:spacing w:after="0"/>
              <w:rPr>
                <w:sz w:val="20"/>
                <w:szCs w:val="20"/>
                <w:color w:val="auto"/>
              </w:rPr>
            </w:pPr>
            <w:r>
              <w:rPr>
                <w:rFonts w:ascii="Arial" w:cs="Arial" w:eastAsia="Arial" w:hAnsi="Arial"/>
                <w:sz w:val="18"/>
                <w:szCs w:val="18"/>
                <w:color w:val="auto"/>
              </w:rPr>
              <w:t>Granted during the period</w:t>
            </w:r>
          </w:p>
        </w:tc>
        <w:tc>
          <w:tcPr>
            <w:tcW w:w="15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24,925</w:t>
            </w:r>
          </w:p>
        </w:tc>
        <w:tc>
          <w:tcPr>
            <w:tcW w:w="280" w:type="dxa"/>
            <w:vAlign w:val="bottom"/>
            <w:shd w:val="clear" w:color="auto" w:fill="E5FFFF"/>
          </w:tcPr>
          <w:p>
            <w:pPr>
              <w:spacing w:after="0"/>
              <w:rPr>
                <w:sz w:val="18"/>
                <w:szCs w:val="18"/>
                <w:color w:val="auto"/>
              </w:rPr>
            </w:pPr>
          </w:p>
        </w:tc>
        <w:tc>
          <w:tcPr>
            <w:tcW w:w="164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410</w:t>
            </w:r>
          </w:p>
        </w:tc>
      </w:tr>
      <w:tr>
        <w:trPr>
          <w:trHeight w:val="210"/>
        </w:trPr>
        <w:tc>
          <w:tcPr>
            <w:tcW w:w="5640" w:type="dxa"/>
            <w:vAlign w:val="bottom"/>
            <w:gridSpan w:val="2"/>
          </w:tcPr>
          <w:p>
            <w:pPr>
              <w:ind w:left="860"/>
              <w:spacing w:after="0"/>
              <w:rPr>
                <w:sz w:val="20"/>
                <w:szCs w:val="20"/>
                <w:color w:val="auto"/>
              </w:rPr>
            </w:pPr>
            <w:r>
              <w:rPr>
                <w:rFonts w:ascii="Arial" w:cs="Arial" w:eastAsia="Arial" w:hAnsi="Arial"/>
                <w:sz w:val="18"/>
                <w:szCs w:val="18"/>
                <w:b w:val="1"/>
                <w:bCs w:val="1"/>
                <w:color w:val="auto"/>
              </w:rPr>
              <w:t>Outstanding as of June 30, 2016</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41,924</w:t>
            </w:r>
          </w:p>
        </w:tc>
        <w:tc>
          <w:tcPr>
            <w:tcW w:w="28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w:t>
            </w:r>
          </w:p>
        </w:tc>
        <w:tc>
          <w:tcPr>
            <w:tcW w:w="18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820</w:t>
            </w:r>
          </w:p>
        </w:tc>
      </w:tr>
      <w:tr>
        <w:trPr>
          <w:trHeight w:val="20"/>
        </w:trPr>
        <w:tc>
          <w:tcPr>
            <w:tcW w:w="8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36"/>
        <w:spacing w:after="0" w:line="264" w:lineRule="auto"/>
        <w:rPr>
          <w:sz w:val="20"/>
          <w:szCs w:val="20"/>
          <w:color w:val="auto"/>
        </w:rPr>
      </w:pPr>
      <w:r>
        <w:rPr>
          <w:rFonts w:ascii="Arial" w:cs="Arial" w:eastAsia="Arial" w:hAnsi="Arial"/>
          <w:sz w:val="18"/>
          <w:szCs w:val="18"/>
          <w:color w:val="auto"/>
        </w:rPr>
        <w:t>The total expense recognized in respect of share-based compensation for the three and six months ended June 30, 2016 was $1,037 and $1,800 (for the three and six months ended June 30, 2015: $776 and $1,274). The total accrued cash distribution as of June 30, 2016 is $191 (December 31, 2015: $81) and is included under “Other non-current liabilities”.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5"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16. Earnings/(loss) per Share (“EPS”)</w:t>
      </w:r>
    </w:p>
    <w:p>
      <w:pPr>
        <w:spacing w:after="0" w:line="229" w:lineRule="exact"/>
        <w:rPr>
          <w:sz w:val="20"/>
          <w:szCs w:val="20"/>
          <w:color w:val="auto"/>
        </w:rPr>
      </w:pPr>
    </w:p>
    <w:p>
      <w:pPr>
        <w:ind w:right="180" w:firstLine="356"/>
        <w:spacing w:after="0" w:line="277" w:lineRule="auto"/>
        <w:rPr>
          <w:sz w:val="20"/>
          <w:szCs w:val="20"/>
          <w:color w:val="auto"/>
        </w:rPr>
      </w:pPr>
      <w:r>
        <w:rPr>
          <w:rFonts w:ascii="Arial" w:cs="Arial" w:eastAsia="Arial" w:hAnsi="Arial"/>
          <w:sz w:val="18"/>
          <w:szCs w:val="18"/>
          <w:color w:val="auto"/>
        </w:rPr>
        <w:t>Basic earnings/(loss) per share was calculated by dividing the net profit for the period attributable to the owners of the common shares by the weighted average number of common shares issued and outstanding during the period.</w:t>
      </w:r>
    </w:p>
    <w:p>
      <w:pPr>
        <w:spacing w:after="0" w:line="170" w:lineRule="exact"/>
        <w:rPr>
          <w:sz w:val="20"/>
          <w:szCs w:val="20"/>
          <w:color w:val="auto"/>
        </w:rPr>
      </w:pPr>
    </w:p>
    <w:p>
      <w:pPr>
        <w:ind w:right="40" w:firstLine="356"/>
        <w:spacing w:after="0" w:line="342" w:lineRule="auto"/>
        <w:rPr>
          <w:sz w:val="20"/>
          <w:szCs w:val="20"/>
          <w:color w:val="auto"/>
        </w:rPr>
      </w:pPr>
      <w:r>
        <w:rPr>
          <w:rFonts w:ascii="Arial" w:cs="Arial" w:eastAsia="Arial" w:hAnsi="Arial"/>
          <w:sz w:val="16"/>
          <w:szCs w:val="16"/>
          <w:color w:val="auto"/>
        </w:rPr>
        <w:t>Diluted earnings/(loss) per share is calculated by dividing the profit for the period attributable to the owners of the Group by the weighted average number of all potential ordinary shares assumed to have been converted into common shares, unless such potential ordinary shares have an antidilutive effect.</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reflects the earnings and share data used in the basic and diluted earnings per share computations: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308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For the three months ended</w:t>
            </w:r>
          </w:p>
        </w:tc>
      </w:tr>
      <w:tr>
        <w:trPr>
          <w:trHeight w:val="234"/>
        </w:trPr>
        <w:tc>
          <w:tcPr>
            <w:tcW w:w="8340" w:type="dxa"/>
            <w:vAlign w:val="bottom"/>
          </w:tcPr>
          <w:p>
            <w:pPr>
              <w:spacing w:after="0"/>
              <w:rPr>
                <w:sz w:val="20"/>
                <w:szCs w:val="20"/>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7"/>
              </w:rPr>
              <w:t>June 30, 2015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5"/>
              </w:rPr>
              <w:t>June 30, 2016</w:t>
            </w:r>
          </w:p>
        </w:tc>
      </w:tr>
      <w:tr>
        <w:trPr>
          <w:trHeight w:val="210"/>
        </w:trPr>
        <w:tc>
          <w:tcPr>
            <w:tcW w:w="83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i w:val="1"/>
                <w:iCs w:val="1"/>
                <w:color w:val="auto"/>
              </w:rPr>
              <w:t>Basic earnings/(loss) per share</w:t>
            </w:r>
          </w:p>
        </w:tc>
        <w:tc>
          <w:tcPr>
            <w:tcW w:w="1260" w:type="dxa"/>
            <w:vAlign w:val="bottom"/>
            <w:tcBorders>
              <w:top w:val="single" w:sz="8" w:color="auto"/>
            </w:tcBorders>
            <w:shd w:val="clear" w:color="auto" w:fill="E5FFFF"/>
          </w:tcPr>
          <w:p>
            <w:pPr>
              <w:spacing w:after="0"/>
              <w:rPr>
                <w:sz w:val="18"/>
                <w:szCs w:val="18"/>
                <w:color w:val="auto"/>
              </w:rPr>
            </w:pPr>
          </w:p>
        </w:tc>
        <w:tc>
          <w:tcPr>
            <w:tcW w:w="46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Profit/(loss) for the period attributable to owners of the Group</w:t>
            </w:r>
          </w:p>
        </w:tc>
        <w:tc>
          <w:tcPr>
            <w:tcW w:w="1720" w:type="dxa"/>
            <w:vAlign w:val="bottom"/>
            <w:gridSpan w:val="2"/>
          </w:tcPr>
          <w:p>
            <w:pPr>
              <w:jc w:val="right"/>
              <w:ind w:right="460"/>
              <w:spacing w:after="0"/>
              <w:rPr>
                <w:sz w:val="20"/>
                <w:szCs w:val="20"/>
                <w:color w:val="auto"/>
              </w:rPr>
            </w:pPr>
            <w:r>
              <w:rPr>
                <w:rFonts w:ascii="Arial" w:cs="Arial" w:eastAsia="Arial" w:hAnsi="Arial"/>
                <w:sz w:val="18"/>
                <w:szCs w:val="18"/>
                <w:color w:val="auto"/>
              </w:rPr>
              <w:t>8,240</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(7,864)</w:t>
            </w:r>
          </w:p>
        </w:tc>
      </w:tr>
      <w:tr>
        <w:trPr>
          <w:trHeight w:val="216"/>
        </w:trPr>
        <w:tc>
          <w:tcPr>
            <w:tcW w:w="8340" w:type="dxa"/>
            <w:vAlign w:val="bottom"/>
            <w:shd w:val="clear" w:color="auto" w:fill="E5FFFF"/>
          </w:tcPr>
          <w:p>
            <w:pPr>
              <w:spacing w:after="0"/>
              <w:rPr>
                <w:sz w:val="20"/>
                <w:szCs w:val="20"/>
                <w:color w:val="auto"/>
              </w:rPr>
            </w:pPr>
            <w:r>
              <w:rPr>
                <w:rFonts w:ascii="Arial" w:cs="Arial" w:eastAsia="Arial" w:hAnsi="Arial"/>
                <w:sz w:val="18"/>
                <w:szCs w:val="18"/>
                <w:color w:val="auto"/>
              </w:rPr>
              <w:t>Less:</w:t>
            </w:r>
          </w:p>
        </w:tc>
        <w:tc>
          <w:tcPr>
            <w:tcW w:w="126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Dividend on preferred stock</w:t>
            </w:r>
          </w:p>
        </w:tc>
        <w:tc>
          <w:tcPr>
            <w:tcW w:w="1720" w:type="dxa"/>
            <w:vAlign w:val="bottom"/>
            <w:gridSpan w:val="2"/>
          </w:tcPr>
          <w:p>
            <w:pPr>
              <w:jc w:val="right"/>
              <w:ind w:right="400"/>
              <w:spacing w:after="0"/>
              <w:rPr>
                <w:sz w:val="20"/>
                <w:szCs w:val="20"/>
                <w:color w:val="auto"/>
              </w:rPr>
            </w:pPr>
            <w:r>
              <w:rPr>
                <w:rFonts w:ascii="Arial" w:cs="Arial" w:eastAsia="Arial" w:hAnsi="Arial"/>
                <w:sz w:val="18"/>
                <w:szCs w:val="18"/>
                <w:color w:val="auto"/>
              </w:rPr>
              <w:t>(2,348)</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(2,516)</w:t>
            </w:r>
          </w:p>
        </w:tc>
      </w:tr>
      <w:tr>
        <w:trPr>
          <w:trHeight w:val="210"/>
        </w:trPr>
        <w:tc>
          <w:tcPr>
            <w:tcW w:w="83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Profit/(loss) for the period available to owners of the Group</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5,892</w:t>
            </w:r>
          </w:p>
        </w:tc>
        <w:tc>
          <w:tcPr>
            <w:tcW w:w="46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(10,380)</w:t>
            </w:r>
          </w:p>
        </w:tc>
        <w:tc>
          <w:tcPr>
            <w:tcW w:w="100" w:type="dxa"/>
            <w:vAlign w:val="bottom"/>
            <w:tcBorders>
              <w:top w:val="single" w:sz="8" w:color="E5FFFF"/>
            </w:tcBorders>
            <w:shd w:val="clear" w:color="auto" w:fill="E5FFFF"/>
          </w:tcPr>
          <w:p>
            <w:pPr>
              <w:spacing w:after="0"/>
              <w:rPr>
                <w:sz w:val="18"/>
                <w:szCs w:val="18"/>
                <w:color w:val="auto"/>
              </w:rPr>
            </w:pPr>
          </w:p>
        </w:tc>
      </w:tr>
      <w:tr>
        <w:trPr>
          <w:trHeight w:val="210"/>
        </w:trPr>
        <w:tc>
          <w:tcPr>
            <w:tcW w:w="83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Weighted average number of shares outstanding, basic</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80,496,499</w:t>
            </w:r>
          </w:p>
        </w:tc>
        <w:tc>
          <w:tcPr>
            <w:tcW w:w="460" w:type="dxa"/>
            <w:vAlign w:val="bottom"/>
            <w:tcBorders>
              <w:bottom w:val="single" w:sz="8" w:color="E5FF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80,535,156</w:t>
            </w:r>
          </w:p>
        </w:tc>
        <w:tc>
          <w:tcPr>
            <w:tcW w:w="100" w:type="dxa"/>
            <w:vAlign w:val="bottom"/>
            <w:tcBorders>
              <w:bottom w:val="single" w:sz="8" w:color="E5FFFF"/>
            </w:tcBorders>
          </w:tcPr>
          <w:p>
            <w:pPr>
              <w:spacing w:after="0"/>
              <w:rPr>
                <w:sz w:val="18"/>
                <w:szCs w:val="18"/>
                <w:color w:val="auto"/>
              </w:rPr>
            </w:pPr>
          </w:p>
        </w:tc>
      </w:tr>
      <w:tr>
        <w:trPr>
          <w:trHeight w:val="210"/>
        </w:trPr>
        <w:tc>
          <w:tcPr>
            <w:tcW w:w="83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Basic earnings/(loss) per share</w:t>
            </w: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0.07</w:t>
            </w:r>
          </w:p>
        </w:tc>
        <w:tc>
          <w:tcPr>
            <w:tcW w:w="460" w:type="dxa"/>
            <w:vAlign w:val="bottom"/>
            <w:shd w:val="clear" w:color="auto" w:fill="E5FFFF"/>
          </w:tcPr>
          <w:p>
            <w:pPr>
              <w:spacing w:after="0"/>
              <w:rPr>
                <w:sz w:val="18"/>
                <w:szCs w:val="18"/>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(0.13)</w:t>
            </w:r>
          </w:p>
        </w:tc>
        <w:tc>
          <w:tcPr>
            <w:tcW w:w="100" w:type="dxa"/>
            <w:vAlign w:val="bottom"/>
            <w:shd w:val="clear" w:color="auto" w:fill="E5FFFF"/>
          </w:tcPr>
          <w:p>
            <w:pPr>
              <w:spacing w:after="0"/>
              <w:rPr>
                <w:sz w:val="18"/>
                <w:szCs w:val="18"/>
                <w:color w:val="auto"/>
              </w:rPr>
            </w:pPr>
          </w:p>
        </w:tc>
      </w:tr>
      <w:tr>
        <w:trPr>
          <w:trHeight w:val="210"/>
        </w:trPr>
        <w:tc>
          <w:tcPr>
            <w:tcW w:w="8340" w:type="dxa"/>
            <w:vAlign w:val="bottom"/>
          </w:tcPr>
          <w:p>
            <w:pPr>
              <w:spacing w:after="0"/>
              <w:rPr>
                <w:sz w:val="20"/>
                <w:szCs w:val="20"/>
                <w:color w:val="auto"/>
              </w:rPr>
            </w:pPr>
            <w:r>
              <w:rPr>
                <w:rFonts w:ascii="Arial" w:cs="Arial" w:eastAsia="Arial" w:hAnsi="Arial"/>
                <w:sz w:val="18"/>
                <w:szCs w:val="18"/>
                <w:b w:val="1"/>
                <w:bCs w:val="1"/>
                <w:i w:val="1"/>
                <w:iCs w:val="1"/>
                <w:color w:val="auto"/>
              </w:rPr>
              <w:t>Diluted earnings/(loss) per share</w:t>
            </w: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40" w:type="dxa"/>
            <w:vAlign w:val="bottom"/>
            <w:shd w:val="clear" w:color="auto" w:fill="E5FFFF"/>
          </w:tcPr>
          <w:p>
            <w:pPr>
              <w:spacing w:after="0"/>
              <w:rPr>
                <w:sz w:val="20"/>
                <w:szCs w:val="20"/>
                <w:color w:val="auto"/>
              </w:rPr>
            </w:pPr>
            <w:r>
              <w:rPr>
                <w:rFonts w:ascii="Arial" w:cs="Arial" w:eastAsia="Arial" w:hAnsi="Arial"/>
                <w:sz w:val="18"/>
                <w:szCs w:val="18"/>
                <w:color w:val="auto"/>
                <w:w w:val="94"/>
              </w:rPr>
              <w:t>Profit/(loss) for the period available to owners of the Group used in the calculation of diluted earnings per share</w:t>
            </w:r>
          </w:p>
        </w:tc>
        <w:tc>
          <w:tcPr>
            <w:tcW w:w="172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5,892</w:t>
            </w:r>
          </w:p>
        </w:tc>
        <w:tc>
          <w:tcPr>
            <w:tcW w:w="136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(10,380)</w:t>
            </w:r>
          </w:p>
        </w:tc>
      </w:tr>
      <w:tr>
        <w:trPr>
          <w:trHeight w:val="210"/>
        </w:trPr>
        <w:tc>
          <w:tcPr>
            <w:tcW w:w="8340" w:type="dxa"/>
            <w:vAlign w:val="bottom"/>
          </w:tcPr>
          <w:p>
            <w:pPr>
              <w:spacing w:after="0"/>
              <w:rPr>
                <w:sz w:val="20"/>
                <w:szCs w:val="20"/>
                <w:color w:val="auto"/>
              </w:rPr>
            </w:pPr>
            <w:r>
              <w:rPr>
                <w:rFonts w:ascii="Arial" w:cs="Arial" w:eastAsia="Arial" w:hAnsi="Arial"/>
                <w:sz w:val="18"/>
                <w:szCs w:val="18"/>
                <w:color w:val="auto"/>
              </w:rPr>
              <w:t>Weighted average number of shares outstanding, basic</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80,496,499</w:t>
            </w:r>
          </w:p>
        </w:tc>
        <w:tc>
          <w:tcPr>
            <w:tcW w:w="46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80,535,156</w:t>
            </w:r>
          </w:p>
        </w:tc>
        <w:tc>
          <w:tcPr>
            <w:tcW w:w="100" w:type="dxa"/>
            <w:vAlign w:val="bottom"/>
          </w:tcPr>
          <w:p>
            <w:pPr>
              <w:spacing w:after="0"/>
              <w:rPr>
                <w:sz w:val="18"/>
                <w:szCs w:val="18"/>
                <w:color w:val="auto"/>
              </w:rPr>
            </w:pPr>
          </w:p>
        </w:tc>
      </w:tr>
      <w:tr>
        <w:trPr>
          <w:trHeight w:val="216"/>
        </w:trPr>
        <w:tc>
          <w:tcPr>
            <w:tcW w:w="8340" w:type="dxa"/>
            <w:vAlign w:val="bottom"/>
            <w:shd w:val="clear" w:color="auto" w:fill="E5FFFF"/>
          </w:tcPr>
          <w:p>
            <w:pPr>
              <w:spacing w:after="0"/>
              <w:rPr>
                <w:sz w:val="20"/>
                <w:szCs w:val="20"/>
                <w:color w:val="auto"/>
              </w:rPr>
            </w:pPr>
            <w:r>
              <w:rPr>
                <w:rFonts w:ascii="Arial" w:cs="Arial" w:eastAsia="Arial" w:hAnsi="Arial"/>
                <w:sz w:val="18"/>
                <w:szCs w:val="18"/>
                <w:color w:val="auto"/>
              </w:rPr>
              <w:t>Dilutive potential ordinary shares</w:t>
            </w:r>
          </w:p>
        </w:tc>
        <w:tc>
          <w:tcPr>
            <w:tcW w:w="172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196,935</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0"/>
        </w:trPr>
        <w:tc>
          <w:tcPr>
            <w:tcW w:w="83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Weighted average number of shares used in the calculation of diluted earnings per share</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80,693,434</w:t>
            </w:r>
          </w:p>
        </w:tc>
        <w:tc>
          <w:tcPr>
            <w:tcW w:w="460" w:type="dxa"/>
            <w:vAlign w:val="bottom"/>
            <w:tcBorders>
              <w:bottom w:val="single" w:sz="8" w:color="E5FF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80,535,156</w:t>
            </w:r>
          </w:p>
        </w:tc>
        <w:tc>
          <w:tcPr>
            <w:tcW w:w="100" w:type="dxa"/>
            <w:vAlign w:val="bottom"/>
            <w:tcBorders>
              <w:bottom w:val="single" w:sz="8" w:color="E5FFFF"/>
            </w:tcBorders>
          </w:tcPr>
          <w:p>
            <w:pPr>
              <w:spacing w:after="0"/>
              <w:rPr>
                <w:sz w:val="18"/>
                <w:szCs w:val="18"/>
                <w:color w:val="auto"/>
              </w:rPr>
            </w:pPr>
          </w:p>
        </w:tc>
      </w:tr>
      <w:tr>
        <w:trPr>
          <w:trHeight w:val="210"/>
        </w:trPr>
        <w:tc>
          <w:tcPr>
            <w:tcW w:w="83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Diluted earnings/(loss) per share</w:t>
            </w: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0.07</w:t>
            </w:r>
          </w:p>
        </w:tc>
        <w:tc>
          <w:tcPr>
            <w:tcW w:w="460" w:type="dxa"/>
            <w:vAlign w:val="bottom"/>
            <w:shd w:val="clear" w:color="auto" w:fill="E5FFFF"/>
          </w:tcPr>
          <w:p>
            <w:pPr>
              <w:spacing w:after="0"/>
              <w:rPr>
                <w:sz w:val="18"/>
                <w:szCs w:val="18"/>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(0.13)</w:t>
            </w:r>
          </w:p>
        </w:tc>
        <w:tc>
          <w:tcPr>
            <w:tcW w:w="100" w:type="dxa"/>
            <w:vAlign w:val="bottom"/>
            <w:shd w:val="clear" w:color="auto" w:fill="E5FFFF"/>
          </w:tcPr>
          <w:p>
            <w:pPr>
              <w:spacing w:after="0"/>
              <w:rPr>
                <w:sz w:val="18"/>
                <w:szCs w:val="18"/>
                <w:color w:val="auto"/>
              </w:rPr>
            </w:pPr>
          </w:p>
        </w:tc>
      </w:tr>
    </w:tbl>
    <w:p>
      <w:pPr>
        <w:spacing w:after="0" w:line="202" w:lineRule="exact"/>
        <w:rPr>
          <w:sz w:val="20"/>
          <w:szCs w:val="20"/>
          <w:color w:val="auto"/>
        </w:rPr>
      </w:pPr>
    </w:p>
    <w:p>
      <w:pPr>
        <w:ind w:right="220" w:firstLine="398"/>
        <w:spacing w:after="0" w:line="277" w:lineRule="auto"/>
        <w:rPr>
          <w:sz w:val="20"/>
          <w:szCs w:val="20"/>
          <w:color w:val="auto"/>
        </w:rPr>
      </w:pPr>
      <w:r>
        <w:rPr>
          <w:rFonts w:ascii="Arial" w:cs="Arial" w:eastAsia="Arial" w:hAnsi="Arial"/>
          <w:sz w:val="18"/>
          <w:szCs w:val="18"/>
          <w:color w:val="auto"/>
        </w:rPr>
        <w:t>The Group excluded the dilutive effect of 1,721,817 SARs and 368,437 RSUs in calculating diluted EPS for the three months ended June 30, 2016, as they were anti-dilutive (June 30, 2015: 580,941 SARs).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308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rPr>
              <w:t>For the six months ended</w:t>
            </w:r>
          </w:p>
        </w:tc>
      </w:tr>
      <w:tr>
        <w:trPr>
          <w:trHeight w:val="234"/>
        </w:trPr>
        <w:tc>
          <w:tcPr>
            <w:tcW w:w="8340" w:type="dxa"/>
            <w:vAlign w:val="bottom"/>
          </w:tcPr>
          <w:p>
            <w:pPr>
              <w:spacing w:after="0"/>
              <w:rPr>
                <w:sz w:val="20"/>
                <w:szCs w:val="20"/>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7"/>
              </w:rPr>
              <w:t>June 30, 2015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5"/>
              </w:rPr>
              <w:t>June 30, 2016</w:t>
            </w:r>
          </w:p>
        </w:tc>
      </w:tr>
      <w:tr>
        <w:trPr>
          <w:trHeight w:val="210"/>
        </w:trPr>
        <w:tc>
          <w:tcPr>
            <w:tcW w:w="83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i w:val="1"/>
                <w:iCs w:val="1"/>
                <w:color w:val="auto"/>
              </w:rPr>
              <w:t>Basic earnings/(loss) per share</w:t>
            </w:r>
          </w:p>
        </w:tc>
        <w:tc>
          <w:tcPr>
            <w:tcW w:w="1260" w:type="dxa"/>
            <w:vAlign w:val="bottom"/>
            <w:tcBorders>
              <w:top w:val="single" w:sz="8" w:color="auto"/>
            </w:tcBorders>
            <w:shd w:val="clear" w:color="auto" w:fill="E5FFFF"/>
          </w:tcPr>
          <w:p>
            <w:pPr>
              <w:spacing w:after="0"/>
              <w:rPr>
                <w:sz w:val="18"/>
                <w:szCs w:val="18"/>
                <w:color w:val="auto"/>
              </w:rPr>
            </w:pPr>
          </w:p>
        </w:tc>
        <w:tc>
          <w:tcPr>
            <w:tcW w:w="46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Profit/(loss) for the period attributable to owners of the Group</w:t>
            </w:r>
          </w:p>
        </w:tc>
        <w:tc>
          <w:tcPr>
            <w:tcW w:w="1720" w:type="dxa"/>
            <w:vAlign w:val="bottom"/>
            <w:gridSpan w:val="2"/>
          </w:tcPr>
          <w:p>
            <w:pPr>
              <w:jc w:val="right"/>
              <w:ind w:right="460"/>
              <w:spacing w:after="0"/>
              <w:rPr>
                <w:sz w:val="20"/>
                <w:szCs w:val="20"/>
                <w:color w:val="auto"/>
              </w:rPr>
            </w:pPr>
            <w:r>
              <w:rPr>
                <w:rFonts w:ascii="Arial" w:cs="Arial" w:eastAsia="Arial" w:hAnsi="Arial"/>
                <w:sz w:val="18"/>
                <w:szCs w:val="18"/>
                <w:color w:val="auto"/>
              </w:rPr>
              <w:t>12,582</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(23,762)</w:t>
            </w:r>
          </w:p>
        </w:tc>
      </w:tr>
      <w:tr>
        <w:trPr>
          <w:trHeight w:val="216"/>
        </w:trPr>
        <w:tc>
          <w:tcPr>
            <w:tcW w:w="8340" w:type="dxa"/>
            <w:vAlign w:val="bottom"/>
            <w:shd w:val="clear" w:color="auto" w:fill="E5FFFF"/>
          </w:tcPr>
          <w:p>
            <w:pPr>
              <w:spacing w:after="0"/>
              <w:rPr>
                <w:sz w:val="20"/>
                <w:szCs w:val="20"/>
                <w:color w:val="auto"/>
              </w:rPr>
            </w:pPr>
            <w:r>
              <w:rPr>
                <w:rFonts w:ascii="Arial" w:cs="Arial" w:eastAsia="Arial" w:hAnsi="Arial"/>
                <w:sz w:val="18"/>
                <w:szCs w:val="18"/>
                <w:color w:val="auto"/>
              </w:rPr>
              <w:t>Less:</w:t>
            </w:r>
          </w:p>
        </w:tc>
        <w:tc>
          <w:tcPr>
            <w:tcW w:w="126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Dividend on preferred stock</w:t>
            </w:r>
          </w:p>
        </w:tc>
        <w:tc>
          <w:tcPr>
            <w:tcW w:w="1720" w:type="dxa"/>
            <w:vAlign w:val="bottom"/>
            <w:gridSpan w:val="2"/>
          </w:tcPr>
          <w:p>
            <w:pPr>
              <w:jc w:val="right"/>
              <w:ind w:right="400"/>
              <w:spacing w:after="0"/>
              <w:rPr>
                <w:sz w:val="20"/>
                <w:szCs w:val="20"/>
                <w:color w:val="auto"/>
              </w:rPr>
            </w:pPr>
            <w:r>
              <w:rPr>
                <w:rFonts w:ascii="Arial" w:cs="Arial" w:eastAsia="Arial" w:hAnsi="Arial"/>
                <w:sz w:val="18"/>
                <w:szCs w:val="18"/>
                <w:color w:val="auto"/>
              </w:rPr>
              <w:t>(2,348)</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(5,031)</w:t>
            </w:r>
          </w:p>
        </w:tc>
      </w:tr>
      <w:tr>
        <w:trPr>
          <w:trHeight w:val="210"/>
        </w:trPr>
        <w:tc>
          <w:tcPr>
            <w:tcW w:w="83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Profit/(loss) for the period available to owners of the Group</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10,234</w:t>
            </w:r>
          </w:p>
        </w:tc>
        <w:tc>
          <w:tcPr>
            <w:tcW w:w="46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(28,793)</w:t>
            </w:r>
          </w:p>
        </w:tc>
        <w:tc>
          <w:tcPr>
            <w:tcW w:w="100" w:type="dxa"/>
            <w:vAlign w:val="bottom"/>
            <w:tcBorders>
              <w:top w:val="single" w:sz="8" w:color="E5FFFF"/>
            </w:tcBorders>
            <w:shd w:val="clear" w:color="auto" w:fill="E5FFFF"/>
          </w:tcPr>
          <w:p>
            <w:pPr>
              <w:spacing w:after="0"/>
              <w:rPr>
                <w:sz w:val="18"/>
                <w:szCs w:val="18"/>
                <w:color w:val="auto"/>
              </w:rPr>
            </w:pPr>
          </w:p>
        </w:tc>
      </w:tr>
      <w:tr>
        <w:trPr>
          <w:trHeight w:val="210"/>
        </w:trPr>
        <w:tc>
          <w:tcPr>
            <w:tcW w:w="83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Weighted average number of shares outstanding, basic</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80,496,126</w:t>
            </w:r>
          </w:p>
        </w:tc>
        <w:tc>
          <w:tcPr>
            <w:tcW w:w="460" w:type="dxa"/>
            <w:vAlign w:val="bottom"/>
            <w:tcBorders>
              <w:bottom w:val="single" w:sz="8" w:color="E5FF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80,515,828</w:t>
            </w:r>
          </w:p>
        </w:tc>
        <w:tc>
          <w:tcPr>
            <w:tcW w:w="100" w:type="dxa"/>
            <w:vAlign w:val="bottom"/>
            <w:tcBorders>
              <w:bottom w:val="single" w:sz="8" w:color="E5FFFF"/>
            </w:tcBorders>
          </w:tcPr>
          <w:p>
            <w:pPr>
              <w:spacing w:after="0"/>
              <w:rPr>
                <w:sz w:val="18"/>
                <w:szCs w:val="18"/>
                <w:color w:val="auto"/>
              </w:rPr>
            </w:pPr>
          </w:p>
        </w:tc>
      </w:tr>
      <w:tr>
        <w:trPr>
          <w:trHeight w:val="210"/>
        </w:trPr>
        <w:tc>
          <w:tcPr>
            <w:tcW w:w="83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Basic earnings/(loss) per share</w:t>
            </w: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0.13</w:t>
            </w:r>
          </w:p>
        </w:tc>
        <w:tc>
          <w:tcPr>
            <w:tcW w:w="460" w:type="dxa"/>
            <w:vAlign w:val="bottom"/>
            <w:shd w:val="clear" w:color="auto" w:fill="E5FFFF"/>
          </w:tcPr>
          <w:p>
            <w:pPr>
              <w:spacing w:after="0"/>
              <w:rPr>
                <w:sz w:val="18"/>
                <w:szCs w:val="18"/>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(0.36)</w:t>
            </w:r>
          </w:p>
        </w:tc>
        <w:tc>
          <w:tcPr>
            <w:tcW w:w="100" w:type="dxa"/>
            <w:vAlign w:val="bottom"/>
            <w:shd w:val="clear" w:color="auto" w:fill="E5FFFF"/>
          </w:tcPr>
          <w:p>
            <w:pPr>
              <w:spacing w:after="0"/>
              <w:rPr>
                <w:sz w:val="18"/>
                <w:szCs w:val="18"/>
                <w:color w:val="auto"/>
              </w:rPr>
            </w:pPr>
          </w:p>
        </w:tc>
      </w:tr>
      <w:tr>
        <w:trPr>
          <w:trHeight w:val="210"/>
        </w:trPr>
        <w:tc>
          <w:tcPr>
            <w:tcW w:w="8340" w:type="dxa"/>
            <w:vAlign w:val="bottom"/>
          </w:tcPr>
          <w:p>
            <w:pPr>
              <w:spacing w:after="0"/>
              <w:rPr>
                <w:sz w:val="20"/>
                <w:szCs w:val="20"/>
                <w:color w:val="auto"/>
              </w:rPr>
            </w:pPr>
            <w:r>
              <w:rPr>
                <w:rFonts w:ascii="Arial" w:cs="Arial" w:eastAsia="Arial" w:hAnsi="Arial"/>
                <w:sz w:val="18"/>
                <w:szCs w:val="18"/>
                <w:b w:val="1"/>
                <w:bCs w:val="1"/>
                <w:i w:val="1"/>
                <w:iCs w:val="1"/>
                <w:color w:val="auto"/>
              </w:rPr>
              <w:t>Diluted earnings/(loss) per share</w:t>
            </w: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40" w:type="dxa"/>
            <w:vAlign w:val="bottom"/>
            <w:shd w:val="clear" w:color="auto" w:fill="E5FFFF"/>
          </w:tcPr>
          <w:p>
            <w:pPr>
              <w:spacing w:after="0"/>
              <w:rPr>
                <w:sz w:val="20"/>
                <w:szCs w:val="20"/>
                <w:color w:val="auto"/>
              </w:rPr>
            </w:pPr>
            <w:r>
              <w:rPr>
                <w:rFonts w:ascii="Arial" w:cs="Arial" w:eastAsia="Arial" w:hAnsi="Arial"/>
                <w:sz w:val="18"/>
                <w:szCs w:val="18"/>
                <w:color w:val="auto"/>
                <w:w w:val="94"/>
              </w:rPr>
              <w:t>Profit/(loss) for the period available to owners of the Group used in the calculation of diluted earnings per share</w:t>
            </w:r>
          </w:p>
        </w:tc>
        <w:tc>
          <w:tcPr>
            <w:tcW w:w="172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10,234</w:t>
            </w:r>
          </w:p>
        </w:tc>
        <w:tc>
          <w:tcPr>
            <w:tcW w:w="136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(28,793)</w:t>
            </w:r>
          </w:p>
        </w:tc>
      </w:tr>
      <w:tr>
        <w:trPr>
          <w:trHeight w:val="210"/>
        </w:trPr>
        <w:tc>
          <w:tcPr>
            <w:tcW w:w="8340" w:type="dxa"/>
            <w:vAlign w:val="bottom"/>
          </w:tcPr>
          <w:p>
            <w:pPr>
              <w:spacing w:after="0"/>
              <w:rPr>
                <w:sz w:val="20"/>
                <w:szCs w:val="20"/>
                <w:color w:val="auto"/>
              </w:rPr>
            </w:pPr>
            <w:r>
              <w:rPr>
                <w:rFonts w:ascii="Arial" w:cs="Arial" w:eastAsia="Arial" w:hAnsi="Arial"/>
                <w:sz w:val="18"/>
                <w:szCs w:val="18"/>
                <w:color w:val="auto"/>
              </w:rPr>
              <w:t>Weighted average number of shares outstanding, basic</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80,496,126</w:t>
            </w:r>
          </w:p>
        </w:tc>
        <w:tc>
          <w:tcPr>
            <w:tcW w:w="46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80,515,828</w:t>
            </w:r>
          </w:p>
        </w:tc>
        <w:tc>
          <w:tcPr>
            <w:tcW w:w="100" w:type="dxa"/>
            <w:vAlign w:val="bottom"/>
          </w:tcPr>
          <w:p>
            <w:pPr>
              <w:spacing w:after="0"/>
              <w:rPr>
                <w:sz w:val="18"/>
                <w:szCs w:val="18"/>
                <w:color w:val="auto"/>
              </w:rPr>
            </w:pPr>
          </w:p>
        </w:tc>
      </w:tr>
      <w:tr>
        <w:trPr>
          <w:trHeight w:val="216"/>
        </w:trPr>
        <w:tc>
          <w:tcPr>
            <w:tcW w:w="8340" w:type="dxa"/>
            <w:vAlign w:val="bottom"/>
            <w:shd w:val="clear" w:color="auto" w:fill="E5FFFF"/>
          </w:tcPr>
          <w:p>
            <w:pPr>
              <w:spacing w:after="0"/>
              <w:rPr>
                <w:sz w:val="20"/>
                <w:szCs w:val="20"/>
                <w:color w:val="auto"/>
              </w:rPr>
            </w:pPr>
            <w:r>
              <w:rPr>
                <w:rFonts w:ascii="Arial" w:cs="Arial" w:eastAsia="Arial" w:hAnsi="Arial"/>
                <w:sz w:val="18"/>
                <w:szCs w:val="18"/>
                <w:color w:val="auto"/>
              </w:rPr>
              <w:t>Dilutive potential ordinary shares</w:t>
            </w:r>
          </w:p>
        </w:tc>
        <w:tc>
          <w:tcPr>
            <w:tcW w:w="172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166,537</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0"/>
        </w:trPr>
        <w:tc>
          <w:tcPr>
            <w:tcW w:w="83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Weighted average number of shares used in the calculation of diluted earnings per share</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80,662,663</w:t>
            </w:r>
          </w:p>
        </w:tc>
        <w:tc>
          <w:tcPr>
            <w:tcW w:w="460" w:type="dxa"/>
            <w:vAlign w:val="bottom"/>
            <w:tcBorders>
              <w:bottom w:val="single" w:sz="8" w:color="E5FF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80,515,828</w:t>
            </w:r>
          </w:p>
        </w:tc>
        <w:tc>
          <w:tcPr>
            <w:tcW w:w="100" w:type="dxa"/>
            <w:vAlign w:val="bottom"/>
            <w:tcBorders>
              <w:bottom w:val="single" w:sz="8" w:color="E5FFFF"/>
            </w:tcBorders>
          </w:tcPr>
          <w:p>
            <w:pPr>
              <w:spacing w:after="0"/>
              <w:rPr>
                <w:sz w:val="18"/>
                <w:szCs w:val="18"/>
                <w:color w:val="auto"/>
              </w:rPr>
            </w:pPr>
          </w:p>
        </w:tc>
      </w:tr>
      <w:tr>
        <w:trPr>
          <w:trHeight w:val="210"/>
        </w:trPr>
        <w:tc>
          <w:tcPr>
            <w:tcW w:w="83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Diluted earnings/(loss) per share</w:t>
            </w: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0.13</w:t>
            </w:r>
          </w:p>
        </w:tc>
        <w:tc>
          <w:tcPr>
            <w:tcW w:w="460" w:type="dxa"/>
            <w:vAlign w:val="bottom"/>
            <w:shd w:val="clear" w:color="auto" w:fill="E5FFFF"/>
          </w:tcPr>
          <w:p>
            <w:pPr>
              <w:spacing w:after="0"/>
              <w:rPr>
                <w:sz w:val="18"/>
                <w:szCs w:val="18"/>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(0.36)</w:t>
            </w:r>
          </w:p>
        </w:tc>
        <w:tc>
          <w:tcPr>
            <w:tcW w:w="100" w:type="dxa"/>
            <w:vAlign w:val="bottom"/>
            <w:shd w:val="clear" w:color="auto" w:fill="E5FFFF"/>
          </w:tcPr>
          <w:p>
            <w:pPr>
              <w:spacing w:after="0"/>
              <w:rPr>
                <w:sz w:val="18"/>
                <w:szCs w:val="18"/>
                <w:color w:val="auto"/>
              </w:rPr>
            </w:pPr>
          </w:p>
        </w:tc>
      </w:tr>
    </w:tbl>
    <w:p>
      <w:pPr>
        <w:spacing w:after="0" w:line="202" w:lineRule="exact"/>
        <w:rPr>
          <w:sz w:val="20"/>
          <w:szCs w:val="20"/>
          <w:color w:val="auto"/>
        </w:rPr>
      </w:pPr>
    </w:p>
    <w:p>
      <w:pPr>
        <w:jc w:val="both"/>
        <w:ind w:firstLine="398"/>
        <w:spacing w:after="0" w:line="277" w:lineRule="auto"/>
        <w:rPr>
          <w:sz w:val="20"/>
          <w:szCs w:val="20"/>
          <w:color w:val="auto"/>
        </w:rPr>
      </w:pPr>
      <w:r>
        <w:rPr>
          <w:rFonts w:ascii="Arial" w:cs="Arial" w:eastAsia="Arial" w:hAnsi="Arial"/>
          <w:sz w:val="18"/>
          <w:szCs w:val="18"/>
          <w:color w:val="auto"/>
        </w:rPr>
        <w:t>The Group excluded the dilutive effect of 1,721,817 SARs and 368,437 RSUs in calculating diluted EPS for the six months ended June 30, 2016, as they were anti-dilutive (June 30, 2015: 580,941 SARs and 87,077 RSUs).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29" w:lineRule="exact"/>
        <w:rPr>
          <w:sz w:val="20"/>
          <w:szCs w:val="20"/>
          <w:color w:val="auto"/>
        </w:rPr>
      </w:pPr>
    </w:p>
    <w:p>
      <w:pPr>
        <w:ind w:right="40" w:firstLine="356"/>
        <w:spacing w:after="0" w:line="259" w:lineRule="auto"/>
        <w:rPr>
          <w:sz w:val="20"/>
          <w:szCs w:val="20"/>
          <w:color w:val="auto"/>
        </w:rPr>
      </w:pPr>
      <w:r>
        <w:rPr>
          <w:rFonts w:ascii="Arial" w:cs="Arial" w:eastAsia="Arial" w:hAnsi="Arial"/>
          <w:sz w:val="18"/>
          <w:szCs w:val="18"/>
          <w:color w:val="auto"/>
        </w:rPr>
        <w:t>On July 11, 2016, GasLog entered a time charter party agreement with Total Gas &amp; Power Chartering Limited (“Total”) to charter Hull No. 2801 for a period of seven years, commencing in mid-2018 at a date to be finalized ahead of the commencement of the charter. A further option period of three years has been granted at the charterer’s option. The vessel is currently under construction at Hyundai Heavy Industries Co., Ltd. in South Korea and is due to be delivered in 2018.</w:t>
      </w:r>
    </w:p>
    <w:p>
      <w:pPr>
        <w:spacing w:after="0" w:line="187" w:lineRule="exact"/>
        <w:rPr>
          <w:sz w:val="20"/>
          <w:szCs w:val="20"/>
          <w:color w:val="auto"/>
        </w:rPr>
      </w:pPr>
    </w:p>
    <w:p>
      <w:pPr>
        <w:ind w:right="340" w:firstLine="356"/>
        <w:spacing w:after="0" w:line="264" w:lineRule="auto"/>
        <w:rPr>
          <w:sz w:val="20"/>
          <w:szCs w:val="20"/>
          <w:color w:val="auto"/>
        </w:rPr>
      </w:pPr>
      <w:r>
        <w:rPr>
          <w:rFonts w:ascii="Arial" w:cs="Arial" w:eastAsia="Arial" w:hAnsi="Arial"/>
          <w:sz w:val="18"/>
          <w:szCs w:val="18"/>
          <w:color w:val="auto"/>
        </w:rPr>
        <w:t>On July 18, 2016, the Group terminated interest rate swap agreements with an aggregate notional value of $874,916, associated with the six legacy facilities being re-financed by the Legacy Facility Re-financing mentioned below. Concomitantly, GasLog entered into new interest rate swap agreements with a notional value of $870,000 in aggregate, maturing between 2020 and 2022.</w:t>
      </w:r>
    </w:p>
    <w:p>
      <w:pPr>
        <w:spacing w:after="0" w:line="181" w:lineRule="exact"/>
        <w:rPr>
          <w:sz w:val="20"/>
          <w:szCs w:val="20"/>
          <w:color w:val="auto"/>
        </w:rPr>
      </w:pPr>
    </w:p>
    <w:p>
      <w:pPr>
        <w:ind w:right="100" w:firstLine="356"/>
        <w:spacing w:after="0" w:line="257" w:lineRule="auto"/>
        <w:rPr>
          <w:sz w:val="20"/>
          <w:szCs w:val="20"/>
          <w:color w:val="auto"/>
        </w:rPr>
      </w:pPr>
      <w:r>
        <w:rPr>
          <w:rFonts w:ascii="Arial" w:cs="Arial" w:eastAsia="Arial" w:hAnsi="Arial"/>
          <w:sz w:val="18"/>
          <w:szCs w:val="18"/>
          <w:color w:val="auto"/>
        </w:rPr>
        <w:t xml:space="preserve">On July 19, 2016, GasLog entered into a credit agreement to refinance the existing indebtedness on eight of its on-the-water vessels of up to $1,050,000 (the “Legacy Facility Re-financing”) with a number of international banks. It is comprised of a five-year facility of up to $950,000 and a revolving credit facility of up to $100,000. The vessels covered by the Legacy Facility Re-financing are the </w:t>
      </w:r>
      <w:r>
        <w:rPr>
          <w:rFonts w:ascii="Arial" w:cs="Arial" w:eastAsia="Arial" w:hAnsi="Arial"/>
          <w:sz w:val="18"/>
          <w:szCs w:val="18"/>
          <w:i w:val="1"/>
          <w:iCs w:val="1"/>
          <w:color w:val="auto"/>
        </w:rPr>
        <w:t>GasLog Savannah</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Singapore</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Skagen</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Saratoga</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Salem</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Chelsea</w:t>
      </w:r>
      <w:r>
        <w:rPr>
          <w:rFonts w:ascii="Arial" w:cs="Arial" w:eastAsia="Arial" w:hAnsi="Arial"/>
          <w:sz w:val="18"/>
          <w:szCs w:val="18"/>
          <w:color w:val="auto"/>
        </w:rPr>
        <w:t>. Citibank N.A, Credit Suisse AG and Nordea Bank AB were mandated lead arrangers to the transaction.</w:t>
      </w:r>
    </w:p>
    <w:p>
      <w:pPr>
        <w:spacing w:after="0" w:line="188" w:lineRule="exact"/>
        <w:rPr>
          <w:sz w:val="20"/>
          <w:szCs w:val="20"/>
          <w:color w:val="auto"/>
        </w:rPr>
      </w:pPr>
    </w:p>
    <w:p>
      <w:pPr>
        <w:ind w:right="80" w:firstLine="356"/>
        <w:spacing w:after="0" w:line="259" w:lineRule="auto"/>
        <w:rPr>
          <w:sz w:val="20"/>
          <w:szCs w:val="20"/>
          <w:color w:val="auto"/>
        </w:rPr>
      </w:pPr>
      <w:r>
        <w:rPr>
          <w:rFonts w:ascii="Arial" w:cs="Arial" w:eastAsia="Arial" w:hAnsi="Arial"/>
          <w:sz w:val="18"/>
          <w:szCs w:val="18"/>
          <w:color w:val="auto"/>
        </w:rPr>
        <w:t>On August 1, 2016, GasLog Partners announced that it has priced its public offering of 2,750,000 common units at a price to the public of $19.50 per common unit. The Partnership plans to use the net proceeds from the public offering for general partnership purposes, which may include future acquisitions, debt repayment, capital expenditures and additions to working capital. The gross proceeds from this offering will be $53,625 (excluding $1,094 from the sale of the general partner units to GasLog to maintain its 2.0% interest in the Partnership).</w:t>
      </w:r>
    </w:p>
    <w:p>
      <w:pPr>
        <w:spacing w:after="0" w:line="187" w:lineRule="exact"/>
        <w:rPr>
          <w:sz w:val="20"/>
          <w:szCs w:val="20"/>
          <w:color w:val="auto"/>
        </w:rPr>
      </w:pPr>
    </w:p>
    <w:p>
      <w:pPr>
        <w:ind w:right="120" w:firstLine="356"/>
        <w:spacing w:after="0" w:line="277" w:lineRule="auto"/>
        <w:rPr>
          <w:sz w:val="20"/>
          <w:szCs w:val="20"/>
          <w:color w:val="auto"/>
        </w:rPr>
      </w:pPr>
      <w:r>
        <w:rPr>
          <w:rFonts w:ascii="Arial" w:cs="Arial" w:eastAsia="Arial" w:hAnsi="Arial"/>
          <w:sz w:val="18"/>
          <w:szCs w:val="18"/>
          <w:color w:val="auto"/>
        </w:rPr>
        <w:t>On August 3, 2016, the board of directors declared a quarterly cash dividend of $0.14 per common share payable on August 25, 2016 to shareholders of record as of August 15, 2016.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05" w:right="239" w:bottom="0"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99.3</w:t>
      </w:r>
    </w:p>
    <w:p>
      <w:pPr>
        <w:spacing w:after="0" w:line="197" w:lineRule="exact"/>
        <w:rPr>
          <w:sz w:val="20"/>
          <w:szCs w:val="20"/>
          <w:color w:val="auto"/>
        </w:rPr>
      </w:pPr>
    </w:p>
    <w:p>
      <w:pPr>
        <w:jc w:val="center"/>
        <w:spacing w:after="0" w:line="235" w:lineRule="auto"/>
        <w:rPr>
          <w:sz w:val="20"/>
          <w:szCs w:val="20"/>
          <w:color w:val="auto"/>
        </w:rPr>
      </w:pPr>
      <w:r>
        <w:rPr>
          <w:rFonts w:ascii="Arial" w:cs="Arial" w:eastAsia="Arial" w:hAnsi="Arial"/>
          <w:sz w:val="14"/>
          <w:szCs w:val="14"/>
          <w:b w:val="1"/>
          <w:bCs w:val="1"/>
          <w:color w:val="auto"/>
        </w:rPr>
        <w:t>SPECIFIC TERMS IN THIS EXHIBIT HAVE BEEN REDACTED BECAUSE CONFIDENTIAL TREATMENT FOR THOSE TERMS HAS BEEN REQUESTED. THE REDACTED MATERIAL HAS BEEN SEPARATELY FILED WITH THE SECURITIES AND EXCHANGE COMMISSION, AND THE TERMS HAVE BEEN MARKED AT THE APPROPRIATE PLACE WITH FIVE ASTERISKS (*****).</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00" w:type="dxa"/>
            <w:vAlign w:val="bottom"/>
            <w:gridSpan w:val="2"/>
          </w:tcPr>
          <w:p>
            <w:pPr>
              <w:spacing w:after="0"/>
              <w:rPr>
                <w:sz w:val="20"/>
                <w:szCs w:val="20"/>
                <w:color w:val="auto"/>
              </w:rPr>
            </w:pPr>
            <w:r>
              <w:rPr>
                <w:rFonts w:ascii="Arial" w:cs="Arial" w:eastAsia="Arial" w:hAnsi="Arial"/>
                <w:sz w:val="18"/>
                <w:szCs w:val="18"/>
                <w:color w:val="auto"/>
              </w:rPr>
              <w:t>Private and Confidential</w:t>
            </w: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40" w:type="dxa"/>
            <w:vAlign w:val="bottom"/>
          </w:tcPr>
          <w:p>
            <w:pPr>
              <w:ind w:left="1400"/>
              <w:spacing w:after="0"/>
              <w:rPr>
                <w:sz w:val="20"/>
                <w:szCs w:val="20"/>
                <w:color w:val="auto"/>
              </w:rPr>
            </w:pPr>
            <w:r>
              <w:rPr>
                <w:rFonts w:ascii="Arial" w:cs="Arial" w:eastAsia="Arial" w:hAnsi="Arial"/>
                <w:sz w:val="18"/>
                <w:szCs w:val="18"/>
                <w:color w:val="auto"/>
                <w:w w:val="97"/>
              </w:rPr>
              <w:t>Execution Version</w:t>
            </w:r>
          </w:p>
        </w:tc>
      </w:tr>
      <w:tr>
        <w:trPr>
          <w:trHeight w:val="196"/>
        </w:trPr>
        <w:tc>
          <w:tcPr>
            <w:tcW w:w="2880" w:type="dxa"/>
            <w:vAlign w:val="bottom"/>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2840" w:type="dxa"/>
            <w:vAlign w:val="bottom"/>
          </w:tcPr>
          <w:p>
            <w:pPr>
              <w:spacing w:after="0"/>
              <w:rPr>
                <w:sz w:val="17"/>
                <w:szCs w:val="17"/>
                <w:color w:val="auto"/>
              </w:rPr>
            </w:pPr>
          </w:p>
        </w:tc>
      </w:tr>
      <w:tr>
        <w:trPr>
          <w:trHeight w:val="412"/>
        </w:trPr>
        <w:tc>
          <w:tcPr>
            <w:tcW w:w="2880" w:type="dxa"/>
            <w:vAlign w:val="bottom"/>
          </w:tcPr>
          <w:p>
            <w:pPr>
              <w:spacing w:after="0"/>
              <w:rPr>
                <w:sz w:val="24"/>
                <w:szCs w:val="24"/>
                <w:color w:val="auto"/>
              </w:rPr>
            </w:pPr>
          </w:p>
        </w:tc>
        <w:tc>
          <w:tcPr>
            <w:tcW w:w="162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Dated</w:t>
            </w: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19</w:t>
            </w:r>
          </w:p>
        </w:tc>
        <w:tc>
          <w:tcPr>
            <w:tcW w:w="13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July</w:t>
            </w:r>
          </w:p>
        </w:tc>
        <w:tc>
          <w:tcPr>
            <w:tcW w:w="16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2016</w:t>
            </w:r>
          </w:p>
        </w:tc>
        <w:tc>
          <w:tcPr>
            <w:tcW w:w="2840" w:type="dxa"/>
            <w:vAlign w:val="bottom"/>
          </w:tcPr>
          <w:p>
            <w:pPr>
              <w:spacing w:after="0"/>
              <w:rPr>
                <w:sz w:val="24"/>
                <w:szCs w:val="24"/>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ENTITIES LISTED IN SCHEDULE 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Borrowers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CITIGROUP GLOBAL MARKETS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SUISSE AG</w:t>
      </w:r>
    </w:p>
    <w:p>
      <w:pPr>
        <w:jc w:val="center"/>
        <w:spacing w:after="0" w:line="234" w:lineRule="auto"/>
        <w:rPr>
          <w:sz w:val="20"/>
          <w:szCs w:val="20"/>
          <w:color w:val="auto"/>
        </w:rPr>
      </w:pPr>
      <w:r>
        <w:rPr>
          <w:rFonts w:ascii="Arial" w:cs="Arial" w:eastAsia="Arial" w:hAnsi="Arial"/>
          <w:sz w:val="18"/>
          <w:szCs w:val="18"/>
          <w:b w:val="1"/>
          <w:bCs w:val="1"/>
          <w:color w:val="auto"/>
        </w:rPr>
        <w:t>NORDEA BANK AB, LONDON BRANCH</w:t>
      </w:r>
    </w:p>
    <w:p>
      <w:pPr>
        <w:jc w:val="center"/>
        <w:spacing w:after="0" w:line="235" w:lineRule="auto"/>
        <w:rPr>
          <w:sz w:val="20"/>
          <w:szCs w:val="20"/>
          <w:color w:val="auto"/>
        </w:rPr>
      </w:pPr>
      <w:r>
        <w:rPr>
          <w:rFonts w:ascii="Arial" w:cs="Arial" w:eastAsia="Arial" w:hAnsi="Arial"/>
          <w:sz w:val="18"/>
          <w:szCs w:val="18"/>
          <w:b w:val="1"/>
          <w:bCs w:val="1"/>
          <w:color w:val="auto"/>
        </w:rPr>
        <w:t>SKANDINAVISKA ENSKILDA BANKEN AB (publ)</w:t>
      </w:r>
    </w:p>
    <w:p>
      <w:pPr>
        <w:jc w:val="center"/>
        <w:spacing w:after="0" w:line="235" w:lineRule="auto"/>
        <w:rPr>
          <w:sz w:val="20"/>
          <w:szCs w:val="20"/>
          <w:color w:val="auto"/>
        </w:rPr>
      </w:pPr>
      <w:r>
        <w:rPr>
          <w:rFonts w:ascii="Arial" w:cs="Arial" w:eastAsia="Arial" w:hAnsi="Arial"/>
          <w:sz w:val="18"/>
          <w:szCs w:val="18"/>
          <w:b w:val="1"/>
          <w:bCs w:val="1"/>
          <w:color w:val="auto"/>
        </w:rPr>
        <w:t>HSBC BANK plc</w:t>
      </w:r>
    </w:p>
    <w:p>
      <w:pPr>
        <w:jc w:val="center"/>
        <w:spacing w:after="0" w:line="235" w:lineRule="auto"/>
        <w:rPr>
          <w:sz w:val="20"/>
          <w:szCs w:val="20"/>
          <w:color w:val="auto"/>
        </w:rPr>
      </w:pPr>
      <w:r>
        <w:rPr>
          <w:rFonts w:ascii="Arial" w:cs="Arial" w:eastAsia="Arial" w:hAnsi="Arial"/>
          <w:sz w:val="18"/>
          <w:szCs w:val="18"/>
          <w:b w:val="1"/>
          <w:bCs w:val="1"/>
          <w:color w:val="auto"/>
        </w:rPr>
        <w:t>ING BANK N.V., LONDON BRANCH</w:t>
      </w:r>
    </w:p>
    <w:p>
      <w:pPr>
        <w:jc w:val="center"/>
        <w:spacing w:after="0" w:line="235" w:lineRule="auto"/>
        <w:rPr>
          <w:sz w:val="20"/>
          <w:szCs w:val="20"/>
          <w:color w:val="auto"/>
        </w:rPr>
      </w:pPr>
      <w:r>
        <w:rPr>
          <w:rFonts w:ascii="Arial" w:cs="Arial" w:eastAsia="Arial" w:hAnsi="Arial"/>
          <w:sz w:val="18"/>
          <w:szCs w:val="18"/>
          <w:b w:val="1"/>
          <w:bCs w:val="1"/>
          <w:color w:val="auto"/>
        </w:rPr>
        <w:t>DANMARKS SKIBSKREDIT A/S</w:t>
      </w:r>
    </w:p>
    <w:p>
      <w:pPr>
        <w:jc w:val="center"/>
        <w:spacing w:after="0" w:line="235" w:lineRule="auto"/>
        <w:rPr>
          <w:sz w:val="20"/>
          <w:szCs w:val="20"/>
          <w:color w:val="auto"/>
        </w:rPr>
      </w:pPr>
      <w:r>
        <w:rPr>
          <w:rFonts w:ascii="Arial" w:cs="Arial" w:eastAsia="Arial" w:hAnsi="Arial"/>
          <w:sz w:val="18"/>
          <w:szCs w:val="18"/>
          <w:b w:val="1"/>
          <w:bCs w:val="1"/>
          <w:color w:val="auto"/>
        </w:rPr>
        <w:t>and</w:t>
      </w:r>
    </w:p>
    <w:p>
      <w:pPr>
        <w:jc w:val="center"/>
        <w:spacing w:after="0" w:line="235" w:lineRule="auto"/>
        <w:rPr>
          <w:sz w:val="20"/>
          <w:szCs w:val="20"/>
          <w:color w:val="auto"/>
        </w:rPr>
      </w:pPr>
      <w:r>
        <w:rPr>
          <w:rFonts w:ascii="Arial" w:cs="Arial" w:eastAsia="Arial" w:hAnsi="Arial"/>
          <w:sz w:val="18"/>
          <w:szCs w:val="18"/>
          <w:b w:val="1"/>
          <w:bCs w:val="1"/>
          <w:color w:val="auto"/>
        </w:rPr>
        <w:t>THE KOREA DEVELOPMENT BANK</w:t>
      </w:r>
    </w:p>
    <w:p>
      <w:pPr>
        <w:jc w:val="center"/>
        <w:spacing w:after="0" w:line="235" w:lineRule="auto"/>
        <w:rPr>
          <w:sz w:val="20"/>
          <w:szCs w:val="20"/>
          <w:color w:val="auto"/>
        </w:rPr>
      </w:pPr>
      <w:r>
        <w:rPr>
          <w:rFonts w:ascii="Arial" w:cs="Arial" w:eastAsia="Arial" w:hAnsi="Arial"/>
          <w:sz w:val="18"/>
          <w:szCs w:val="18"/>
          <w:b w:val="1"/>
          <w:bCs w:val="1"/>
          <w:color w:val="auto"/>
        </w:rPr>
        <w:t>as mandated lead arrangers</w:t>
      </w:r>
    </w:p>
    <w:p>
      <w:pPr>
        <w:jc w:val="center"/>
        <w:spacing w:after="0" w:line="235" w:lineRule="auto"/>
        <w:rPr>
          <w:sz w:val="20"/>
          <w:szCs w:val="20"/>
          <w:color w:val="auto"/>
        </w:rPr>
      </w:pPr>
      <w:r>
        <w:rPr>
          <w:rFonts w:ascii="Arial" w:cs="Arial" w:eastAsia="Arial" w:hAnsi="Arial"/>
          <w:sz w:val="18"/>
          <w:szCs w:val="18"/>
          <w:b w:val="1"/>
          <w:bCs w:val="1"/>
          <w:color w:val="auto"/>
        </w:rPr>
        <w:t>and</w:t>
      </w:r>
    </w:p>
    <w:p>
      <w:pPr>
        <w:jc w:val="center"/>
        <w:spacing w:after="0" w:line="234" w:lineRule="auto"/>
        <w:rPr>
          <w:sz w:val="20"/>
          <w:szCs w:val="20"/>
          <w:color w:val="auto"/>
        </w:rPr>
      </w:pPr>
      <w:r>
        <w:rPr>
          <w:rFonts w:ascii="Arial" w:cs="Arial" w:eastAsia="Arial" w:hAnsi="Arial"/>
          <w:sz w:val="18"/>
          <w:szCs w:val="18"/>
          <w:b w:val="1"/>
          <w:bCs w:val="1"/>
          <w:color w:val="auto"/>
        </w:rPr>
        <w:t>DVB BANK AMERICA N.V.</w:t>
      </w:r>
    </w:p>
    <w:p>
      <w:pPr>
        <w:jc w:val="center"/>
        <w:spacing w:after="0" w:line="235" w:lineRule="auto"/>
        <w:rPr>
          <w:sz w:val="20"/>
          <w:szCs w:val="20"/>
          <w:color w:val="auto"/>
        </w:rPr>
      </w:pPr>
      <w:r>
        <w:rPr>
          <w:rFonts w:ascii="Arial" w:cs="Arial" w:eastAsia="Arial" w:hAnsi="Arial"/>
          <w:sz w:val="18"/>
          <w:szCs w:val="18"/>
          <w:b w:val="1"/>
          <w:bCs w:val="1"/>
          <w:color w:val="auto"/>
        </w:rPr>
        <w:t>as arranger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(together as Arrangers)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NORDEA BANK AB, LONDON BRANCH</w:t>
      </w:r>
    </w:p>
    <w:p>
      <w:pPr>
        <w:jc w:val="center"/>
        <w:spacing w:after="0"/>
        <w:rPr>
          <w:sz w:val="20"/>
          <w:szCs w:val="20"/>
          <w:color w:val="auto"/>
        </w:rPr>
      </w:pPr>
      <w:r>
        <w:rPr>
          <w:rFonts w:ascii="Arial" w:cs="Arial" w:eastAsia="Arial" w:hAnsi="Arial"/>
          <w:sz w:val="18"/>
          <w:szCs w:val="18"/>
          <w:b w:val="1"/>
          <w:bCs w:val="1"/>
          <w:color w:val="auto"/>
        </w:rPr>
        <w:t>as Agent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NORDEA BANK AB, LONDON BRANCH</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Security Agent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CITIGROUP GLOBAL MARKETS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SUISSE AG</w:t>
      </w:r>
    </w:p>
    <w:p>
      <w:pPr>
        <w:jc w:val="center"/>
        <w:spacing w:after="0" w:line="234" w:lineRule="auto"/>
        <w:rPr>
          <w:sz w:val="20"/>
          <w:szCs w:val="20"/>
          <w:color w:val="auto"/>
        </w:rPr>
      </w:pPr>
      <w:r>
        <w:rPr>
          <w:rFonts w:ascii="Arial" w:cs="Arial" w:eastAsia="Arial" w:hAnsi="Arial"/>
          <w:sz w:val="18"/>
          <w:szCs w:val="18"/>
          <w:b w:val="1"/>
          <w:bCs w:val="1"/>
          <w:color w:val="auto"/>
        </w:rPr>
        <w:t>NORDEA BANK AB, LONDON BRANCH</w:t>
      </w:r>
    </w:p>
    <w:p>
      <w:pPr>
        <w:jc w:val="center"/>
        <w:spacing w:after="0" w:line="235" w:lineRule="auto"/>
        <w:rPr>
          <w:sz w:val="20"/>
          <w:szCs w:val="20"/>
          <w:color w:val="auto"/>
        </w:rPr>
      </w:pPr>
      <w:r>
        <w:rPr>
          <w:rFonts w:ascii="Arial" w:cs="Arial" w:eastAsia="Arial" w:hAnsi="Arial"/>
          <w:sz w:val="18"/>
          <w:szCs w:val="18"/>
          <w:b w:val="1"/>
          <w:bCs w:val="1"/>
          <w:color w:val="auto"/>
        </w:rPr>
        <w:t>SKANDINAVISKA ENSKILDA BANKEN AB (publ)</w:t>
      </w:r>
    </w:p>
    <w:p>
      <w:pPr>
        <w:jc w:val="center"/>
        <w:spacing w:after="0" w:line="235" w:lineRule="auto"/>
        <w:rPr>
          <w:sz w:val="20"/>
          <w:szCs w:val="20"/>
          <w:color w:val="auto"/>
        </w:rPr>
      </w:pPr>
      <w:r>
        <w:rPr>
          <w:rFonts w:ascii="Arial" w:cs="Arial" w:eastAsia="Arial" w:hAnsi="Arial"/>
          <w:sz w:val="18"/>
          <w:szCs w:val="18"/>
          <w:b w:val="1"/>
          <w:bCs w:val="1"/>
          <w:color w:val="auto"/>
        </w:rPr>
        <w:t>HSBC BANK plc</w:t>
      </w:r>
    </w:p>
    <w:p>
      <w:pPr>
        <w:jc w:val="center"/>
        <w:spacing w:after="0" w:line="235" w:lineRule="auto"/>
        <w:rPr>
          <w:sz w:val="20"/>
          <w:szCs w:val="20"/>
          <w:color w:val="auto"/>
        </w:rPr>
      </w:pPr>
      <w:r>
        <w:rPr>
          <w:rFonts w:ascii="Arial" w:cs="Arial" w:eastAsia="Arial" w:hAnsi="Arial"/>
          <w:sz w:val="18"/>
          <w:szCs w:val="18"/>
          <w:b w:val="1"/>
          <w:bCs w:val="1"/>
          <w:color w:val="auto"/>
        </w:rPr>
        <w:t>and</w:t>
      </w:r>
    </w:p>
    <w:p>
      <w:pPr>
        <w:jc w:val="center"/>
        <w:spacing w:after="0" w:line="235" w:lineRule="auto"/>
        <w:rPr>
          <w:sz w:val="20"/>
          <w:szCs w:val="20"/>
          <w:color w:val="auto"/>
        </w:rPr>
      </w:pPr>
      <w:r>
        <w:rPr>
          <w:rFonts w:ascii="Arial" w:cs="Arial" w:eastAsia="Arial" w:hAnsi="Arial"/>
          <w:sz w:val="18"/>
          <w:szCs w:val="18"/>
          <w:b w:val="1"/>
          <w:bCs w:val="1"/>
          <w:color w:val="auto"/>
        </w:rPr>
        <w:t>ING BANK N.V., LONDON BRANCH</w:t>
      </w:r>
    </w:p>
    <w:p>
      <w:pPr>
        <w:jc w:val="center"/>
        <w:spacing w:after="0"/>
        <w:rPr>
          <w:sz w:val="20"/>
          <w:szCs w:val="20"/>
          <w:color w:val="auto"/>
        </w:rPr>
      </w:pPr>
      <w:r>
        <w:rPr>
          <w:rFonts w:ascii="Arial" w:cs="Arial" w:eastAsia="Arial" w:hAnsi="Arial"/>
          <w:sz w:val="18"/>
          <w:szCs w:val="18"/>
          <w:b w:val="1"/>
          <w:bCs w:val="1"/>
          <w:color w:val="auto"/>
        </w:rPr>
        <w:t>as Bookrunners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CITIGROUP GLOBAL MARKETS LIMITED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Global Co-ordinator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guaranteed by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w:t>
      </w:r>
    </w:p>
    <w:p>
      <w:pPr>
        <w:jc w:val="center"/>
        <w:spacing w:after="0" w:line="234" w:lineRule="auto"/>
        <w:rPr>
          <w:sz w:val="20"/>
          <w:szCs w:val="20"/>
          <w:color w:val="auto"/>
        </w:rPr>
      </w:pPr>
      <w:r>
        <w:rPr>
          <w:rFonts w:ascii="Arial" w:cs="Arial" w:eastAsia="Arial" w:hAnsi="Arial"/>
          <w:sz w:val="18"/>
          <w:szCs w:val="18"/>
          <w:b w:val="1"/>
          <w:bCs w:val="1"/>
          <w:color w:val="auto"/>
        </w:rPr>
        <w:t>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CARRIERS LTD.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FACILITIES AGREEMENT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jc w:val="center"/>
        <w:spacing w:after="0" w:line="234" w:lineRule="auto"/>
        <w:rPr>
          <w:sz w:val="20"/>
          <w:szCs w:val="20"/>
          <w:color w:val="auto"/>
        </w:rPr>
      </w:pPr>
      <w:r>
        <w:rPr>
          <w:rFonts w:ascii="Arial" w:cs="Arial" w:eastAsia="Arial" w:hAnsi="Arial"/>
          <w:sz w:val="18"/>
          <w:szCs w:val="18"/>
          <w:b w:val="1"/>
          <w:bCs w:val="1"/>
          <w:color w:val="auto"/>
        </w:rPr>
        <w:t>$1,050,000,000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Loan and Revolving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72466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126365</wp:posOffset>
            </wp:positionV>
            <wp:extent cx="2272665" cy="2571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72665" cy="25717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86"/>
        </w:trPr>
        <w:tc>
          <w:tcPr>
            <w:tcW w:w="6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6980" w:type="dxa"/>
            <w:vAlign w:val="bottom"/>
          </w:tcPr>
          <w:p>
            <w:pPr>
              <w:jc w:val="right"/>
              <w:ind w:right="5149"/>
              <w:spacing w:after="0"/>
              <w:rPr>
                <w:sz w:val="20"/>
                <w:szCs w:val="20"/>
                <w:color w:val="auto"/>
              </w:rPr>
            </w:pPr>
            <w:r>
              <w:rPr>
                <w:rFonts w:ascii="Arial" w:cs="Arial" w:eastAsia="Arial" w:hAnsi="Arial"/>
                <w:sz w:val="22"/>
                <w:szCs w:val="22"/>
                <w:b w:val="1"/>
                <w:bCs w:val="1"/>
                <w:color w:val="auto"/>
              </w:rPr>
              <w:t>Contents</w:t>
            </w:r>
          </w:p>
        </w:tc>
      </w:tr>
      <w:tr>
        <w:trPr>
          <w:trHeight w:val="652"/>
        </w:trPr>
        <w:tc>
          <w:tcPr>
            <w:tcW w:w="600" w:type="dxa"/>
            <w:vAlign w:val="bottom"/>
          </w:tcPr>
          <w:p>
            <w:pPr>
              <w:spacing w:after="0"/>
              <w:rPr>
                <w:sz w:val="20"/>
                <w:szCs w:val="20"/>
                <w:color w:val="auto"/>
              </w:rPr>
            </w:pPr>
            <w:r>
              <w:rPr>
                <w:rFonts w:ascii="Arial" w:cs="Arial" w:eastAsia="Arial" w:hAnsi="Arial"/>
                <w:sz w:val="18"/>
                <w:szCs w:val="18"/>
                <w:b w:val="1"/>
                <w:bCs w:val="1"/>
                <w:color w:val="auto"/>
                <w:w w:val="98"/>
              </w:rPr>
              <w:t>Clause</w:t>
            </w:r>
          </w:p>
        </w:tc>
        <w:tc>
          <w:tcPr>
            <w:tcW w:w="3840" w:type="dxa"/>
            <w:vAlign w:val="bottom"/>
          </w:tcPr>
          <w:p>
            <w:pPr>
              <w:spacing w:after="0"/>
              <w:rPr>
                <w:sz w:val="24"/>
                <w:szCs w:val="24"/>
                <w:color w:val="auto"/>
              </w:rPr>
            </w:pPr>
          </w:p>
        </w:tc>
        <w:tc>
          <w:tcPr>
            <w:tcW w:w="69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05"/>
        </w:trPr>
        <w:tc>
          <w:tcPr>
            <w:tcW w:w="600" w:type="dxa"/>
            <w:vAlign w:val="bottom"/>
          </w:tcPr>
          <w:p>
            <w:pPr>
              <w:spacing w:after="0"/>
              <w:rPr>
                <w:sz w:val="20"/>
                <w:szCs w:val="20"/>
                <w:color w:val="auto"/>
              </w:rPr>
            </w:pPr>
            <w:r>
              <w:rPr>
                <w:rFonts w:ascii="Arial" w:cs="Arial" w:eastAsia="Arial" w:hAnsi="Arial"/>
                <w:sz w:val="18"/>
                <w:szCs w:val="18"/>
                <w:color w:val="auto"/>
              </w:rPr>
              <w:t>1</w:t>
            </w:r>
          </w:p>
        </w:tc>
        <w:tc>
          <w:tcPr>
            <w:tcW w:w="3840" w:type="dxa"/>
            <w:vAlign w:val="bottom"/>
          </w:tcPr>
          <w:p>
            <w:pPr>
              <w:spacing w:after="0"/>
              <w:rPr>
                <w:sz w:val="20"/>
                <w:szCs w:val="20"/>
                <w:color w:val="auto"/>
              </w:rPr>
            </w:pPr>
            <w:r>
              <w:rPr>
                <w:rFonts w:ascii="Arial" w:cs="Arial" w:eastAsia="Arial" w:hAnsi="Arial"/>
                <w:sz w:val="18"/>
                <w:szCs w:val="18"/>
                <w:color w:val="auto"/>
              </w:rPr>
              <w:t>Definitions and interpretation</w:t>
            </w:r>
          </w:p>
        </w:tc>
        <w:tc>
          <w:tcPr>
            <w:tcW w:w="6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05"/>
        </w:trPr>
        <w:tc>
          <w:tcPr>
            <w:tcW w:w="600" w:type="dxa"/>
            <w:vAlign w:val="bottom"/>
          </w:tcPr>
          <w:p>
            <w:pPr>
              <w:spacing w:after="0"/>
              <w:rPr>
                <w:sz w:val="20"/>
                <w:szCs w:val="20"/>
                <w:color w:val="auto"/>
              </w:rPr>
            </w:pPr>
            <w:r>
              <w:rPr>
                <w:rFonts w:ascii="Arial" w:cs="Arial" w:eastAsia="Arial" w:hAnsi="Arial"/>
                <w:sz w:val="18"/>
                <w:szCs w:val="18"/>
                <w:color w:val="auto"/>
              </w:rPr>
              <w:t>2</w:t>
            </w:r>
          </w:p>
        </w:tc>
        <w:tc>
          <w:tcPr>
            <w:tcW w:w="3840" w:type="dxa"/>
            <w:vAlign w:val="bottom"/>
          </w:tcPr>
          <w:p>
            <w:pPr>
              <w:spacing w:after="0"/>
              <w:rPr>
                <w:sz w:val="20"/>
                <w:szCs w:val="20"/>
                <w:color w:val="auto"/>
              </w:rPr>
            </w:pPr>
            <w:r>
              <w:rPr>
                <w:rFonts w:ascii="Arial" w:cs="Arial" w:eastAsia="Arial" w:hAnsi="Arial"/>
                <w:sz w:val="18"/>
                <w:szCs w:val="18"/>
                <w:color w:val="auto"/>
              </w:rPr>
              <w:t>The Facilities</w:t>
            </w:r>
          </w:p>
        </w:tc>
        <w:tc>
          <w:tcPr>
            <w:tcW w:w="69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05"/>
        </w:trPr>
        <w:tc>
          <w:tcPr>
            <w:tcW w:w="600" w:type="dxa"/>
            <w:vAlign w:val="bottom"/>
          </w:tcPr>
          <w:p>
            <w:pPr>
              <w:spacing w:after="0"/>
              <w:rPr>
                <w:sz w:val="20"/>
                <w:szCs w:val="20"/>
                <w:color w:val="auto"/>
              </w:rPr>
            </w:pPr>
            <w:r>
              <w:rPr>
                <w:rFonts w:ascii="Arial" w:cs="Arial" w:eastAsia="Arial" w:hAnsi="Arial"/>
                <w:sz w:val="18"/>
                <w:szCs w:val="18"/>
                <w:color w:val="auto"/>
              </w:rPr>
              <w:t>3</w:t>
            </w:r>
          </w:p>
        </w:tc>
        <w:tc>
          <w:tcPr>
            <w:tcW w:w="3840" w:type="dxa"/>
            <w:vAlign w:val="bottom"/>
          </w:tcPr>
          <w:p>
            <w:pPr>
              <w:spacing w:after="0"/>
              <w:rPr>
                <w:sz w:val="20"/>
                <w:szCs w:val="20"/>
                <w:color w:val="auto"/>
              </w:rPr>
            </w:pPr>
            <w:r>
              <w:rPr>
                <w:rFonts w:ascii="Arial" w:cs="Arial" w:eastAsia="Arial" w:hAnsi="Arial"/>
                <w:sz w:val="18"/>
                <w:szCs w:val="18"/>
                <w:color w:val="auto"/>
              </w:rPr>
              <w:t>Purpose</w:t>
            </w:r>
          </w:p>
        </w:tc>
        <w:tc>
          <w:tcPr>
            <w:tcW w:w="69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05"/>
        </w:trPr>
        <w:tc>
          <w:tcPr>
            <w:tcW w:w="600" w:type="dxa"/>
            <w:vAlign w:val="bottom"/>
          </w:tcPr>
          <w:p>
            <w:pPr>
              <w:spacing w:after="0"/>
              <w:rPr>
                <w:sz w:val="20"/>
                <w:szCs w:val="20"/>
                <w:color w:val="auto"/>
              </w:rPr>
            </w:pPr>
            <w:r>
              <w:rPr>
                <w:rFonts w:ascii="Arial" w:cs="Arial" w:eastAsia="Arial" w:hAnsi="Arial"/>
                <w:sz w:val="18"/>
                <w:szCs w:val="18"/>
                <w:color w:val="auto"/>
              </w:rPr>
              <w:t>4</w:t>
            </w:r>
          </w:p>
        </w:tc>
        <w:tc>
          <w:tcPr>
            <w:tcW w:w="3840" w:type="dxa"/>
            <w:vAlign w:val="bottom"/>
          </w:tcPr>
          <w:p>
            <w:pPr>
              <w:spacing w:after="0"/>
              <w:rPr>
                <w:sz w:val="20"/>
                <w:szCs w:val="20"/>
                <w:color w:val="auto"/>
              </w:rPr>
            </w:pPr>
            <w:r>
              <w:rPr>
                <w:rFonts w:ascii="Arial" w:cs="Arial" w:eastAsia="Arial" w:hAnsi="Arial"/>
                <w:sz w:val="18"/>
                <w:szCs w:val="18"/>
                <w:color w:val="auto"/>
              </w:rPr>
              <w:t>Conditions of Utilisation</w:t>
            </w:r>
          </w:p>
        </w:tc>
        <w:tc>
          <w:tcPr>
            <w:tcW w:w="69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05"/>
        </w:trPr>
        <w:tc>
          <w:tcPr>
            <w:tcW w:w="600" w:type="dxa"/>
            <w:vAlign w:val="bottom"/>
          </w:tcPr>
          <w:p>
            <w:pPr>
              <w:spacing w:after="0"/>
              <w:rPr>
                <w:sz w:val="20"/>
                <w:szCs w:val="20"/>
                <w:color w:val="auto"/>
              </w:rPr>
            </w:pPr>
            <w:r>
              <w:rPr>
                <w:rFonts w:ascii="Arial" w:cs="Arial" w:eastAsia="Arial" w:hAnsi="Arial"/>
                <w:sz w:val="18"/>
                <w:szCs w:val="18"/>
                <w:color w:val="auto"/>
              </w:rPr>
              <w:t>5</w:t>
            </w:r>
          </w:p>
        </w:tc>
        <w:tc>
          <w:tcPr>
            <w:tcW w:w="3840" w:type="dxa"/>
            <w:vAlign w:val="bottom"/>
          </w:tcPr>
          <w:p>
            <w:pPr>
              <w:spacing w:after="0"/>
              <w:rPr>
                <w:sz w:val="20"/>
                <w:szCs w:val="20"/>
                <w:color w:val="auto"/>
              </w:rPr>
            </w:pPr>
            <w:r>
              <w:rPr>
                <w:rFonts w:ascii="Arial" w:cs="Arial" w:eastAsia="Arial" w:hAnsi="Arial"/>
                <w:sz w:val="18"/>
                <w:szCs w:val="18"/>
                <w:color w:val="auto"/>
              </w:rPr>
              <w:t>Utilisation</w:t>
            </w:r>
          </w:p>
        </w:tc>
        <w:tc>
          <w:tcPr>
            <w:tcW w:w="6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05"/>
        </w:trPr>
        <w:tc>
          <w:tcPr>
            <w:tcW w:w="600" w:type="dxa"/>
            <w:vAlign w:val="bottom"/>
          </w:tcPr>
          <w:p>
            <w:pPr>
              <w:spacing w:after="0"/>
              <w:rPr>
                <w:sz w:val="20"/>
                <w:szCs w:val="20"/>
                <w:color w:val="auto"/>
              </w:rPr>
            </w:pPr>
            <w:r>
              <w:rPr>
                <w:rFonts w:ascii="Arial" w:cs="Arial" w:eastAsia="Arial" w:hAnsi="Arial"/>
                <w:sz w:val="18"/>
                <w:szCs w:val="18"/>
                <w:color w:val="auto"/>
              </w:rPr>
              <w:t>6</w:t>
            </w:r>
          </w:p>
        </w:tc>
        <w:tc>
          <w:tcPr>
            <w:tcW w:w="3840" w:type="dxa"/>
            <w:vAlign w:val="bottom"/>
          </w:tcPr>
          <w:p>
            <w:pPr>
              <w:spacing w:after="0"/>
              <w:rPr>
                <w:sz w:val="20"/>
                <w:szCs w:val="20"/>
                <w:color w:val="auto"/>
              </w:rPr>
            </w:pPr>
            <w:r>
              <w:rPr>
                <w:rFonts w:ascii="Arial" w:cs="Arial" w:eastAsia="Arial" w:hAnsi="Arial"/>
                <w:sz w:val="18"/>
                <w:szCs w:val="18"/>
                <w:color w:val="auto"/>
              </w:rPr>
              <w:t>Repayment</w:t>
            </w:r>
          </w:p>
        </w:tc>
        <w:tc>
          <w:tcPr>
            <w:tcW w:w="6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05"/>
        </w:trPr>
        <w:tc>
          <w:tcPr>
            <w:tcW w:w="600" w:type="dxa"/>
            <w:vAlign w:val="bottom"/>
          </w:tcPr>
          <w:p>
            <w:pPr>
              <w:spacing w:after="0"/>
              <w:rPr>
                <w:sz w:val="20"/>
                <w:szCs w:val="20"/>
                <w:color w:val="auto"/>
              </w:rPr>
            </w:pPr>
            <w:r>
              <w:rPr>
                <w:rFonts w:ascii="Arial" w:cs="Arial" w:eastAsia="Arial" w:hAnsi="Arial"/>
                <w:sz w:val="18"/>
                <w:szCs w:val="18"/>
                <w:color w:val="auto"/>
              </w:rPr>
              <w:t>7</w:t>
            </w:r>
          </w:p>
        </w:tc>
        <w:tc>
          <w:tcPr>
            <w:tcW w:w="3840" w:type="dxa"/>
            <w:vAlign w:val="bottom"/>
          </w:tcPr>
          <w:p>
            <w:pPr>
              <w:spacing w:after="0"/>
              <w:rPr>
                <w:sz w:val="20"/>
                <w:szCs w:val="20"/>
                <w:color w:val="auto"/>
              </w:rPr>
            </w:pPr>
            <w:r>
              <w:rPr>
                <w:rFonts w:ascii="Arial" w:cs="Arial" w:eastAsia="Arial" w:hAnsi="Arial"/>
                <w:sz w:val="18"/>
                <w:szCs w:val="18"/>
                <w:color w:val="auto"/>
              </w:rPr>
              <w:t>Illegality, prepayment and cancellation</w:t>
            </w:r>
          </w:p>
        </w:tc>
        <w:tc>
          <w:tcPr>
            <w:tcW w:w="69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05"/>
        </w:trPr>
        <w:tc>
          <w:tcPr>
            <w:tcW w:w="600" w:type="dxa"/>
            <w:vAlign w:val="bottom"/>
          </w:tcPr>
          <w:p>
            <w:pPr>
              <w:spacing w:after="0"/>
              <w:rPr>
                <w:sz w:val="20"/>
                <w:szCs w:val="20"/>
                <w:color w:val="auto"/>
              </w:rPr>
            </w:pPr>
            <w:r>
              <w:rPr>
                <w:rFonts w:ascii="Arial" w:cs="Arial" w:eastAsia="Arial" w:hAnsi="Arial"/>
                <w:sz w:val="18"/>
                <w:szCs w:val="18"/>
                <w:color w:val="auto"/>
              </w:rPr>
              <w:t>8</w:t>
            </w:r>
          </w:p>
        </w:tc>
        <w:tc>
          <w:tcPr>
            <w:tcW w:w="3840" w:type="dxa"/>
            <w:vAlign w:val="bottom"/>
          </w:tcPr>
          <w:p>
            <w:pPr>
              <w:spacing w:after="0"/>
              <w:rPr>
                <w:sz w:val="20"/>
                <w:szCs w:val="20"/>
                <w:color w:val="auto"/>
              </w:rPr>
            </w:pPr>
            <w:r>
              <w:rPr>
                <w:rFonts w:ascii="Arial" w:cs="Arial" w:eastAsia="Arial" w:hAnsi="Arial"/>
                <w:sz w:val="18"/>
                <w:szCs w:val="18"/>
                <w:color w:val="auto"/>
              </w:rPr>
              <w:t>Interest</w:t>
            </w:r>
          </w:p>
        </w:tc>
        <w:tc>
          <w:tcPr>
            <w:tcW w:w="69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05"/>
        </w:trPr>
        <w:tc>
          <w:tcPr>
            <w:tcW w:w="600" w:type="dxa"/>
            <w:vAlign w:val="bottom"/>
          </w:tcPr>
          <w:p>
            <w:pPr>
              <w:spacing w:after="0"/>
              <w:rPr>
                <w:sz w:val="20"/>
                <w:szCs w:val="20"/>
                <w:color w:val="auto"/>
              </w:rPr>
            </w:pPr>
            <w:r>
              <w:rPr>
                <w:rFonts w:ascii="Arial" w:cs="Arial" w:eastAsia="Arial" w:hAnsi="Arial"/>
                <w:sz w:val="18"/>
                <w:szCs w:val="18"/>
                <w:color w:val="auto"/>
              </w:rPr>
              <w:t>9</w:t>
            </w:r>
          </w:p>
        </w:tc>
        <w:tc>
          <w:tcPr>
            <w:tcW w:w="3840" w:type="dxa"/>
            <w:vAlign w:val="bottom"/>
          </w:tcPr>
          <w:p>
            <w:pPr>
              <w:spacing w:after="0"/>
              <w:rPr>
                <w:sz w:val="20"/>
                <w:szCs w:val="20"/>
                <w:color w:val="auto"/>
              </w:rPr>
            </w:pPr>
            <w:r>
              <w:rPr>
                <w:rFonts w:ascii="Arial" w:cs="Arial" w:eastAsia="Arial" w:hAnsi="Arial"/>
                <w:sz w:val="18"/>
                <w:szCs w:val="18"/>
                <w:color w:val="auto"/>
              </w:rPr>
              <w:t>Interest Periods</w:t>
            </w:r>
          </w:p>
        </w:tc>
        <w:tc>
          <w:tcPr>
            <w:tcW w:w="69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05"/>
        </w:trPr>
        <w:tc>
          <w:tcPr>
            <w:tcW w:w="600" w:type="dxa"/>
            <w:vAlign w:val="bottom"/>
          </w:tcPr>
          <w:p>
            <w:pPr>
              <w:spacing w:after="0"/>
              <w:rPr>
                <w:sz w:val="20"/>
                <w:szCs w:val="20"/>
                <w:color w:val="auto"/>
              </w:rPr>
            </w:pPr>
            <w:r>
              <w:rPr>
                <w:rFonts w:ascii="Arial" w:cs="Arial" w:eastAsia="Arial" w:hAnsi="Arial"/>
                <w:sz w:val="18"/>
                <w:szCs w:val="18"/>
                <w:color w:val="auto"/>
              </w:rPr>
              <w:t>10</w:t>
            </w:r>
          </w:p>
        </w:tc>
        <w:tc>
          <w:tcPr>
            <w:tcW w:w="3840" w:type="dxa"/>
            <w:vAlign w:val="bottom"/>
          </w:tcPr>
          <w:p>
            <w:pPr>
              <w:spacing w:after="0"/>
              <w:rPr>
                <w:sz w:val="20"/>
                <w:szCs w:val="20"/>
                <w:color w:val="auto"/>
              </w:rPr>
            </w:pPr>
            <w:r>
              <w:rPr>
                <w:rFonts w:ascii="Arial" w:cs="Arial" w:eastAsia="Arial" w:hAnsi="Arial"/>
                <w:sz w:val="18"/>
                <w:szCs w:val="18"/>
                <w:color w:val="auto"/>
              </w:rPr>
              <w:t>Changes to the calculation of interest</w:t>
            </w:r>
          </w:p>
        </w:tc>
        <w:tc>
          <w:tcPr>
            <w:tcW w:w="69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05"/>
        </w:trPr>
        <w:tc>
          <w:tcPr>
            <w:tcW w:w="600" w:type="dxa"/>
            <w:vAlign w:val="bottom"/>
          </w:tcPr>
          <w:p>
            <w:pPr>
              <w:spacing w:after="0"/>
              <w:rPr>
                <w:sz w:val="20"/>
                <w:szCs w:val="20"/>
                <w:color w:val="auto"/>
              </w:rPr>
            </w:pPr>
            <w:r>
              <w:rPr>
                <w:rFonts w:ascii="Arial" w:cs="Arial" w:eastAsia="Arial" w:hAnsi="Arial"/>
                <w:sz w:val="18"/>
                <w:szCs w:val="18"/>
                <w:color w:val="auto"/>
              </w:rPr>
              <w:t>11</w:t>
            </w:r>
          </w:p>
        </w:tc>
        <w:tc>
          <w:tcPr>
            <w:tcW w:w="3840" w:type="dxa"/>
            <w:vAlign w:val="bottom"/>
          </w:tcPr>
          <w:p>
            <w:pPr>
              <w:spacing w:after="0"/>
              <w:rPr>
                <w:sz w:val="20"/>
                <w:szCs w:val="20"/>
                <w:color w:val="auto"/>
              </w:rPr>
            </w:pPr>
            <w:r>
              <w:rPr>
                <w:rFonts w:ascii="Arial" w:cs="Arial" w:eastAsia="Arial" w:hAnsi="Arial"/>
                <w:sz w:val="18"/>
                <w:szCs w:val="18"/>
                <w:color w:val="auto"/>
              </w:rPr>
              <w:t>Fees</w:t>
            </w:r>
          </w:p>
        </w:tc>
        <w:tc>
          <w:tcPr>
            <w:tcW w:w="69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05"/>
        </w:trPr>
        <w:tc>
          <w:tcPr>
            <w:tcW w:w="600" w:type="dxa"/>
            <w:vAlign w:val="bottom"/>
          </w:tcPr>
          <w:p>
            <w:pPr>
              <w:spacing w:after="0"/>
              <w:rPr>
                <w:sz w:val="20"/>
                <w:szCs w:val="20"/>
                <w:color w:val="auto"/>
              </w:rPr>
            </w:pPr>
            <w:r>
              <w:rPr>
                <w:rFonts w:ascii="Arial" w:cs="Arial" w:eastAsia="Arial" w:hAnsi="Arial"/>
                <w:sz w:val="18"/>
                <w:szCs w:val="18"/>
                <w:color w:val="auto"/>
              </w:rPr>
              <w:t>12</w:t>
            </w:r>
          </w:p>
        </w:tc>
        <w:tc>
          <w:tcPr>
            <w:tcW w:w="3840" w:type="dxa"/>
            <w:vAlign w:val="bottom"/>
          </w:tcPr>
          <w:p>
            <w:pPr>
              <w:spacing w:after="0"/>
              <w:rPr>
                <w:sz w:val="20"/>
                <w:szCs w:val="20"/>
                <w:color w:val="auto"/>
              </w:rPr>
            </w:pPr>
            <w:r>
              <w:rPr>
                <w:rFonts w:ascii="Arial" w:cs="Arial" w:eastAsia="Arial" w:hAnsi="Arial"/>
                <w:sz w:val="18"/>
                <w:szCs w:val="18"/>
                <w:color w:val="auto"/>
              </w:rPr>
              <w:t>Tax gross-up and indemnities</w:t>
            </w:r>
          </w:p>
        </w:tc>
        <w:tc>
          <w:tcPr>
            <w:tcW w:w="69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05"/>
        </w:trPr>
        <w:tc>
          <w:tcPr>
            <w:tcW w:w="600" w:type="dxa"/>
            <w:vAlign w:val="bottom"/>
          </w:tcPr>
          <w:p>
            <w:pPr>
              <w:spacing w:after="0"/>
              <w:rPr>
                <w:sz w:val="20"/>
                <w:szCs w:val="20"/>
                <w:color w:val="auto"/>
              </w:rPr>
            </w:pPr>
            <w:r>
              <w:rPr>
                <w:rFonts w:ascii="Arial" w:cs="Arial" w:eastAsia="Arial" w:hAnsi="Arial"/>
                <w:sz w:val="18"/>
                <w:szCs w:val="18"/>
                <w:color w:val="auto"/>
              </w:rPr>
              <w:t>13</w:t>
            </w:r>
          </w:p>
        </w:tc>
        <w:tc>
          <w:tcPr>
            <w:tcW w:w="3840" w:type="dxa"/>
            <w:vAlign w:val="bottom"/>
          </w:tcPr>
          <w:p>
            <w:pPr>
              <w:spacing w:after="0"/>
              <w:rPr>
                <w:sz w:val="20"/>
                <w:szCs w:val="20"/>
                <w:color w:val="auto"/>
              </w:rPr>
            </w:pPr>
            <w:r>
              <w:rPr>
                <w:rFonts w:ascii="Arial" w:cs="Arial" w:eastAsia="Arial" w:hAnsi="Arial"/>
                <w:sz w:val="18"/>
                <w:szCs w:val="18"/>
                <w:color w:val="auto"/>
              </w:rPr>
              <w:t>Increased Costs</w:t>
            </w:r>
          </w:p>
        </w:tc>
        <w:tc>
          <w:tcPr>
            <w:tcW w:w="69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05"/>
        </w:trPr>
        <w:tc>
          <w:tcPr>
            <w:tcW w:w="600" w:type="dxa"/>
            <w:vAlign w:val="bottom"/>
          </w:tcPr>
          <w:p>
            <w:pPr>
              <w:spacing w:after="0"/>
              <w:rPr>
                <w:sz w:val="20"/>
                <w:szCs w:val="20"/>
                <w:color w:val="auto"/>
              </w:rPr>
            </w:pPr>
            <w:r>
              <w:rPr>
                <w:rFonts w:ascii="Arial" w:cs="Arial" w:eastAsia="Arial" w:hAnsi="Arial"/>
                <w:sz w:val="18"/>
                <w:szCs w:val="18"/>
                <w:color w:val="auto"/>
              </w:rPr>
              <w:t>14</w:t>
            </w:r>
          </w:p>
        </w:tc>
        <w:tc>
          <w:tcPr>
            <w:tcW w:w="3840" w:type="dxa"/>
            <w:vAlign w:val="bottom"/>
          </w:tcPr>
          <w:p>
            <w:pPr>
              <w:spacing w:after="0"/>
              <w:rPr>
                <w:sz w:val="20"/>
                <w:szCs w:val="20"/>
                <w:color w:val="auto"/>
              </w:rPr>
            </w:pPr>
            <w:r>
              <w:rPr>
                <w:rFonts w:ascii="Arial" w:cs="Arial" w:eastAsia="Arial" w:hAnsi="Arial"/>
                <w:sz w:val="18"/>
                <w:szCs w:val="18"/>
                <w:color w:val="auto"/>
              </w:rPr>
              <w:t>Other indemnities</w:t>
            </w:r>
          </w:p>
        </w:tc>
        <w:tc>
          <w:tcPr>
            <w:tcW w:w="69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05"/>
        </w:trPr>
        <w:tc>
          <w:tcPr>
            <w:tcW w:w="600" w:type="dxa"/>
            <w:vAlign w:val="bottom"/>
          </w:tcPr>
          <w:p>
            <w:pPr>
              <w:spacing w:after="0"/>
              <w:rPr>
                <w:sz w:val="20"/>
                <w:szCs w:val="20"/>
                <w:color w:val="auto"/>
              </w:rPr>
            </w:pPr>
            <w:r>
              <w:rPr>
                <w:rFonts w:ascii="Arial" w:cs="Arial" w:eastAsia="Arial" w:hAnsi="Arial"/>
                <w:sz w:val="18"/>
                <w:szCs w:val="18"/>
                <w:color w:val="auto"/>
              </w:rPr>
              <w:t>15</w:t>
            </w:r>
          </w:p>
        </w:tc>
        <w:tc>
          <w:tcPr>
            <w:tcW w:w="3840" w:type="dxa"/>
            <w:vAlign w:val="bottom"/>
          </w:tcPr>
          <w:p>
            <w:pPr>
              <w:spacing w:after="0"/>
              <w:rPr>
                <w:sz w:val="20"/>
                <w:szCs w:val="20"/>
                <w:color w:val="auto"/>
              </w:rPr>
            </w:pPr>
            <w:r>
              <w:rPr>
                <w:rFonts w:ascii="Arial" w:cs="Arial" w:eastAsia="Arial" w:hAnsi="Arial"/>
                <w:sz w:val="18"/>
                <w:szCs w:val="18"/>
                <w:color w:val="auto"/>
              </w:rPr>
              <w:t>Mitigation by the Lenders</w:t>
            </w:r>
          </w:p>
        </w:tc>
        <w:tc>
          <w:tcPr>
            <w:tcW w:w="69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05"/>
        </w:trPr>
        <w:tc>
          <w:tcPr>
            <w:tcW w:w="600" w:type="dxa"/>
            <w:vAlign w:val="bottom"/>
          </w:tcPr>
          <w:p>
            <w:pPr>
              <w:spacing w:after="0"/>
              <w:rPr>
                <w:sz w:val="20"/>
                <w:szCs w:val="20"/>
                <w:color w:val="auto"/>
              </w:rPr>
            </w:pPr>
            <w:r>
              <w:rPr>
                <w:rFonts w:ascii="Arial" w:cs="Arial" w:eastAsia="Arial" w:hAnsi="Arial"/>
                <w:sz w:val="18"/>
                <w:szCs w:val="18"/>
                <w:color w:val="auto"/>
              </w:rPr>
              <w:t>16</w:t>
            </w:r>
          </w:p>
        </w:tc>
        <w:tc>
          <w:tcPr>
            <w:tcW w:w="3840" w:type="dxa"/>
            <w:vAlign w:val="bottom"/>
          </w:tcPr>
          <w:p>
            <w:pPr>
              <w:spacing w:after="0"/>
              <w:rPr>
                <w:sz w:val="20"/>
                <w:szCs w:val="20"/>
                <w:color w:val="auto"/>
              </w:rPr>
            </w:pPr>
            <w:r>
              <w:rPr>
                <w:rFonts w:ascii="Arial" w:cs="Arial" w:eastAsia="Arial" w:hAnsi="Arial"/>
                <w:sz w:val="18"/>
                <w:szCs w:val="18"/>
                <w:color w:val="auto"/>
              </w:rPr>
              <w:t>Costs and expenses</w:t>
            </w:r>
          </w:p>
        </w:tc>
        <w:tc>
          <w:tcPr>
            <w:tcW w:w="69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05"/>
        </w:trPr>
        <w:tc>
          <w:tcPr>
            <w:tcW w:w="600" w:type="dxa"/>
            <w:vAlign w:val="bottom"/>
          </w:tcPr>
          <w:p>
            <w:pPr>
              <w:spacing w:after="0"/>
              <w:rPr>
                <w:sz w:val="20"/>
                <w:szCs w:val="20"/>
                <w:color w:val="auto"/>
              </w:rPr>
            </w:pPr>
            <w:r>
              <w:rPr>
                <w:rFonts w:ascii="Arial" w:cs="Arial" w:eastAsia="Arial" w:hAnsi="Arial"/>
                <w:sz w:val="18"/>
                <w:szCs w:val="18"/>
                <w:color w:val="auto"/>
              </w:rPr>
              <w:t>17</w:t>
            </w:r>
          </w:p>
        </w:tc>
        <w:tc>
          <w:tcPr>
            <w:tcW w:w="3840" w:type="dxa"/>
            <w:vAlign w:val="bottom"/>
          </w:tcPr>
          <w:p>
            <w:pPr>
              <w:spacing w:after="0"/>
              <w:rPr>
                <w:sz w:val="20"/>
                <w:szCs w:val="20"/>
                <w:color w:val="auto"/>
              </w:rPr>
            </w:pPr>
            <w:r>
              <w:rPr>
                <w:rFonts w:ascii="Arial" w:cs="Arial" w:eastAsia="Arial" w:hAnsi="Arial"/>
                <w:sz w:val="18"/>
                <w:szCs w:val="18"/>
                <w:color w:val="auto"/>
              </w:rPr>
              <w:t>Guarantee and indemnity</w:t>
            </w:r>
          </w:p>
        </w:tc>
        <w:tc>
          <w:tcPr>
            <w:tcW w:w="69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05"/>
        </w:trPr>
        <w:tc>
          <w:tcPr>
            <w:tcW w:w="600" w:type="dxa"/>
            <w:vAlign w:val="bottom"/>
          </w:tcPr>
          <w:p>
            <w:pPr>
              <w:spacing w:after="0"/>
              <w:rPr>
                <w:sz w:val="20"/>
                <w:szCs w:val="20"/>
                <w:color w:val="auto"/>
              </w:rPr>
            </w:pPr>
            <w:r>
              <w:rPr>
                <w:rFonts w:ascii="Arial" w:cs="Arial" w:eastAsia="Arial" w:hAnsi="Arial"/>
                <w:sz w:val="18"/>
                <w:szCs w:val="18"/>
                <w:color w:val="auto"/>
              </w:rPr>
              <w:t>18</w:t>
            </w:r>
          </w:p>
        </w:tc>
        <w:tc>
          <w:tcPr>
            <w:tcW w:w="3840" w:type="dxa"/>
            <w:vAlign w:val="bottom"/>
          </w:tcPr>
          <w:p>
            <w:pPr>
              <w:spacing w:after="0"/>
              <w:rPr>
                <w:sz w:val="20"/>
                <w:szCs w:val="20"/>
                <w:color w:val="auto"/>
              </w:rPr>
            </w:pPr>
            <w:r>
              <w:rPr>
                <w:rFonts w:ascii="Arial" w:cs="Arial" w:eastAsia="Arial" w:hAnsi="Arial"/>
                <w:sz w:val="18"/>
                <w:szCs w:val="18"/>
                <w:color w:val="auto"/>
              </w:rPr>
              <w:t>Representations</w:t>
            </w:r>
          </w:p>
        </w:tc>
        <w:tc>
          <w:tcPr>
            <w:tcW w:w="69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05"/>
        </w:trPr>
        <w:tc>
          <w:tcPr>
            <w:tcW w:w="600" w:type="dxa"/>
            <w:vAlign w:val="bottom"/>
          </w:tcPr>
          <w:p>
            <w:pPr>
              <w:spacing w:after="0"/>
              <w:rPr>
                <w:sz w:val="20"/>
                <w:szCs w:val="20"/>
                <w:color w:val="auto"/>
              </w:rPr>
            </w:pPr>
            <w:r>
              <w:rPr>
                <w:rFonts w:ascii="Arial" w:cs="Arial" w:eastAsia="Arial" w:hAnsi="Arial"/>
                <w:sz w:val="18"/>
                <w:szCs w:val="18"/>
                <w:color w:val="auto"/>
              </w:rPr>
              <w:t>19</w:t>
            </w:r>
          </w:p>
        </w:tc>
        <w:tc>
          <w:tcPr>
            <w:tcW w:w="3840" w:type="dxa"/>
            <w:vAlign w:val="bottom"/>
          </w:tcPr>
          <w:p>
            <w:pPr>
              <w:spacing w:after="0"/>
              <w:rPr>
                <w:sz w:val="20"/>
                <w:szCs w:val="20"/>
                <w:color w:val="auto"/>
              </w:rPr>
            </w:pPr>
            <w:r>
              <w:rPr>
                <w:rFonts w:ascii="Arial" w:cs="Arial" w:eastAsia="Arial" w:hAnsi="Arial"/>
                <w:sz w:val="18"/>
                <w:szCs w:val="18"/>
                <w:color w:val="auto"/>
              </w:rPr>
              <w:t>Information undertakings</w:t>
            </w:r>
          </w:p>
        </w:tc>
        <w:tc>
          <w:tcPr>
            <w:tcW w:w="69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05"/>
        </w:trPr>
        <w:tc>
          <w:tcPr>
            <w:tcW w:w="600" w:type="dxa"/>
            <w:vAlign w:val="bottom"/>
          </w:tcPr>
          <w:p>
            <w:pPr>
              <w:spacing w:after="0"/>
              <w:rPr>
                <w:sz w:val="20"/>
                <w:szCs w:val="20"/>
                <w:color w:val="auto"/>
              </w:rPr>
            </w:pPr>
            <w:r>
              <w:rPr>
                <w:rFonts w:ascii="Arial" w:cs="Arial" w:eastAsia="Arial" w:hAnsi="Arial"/>
                <w:sz w:val="18"/>
                <w:szCs w:val="18"/>
                <w:color w:val="auto"/>
              </w:rPr>
              <w:t>20</w:t>
            </w:r>
          </w:p>
        </w:tc>
        <w:tc>
          <w:tcPr>
            <w:tcW w:w="3840" w:type="dxa"/>
            <w:vAlign w:val="bottom"/>
          </w:tcPr>
          <w:p>
            <w:pPr>
              <w:spacing w:after="0"/>
              <w:rPr>
                <w:sz w:val="20"/>
                <w:szCs w:val="20"/>
                <w:color w:val="auto"/>
              </w:rPr>
            </w:pPr>
            <w:r>
              <w:rPr>
                <w:rFonts w:ascii="Arial" w:cs="Arial" w:eastAsia="Arial" w:hAnsi="Arial"/>
                <w:sz w:val="18"/>
                <w:szCs w:val="18"/>
                <w:color w:val="auto"/>
              </w:rPr>
              <w:t>Financial covenants</w:t>
            </w:r>
          </w:p>
        </w:tc>
        <w:tc>
          <w:tcPr>
            <w:tcW w:w="69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05"/>
        </w:trPr>
        <w:tc>
          <w:tcPr>
            <w:tcW w:w="600" w:type="dxa"/>
            <w:vAlign w:val="bottom"/>
          </w:tcPr>
          <w:p>
            <w:pPr>
              <w:spacing w:after="0"/>
              <w:rPr>
                <w:sz w:val="20"/>
                <w:szCs w:val="20"/>
                <w:color w:val="auto"/>
              </w:rPr>
            </w:pPr>
            <w:r>
              <w:rPr>
                <w:rFonts w:ascii="Arial" w:cs="Arial" w:eastAsia="Arial" w:hAnsi="Arial"/>
                <w:sz w:val="18"/>
                <w:szCs w:val="18"/>
                <w:color w:val="auto"/>
              </w:rPr>
              <w:t>21</w:t>
            </w:r>
          </w:p>
        </w:tc>
        <w:tc>
          <w:tcPr>
            <w:tcW w:w="3840" w:type="dxa"/>
            <w:vAlign w:val="bottom"/>
          </w:tcPr>
          <w:p>
            <w:pPr>
              <w:spacing w:after="0"/>
              <w:rPr>
                <w:sz w:val="20"/>
                <w:szCs w:val="20"/>
                <w:color w:val="auto"/>
              </w:rPr>
            </w:pPr>
            <w:r>
              <w:rPr>
                <w:rFonts w:ascii="Arial" w:cs="Arial" w:eastAsia="Arial" w:hAnsi="Arial"/>
                <w:sz w:val="18"/>
                <w:szCs w:val="18"/>
                <w:color w:val="auto"/>
              </w:rPr>
              <w:t>General undertakings</w:t>
            </w:r>
          </w:p>
        </w:tc>
        <w:tc>
          <w:tcPr>
            <w:tcW w:w="69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05"/>
        </w:trPr>
        <w:tc>
          <w:tcPr>
            <w:tcW w:w="600" w:type="dxa"/>
            <w:vAlign w:val="bottom"/>
          </w:tcPr>
          <w:p>
            <w:pPr>
              <w:spacing w:after="0"/>
              <w:rPr>
                <w:sz w:val="20"/>
                <w:szCs w:val="20"/>
                <w:color w:val="auto"/>
              </w:rPr>
            </w:pPr>
            <w:r>
              <w:rPr>
                <w:rFonts w:ascii="Arial" w:cs="Arial" w:eastAsia="Arial" w:hAnsi="Arial"/>
                <w:sz w:val="18"/>
                <w:szCs w:val="18"/>
                <w:color w:val="auto"/>
              </w:rPr>
              <w:t>22</w:t>
            </w:r>
          </w:p>
        </w:tc>
        <w:tc>
          <w:tcPr>
            <w:tcW w:w="3840" w:type="dxa"/>
            <w:vAlign w:val="bottom"/>
          </w:tcPr>
          <w:p>
            <w:pPr>
              <w:spacing w:after="0"/>
              <w:rPr>
                <w:sz w:val="20"/>
                <w:szCs w:val="20"/>
                <w:color w:val="auto"/>
              </w:rPr>
            </w:pPr>
            <w:r>
              <w:rPr>
                <w:rFonts w:ascii="Arial" w:cs="Arial" w:eastAsia="Arial" w:hAnsi="Arial"/>
                <w:sz w:val="18"/>
                <w:szCs w:val="18"/>
                <w:color w:val="auto"/>
              </w:rPr>
              <w:t>Dealings with Ship</w:t>
            </w:r>
          </w:p>
        </w:tc>
        <w:tc>
          <w:tcPr>
            <w:tcW w:w="69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405"/>
        </w:trPr>
        <w:tc>
          <w:tcPr>
            <w:tcW w:w="600" w:type="dxa"/>
            <w:vAlign w:val="bottom"/>
          </w:tcPr>
          <w:p>
            <w:pPr>
              <w:spacing w:after="0"/>
              <w:rPr>
                <w:sz w:val="20"/>
                <w:szCs w:val="20"/>
                <w:color w:val="auto"/>
              </w:rPr>
            </w:pPr>
            <w:r>
              <w:rPr>
                <w:rFonts w:ascii="Arial" w:cs="Arial" w:eastAsia="Arial" w:hAnsi="Arial"/>
                <w:sz w:val="18"/>
                <w:szCs w:val="18"/>
                <w:color w:val="auto"/>
              </w:rPr>
              <w:t>23</w:t>
            </w:r>
          </w:p>
        </w:tc>
        <w:tc>
          <w:tcPr>
            <w:tcW w:w="3840" w:type="dxa"/>
            <w:vAlign w:val="bottom"/>
          </w:tcPr>
          <w:p>
            <w:pPr>
              <w:spacing w:after="0"/>
              <w:rPr>
                <w:sz w:val="20"/>
                <w:szCs w:val="20"/>
                <w:color w:val="auto"/>
              </w:rPr>
            </w:pPr>
            <w:r>
              <w:rPr>
                <w:rFonts w:ascii="Arial" w:cs="Arial" w:eastAsia="Arial" w:hAnsi="Arial"/>
                <w:sz w:val="18"/>
                <w:szCs w:val="18"/>
                <w:color w:val="auto"/>
              </w:rPr>
              <w:t>Condition and operation of Ship</w:t>
            </w:r>
          </w:p>
        </w:tc>
        <w:tc>
          <w:tcPr>
            <w:tcW w:w="69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405"/>
        </w:trPr>
        <w:tc>
          <w:tcPr>
            <w:tcW w:w="600" w:type="dxa"/>
            <w:vAlign w:val="bottom"/>
          </w:tcPr>
          <w:p>
            <w:pPr>
              <w:spacing w:after="0"/>
              <w:rPr>
                <w:sz w:val="20"/>
                <w:szCs w:val="20"/>
                <w:color w:val="auto"/>
              </w:rPr>
            </w:pPr>
            <w:r>
              <w:rPr>
                <w:rFonts w:ascii="Arial" w:cs="Arial" w:eastAsia="Arial" w:hAnsi="Arial"/>
                <w:sz w:val="18"/>
                <w:szCs w:val="18"/>
                <w:color w:val="auto"/>
              </w:rPr>
              <w:t>24</w:t>
            </w:r>
          </w:p>
        </w:tc>
        <w:tc>
          <w:tcPr>
            <w:tcW w:w="3840" w:type="dxa"/>
            <w:vAlign w:val="bottom"/>
          </w:tcPr>
          <w:p>
            <w:pPr>
              <w:spacing w:after="0"/>
              <w:rPr>
                <w:sz w:val="20"/>
                <w:szCs w:val="20"/>
                <w:color w:val="auto"/>
              </w:rPr>
            </w:pPr>
            <w:r>
              <w:rPr>
                <w:rFonts w:ascii="Arial" w:cs="Arial" w:eastAsia="Arial" w:hAnsi="Arial"/>
                <w:sz w:val="18"/>
                <w:szCs w:val="18"/>
                <w:color w:val="auto"/>
              </w:rPr>
              <w:t>Insurance</w:t>
            </w:r>
          </w:p>
        </w:tc>
        <w:tc>
          <w:tcPr>
            <w:tcW w:w="69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405"/>
        </w:trPr>
        <w:tc>
          <w:tcPr>
            <w:tcW w:w="600" w:type="dxa"/>
            <w:vAlign w:val="bottom"/>
          </w:tcPr>
          <w:p>
            <w:pPr>
              <w:spacing w:after="0"/>
              <w:rPr>
                <w:sz w:val="20"/>
                <w:szCs w:val="20"/>
                <w:color w:val="auto"/>
              </w:rPr>
            </w:pPr>
            <w:r>
              <w:rPr>
                <w:rFonts w:ascii="Arial" w:cs="Arial" w:eastAsia="Arial" w:hAnsi="Arial"/>
                <w:sz w:val="18"/>
                <w:szCs w:val="18"/>
                <w:color w:val="auto"/>
              </w:rPr>
              <w:t>25</w:t>
            </w:r>
          </w:p>
        </w:tc>
        <w:tc>
          <w:tcPr>
            <w:tcW w:w="3840" w:type="dxa"/>
            <w:vAlign w:val="bottom"/>
          </w:tcPr>
          <w:p>
            <w:pPr>
              <w:spacing w:after="0"/>
              <w:rPr>
                <w:sz w:val="20"/>
                <w:szCs w:val="20"/>
                <w:color w:val="auto"/>
              </w:rPr>
            </w:pPr>
            <w:r>
              <w:rPr>
                <w:rFonts w:ascii="Arial" w:cs="Arial" w:eastAsia="Arial" w:hAnsi="Arial"/>
                <w:sz w:val="18"/>
                <w:szCs w:val="18"/>
                <w:color w:val="auto"/>
              </w:rPr>
              <w:t>Minimum security value</w:t>
            </w:r>
          </w:p>
        </w:tc>
        <w:tc>
          <w:tcPr>
            <w:tcW w:w="69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405"/>
        </w:trPr>
        <w:tc>
          <w:tcPr>
            <w:tcW w:w="600" w:type="dxa"/>
            <w:vAlign w:val="bottom"/>
          </w:tcPr>
          <w:p>
            <w:pPr>
              <w:spacing w:after="0"/>
              <w:rPr>
                <w:sz w:val="20"/>
                <w:szCs w:val="20"/>
                <w:color w:val="auto"/>
              </w:rPr>
            </w:pPr>
            <w:r>
              <w:rPr>
                <w:rFonts w:ascii="Arial" w:cs="Arial" w:eastAsia="Arial" w:hAnsi="Arial"/>
                <w:sz w:val="18"/>
                <w:szCs w:val="18"/>
                <w:color w:val="auto"/>
              </w:rPr>
              <w:t>26</w:t>
            </w:r>
          </w:p>
        </w:tc>
        <w:tc>
          <w:tcPr>
            <w:tcW w:w="3840" w:type="dxa"/>
            <w:vAlign w:val="bottom"/>
          </w:tcPr>
          <w:p>
            <w:pPr>
              <w:spacing w:after="0"/>
              <w:rPr>
                <w:sz w:val="20"/>
                <w:szCs w:val="20"/>
                <w:color w:val="auto"/>
              </w:rPr>
            </w:pPr>
            <w:r>
              <w:rPr>
                <w:rFonts w:ascii="Arial" w:cs="Arial" w:eastAsia="Arial" w:hAnsi="Arial"/>
                <w:sz w:val="18"/>
                <w:szCs w:val="18"/>
                <w:color w:val="auto"/>
              </w:rPr>
              <w:t>Chartering undertakings</w:t>
            </w:r>
          </w:p>
        </w:tc>
        <w:tc>
          <w:tcPr>
            <w:tcW w:w="69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419"/>
        </w:trPr>
        <w:tc>
          <w:tcPr>
            <w:tcW w:w="600" w:type="dxa"/>
            <w:vAlign w:val="bottom"/>
          </w:tcPr>
          <w:p>
            <w:pPr>
              <w:spacing w:after="0"/>
              <w:rPr>
                <w:sz w:val="20"/>
                <w:szCs w:val="20"/>
                <w:color w:val="auto"/>
              </w:rPr>
            </w:pPr>
            <w:r>
              <w:rPr>
                <w:rFonts w:ascii="Arial" w:cs="Arial" w:eastAsia="Arial" w:hAnsi="Arial"/>
                <w:sz w:val="18"/>
                <w:szCs w:val="18"/>
                <w:color w:val="auto"/>
              </w:rPr>
              <w:t>27</w:t>
            </w:r>
          </w:p>
        </w:tc>
        <w:tc>
          <w:tcPr>
            <w:tcW w:w="3840" w:type="dxa"/>
            <w:vAlign w:val="bottom"/>
          </w:tcPr>
          <w:p>
            <w:pPr>
              <w:spacing w:after="0"/>
              <w:rPr>
                <w:sz w:val="20"/>
                <w:szCs w:val="20"/>
                <w:color w:val="auto"/>
              </w:rPr>
            </w:pPr>
            <w:r>
              <w:rPr>
                <w:rFonts w:ascii="Arial" w:cs="Arial" w:eastAsia="Arial" w:hAnsi="Arial"/>
                <w:sz w:val="18"/>
                <w:szCs w:val="18"/>
                <w:color w:val="auto"/>
              </w:rPr>
              <w:t>Bank accounts</w:t>
            </w:r>
          </w:p>
        </w:tc>
        <w:tc>
          <w:tcPr>
            <w:tcW w:w="69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64"/>
        </w:trPr>
        <w:tc>
          <w:tcPr>
            <w:tcW w:w="600" w:type="dxa"/>
            <w:vAlign w:val="bottom"/>
            <w:tcBorders>
              <w:bottom w:val="single" w:sz="8" w:color="C0C0C0"/>
            </w:tcBorders>
          </w:tcPr>
          <w:p>
            <w:pPr>
              <w:spacing w:after="0"/>
              <w:rPr>
                <w:sz w:val="22"/>
                <w:szCs w:val="22"/>
                <w:color w:val="auto"/>
              </w:rPr>
            </w:pPr>
          </w:p>
        </w:tc>
        <w:tc>
          <w:tcPr>
            <w:tcW w:w="3840" w:type="dxa"/>
            <w:vAlign w:val="bottom"/>
            <w:tcBorders>
              <w:bottom w:val="single" w:sz="8" w:color="C0C0C0"/>
            </w:tcBorders>
          </w:tcPr>
          <w:p>
            <w:pPr>
              <w:spacing w:after="0"/>
              <w:rPr>
                <w:sz w:val="22"/>
                <w:szCs w:val="22"/>
                <w:color w:val="auto"/>
              </w:rPr>
            </w:pPr>
          </w:p>
        </w:tc>
        <w:tc>
          <w:tcPr>
            <w:tcW w:w="69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420"/>
          </w:cols>
          <w:pgMar w:left="240" w:top="391" w:right="23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0" w:type="dxa"/>
            <w:vAlign w:val="bottom"/>
          </w:tcPr>
          <w:p>
            <w:pPr>
              <w:spacing w:after="0"/>
              <w:rPr>
                <w:sz w:val="20"/>
                <w:szCs w:val="20"/>
                <w:color w:val="auto"/>
              </w:rPr>
            </w:pPr>
            <w:r>
              <w:rPr>
                <w:rFonts w:ascii="Arial" w:cs="Arial" w:eastAsia="Arial" w:hAnsi="Arial"/>
                <w:sz w:val="18"/>
                <w:szCs w:val="18"/>
                <w:color w:val="auto"/>
              </w:rPr>
              <w:t>28</w:t>
            </w:r>
          </w:p>
        </w:tc>
        <w:tc>
          <w:tcPr>
            <w:tcW w:w="8160" w:type="dxa"/>
            <w:vAlign w:val="bottom"/>
          </w:tcPr>
          <w:p>
            <w:pPr>
              <w:ind w:left="180"/>
              <w:spacing w:after="0"/>
              <w:rPr>
                <w:sz w:val="20"/>
                <w:szCs w:val="20"/>
                <w:color w:val="auto"/>
              </w:rPr>
            </w:pPr>
            <w:r>
              <w:rPr>
                <w:rFonts w:ascii="Arial" w:cs="Arial" w:eastAsia="Arial" w:hAnsi="Arial"/>
                <w:sz w:val="18"/>
                <w:szCs w:val="18"/>
                <w:color w:val="auto"/>
              </w:rPr>
              <w:t>Business restrictions</w:t>
            </w:r>
          </w:p>
        </w:tc>
        <w:tc>
          <w:tcPr>
            <w:tcW w:w="28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419"/>
        </w:trPr>
        <w:tc>
          <w:tcPr>
            <w:tcW w:w="400" w:type="dxa"/>
            <w:vAlign w:val="bottom"/>
          </w:tcPr>
          <w:p>
            <w:pPr>
              <w:spacing w:after="0"/>
              <w:rPr>
                <w:sz w:val="20"/>
                <w:szCs w:val="20"/>
                <w:color w:val="auto"/>
              </w:rPr>
            </w:pPr>
            <w:r>
              <w:rPr>
                <w:rFonts w:ascii="Arial" w:cs="Arial" w:eastAsia="Arial" w:hAnsi="Arial"/>
                <w:sz w:val="18"/>
                <w:szCs w:val="18"/>
                <w:color w:val="auto"/>
              </w:rPr>
              <w:t>29</w:t>
            </w:r>
          </w:p>
        </w:tc>
        <w:tc>
          <w:tcPr>
            <w:tcW w:w="8160" w:type="dxa"/>
            <w:vAlign w:val="bottom"/>
          </w:tcPr>
          <w:p>
            <w:pPr>
              <w:ind w:left="180"/>
              <w:spacing w:after="0"/>
              <w:rPr>
                <w:sz w:val="20"/>
                <w:szCs w:val="20"/>
                <w:color w:val="auto"/>
              </w:rPr>
            </w:pPr>
            <w:r>
              <w:rPr>
                <w:rFonts w:ascii="Arial" w:cs="Arial" w:eastAsia="Arial" w:hAnsi="Arial"/>
                <w:sz w:val="18"/>
                <w:szCs w:val="18"/>
                <w:color w:val="auto"/>
              </w:rPr>
              <w:t>Events of Default</w:t>
            </w:r>
          </w:p>
        </w:tc>
        <w:tc>
          <w:tcPr>
            <w:tcW w:w="28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419"/>
        </w:trPr>
        <w:tc>
          <w:tcPr>
            <w:tcW w:w="400" w:type="dxa"/>
            <w:vAlign w:val="bottom"/>
          </w:tcPr>
          <w:p>
            <w:pPr>
              <w:spacing w:after="0"/>
              <w:rPr>
                <w:sz w:val="20"/>
                <w:szCs w:val="20"/>
                <w:color w:val="auto"/>
              </w:rPr>
            </w:pPr>
            <w:r>
              <w:rPr>
                <w:rFonts w:ascii="Arial" w:cs="Arial" w:eastAsia="Arial" w:hAnsi="Arial"/>
                <w:sz w:val="18"/>
                <w:szCs w:val="18"/>
                <w:color w:val="auto"/>
              </w:rPr>
              <w:t>30</w:t>
            </w:r>
          </w:p>
        </w:tc>
        <w:tc>
          <w:tcPr>
            <w:tcW w:w="8160" w:type="dxa"/>
            <w:vAlign w:val="bottom"/>
          </w:tcPr>
          <w:p>
            <w:pPr>
              <w:ind w:left="180"/>
              <w:spacing w:after="0"/>
              <w:rPr>
                <w:sz w:val="20"/>
                <w:szCs w:val="20"/>
                <w:color w:val="auto"/>
              </w:rPr>
            </w:pPr>
            <w:r>
              <w:rPr>
                <w:rFonts w:ascii="Arial" w:cs="Arial" w:eastAsia="Arial" w:hAnsi="Arial"/>
                <w:sz w:val="18"/>
                <w:szCs w:val="18"/>
                <w:color w:val="auto"/>
              </w:rPr>
              <w:t>Changes to the Lenders</w:t>
            </w:r>
          </w:p>
        </w:tc>
        <w:tc>
          <w:tcPr>
            <w:tcW w:w="28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419"/>
        </w:trPr>
        <w:tc>
          <w:tcPr>
            <w:tcW w:w="400" w:type="dxa"/>
            <w:vAlign w:val="bottom"/>
          </w:tcPr>
          <w:p>
            <w:pPr>
              <w:spacing w:after="0"/>
              <w:rPr>
                <w:sz w:val="20"/>
                <w:szCs w:val="20"/>
                <w:color w:val="auto"/>
              </w:rPr>
            </w:pPr>
            <w:r>
              <w:rPr>
                <w:rFonts w:ascii="Arial" w:cs="Arial" w:eastAsia="Arial" w:hAnsi="Arial"/>
                <w:sz w:val="18"/>
                <w:szCs w:val="18"/>
                <w:color w:val="auto"/>
              </w:rPr>
              <w:t>31</w:t>
            </w:r>
          </w:p>
        </w:tc>
        <w:tc>
          <w:tcPr>
            <w:tcW w:w="8160" w:type="dxa"/>
            <w:vAlign w:val="bottom"/>
          </w:tcPr>
          <w:p>
            <w:pPr>
              <w:ind w:left="180"/>
              <w:spacing w:after="0"/>
              <w:rPr>
                <w:sz w:val="20"/>
                <w:szCs w:val="20"/>
                <w:color w:val="auto"/>
              </w:rPr>
            </w:pPr>
            <w:r>
              <w:rPr>
                <w:rFonts w:ascii="Arial" w:cs="Arial" w:eastAsia="Arial" w:hAnsi="Arial"/>
                <w:sz w:val="18"/>
                <w:szCs w:val="18"/>
                <w:color w:val="auto"/>
              </w:rPr>
              <w:t>Changes to the Obligors/Restriction on Debt Purchase Transactions</w:t>
            </w:r>
          </w:p>
        </w:tc>
        <w:tc>
          <w:tcPr>
            <w:tcW w:w="28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419"/>
        </w:trPr>
        <w:tc>
          <w:tcPr>
            <w:tcW w:w="400" w:type="dxa"/>
            <w:vAlign w:val="bottom"/>
          </w:tcPr>
          <w:p>
            <w:pPr>
              <w:spacing w:after="0"/>
              <w:rPr>
                <w:sz w:val="20"/>
                <w:szCs w:val="20"/>
                <w:color w:val="auto"/>
              </w:rPr>
            </w:pPr>
            <w:r>
              <w:rPr>
                <w:rFonts w:ascii="Arial" w:cs="Arial" w:eastAsia="Arial" w:hAnsi="Arial"/>
                <w:sz w:val="18"/>
                <w:szCs w:val="18"/>
                <w:color w:val="auto"/>
              </w:rPr>
              <w:t>32</w:t>
            </w:r>
          </w:p>
        </w:tc>
        <w:tc>
          <w:tcPr>
            <w:tcW w:w="8160" w:type="dxa"/>
            <w:vAlign w:val="bottom"/>
          </w:tcPr>
          <w:p>
            <w:pPr>
              <w:ind w:left="180"/>
              <w:spacing w:after="0"/>
              <w:rPr>
                <w:sz w:val="20"/>
                <w:szCs w:val="20"/>
                <w:color w:val="auto"/>
              </w:rPr>
            </w:pPr>
            <w:r>
              <w:rPr>
                <w:rFonts w:ascii="Arial" w:cs="Arial" w:eastAsia="Arial" w:hAnsi="Arial"/>
                <w:sz w:val="18"/>
                <w:szCs w:val="18"/>
                <w:color w:val="auto"/>
              </w:rPr>
              <w:t>Roles of Agent, Security Agent and Arrangers</w:t>
            </w:r>
          </w:p>
        </w:tc>
        <w:tc>
          <w:tcPr>
            <w:tcW w:w="28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419"/>
        </w:trPr>
        <w:tc>
          <w:tcPr>
            <w:tcW w:w="400" w:type="dxa"/>
            <w:vAlign w:val="bottom"/>
          </w:tcPr>
          <w:p>
            <w:pPr>
              <w:spacing w:after="0"/>
              <w:rPr>
                <w:sz w:val="20"/>
                <w:szCs w:val="20"/>
                <w:color w:val="auto"/>
              </w:rPr>
            </w:pPr>
            <w:r>
              <w:rPr>
                <w:rFonts w:ascii="Arial" w:cs="Arial" w:eastAsia="Arial" w:hAnsi="Arial"/>
                <w:sz w:val="18"/>
                <w:szCs w:val="18"/>
                <w:color w:val="auto"/>
              </w:rPr>
              <w:t>33</w:t>
            </w:r>
          </w:p>
        </w:tc>
        <w:tc>
          <w:tcPr>
            <w:tcW w:w="8160" w:type="dxa"/>
            <w:vAlign w:val="bottom"/>
          </w:tcPr>
          <w:p>
            <w:pPr>
              <w:ind w:left="180"/>
              <w:spacing w:after="0"/>
              <w:rPr>
                <w:sz w:val="20"/>
                <w:szCs w:val="20"/>
                <w:color w:val="auto"/>
              </w:rPr>
            </w:pPr>
            <w:r>
              <w:rPr>
                <w:rFonts w:ascii="Arial" w:cs="Arial" w:eastAsia="Arial" w:hAnsi="Arial"/>
                <w:sz w:val="18"/>
                <w:szCs w:val="18"/>
                <w:color w:val="auto"/>
              </w:rPr>
              <w:t>Conduct of business by the Finance Parties</w:t>
            </w:r>
          </w:p>
        </w:tc>
        <w:tc>
          <w:tcPr>
            <w:tcW w:w="28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419"/>
        </w:trPr>
        <w:tc>
          <w:tcPr>
            <w:tcW w:w="400" w:type="dxa"/>
            <w:vAlign w:val="bottom"/>
          </w:tcPr>
          <w:p>
            <w:pPr>
              <w:spacing w:after="0"/>
              <w:rPr>
                <w:sz w:val="20"/>
                <w:szCs w:val="20"/>
                <w:color w:val="auto"/>
              </w:rPr>
            </w:pPr>
            <w:r>
              <w:rPr>
                <w:rFonts w:ascii="Arial" w:cs="Arial" w:eastAsia="Arial" w:hAnsi="Arial"/>
                <w:sz w:val="18"/>
                <w:szCs w:val="18"/>
                <w:color w:val="auto"/>
              </w:rPr>
              <w:t>34</w:t>
            </w:r>
          </w:p>
        </w:tc>
        <w:tc>
          <w:tcPr>
            <w:tcW w:w="8160" w:type="dxa"/>
            <w:vAlign w:val="bottom"/>
          </w:tcPr>
          <w:p>
            <w:pPr>
              <w:ind w:left="180"/>
              <w:spacing w:after="0"/>
              <w:rPr>
                <w:sz w:val="20"/>
                <w:szCs w:val="20"/>
                <w:color w:val="auto"/>
              </w:rPr>
            </w:pPr>
            <w:r>
              <w:rPr>
                <w:rFonts w:ascii="Arial" w:cs="Arial" w:eastAsia="Arial" w:hAnsi="Arial"/>
                <w:sz w:val="18"/>
                <w:szCs w:val="18"/>
                <w:color w:val="auto"/>
              </w:rPr>
              <w:t>Sharing among the Finance Parties</w:t>
            </w:r>
          </w:p>
        </w:tc>
        <w:tc>
          <w:tcPr>
            <w:tcW w:w="28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419"/>
        </w:trPr>
        <w:tc>
          <w:tcPr>
            <w:tcW w:w="400" w:type="dxa"/>
            <w:vAlign w:val="bottom"/>
          </w:tcPr>
          <w:p>
            <w:pPr>
              <w:spacing w:after="0"/>
              <w:rPr>
                <w:sz w:val="20"/>
                <w:szCs w:val="20"/>
                <w:color w:val="auto"/>
              </w:rPr>
            </w:pPr>
            <w:r>
              <w:rPr>
                <w:rFonts w:ascii="Arial" w:cs="Arial" w:eastAsia="Arial" w:hAnsi="Arial"/>
                <w:sz w:val="18"/>
                <w:szCs w:val="18"/>
                <w:color w:val="auto"/>
              </w:rPr>
              <w:t>35</w:t>
            </w:r>
          </w:p>
        </w:tc>
        <w:tc>
          <w:tcPr>
            <w:tcW w:w="8160" w:type="dxa"/>
            <w:vAlign w:val="bottom"/>
          </w:tcPr>
          <w:p>
            <w:pPr>
              <w:ind w:left="180"/>
              <w:spacing w:after="0"/>
              <w:rPr>
                <w:sz w:val="20"/>
                <w:szCs w:val="20"/>
                <w:color w:val="auto"/>
              </w:rPr>
            </w:pPr>
            <w:r>
              <w:rPr>
                <w:rFonts w:ascii="Arial" w:cs="Arial" w:eastAsia="Arial" w:hAnsi="Arial"/>
                <w:sz w:val="18"/>
                <w:szCs w:val="18"/>
                <w:color w:val="auto"/>
              </w:rPr>
              <w:t>Payment mechanics</w:t>
            </w:r>
          </w:p>
        </w:tc>
        <w:tc>
          <w:tcPr>
            <w:tcW w:w="28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419"/>
        </w:trPr>
        <w:tc>
          <w:tcPr>
            <w:tcW w:w="400" w:type="dxa"/>
            <w:vAlign w:val="bottom"/>
          </w:tcPr>
          <w:p>
            <w:pPr>
              <w:spacing w:after="0"/>
              <w:rPr>
                <w:sz w:val="20"/>
                <w:szCs w:val="20"/>
                <w:color w:val="auto"/>
              </w:rPr>
            </w:pPr>
            <w:r>
              <w:rPr>
                <w:rFonts w:ascii="Arial" w:cs="Arial" w:eastAsia="Arial" w:hAnsi="Arial"/>
                <w:sz w:val="18"/>
                <w:szCs w:val="18"/>
                <w:color w:val="auto"/>
              </w:rPr>
              <w:t>36</w:t>
            </w:r>
          </w:p>
        </w:tc>
        <w:tc>
          <w:tcPr>
            <w:tcW w:w="8160" w:type="dxa"/>
            <w:vAlign w:val="bottom"/>
          </w:tcPr>
          <w:p>
            <w:pPr>
              <w:ind w:left="180"/>
              <w:spacing w:after="0"/>
              <w:rPr>
                <w:sz w:val="20"/>
                <w:szCs w:val="20"/>
                <w:color w:val="auto"/>
              </w:rPr>
            </w:pPr>
            <w:r>
              <w:rPr>
                <w:rFonts w:ascii="Arial" w:cs="Arial" w:eastAsia="Arial" w:hAnsi="Arial"/>
                <w:sz w:val="18"/>
                <w:szCs w:val="18"/>
                <w:color w:val="auto"/>
              </w:rPr>
              <w:t>Set-off</w:t>
            </w:r>
          </w:p>
        </w:tc>
        <w:tc>
          <w:tcPr>
            <w:tcW w:w="28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419"/>
        </w:trPr>
        <w:tc>
          <w:tcPr>
            <w:tcW w:w="400" w:type="dxa"/>
            <w:vAlign w:val="bottom"/>
          </w:tcPr>
          <w:p>
            <w:pPr>
              <w:spacing w:after="0"/>
              <w:rPr>
                <w:sz w:val="20"/>
                <w:szCs w:val="20"/>
                <w:color w:val="auto"/>
              </w:rPr>
            </w:pPr>
            <w:r>
              <w:rPr>
                <w:rFonts w:ascii="Arial" w:cs="Arial" w:eastAsia="Arial" w:hAnsi="Arial"/>
                <w:sz w:val="18"/>
                <w:szCs w:val="18"/>
                <w:color w:val="auto"/>
              </w:rPr>
              <w:t>37</w:t>
            </w:r>
          </w:p>
        </w:tc>
        <w:tc>
          <w:tcPr>
            <w:tcW w:w="8160" w:type="dxa"/>
            <w:vAlign w:val="bottom"/>
          </w:tcPr>
          <w:p>
            <w:pPr>
              <w:ind w:left="180"/>
              <w:spacing w:after="0"/>
              <w:rPr>
                <w:sz w:val="20"/>
                <w:szCs w:val="20"/>
                <w:color w:val="auto"/>
              </w:rPr>
            </w:pPr>
            <w:r>
              <w:rPr>
                <w:rFonts w:ascii="Arial" w:cs="Arial" w:eastAsia="Arial" w:hAnsi="Arial"/>
                <w:sz w:val="18"/>
                <w:szCs w:val="18"/>
                <w:color w:val="auto"/>
              </w:rPr>
              <w:t>Notices</w:t>
            </w:r>
          </w:p>
        </w:tc>
        <w:tc>
          <w:tcPr>
            <w:tcW w:w="28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419"/>
        </w:trPr>
        <w:tc>
          <w:tcPr>
            <w:tcW w:w="400" w:type="dxa"/>
            <w:vAlign w:val="bottom"/>
          </w:tcPr>
          <w:p>
            <w:pPr>
              <w:spacing w:after="0"/>
              <w:rPr>
                <w:sz w:val="20"/>
                <w:szCs w:val="20"/>
                <w:color w:val="auto"/>
              </w:rPr>
            </w:pPr>
            <w:r>
              <w:rPr>
                <w:rFonts w:ascii="Arial" w:cs="Arial" w:eastAsia="Arial" w:hAnsi="Arial"/>
                <w:sz w:val="18"/>
                <w:szCs w:val="18"/>
                <w:color w:val="auto"/>
              </w:rPr>
              <w:t>38</w:t>
            </w:r>
          </w:p>
        </w:tc>
        <w:tc>
          <w:tcPr>
            <w:tcW w:w="8160" w:type="dxa"/>
            <w:vAlign w:val="bottom"/>
          </w:tcPr>
          <w:p>
            <w:pPr>
              <w:ind w:left="180"/>
              <w:spacing w:after="0"/>
              <w:rPr>
                <w:sz w:val="20"/>
                <w:szCs w:val="20"/>
                <w:color w:val="auto"/>
              </w:rPr>
            </w:pPr>
            <w:r>
              <w:rPr>
                <w:rFonts w:ascii="Arial" w:cs="Arial" w:eastAsia="Arial" w:hAnsi="Arial"/>
                <w:sz w:val="18"/>
                <w:szCs w:val="18"/>
                <w:color w:val="auto"/>
              </w:rPr>
              <w:t>Calculations and certificates</w:t>
            </w:r>
          </w:p>
        </w:tc>
        <w:tc>
          <w:tcPr>
            <w:tcW w:w="28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419"/>
        </w:trPr>
        <w:tc>
          <w:tcPr>
            <w:tcW w:w="400" w:type="dxa"/>
            <w:vAlign w:val="bottom"/>
          </w:tcPr>
          <w:p>
            <w:pPr>
              <w:spacing w:after="0"/>
              <w:rPr>
                <w:sz w:val="20"/>
                <w:szCs w:val="20"/>
                <w:color w:val="auto"/>
              </w:rPr>
            </w:pPr>
            <w:r>
              <w:rPr>
                <w:rFonts w:ascii="Arial" w:cs="Arial" w:eastAsia="Arial" w:hAnsi="Arial"/>
                <w:sz w:val="18"/>
                <w:szCs w:val="18"/>
                <w:color w:val="auto"/>
              </w:rPr>
              <w:t>39</w:t>
            </w:r>
          </w:p>
        </w:tc>
        <w:tc>
          <w:tcPr>
            <w:tcW w:w="8160" w:type="dxa"/>
            <w:vAlign w:val="bottom"/>
          </w:tcPr>
          <w:p>
            <w:pPr>
              <w:ind w:left="180"/>
              <w:spacing w:after="0"/>
              <w:rPr>
                <w:sz w:val="20"/>
                <w:szCs w:val="20"/>
                <w:color w:val="auto"/>
              </w:rPr>
            </w:pPr>
            <w:r>
              <w:rPr>
                <w:rFonts w:ascii="Arial" w:cs="Arial" w:eastAsia="Arial" w:hAnsi="Arial"/>
                <w:sz w:val="18"/>
                <w:szCs w:val="18"/>
                <w:color w:val="auto"/>
              </w:rPr>
              <w:t>Partial invalidity</w:t>
            </w:r>
          </w:p>
        </w:tc>
        <w:tc>
          <w:tcPr>
            <w:tcW w:w="28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419"/>
        </w:trPr>
        <w:tc>
          <w:tcPr>
            <w:tcW w:w="400" w:type="dxa"/>
            <w:vAlign w:val="bottom"/>
          </w:tcPr>
          <w:p>
            <w:pPr>
              <w:spacing w:after="0"/>
              <w:rPr>
                <w:sz w:val="20"/>
                <w:szCs w:val="20"/>
                <w:color w:val="auto"/>
              </w:rPr>
            </w:pPr>
            <w:r>
              <w:rPr>
                <w:rFonts w:ascii="Arial" w:cs="Arial" w:eastAsia="Arial" w:hAnsi="Arial"/>
                <w:sz w:val="18"/>
                <w:szCs w:val="18"/>
                <w:color w:val="auto"/>
              </w:rPr>
              <w:t>40</w:t>
            </w:r>
          </w:p>
        </w:tc>
        <w:tc>
          <w:tcPr>
            <w:tcW w:w="8160" w:type="dxa"/>
            <w:vAlign w:val="bottom"/>
          </w:tcPr>
          <w:p>
            <w:pPr>
              <w:ind w:left="180"/>
              <w:spacing w:after="0"/>
              <w:rPr>
                <w:sz w:val="20"/>
                <w:szCs w:val="20"/>
                <w:color w:val="auto"/>
              </w:rPr>
            </w:pPr>
            <w:r>
              <w:rPr>
                <w:rFonts w:ascii="Arial" w:cs="Arial" w:eastAsia="Arial" w:hAnsi="Arial"/>
                <w:sz w:val="18"/>
                <w:szCs w:val="18"/>
                <w:color w:val="auto"/>
              </w:rPr>
              <w:t>Remedies and waivers</w:t>
            </w:r>
          </w:p>
        </w:tc>
        <w:tc>
          <w:tcPr>
            <w:tcW w:w="28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419"/>
        </w:trPr>
        <w:tc>
          <w:tcPr>
            <w:tcW w:w="400" w:type="dxa"/>
            <w:vAlign w:val="bottom"/>
          </w:tcPr>
          <w:p>
            <w:pPr>
              <w:spacing w:after="0"/>
              <w:rPr>
                <w:sz w:val="20"/>
                <w:szCs w:val="20"/>
                <w:color w:val="auto"/>
              </w:rPr>
            </w:pPr>
            <w:r>
              <w:rPr>
                <w:rFonts w:ascii="Arial" w:cs="Arial" w:eastAsia="Arial" w:hAnsi="Arial"/>
                <w:sz w:val="18"/>
                <w:szCs w:val="18"/>
                <w:color w:val="auto"/>
              </w:rPr>
              <w:t>41</w:t>
            </w:r>
          </w:p>
        </w:tc>
        <w:tc>
          <w:tcPr>
            <w:tcW w:w="8160" w:type="dxa"/>
            <w:vAlign w:val="bottom"/>
          </w:tcPr>
          <w:p>
            <w:pPr>
              <w:ind w:left="180"/>
              <w:spacing w:after="0"/>
              <w:rPr>
                <w:sz w:val="20"/>
                <w:szCs w:val="20"/>
                <w:color w:val="auto"/>
              </w:rPr>
            </w:pPr>
            <w:r>
              <w:rPr>
                <w:rFonts w:ascii="Arial" w:cs="Arial" w:eastAsia="Arial" w:hAnsi="Arial"/>
                <w:sz w:val="18"/>
                <w:szCs w:val="18"/>
                <w:color w:val="auto"/>
              </w:rPr>
              <w:t>Amendments and grant of waivers</w:t>
            </w:r>
          </w:p>
        </w:tc>
        <w:tc>
          <w:tcPr>
            <w:tcW w:w="28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419"/>
        </w:trPr>
        <w:tc>
          <w:tcPr>
            <w:tcW w:w="400" w:type="dxa"/>
            <w:vAlign w:val="bottom"/>
          </w:tcPr>
          <w:p>
            <w:pPr>
              <w:spacing w:after="0"/>
              <w:rPr>
                <w:sz w:val="20"/>
                <w:szCs w:val="20"/>
                <w:color w:val="auto"/>
              </w:rPr>
            </w:pPr>
            <w:r>
              <w:rPr>
                <w:rFonts w:ascii="Arial" w:cs="Arial" w:eastAsia="Arial" w:hAnsi="Arial"/>
                <w:sz w:val="18"/>
                <w:szCs w:val="18"/>
                <w:color w:val="auto"/>
              </w:rPr>
              <w:t>42</w:t>
            </w:r>
          </w:p>
        </w:tc>
        <w:tc>
          <w:tcPr>
            <w:tcW w:w="8160" w:type="dxa"/>
            <w:vAlign w:val="bottom"/>
          </w:tcPr>
          <w:p>
            <w:pPr>
              <w:ind w:left="180"/>
              <w:spacing w:after="0"/>
              <w:rPr>
                <w:sz w:val="20"/>
                <w:szCs w:val="20"/>
                <w:color w:val="auto"/>
              </w:rPr>
            </w:pPr>
            <w:r>
              <w:rPr>
                <w:rFonts w:ascii="Arial" w:cs="Arial" w:eastAsia="Arial" w:hAnsi="Arial"/>
                <w:sz w:val="18"/>
                <w:szCs w:val="18"/>
                <w:color w:val="auto"/>
              </w:rPr>
              <w:t>Counterparts</w:t>
            </w:r>
          </w:p>
        </w:tc>
        <w:tc>
          <w:tcPr>
            <w:tcW w:w="28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419"/>
        </w:trPr>
        <w:tc>
          <w:tcPr>
            <w:tcW w:w="400" w:type="dxa"/>
            <w:vAlign w:val="bottom"/>
          </w:tcPr>
          <w:p>
            <w:pPr>
              <w:spacing w:after="0"/>
              <w:rPr>
                <w:sz w:val="20"/>
                <w:szCs w:val="20"/>
                <w:color w:val="auto"/>
              </w:rPr>
            </w:pPr>
            <w:r>
              <w:rPr>
                <w:rFonts w:ascii="Arial" w:cs="Arial" w:eastAsia="Arial" w:hAnsi="Arial"/>
                <w:sz w:val="18"/>
                <w:szCs w:val="18"/>
                <w:color w:val="auto"/>
              </w:rPr>
              <w:t>43</w:t>
            </w:r>
          </w:p>
        </w:tc>
        <w:tc>
          <w:tcPr>
            <w:tcW w:w="8160" w:type="dxa"/>
            <w:vAlign w:val="bottom"/>
          </w:tcPr>
          <w:p>
            <w:pPr>
              <w:ind w:left="180"/>
              <w:spacing w:after="0"/>
              <w:rPr>
                <w:sz w:val="20"/>
                <w:szCs w:val="20"/>
                <w:color w:val="auto"/>
              </w:rPr>
            </w:pPr>
            <w:r>
              <w:rPr>
                <w:rFonts w:ascii="Arial" w:cs="Arial" w:eastAsia="Arial" w:hAnsi="Arial"/>
                <w:sz w:val="18"/>
                <w:szCs w:val="18"/>
                <w:color w:val="auto"/>
              </w:rPr>
              <w:t>Confidentiality</w:t>
            </w:r>
          </w:p>
        </w:tc>
        <w:tc>
          <w:tcPr>
            <w:tcW w:w="28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419"/>
        </w:trPr>
        <w:tc>
          <w:tcPr>
            <w:tcW w:w="400" w:type="dxa"/>
            <w:vAlign w:val="bottom"/>
          </w:tcPr>
          <w:p>
            <w:pPr>
              <w:spacing w:after="0"/>
              <w:rPr>
                <w:sz w:val="20"/>
                <w:szCs w:val="20"/>
                <w:color w:val="auto"/>
              </w:rPr>
            </w:pPr>
            <w:r>
              <w:rPr>
                <w:rFonts w:ascii="Arial" w:cs="Arial" w:eastAsia="Arial" w:hAnsi="Arial"/>
                <w:sz w:val="18"/>
                <w:szCs w:val="18"/>
                <w:color w:val="auto"/>
              </w:rPr>
              <w:t>44</w:t>
            </w:r>
          </w:p>
        </w:tc>
        <w:tc>
          <w:tcPr>
            <w:tcW w:w="8160" w:type="dxa"/>
            <w:vAlign w:val="bottom"/>
          </w:tcPr>
          <w:p>
            <w:pPr>
              <w:ind w:left="180"/>
              <w:spacing w:after="0"/>
              <w:rPr>
                <w:sz w:val="20"/>
                <w:szCs w:val="20"/>
                <w:color w:val="auto"/>
              </w:rPr>
            </w:pPr>
            <w:r>
              <w:rPr>
                <w:rFonts w:ascii="Arial" w:cs="Arial" w:eastAsia="Arial" w:hAnsi="Arial"/>
                <w:sz w:val="18"/>
                <w:szCs w:val="18"/>
                <w:color w:val="auto"/>
              </w:rPr>
              <w:t>Governing law</w:t>
            </w:r>
          </w:p>
        </w:tc>
        <w:tc>
          <w:tcPr>
            <w:tcW w:w="286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419"/>
        </w:trPr>
        <w:tc>
          <w:tcPr>
            <w:tcW w:w="400" w:type="dxa"/>
            <w:vAlign w:val="bottom"/>
          </w:tcPr>
          <w:p>
            <w:pPr>
              <w:spacing w:after="0"/>
              <w:rPr>
                <w:sz w:val="20"/>
                <w:szCs w:val="20"/>
                <w:color w:val="auto"/>
              </w:rPr>
            </w:pPr>
            <w:r>
              <w:rPr>
                <w:rFonts w:ascii="Arial" w:cs="Arial" w:eastAsia="Arial" w:hAnsi="Arial"/>
                <w:sz w:val="18"/>
                <w:szCs w:val="18"/>
                <w:color w:val="auto"/>
              </w:rPr>
              <w:t>45</w:t>
            </w:r>
          </w:p>
        </w:tc>
        <w:tc>
          <w:tcPr>
            <w:tcW w:w="8160" w:type="dxa"/>
            <w:vAlign w:val="bottom"/>
          </w:tcPr>
          <w:p>
            <w:pPr>
              <w:ind w:left="180"/>
              <w:spacing w:after="0"/>
              <w:rPr>
                <w:sz w:val="20"/>
                <w:szCs w:val="20"/>
                <w:color w:val="auto"/>
              </w:rPr>
            </w:pPr>
            <w:r>
              <w:rPr>
                <w:rFonts w:ascii="Arial" w:cs="Arial" w:eastAsia="Arial" w:hAnsi="Arial"/>
                <w:sz w:val="18"/>
                <w:szCs w:val="18"/>
                <w:color w:val="auto"/>
              </w:rPr>
              <w:t>Enforcement</w:t>
            </w:r>
          </w:p>
        </w:tc>
        <w:tc>
          <w:tcPr>
            <w:tcW w:w="286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405"/>
        </w:trPr>
        <w:tc>
          <w:tcPr>
            <w:tcW w:w="8560" w:type="dxa"/>
            <w:vAlign w:val="bottom"/>
            <w:gridSpan w:val="2"/>
          </w:tcPr>
          <w:p>
            <w:pPr>
              <w:spacing w:after="0"/>
              <w:rPr>
                <w:sz w:val="20"/>
                <w:szCs w:val="20"/>
                <w:color w:val="auto"/>
              </w:rPr>
            </w:pPr>
            <w:r>
              <w:rPr>
                <w:rFonts w:ascii="Arial" w:cs="Arial" w:eastAsia="Arial" w:hAnsi="Arial"/>
                <w:sz w:val="18"/>
                <w:szCs w:val="18"/>
                <w:color w:val="auto"/>
              </w:rPr>
              <w:t>Schedule 1 The original parties</w:t>
            </w:r>
          </w:p>
        </w:tc>
        <w:tc>
          <w:tcPr>
            <w:tcW w:w="286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405"/>
        </w:trPr>
        <w:tc>
          <w:tcPr>
            <w:tcW w:w="8560" w:type="dxa"/>
            <w:vAlign w:val="bottom"/>
            <w:gridSpan w:val="2"/>
          </w:tcPr>
          <w:p>
            <w:pPr>
              <w:spacing w:after="0"/>
              <w:rPr>
                <w:sz w:val="20"/>
                <w:szCs w:val="20"/>
                <w:color w:val="auto"/>
              </w:rPr>
            </w:pPr>
            <w:r>
              <w:rPr>
                <w:rFonts w:ascii="Arial" w:cs="Arial" w:eastAsia="Arial" w:hAnsi="Arial"/>
                <w:sz w:val="18"/>
                <w:szCs w:val="18"/>
                <w:color w:val="auto"/>
              </w:rPr>
              <w:t>Schedule 2 Ship information</w:t>
            </w:r>
          </w:p>
        </w:tc>
        <w:tc>
          <w:tcPr>
            <w:tcW w:w="286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405"/>
        </w:trPr>
        <w:tc>
          <w:tcPr>
            <w:tcW w:w="8560" w:type="dxa"/>
            <w:vAlign w:val="bottom"/>
            <w:gridSpan w:val="2"/>
          </w:tcPr>
          <w:p>
            <w:pPr>
              <w:spacing w:after="0"/>
              <w:rPr>
                <w:sz w:val="20"/>
                <w:szCs w:val="20"/>
                <w:color w:val="auto"/>
              </w:rPr>
            </w:pPr>
            <w:r>
              <w:rPr>
                <w:rFonts w:ascii="Arial" w:cs="Arial" w:eastAsia="Arial" w:hAnsi="Arial"/>
                <w:sz w:val="18"/>
                <w:szCs w:val="18"/>
                <w:color w:val="auto"/>
              </w:rPr>
              <w:t>Schedule 3 Conditions precedent</w:t>
            </w:r>
          </w:p>
        </w:tc>
        <w:tc>
          <w:tcPr>
            <w:tcW w:w="286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405"/>
        </w:trPr>
        <w:tc>
          <w:tcPr>
            <w:tcW w:w="8560" w:type="dxa"/>
            <w:vAlign w:val="bottom"/>
            <w:gridSpan w:val="2"/>
          </w:tcPr>
          <w:p>
            <w:pPr>
              <w:spacing w:after="0"/>
              <w:rPr>
                <w:sz w:val="20"/>
                <w:szCs w:val="20"/>
                <w:color w:val="auto"/>
              </w:rPr>
            </w:pPr>
            <w:r>
              <w:rPr>
                <w:rFonts w:ascii="Arial" w:cs="Arial" w:eastAsia="Arial" w:hAnsi="Arial"/>
                <w:sz w:val="18"/>
                <w:szCs w:val="18"/>
                <w:color w:val="auto"/>
              </w:rPr>
              <w:t>Schedule 4 Utilisation Request</w:t>
            </w:r>
          </w:p>
        </w:tc>
        <w:tc>
          <w:tcPr>
            <w:tcW w:w="286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405"/>
        </w:trPr>
        <w:tc>
          <w:tcPr>
            <w:tcW w:w="8560" w:type="dxa"/>
            <w:vAlign w:val="bottom"/>
            <w:gridSpan w:val="2"/>
          </w:tcPr>
          <w:p>
            <w:pPr>
              <w:spacing w:after="0"/>
              <w:rPr>
                <w:sz w:val="20"/>
                <w:szCs w:val="20"/>
                <w:color w:val="auto"/>
              </w:rPr>
            </w:pPr>
            <w:r>
              <w:rPr>
                <w:rFonts w:ascii="Arial" w:cs="Arial" w:eastAsia="Arial" w:hAnsi="Arial"/>
                <w:sz w:val="18"/>
                <w:szCs w:val="18"/>
                <w:color w:val="auto"/>
              </w:rPr>
              <w:t>Schedule 5 Selection Notice</w:t>
            </w:r>
          </w:p>
        </w:tc>
        <w:tc>
          <w:tcPr>
            <w:tcW w:w="286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405"/>
        </w:trPr>
        <w:tc>
          <w:tcPr>
            <w:tcW w:w="8560" w:type="dxa"/>
            <w:vAlign w:val="bottom"/>
            <w:gridSpan w:val="2"/>
          </w:tcPr>
          <w:p>
            <w:pPr>
              <w:spacing w:after="0"/>
              <w:rPr>
                <w:sz w:val="20"/>
                <w:szCs w:val="20"/>
                <w:color w:val="auto"/>
              </w:rPr>
            </w:pPr>
            <w:r>
              <w:rPr>
                <w:rFonts w:ascii="Arial" w:cs="Arial" w:eastAsia="Arial" w:hAnsi="Arial"/>
                <w:sz w:val="18"/>
                <w:szCs w:val="18"/>
                <w:color w:val="auto"/>
              </w:rPr>
              <w:t>Schedule 6 Form of Compliance Certificate</w:t>
            </w:r>
          </w:p>
        </w:tc>
        <w:tc>
          <w:tcPr>
            <w:tcW w:w="286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405"/>
        </w:trPr>
        <w:tc>
          <w:tcPr>
            <w:tcW w:w="8560" w:type="dxa"/>
            <w:vAlign w:val="bottom"/>
            <w:gridSpan w:val="2"/>
          </w:tcPr>
          <w:p>
            <w:pPr>
              <w:spacing w:after="0"/>
              <w:rPr>
                <w:sz w:val="20"/>
                <w:szCs w:val="20"/>
                <w:color w:val="auto"/>
              </w:rPr>
            </w:pPr>
            <w:r>
              <w:rPr>
                <w:rFonts w:ascii="Arial" w:cs="Arial" w:eastAsia="Arial" w:hAnsi="Arial"/>
                <w:sz w:val="18"/>
                <w:szCs w:val="18"/>
                <w:color w:val="auto"/>
              </w:rPr>
              <w:t>Schedule 7 Form of Transfer Certificate</w:t>
            </w:r>
          </w:p>
        </w:tc>
        <w:tc>
          <w:tcPr>
            <w:tcW w:w="286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405"/>
        </w:trPr>
        <w:tc>
          <w:tcPr>
            <w:tcW w:w="8560" w:type="dxa"/>
            <w:vAlign w:val="bottom"/>
            <w:gridSpan w:val="2"/>
          </w:tcPr>
          <w:p>
            <w:pPr>
              <w:spacing w:after="0"/>
              <w:rPr>
                <w:sz w:val="20"/>
                <w:szCs w:val="20"/>
                <w:color w:val="auto"/>
              </w:rPr>
            </w:pPr>
            <w:r>
              <w:rPr>
                <w:rFonts w:ascii="Arial" w:cs="Arial" w:eastAsia="Arial" w:hAnsi="Arial"/>
                <w:sz w:val="18"/>
                <w:szCs w:val="18"/>
                <w:color w:val="auto"/>
              </w:rPr>
              <w:t>Schedule 8 Forms of Notifiable Debt Purchase Transaction Notice</w:t>
            </w:r>
          </w:p>
        </w:tc>
        <w:tc>
          <w:tcPr>
            <w:tcW w:w="286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405"/>
        </w:trPr>
        <w:tc>
          <w:tcPr>
            <w:tcW w:w="8560" w:type="dxa"/>
            <w:vAlign w:val="bottom"/>
            <w:gridSpan w:val="2"/>
          </w:tcPr>
          <w:p>
            <w:pPr>
              <w:spacing w:after="0"/>
              <w:rPr>
                <w:sz w:val="20"/>
                <w:szCs w:val="20"/>
                <w:color w:val="auto"/>
              </w:rPr>
            </w:pPr>
            <w:r>
              <w:rPr>
                <w:rFonts w:ascii="Arial" w:cs="Arial" w:eastAsia="Arial" w:hAnsi="Arial"/>
                <w:sz w:val="18"/>
                <w:szCs w:val="18"/>
                <w:color w:val="auto"/>
              </w:rPr>
              <w:t>Schedule 9 Table of Repayment Instalments</w:t>
            </w:r>
          </w:p>
        </w:tc>
        <w:tc>
          <w:tcPr>
            <w:tcW w:w="286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64"/>
        </w:trPr>
        <w:tc>
          <w:tcPr>
            <w:tcW w:w="400" w:type="dxa"/>
            <w:vAlign w:val="bottom"/>
            <w:tcBorders>
              <w:bottom w:val="single" w:sz="8" w:color="C0C0C0"/>
            </w:tcBorders>
          </w:tcPr>
          <w:p>
            <w:pPr>
              <w:spacing w:after="0"/>
              <w:rPr>
                <w:sz w:val="22"/>
                <w:szCs w:val="22"/>
                <w:color w:val="auto"/>
              </w:rPr>
            </w:pPr>
          </w:p>
        </w:tc>
        <w:tc>
          <w:tcPr>
            <w:tcW w:w="8160" w:type="dxa"/>
            <w:vAlign w:val="bottom"/>
            <w:tcBorders>
              <w:bottom w:val="single" w:sz="8" w:color="C0C0C0"/>
            </w:tcBorders>
          </w:tcPr>
          <w:p>
            <w:pPr>
              <w:spacing w:after="0"/>
              <w:rPr>
                <w:sz w:val="22"/>
                <w:szCs w:val="22"/>
                <w:color w:val="auto"/>
              </w:rPr>
            </w:pPr>
          </w:p>
        </w:tc>
        <w:tc>
          <w:tcPr>
            <w:tcW w:w="2860" w:type="dxa"/>
            <w:vAlign w:val="bottom"/>
            <w:tcBorders>
              <w:bottom w:val="single" w:sz="8" w:color="C0C0C0"/>
            </w:tcBorders>
          </w:tcPr>
          <w:p>
            <w:pPr>
              <w:spacing w:after="0"/>
              <w:rPr>
                <w:sz w:val="22"/>
                <w:szCs w:val="22"/>
                <w:color w:val="auto"/>
              </w:rPr>
            </w:pPr>
          </w:p>
        </w:tc>
      </w:tr>
    </w:tbl>
    <w:p>
      <w:pPr>
        <w:sectPr>
          <w:pgSz w:w="11900" w:h="16838" w:orient="portrait"/>
          <w:cols w:equalWidth="0" w:num="1">
            <w:col w:w="11420"/>
          </w:cols>
          <w:pgMar w:left="240" w:top="422"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dated 19 July 2016, and made between:</w:t>
      </w:r>
    </w:p>
    <w:p>
      <w:pPr>
        <w:spacing w:after="0" w:line="198" w:lineRule="exact"/>
        <w:rPr>
          <w:sz w:val="20"/>
          <w:szCs w:val="20"/>
          <w:color w:val="auto"/>
        </w:rPr>
      </w:pPr>
    </w:p>
    <w:p>
      <w:pPr>
        <w:ind w:left="540" w:hanging="53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THE ENTITIES </w:t>
      </w:r>
      <w:r>
        <w:rPr>
          <w:rFonts w:ascii="Arial" w:cs="Arial" w:eastAsia="Arial" w:hAnsi="Arial"/>
          <w:sz w:val="18"/>
          <w:szCs w:val="18"/>
          <w:color w:val="auto"/>
        </w:rPr>
        <w:t>listed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as borrowers (the</w:t>
      </w:r>
      <w:r>
        <w:rPr>
          <w:rFonts w:ascii="Arial" w:cs="Arial" w:eastAsia="Arial" w:hAnsi="Arial"/>
          <w:sz w:val="18"/>
          <w:szCs w:val="18"/>
          <w:b w:val="1"/>
          <w:bCs w:val="1"/>
          <w:color w:val="auto"/>
        </w:rPr>
        <w:t xml:space="preserve"> Borrowers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GASLOG LTD. </w:t>
      </w:r>
      <w:r>
        <w:rPr>
          <w:rFonts w:ascii="Arial" w:cs="Arial" w:eastAsia="Arial" w:hAnsi="Arial"/>
          <w:sz w:val="18"/>
          <w:szCs w:val="18"/>
          <w:color w:val="auto"/>
        </w:rPr>
        <w:t>(the</w:t>
      </w:r>
      <w:r>
        <w:rPr>
          <w:rFonts w:ascii="Arial" w:cs="Arial" w:eastAsia="Arial" w:hAnsi="Arial"/>
          <w:sz w:val="18"/>
          <w:szCs w:val="18"/>
          <w:b w:val="1"/>
          <w:bCs w:val="1"/>
          <w:color w:val="auto"/>
        </w:rPr>
        <w:t xml:space="preserve"> Parent</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GASLOG CARRIERS LTD. </w:t>
      </w:r>
      <w:r>
        <w:rPr>
          <w:rFonts w:ascii="Arial" w:cs="Arial" w:eastAsia="Arial" w:hAnsi="Arial"/>
          <w:sz w:val="18"/>
          <w:szCs w:val="18"/>
          <w:color w:val="auto"/>
        </w:rPr>
        <w:t>(</w:t>
      </w:r>
      <w:r>
        <w:rPr>
          <w:rFonts w:ascii="Arial" w:cs="Arial" w:eastAsia="Arial" w:hAnsi="Arial"/>
          <w:sz w:val="18"/>
          <w:szCs w:val="18"/>
          <w:b w:val="1"/>
          <w:bCs w:val="1"/>
          <w:color w:val="auto"/>
        </w:rPr>
        <w:t>GasLog Carriers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left="540" w:hanging="532"/>
        <w:spacing w:after="0" w:line="247"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CITIGROUP GLOBAL MARKETS LIMITED</w:t>
      </w:r>
      <w:r>
        <w:rPr>
          <w:rFonts w:ascii="Arial" w:cs="Arial" w:eastAsia="Arial" w:hAnsi="Arial"/>
          <w:sz w:val="18"/>
          <w:szCs w:val="18"/>
          <w:color w:val="auto"/>
        </w:rPr>
        <w:t>,</w:t>
      </w:r>
      <w:r>
        <w:rPr>
          <w:rFonts w:ascii="Arial" w:cs="Arial" w:eastAsia="Arial" w:hAnsi="Arial"/>
          <w:sz w:val="18"/>
          <w:szCs w:val="18"/>
          <w:b w:val="1"/>
          <w:bCs w:val="1"/>
          <w:color w:val="auto"/>
        </w:rPr>
        <w:t xml:space="preserve"> CREDIT SUISSE AG</w:t>
      </w:r>
      <w:r>
        <w:rPr>
          <w:rFonts w:ascii="Arial" w:cs="Arial" w:eastAsia="Arial" w:hAnsi="Arial"/>
          <w:sz w:val="18"/>
          <w:szCs w:val="18"/>
          <w:color w:val="auto"/>
        </w:rPr>
        <w:t>,</w:t>
      </w:r>
      <w:r>
        <w:rPr>
          <w:rFonts w:ascii="Arial" w:cs="Arial" w:eastAsia="Arial" w:hAnsi="Arial"/>
          <w:sz w:val="18"/>
          <w:szCs w:val="18"/>
          <w:b w:val="1"/>
          <w:bCs w:val="1"/>
          <w:color w:val="auto"/>
        </w:rPr>
        <w:t xml:space="preserve"> NORDEA BANK AB</w:t>
      </w:r>
      <w:r>
        <w:rPr>
          <w:rFonts w:ascii="Arial" w:cs="Arial" w:eastAsia="Arial" w:hAnsi="Arial"/>
          <w:sz w:val="18"/>
          <w:szCs w:val="18"/>
          <w:color w:val="auto"/>
        </w:rPr>
        <w:t>,</w:t>
      </w:r>
      <w:r>
        <w:rPr>
          <w:rFonts w:ascii="Arial" w:cs="Arial" w:eastAsia="Arial" w:hAnsi="Arial"/>
          <w:sz w:val="18"/>
          <w:szCs w:val="18"/>
          <w:b w:val="1"/>
          <w:bCs w:val="1"/>
          <w:color w:val="auto"/>
        </w:rPr>
        <w:t xml:space="preserve"> LONDON BRANCH</w:t>
      </w:r>
      <w:r>
        <w:rPr>
          <w:rFonts w:ascii="Arial" w:cs="Arial" w:eastAsia="Arial" w:hAnsi="Arial"/>
          <w:sz w:val="18"/>
          <w:szCs w:val="18"/>
          <w:color w:val="auto"/>
        </w:rPr>
        <w:t>,</w:t>
      </w:r>
      <w:r>
        <w:rPr>
          <w:rFonts w:ascii="Arial" w:cs="Arial" w:eastAsia="Arial" w:hAnsi="Arial"/>
          <w:sz w:val="18"/>
          <w:szCs w:val="18"/>
          <w:b w:val="1"/>
          <w:bCs w:val="1"/>
          <w:color w:val="auto"/>
        </w:rPr>
        <w:t xml:space="preserve"> SKANDINAVISKA ENSKILDA BANKEN AB (publ), HSBC BANK plc</w:t>
      </w:r>
      <w:r>
        <w:rPr>
          <w:rFonts w:ascii="Arial" w:cs="Arial" w:eastAsia="Arial" w:hAnsi="Arial"/>
          <w:sz w:val="18"/>
          <w:szCs w:val="18"/>
          <w:color w:val="auto"/>
        </w:rPr>
        <w:t>,</w:t>
      </w:r>
      <w:r>
        <w:rPr>
          <w:rFonts w:ascii="Arial" w:cs="Arial" w:eastAsia="Arial" w:hAnsi="Arial"/>
          <w:sz w:val="18"/>
          <w:szCs w:val="18"/>
          <w:b w:val="1"/>
          <w:bCs w:val="1"/>
          <w:color w:val="auto"/>
        </w:rPr>
        <w:t xml:space="preserve"> ING BANK N.V., LONDON BRANCH</w:t>
      </w:r>
      <w:r>
        <w:rPr>
          <w:rFonts w:ascii="Arial" w:cs="Arial" w:eastAsia="Arial" w:hAnsi="Arial"/>
          <w:sz w:val="18"/>
          <w:szCs w:val="18"/>
          <w:color w:val="auto"/>
        </w:rPr>
        <w:t>,</w:t>
      </w:r>
      <w:r>
        <w:rPr>
          <w:rFonts w:ascii="Arial" w:cs="Arial" w:eastAsia="Arial" w:hAnsi="Arial"/>
          <w:sz w:val="18"/>
          <w:szCs w:val="18"/>
          <w:b w:val="1"/>
          <w:bCs w:val="1"/>
          <w:color w:val="auto"/>
        </w:rPr>
        <w:t xml:space="preserve"> DANMARKS SKIBSKREDIT A/S</w:t>
      </w:r>
      <w:r>
        <w:rPr>
          <w:rFonts w:ascii="Arial" w:cs="Arial" w:eastAsia="Arial" w:hAnsi="Arial"/>
          <w:sz w:val="18"/>
          <w:szCs w:val="18"/>
          <w:color w:val="auto"/>
        </w:rPr>
        <w:t>, and</w:t>
      </w:r>
      <w:r>
        <w:rPr>
          <w:rFonts w:ascii="Arial" w:cs="Arial" w:eastAsia="Arial" w:hAnsi="Arial"/>
          <w:sz w:val="18"/>
          <w:szCs w:val="18"/>
          <w:b w:val="1"/>
          <w:bCs w:val="1"/>
          <w:color w:val="auto"/>
        </w:rPr>
        <w:t xml:space="preserve"> THE KOREA DEVELOPMENT BANK </w:t>
      </w:r>
      <w:r>
        <w:rPr>
          <w:rFonts w:ascii="Arial" w:cs="Arial" w:eastAsia="Arial" w:hAnsi="Arial"/>
          <w:sz w:val="18"/>
          <w:szCs w:val="18"/>
          <w:color w:val="auto"/>
        </w:rPr>
        <w:t>as mandated lead arrangers and</w:t>
      </w:r>
      <w:r>
        <w:rPr>
          <w:rFonts w:ascii="Arial" w:cs="Arial" w:eastAsia="Arial" w:hAnsi="Arial"/>
          <w:sz w:val="18"/>
          <w:szCs w:val="18"/>
          <w:b w:val="1"/>
          <w:bCs w:val="1"/>
          <w:color w:val="auto"/>
        </w:rPr>
        <w:t xml:space="preserve"> DVB BANK AMERICA N.V. </w:t>
      </w:r>
      <w:r>
        <w:rPr>
          <w:rFonts w:ascii="Arial" w:cs="Arial" w:eastAsia="Arial" w:hAnsi="Arial"/>
          <w:sz w:val="18"/>
          <w:szCs w:val="18"/>
          <w:color w:val="auto"/>
        </w:rPr>
        <w:t>as arranger (whether acting individually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together, the </w:t>
      </w:r>
      <w:r>
        <w:rPr>
          <w:rFonts w:ascii="Arial" w:cs="Arial" w:eastAsia="Arial" w:hAnsi="Arial"/>
          <w:sz w:val="18"/>
          <w:szCs w:val="18"/>
          <w:b w:val="1"/>
          <w:bCs w:val="1"/>
          <w:color w:val="auto"/>
        </w:rPr>
        <w:t>Arrangers</w:t>
      </w:r>
      <w:r>
        <w:rPr>
          <w:rFonts w:ascii="Arial" w:cs="Arial" w:eastAsia="Arial" w:hAnsi="Arial"/>
          <w:sz w:val="18"/>
          <w:szCs w:val="18"/>
          <w:color w:val="auto"/>
        </w:rPr>
        <w:t>);</w:t>
      </w:r>
    </w:p>
    <w:p>
      <w:pPr>
        <w:spacing w:after="0" w:line="160" w:lineRule="exact"/>
        <w:rPr>
          <w:rFonts w:ascii="Arial" w:cs="Arial" w:eastAsia="Arial" w:hAnsi="Arial"/>
          <w:sz w:val="18"/>
          <w:szCs w:val="18"/>
          <w:color w:val="auto"/>
        </w:rPr>
      </w:pPr>
    </w:p>
    <w:p>
      <w:pPr>
        <w:ind w:left="540" w:hanging="53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listed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as lenders (the</w:t>
      </w:r>
      <w:r>
        <w:rPr>
          <w:rFonts w:ascii="Arial" w:cs="Arial" w:eastAsia="Arial" w:hAnsi="Arial"/>
          <w:sz w:val="18"/>
          <w:szCs w:val="18"/>
          <w:b w:val="1"/>
          <w:bCs w:val="1"/>
          <w:color w:val="auto"/>
        </w:rPr>
        <w:t xml:space="preserve"> Original Lenders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CITIGROUP GLOBAL MARKETS LIMITED </w:t>
      </w:r>
      <w:r>
        <w:rPr>
          <w:rFonts w:ascii="Arial" w:cs="Arial" w:eastAsia="Arial" w:hAnsi="Arial"/>
          <w:sz w:val="18"/>
          <w:szCs w:val="18"/>
          <w:color w:val="auto"/>
        </w:rPr>
        <w:t>as global co-ordinator of the Finance Parties (the</w:t>
      </w:r>
      <w:r>
        <w:rPr>
          <w:rFonts w:ascii="Arial" w:cs="Arial" w:eastAsia="Arial" w:hAnsi="Arial"/>
          <w:sz w:val="18"/>
          <w:szCs w:val="18"/>
          <w:b w:val="1"/>
          <w:bCs w:val="1"/>
          <w:color w:val="auto"/>
        </w:rPr>
        <w:t xml:space="preserve"> Global Co-ordinator</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left="540" w:hanging="532"/>
        <w:spacing w:after="0" w:line="253"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CITIGROUP GLOBAL MARKETS LIMITED</w:t>
      </w:r>
      <w:r>
        <w:rPr>
          <w:rFonts w:ascii="Arial" w:cs="Arial" w:eastAsia="Arial" w:hAnsi="Arial"/>
          <w:sz w:val="18"/>
          <w:szCs w:val="18"/>
          <w:color w:val="auto"/>
        </w:rPr>
        <w:t>,</w:t>
      </w:r>
      <w:r>
        <w:rPr>
          <w:rFonts w:ascii="Arial" w:cs="Arial" w:eastAsia="Arial" w:hAnsi="Arial"/>
          <w:sz w:val="18"/>
          <w:szCs w:val="18"/>
          <w:b w:val="1"/>
          <w:bCs w:val="1"/>
          <w:color w:val="auto"/>
        </w:rPr>
        <w:t xml:space="preserve"> CREDIT SUISSE AG</w:t>
      </w:r>
      <w:r>
        <w:rPr>
          <w:rFonts w:ascii="Arial" w:cs="Arial" w:eastAsia="Arial" w:hAnsi="Arial"/>
          <w:sz w:val="18"/>
          <w:szCs w:val="18"/>
          <w:color w:val="auto"/>
        </w:rPr>
        <w:t>,</w:t>
      </w:r>
      <w:r>
        <w:rPr>
          <w:rFonts w:ascii="Arial" w:cs="Arial" w:eastAsia="Arial" w:hAnsi="Arial"/>
          <w:sz w:val="18"/>
          <w:szCs w:val="18"/>
          <w:b w:val="1"/>
          <w:bCs w:val="1"/>
          <w:color w:val="auto"/>
        </w:rPr>
        <w:t xml:space="preserve"> NORDEA BANK AB, LONDON BRANCH</w:t>
      </w:r>
      <w:r>
        <w:rPr>
          <w:rFonts w:ascii="Arial" w:cs="Arial" w:eastAsia="Arial" w:hAnsi="Arial"/>
          <w:sz w:val="18"/>
          <w:szCs w:val="18"/>
          <w:color w:val="auto"/>
        </w:rPr>
        <w:t>,</w:t>
      </w:r>
      <w:r>
        <w:rPr>
          <w:rFonts w:ascii="Arial" w:cs="Arial" w:eastAsia="Arial" w:hAnsi="Arial"/>
          <w:sz w:val="18"/>
          <w:szCs w:val="18"/>
          <w:b w:val="1"/>
          <w:bCs w:val="1"/>
          <w:color w:val="auto"/>
        </w:rPr>
        <w:t xml:space="preserve"> SKANDINAVISKA ENSKILDA BANKEN AB (publ)</w:t>
      </w:r>
      <w:r>
        <w:rPr>
          <w:rFonts w:ascii="Arial" w:cs="Arial" w:eastAsia="Arial" w:hAnsi="Arial"/>
          <w:sz w:val="18"/>
          <w:szCs w:val="18"/>
          <w:color w:val="auto"/>
        </w:rPr>
        <w:t>,</w:t>
      </w:r>
      <w:r>
        <w:rPr>
          <w:rFonts w:ascii="Arial" w:cs="Arial" w:eastAsia="Arial" w:hAnsi="Arial"/>
          <w:sz w:val="18"/>
          <w:szCs w:val="18"/>
          <w:b w:val="1"/>
          <w:bCs w:val="1"/>
          <w:color w:val="auto"/>
        </w:rPr>
        <w:t xml:space="preserve"> HSBC BANK plc</w:t>
      </w:r>
      <w:r>
        <w:rPr>
          <w:rFonts w:ascii="Arial" w:cs="Arial" w:eastAsia="Arial" w:hAnsi="Arial"/>
          <w:sz w:val="18"/>
          <w:szCs w:val="18"/>
          <w:color w:val="auto"/>
        </w:rPr>
        <w:t>, and</w:t>
      </w:r>
      <w:r>
        <w:rPr>
          <w:rFonts w:ascii="Arial" w:cs="Arial" w:eastAsia="Arial" w:hAnsi="Arial"/>
          <w:sz w:val="18"/>
          <w:szCs w:val="18"/>
          <w:b w:val="1"/>
          <w:bCs w:val="1"/>
          <w:color w:val="auto"/>
        </w:rPr>
        <w:t xml:space="preserve"> ING BANK N.V., LONDON BRANCH </w:t>
      </w:r>
      <w:r>
        <w:rPr>
          <w:rFonts w:ascii="Arial" w:cs="Arial" w:eastAsia="Arial" w:hAnsi="Arial"/>
          <w:sz w:val="18"/>
          <w:szCs w:val="18"/>
          <w:color w:val="auto"/>
        </w:rPr>
        <w:t>as bookrunners (whether acting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individually or together, the </w:t>
      </w:r>
      <w:r>
        <w:rPr>
          <w:rFonts w:ascii="Arial" w:cs="Arial" w:eastAsia="Arial" w:hAnsi="Arial"/>
          <w:sz w:val="18"/>
          <w:szCs w:val="18"/>
          <w:b w:val="1"/>
          <w:bCs w:val="1"/>
          <w:color w:val="auto"/>
        </w:rPr>
        <w:t>Bookrunner</w:t>
      </w:r>
      <w:r>
        <w:rPr>
          <w:rFonts w:ascii="Arial" w:cs="Arial" w:eastAsia="Arial" w:hAnsi="Arial"/>
          <w:sz w:val="18"/>
          <w:szCs w:val="18"/>
          <w:color w:val="auto"/>
        </w:rPr>
        <w:t>);</w:t>
      </w:r>
    </w:p>
    <w:p>
      <w:pPr>
        <w:spacing w:after="0" w:line="155" w:lineRule="exact"/>
        <w:rPr>
          <w:rFonts w:ascii="Arial" w:cs="Arial" w:eastAsia="Arial" w:hAnsi="Arial"/>
          <w:sz w:val="18"/>
          <w:szCs w:val="18"/>
          <w:color w:val="auto"/>
        </w:rPr>
      </w:pPr>
    </w:p>
    <w:p>
      <w:pPr>
        <w:ind w:left="540" w:hanging="53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NORDEA BANK AB, LONDON BRANCH </w:t>
      </w:r>
      <w:r>
        <w:rPr>
          <w:rFonts w:ascii="Arial" w:cs="Arial" w:eastAsia="Arial" w:hAnsi="Arial"/>
          <w:sz w:val="18"/>
          <w:szCs w:val="18"/>
          <w:color w:val="auto"/>
        </w:rPr>
        <w:t>as Agent of the other Finance Parties (the</w:t>
      </w:r>
      <w:r>
        <w:rPr>
          <w:rFonts w:ascii="Arial" w:cs="Arial" w:eastAsia="Arial" w:hAnsi="Arial"/>
          <w:sz w:val="18"/>
          <w:szCs w:val="18"/>
          <w:b w:val="1"/>
          <w:bCs w:val="1"/>
          <w:color w:val="auto"/>
        </w:rPr>
        <w:t xml:space="preserve"> Agent</w:t>
      </w:r>
      <w:r>
        <w:rPr>
          <w:rFonts w:ascii="Arial" w:cs="Arial" w:eastAsia="Arial" w:hAnsi="Arial"/>
          <w:sz w:val="18"/>
          <w:szCs w:val="18"/>
          <w:color w:val="auto"/>
        </w:rPr>
        <w:t>); and</w:t>
      </w:r>
    </w:p>
    <w:p>
      <w:pPr>
        <w:spacing w:after="0" w:line="198" w:lineRule="exact"/>
        <w:rPr>
          <w:rFonts w:ascii="Arial" w:cs="Arial" w:eastAsia="Arial" w:hAnsi="Arial"/>
          <w:sz w:val="18"/>
          <w:szCs w:val="18"/>
          <w:color w:val="auto"/>
        </w:rPr>
      </w:pPr>
    </w:p>
    <w:p>
      <w:pPr>
        <w:ind w:left="540" w:hanging="532"/>
        <w:spacing w:after="0" w:line="271"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NORDEA BANK AB, LONDON BRANCH </w:t>
      </w:r>
      <w:r>
        <w:rPr>
          <w:rFonts w:ascii="Arial" w:cs="Arial" w:eastAsia="Arial" w:hAnsi="Arial"/>
          <w:sz w:val="18"/>
          <w:szCs w:val="18"/>
          <w:color w:val="auto"/>
        </w:rPr>
        <w:t>as security agent and trustee for and on behalf of the other Finance Parties (the</w:t>
      </w:r>
      <w:r>
        <w:rPr>
          <w:rFonts w:ascii="Arial" w:cs="Arial" w:eastAsia="Arial" w:hAnsi="Arial"/>
          <w:sz w:val="18"/>
          <w:szCs w:val="18"/>
          <w:b w:val="1"/>
          <w:bCs w:val="1"/>
          <w:color w:val="auto"/>
        </w:rPr>
        <w:t xml:space="preserve"> Security Agent</w:t>
      </w:r>
      <w:r>
        <w:rPr>
          <w:rFonts w:ascii="Arial" w:cs="Arial" w:eastAsia="Arial" w:hAnsi="Arial"/>
          <w:sz w:val="18"/>
          <w:szCs w:val="18"/>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198" w:lineRule="exact"/>
        <w:rPr>
          <w:sz w:val="20"/>
          <w:szCs w:val="20"/>
          <w:color w:val="auto"/>
        </w:rPr>
      </w:pPr>
    </w:p>
    <w:p>
      <w:pPr>
        <w:ind w:left="540" w:hanging="532"/>
        <w:spacing w:after="0"/>
        <w:tabs>
          <w:tab w:leader="none" w:pos="5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23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w:t>
        <w:tab/>
        <w:t>Definitions</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this Agreement and (unless otherwise defined in the relevant Finance Document) the other Finance Documents:</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Acceptable Bank </w:t>
      </w:r>
      <w:r>
        <w:rPr>
          <w:rFonts w:ascii="Arial" w:cs="Arial" w:eastAsia="Arial" w:hAnsi="Arial"/>
          <w:sz w:val="18"/>
          <w:szCs w:val="18"/>
          <w:color w:val="auto"/>
        </w:rPr>
        <w:t>means:</w:t>
      </w:r>
    </w:p>
    <w:p>
      <w:pPr>
        <w:spacing w:after="0" w:line="220" w:lineRule="exact"/>
        <w:rPr>
          <w:sz w:val="20"/>
          <w:szCs w:val="20"/>
          <w:color w:val="auto"/>
        </w:rPr>
      </w:pPr>
    </w:p>
    <w:p>
      <w:pPr>
        <w:jc w:val="both"/>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bank or financial institution which has a rating for its long-term unsecured and non credit-enhanced debt obligations of “A-” or higher by Standard &amp; Poor’s Rating Services or Fitch Ratings Ltd or “Baa1” or higher by Moody’s Investor Services Limited or a comparable rating from another internationally recognised credit rating agency; or</w:t>
      </w:r>
    </w:p>
    <w:p>
      <w:pPr>
        <w:spacing w:after="0" w:line="18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bank or financial institution approved by the Majority Lenders,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and which is approved by the Borrowers.</w:t>
      </w:r>
    </w:p>
    <w:p>
      <w:pPr>
        <w:spacing w:after="0" w:line="176" w:lineRule="exact"/>
        <w:rPr>
          <w:sz w:val="20"/>
          <w:szCs w:val="20"/>
          <w:color w:val="auto"/>
        </w:rPr>
      </w:pPr>
    </w:p>
    <w:p>
      <w:pPr>
        <w:ind w:left="540"/>
        <w:spacing w:after="0" w:line="271" w:lineRule="auto"/>
        <w:rPr>
          <w:sz w:val="20"/>
          <w:szCs w:val="20"/>
          <w:color w:val="auto"/>
        </w:rPr>
      </w:pPr>
      <w:r>
        <w:rPr>
          <w:rFonts w:ascii="Arial" w:cs="Arial" w:eastAsia="Arial" w:hAnsi="Arial"/>
          <w:sz w:val="18"/>
          <w:szCs w:val="18"/>
          <w:b w:val="1"/>
          <w:bCs w:val="1"/>
          <w:color w:val="auto"/>
        </w:rPr>
        <w:t xml:space="preserve">Account </w:t>
      </w:r>
      <w:r>
        <w:rPr>
          <w:rFonts w:ascii="Arial" w:cs="Arial" w:eastAsia="Arial" w:hAnsi="Arial"/>
          <w:sz w:val="18"/>
          <w:szCs w:val="18"/>
          <w:color w:val="auto"/>
        </w:rPr>
        <w:t>means any bank account, deposit or certificate of deposit opened, made or established in accordance with clause 27 (Bank</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140" w:lineRule="exact"/>
        <w:rPr>
          <w:sz w:val="20"/>
          <w:szCs w:val="20"/>
          <w:color w:val="auto"/>
        </w:rPr>
      </w:pPr>
    </w:p>
    <w:p>
      <w:pPr>
        <w:jc w:val="both"/>
        <w:ind w:left="540"/>
        <w:spacing w:after="0" w:line="216" w:lineRule="auto"/>
        <w:rPr>
          <w:sz w:val="20"/>
          <w:szCs w:val="20"/>
          <w:color w:val="auto"/>
        </w:rPr>
      </w:pPr>
      <w:r>
        <w:rPr>
          <w:rFonts w:ascii="Arial" w:cs="Arial" w:eastAsia="Arial" w:hAnsi="Arial"/>
          <w:sz w:val="18"/>
          <w:szCs w:val="18"/>
          <w:b w:val="1"/>
          <w:bCs w:val="1"/>
          <w:color w:val="auto"/>
        </w:rPr>
        <w:t xml:space="preserve">Account Bank </w:t>
      </w:r>
      <w:r>
        <w:rPr>
          <w:rFonts w:ascii="Arial" w:cs="Arial" w:eastAsia="Arial" w:hAnsi="Arial"/>
          <w:sz w:val="18"/>
          <w:szCs w:val="18"/>
          <w:color w:val="auto"/>
        </w:rPr>
        <w:t>means, in relation to any Account and at the Borrowers’ election, Nordea Bank AB, London Branch, acting through it</w:t>
      </w:r>
      <w:r>
        <w:rPr>
          <w:rFonts w:ascii="Arial" w:cs="Arial" w:eastAsia="Arial" w:hAnsi="Arial"/>
          <w:sz w:val="18"/>
          <w:szCs w:val="18"/>
          <w:b w:val="1"/>
          <w:bCs w:val="1"/>
          <w:color w:val="auto"/>
        </w:rPr>
        <w:t xml:space="preserve"> </w:t>
      </w:r>
      <w:r>
        <w:rPr>
          <w:rFonts w:ascii="Arial" w:cs="Arial" w:eastAsia="Arial" w:hAnsi="Arial"/>
          <w:sz w:val="18"/>
          <w:szCs w:val="18"/>
          <w:color w:val="auto"/>
        </w:rPr>
        <w:t>office at 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Aldermanbury Square, London EC2V 7AZ, England (or any of its Affiliates) or Citibank, N.A., London Branch, acting through its office at Citigroup Centre, 33 Canada Square, London E14 5LB, England (or any of its Affiliates) 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otherwise another bank or financial institution approved by the Majority Lenders at the request of the Borrowers.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Account Holder(s) </w:t>
      </w:r>
      <w:r>
        <w:rPr>
          <w:rFonts w:ascii="Arial" w:cs="Arial" w:eastAsia="Arial" w:hAnsi="Arial"/>
          <w:sz w:val="18"/>
          <w:szCs w:val="18"/>
          <w:color w:val="auto"/>
        </w:rPr>
        <w:t>means, in relation to any Account, the Obligor(s) in whose name(s) that Account is held.</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Account Security </w:t>
      </w:r>
      <w:r>
        <w:rPr>
          <w:rFonts w:ascii="Arial" w:cs="Arial" w:eastAsia="Arial" w:hAnsi="Arial"/>
          <w:sz w:val="18"/>
          <w:szCs w:val="18"/>
          <w:color w:val="auto"/>
        </w:rPr>
        <w:t>means, in relation to an Account, a deed or other instrument executed by the relevant Account Holder(s) in favour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Security Agent and/or any other Finance Parties in an agreed form conferring a Security Interest over that Account.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Accounting Reference Date </w:t>
      </w:r>
      <w:r>
        <w:rPr>
          <w:rFonts w:ascii="Arial" w:cs="Arial" w:eastAsia="Arial" w:hAnsi="Arial"/>
          <w:sz w:val="18"/>
          <w:szCs w:val="18"/>
          <w:color w:val="auto"/>
        </w:rPr>
        <w:t>means 31 December or such other date as may be approved by the Majority Lenders.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in relation to any person, a Subsidiary of that person or a Holding Company of that person or any other Subsidiary of</w:t>
      </w:r>
      <w:r>
        <w:rPr>
          <w:rFonts w:ascii="Arial" w:cs="Arial" w:eastAsia="Arial" w:hAnsi="Arial"/>
          <w:sz w:val="18"/>
          <w:szCs w:val="18"/>
          <w:b w:val="1"/>
          <w:bCs w:val="1"/>
          <w:color w:val="auto"/>
        </w:rPr>
        <w:t xml:space="preserve"> </w:t>
      </w:r>
      <w:r>
        <w:rPr>
          <w:rFonts w:ascii="Arial" w:cs="Arial" w:eastAsia="Arial" w:hAnsi="Arial"/>
          <w:sz w:val="18"/>
          <w:szCs w:val="18"/>
          <w:color w:val="auto"/>
        </w:rPr>
        <w:t>that Holding Company.</w:t>
      </w:r>
    </w:p>
    <w:p>
      <w:pPr>
        <w:spacing w:after="0" w:line="14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 xml:space="preserve">Agent </w:t>
      </w:r>
      <w:r>
        <w:rPr>
          <w:rFonts w:ascii="Arial" w:cs="Arial" w:eastAsia="Arial" w:hAnsi="Arial"/>
          <w:sz w:val="18"/>
          <w:szCs w:val="18"/>
          <w:color w:val="auto"/>
        </w:rPr>
        <w:t>includes any person who may be appointed as agent for the other Finance Parties under clause 32.12 (</w:t>
      </w:r>
      <w:r>
        <w:rPr>
          <w:rFonts w:ascii="Arial" w:cs="Arial" w:eastAsia="Arial" w:hAnsi="Arial"/>
          <w:sz w:val="18"/>
          <w:szCs w:val="18"/>
          <w:i w:val="1"/>
          <w:iCs w:val="1"/>
          <w:color w:val="auto"/>
        </w:rPr>
        <w:t>Resignation of the Agent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or any other provision of this Agreement.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Annual Financial Statements </w:t>
      </w:r>
      <w:r>
        <w:rPr>
          <w:rFonts w:ascii="Arial" w:cs="Arial" w:eastAsia="Arial" w:hAnsi="Arial"/>
          <w:sz w:val="18"/>
          <w:szCs w:val="18"/>
          <w:color w:val="auto"/>
        </w:rPr>
        <w:t>has the meaning given to it in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Approved Brokers </w:t>
      </w:r>
      <w:r>
        <w:rPr>
          <w:rFonts w:ascii="Arial" w:cs="Arial" w:eastAsia="Arial" w:hAnsi="Arial"/>
          <w:sz w:val="18"/>
          <w:szCs w:val="18"/>
          <w:color w:val="auto"/>
        </w:rPr>
        <w:t>means each of Affinity LNG LLP, Clarksons Platou Securities AS, Braemar Seascope Limited, Fearnleys AS,</w:t>
      </w:r>
      <w:r>
        <w:rPr>
          <w:rFonts w:ascii="Arial" w:cs="Arial" w:eastAsia="Arial" w:hAnsi="Arial"/>
          <w:sz w:val="18"/>
          <w:szCs w:val="18"/>
          <w:b w:val="1"/>
          <w:bCs w:val="1"/>
          <w:color w:val="auto"/>
        </w:rPr>
        <w:t xml:space="preserve"> </w:t>
      </w:r>
      <w:r>
        <w:rPr>
          <w:rFonts w:ascii="Arial" w:cs="Arial" w:eastAsia="Arial" w:hAnsi="Arial"/>
          <w:sz w:val="18"/>
          <w:szCs w:val="18"/>
          <w:color w:val="auto"/>
        </w:rPr>
        <w:t>Simpson, Spence &amp; Young Ltd and Poten &amp; Partners (London) or any other independent firm of shipbrokers agreed in writing from time to time between the Borrowers and the Agent (acting on the instructions of the Majority Lenders).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Approved Exchange </w:t>
      </w:r>
      <w:r>
        <w:rPr>
          <w:rFonts w:ascii="Arial" w:cs="Arial" w:eastAsia="Arial" w:hAnsi="Arial"/>
          <w:sz w:val="18"/>
          <w:szCs w:val="18"/>
          <w:color w:val="auto"/>
        </w:rPr>
        <w:t>means NYSE or NASDAQ or any other reputable stock exchange agreed by the Parent and the Majority Lenders.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Approved Flag State </w:t>
      </w:r>
      <w:r>
        <w:rPr>
          <w:rFonts w:ascii="Arial" w:cs="Arial" w:eastAsia="Arial" w:hAnsi="Arial"/>
          <w:sz w:val="18"/>
          <w:szCs w:val="18"/>
          <w:color w:val="auto"/>
        </w:rPr>
        <w:t>means each of Bermuda, Cayman Islands, Hellenic Republic, Hong Kong, Marshall Islands, Singapore or the</w:t>
      </w:r>
      <w:r>
        <w:rPr>
          <w:rFonts w:ascii="Arial" w:cs="Arial" w:eastAsia="Arial" w:hAnsi="Arial"/>
          <w:sz w:val="18"/>
          <w:szCs w:val="18"/>
          <w:b w:val="1"/>
          <w:bCs w:val="1"/>
          <w:color w:val="auto"/>
        </w:rPr>
        <w:t xml:space="preserve"> </w:t>
      </w:r>
      <w:r>
        <w:rPr>
          <w:rFonts w:ascii="Arial" w:cs="Arial" w:eastAsia="Arial" w:hAnsi="Arial"/>
          <w:sz w:val="18"/>
          <w:szCs w:val="18"/>
          <w:color w:val="auto"/>
        </w:rPr>
        <w:t>United Kingdom.</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Auditors </w:t>
      </w:r>
      <w:r>
        <w:rPr>
          <w:rFonts w:ascii="Arial" w:cs="Arial" w:eastAsia="Arial" w:hAnsi="Arial"/>
          <w:sz w:val="18"/>
          <w:szCs w:val="18"/>
          <w:color w:val="auto"/>
        </w:rPr>
        <w:t>means one of PricewaterhouseCoopers, Ernst &amp; Young, KPMG or Deloitte &amp; Touche or another firm proposed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and approved by the Majority Lenders from time to time (provided that if the approval of Auditors as set out in this definition becomes contrary to any applicable law, directive or regulation, and the Majority Lenders so require, the Obligors agree that they will make such amendment to this definition as will be agreed between the Borrower and the Majority Lenders so as to ensure compliance with such law, directive or regulation).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Available Facility </w:t>
      </w:r>
      <w:r>
        <w:rPr>
          <w:rFonts w:ascii="Arial" w:cs="Arial" w:eastAsia="Arial" w:hAnsi="Arial"/>
          <w:sz w:val="18"/>
          <w:szCs w:val="18"/>
          <w:color w:val="auto"/>
        </w:rPr>
        <w:t>means the Available Term Loan Facility and the Available Revolving Loan Facility.</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Available Revolving Loan Facility </w:t>
      </w:r>
      <w:r>
        <w:rPr>
          <w:rFonts w:ascii="Arial" w:cs="Arial" w:eastAsia="Arial" w:hAnsi="Arial"/>
          <w:sz w:val="18"/>
          <w:szCs w:val="18"/>
          <w:color w:val="auto"/>
        </w:rPr>
        <w:t>means, at any relevant time, such part of the Total Revolving Loan Commitments (drawn and</w:t>
      </w:r>
      <w:r>
        <w:rPr>
          <w:rFonts w:ascii="Arial" w:cs="Arial" w:eastAsia="Arial" w:hAnsi="Arial"/>
          <w:sz w:val="18"/>
          <w:szCs w:val="18"/>
          <w:b w:val="1"/>
          <w:bCs w:val="1"/>
          <w:color w:val="auto"/>
        </w:rPr>
        <w:t xml:space="preserve"> </w:t>
      </w:r>
      <w:r>
        <w:rPr>
          <w:rFonts w:ascii="Arial" w:cs="Arial" w:eastAsia="Arial" w:hAnsi="Arial"/>
          <w:sz w:val="18"/>
          <w:szCs w:val="18"/>
          <w:color w:val="auto"/>
        </w:rPr>
        <w:t>undrawn) which is available for borrowing under this Agreement at such time in accordance with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 to the extent that such part of the Total Revolving Loan Commitments is not cancelled or reduced under this Agreement.</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Available Term Loan Facility </w:t>
      </w:r>
      <w:r>
        <w:rPr>
          <w:rFonts w:ascii="Arial" w:cs="Arial" w:eastAsia="Arial" w:hAnsi="Arial"/>
          <w:sz w:val="18"/>
          <w:szCs w:val="18"/>
          <w:color w:val="auto"/>
        </w:rPr>
        <w:t>means, at any relevant time, such part of the Total Term Loan Commitments (drawn and undrawn) which</w:t>
      </w:r>
      <w:r>
        <w:rPr>
          <w:rFonts w:ascii="Arial" w:cs="Arial" w:eastAsia="Arial" w:hAnsi="Arial"/>
          <w:sz w:val="18"/>
          <w:szCs w:val="18"/>
          <w:b w:val="1"/>
          <w:bCs w:val="1"/>
          <w:color w:val="auto"/>
        </w:rPr>
        <w:t xml:space="preserve"> </w:t>
      </w:r>
      <w:r>
        <w:rPr>
          <w:rFonts w:ascii="Arial" w:cs="Arial" w:eastAsia="Arial" w:hAnsi="Arial"/>
          <w:sz w:val="18"/>
          <w:szCs w:val="18"/>
          <w:color w:val="auto"/>
        </w:rPr>
        <w:t>is available for borrowing under this Agreement at such time in accordance with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 to the extent that such part of the Total Term Loan Commitments is not cancelled or reduced under this Agreement.</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Basel II Accord </w:t>
      </w:r>
      <w:r>
        <w:rPr>
          <w:rFonts w:ascii="Arial" w:cs="Arial" w:eastAsia="Arial" w:hAnsi="Arial"/>
          <w:sz w:val="18"/>
          <w:szCs w:val="18"/>
          <w:color w:val="auto"/>
        </w:rPr>
        <w:t>means the “International Convergence of Capital Measurement and Capital Standards, a Revised Framework”</w:t>
      </w:r>
      <w:r>
        <w:rPr>
          <w:rFonts w:ascii="Arial" w:cs="Arial" w:eastAsia="Arial" w:hAnsi="Arial"/>
          <w:sz w:val="18"/>
          <w:szCs w:val="18"/>
          <w:b w:val="1"/>
          <w:bCs w:val="1"/>
          <w:color w:val="auto"/>
        </w:rPr>
        <w:t xml:space="preserve"> </w:t>
      </w:r>
      <w:r>
        <w:rPr>
          <w:rFonts w:ascii="Arial" w:cs="Arial" w:eastAsia="Arial" w:hAnsi="Arial"/>
          <w:sz w:val="18"/>
          <w:szCs w:val="18"/>
          <w:color w:val="auto"/>
        </w:rPr>
        <w:t>published by the Basel Committee on Banking Supervision in June 2004 as updated prior to, and in the form existing on, the date of this Agreement, excluding any amendment thereto arising out of the Basel III Accord.</w:t>
      </w:r>
    </w:p>
    <w:p>
      <w:pPr>
        <w:spacing w:after="0" w:line="16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135255</wp:posOffset>
            </wp:positionV>
            <wp:extent cx="72466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80"/>
          </w:cols>
          <w:pgMar w:left="780" w:top="422" w:right="239" w:bottom="1440" w:gutter="0" w:footer="0" w:header="0"/>
        </w:sectPr>
      </w:pPr>
    </w:p>
    <w:bookmarkStart w:id="54" w:name="page55"/>
    <w:bookmarkEnd w:id="54"/>
    <w:p>
      <w:pPr>
        <w:jc w:val="both"/>
        <w:ind w:left="40"/>
        <w:spacing w:after="0" w:line="253" w:lineRule="auto"/>
        <w:rPr>
          <w:sz w:val="20"/>
          <w:szCs w:val="20"/>
          <w:color w:val="auto"/>
        </w:rPr>
      </w:pPr>
      <w:r>
        <w:rPr>
          <w:rFonts w:ascii="Arial" w:cs="Arial" w:eastAsia="Arial" w:hAnsi="Arial"/>
          <w:sz w:val="18"/>
          <w:szCs w:val="18"/>
          <w:b w:val="1"/>
          <w:bCs w:val="1"/>
          <w:color w:val="auto"/>
        </w:rPr>
        <w:t xml:space="preserve">Basel II Approach </w:t>
      </w:r>
      <w:r>
        <w:rPr>
          <w:rFonts w:ascii="Arial" w:cs="Arial" w:eastAsia="Arial" w:hAnsi="Arial"/>
          <w:sz w:val="18"/>
          <w:szCs w:val="18"/>
          <w:color w:val="auto"/>
        </w:rPr>
        <w:t>means, in relation to any Finance Party, either the Standardised Approach or the relevant Internal Ratings Based</w:t>
      </w:r>
      <w:r>
        <w:rPr>
          <w:rFonts w:ascii="Arial" w:cs="Arial" w:eastAsia="Arial" w:hAnsi="Arial"/>
          <w:sz w:val="18"/>
          <w:szCs w:val="18"/>
          <w:b w:val="1"/>
          <w:bCs w:val="1"/>
          <w:color w:val="auto"/>
        </w:rPr>
        <w:t xml:space="preserve"> </w:t>
      </w:r>
      <w:r>
        <w:rPr>
          <w:rFonts w:ascii="Arial" w:cs="Arial" w:eastAsia="Arial" w:hAnsi="Arial"/>
          <w:sz w:val="18"/>
          <w:szCs w:val="18"/>
          <w:color w:val="auto"/>
        </w:rPr>
        <w:t>Approach (each as defined in the Basel II Regulations applicable to such Finance Party) adopted by that Finance Party (or any of its Affiliates) for the purposes of implementing or complying with the Basel II Accord.</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Basel II Regulation </w:t>
      </w:r>
      <w:r>
        <w:rPr>
          <w:rFonts w:ascii="Arial" w:cs="Arial" w:eastAsia="Arial" w:hAnsi="Arial"/>
          <w:sz w:val="18"/>
          <w:szCs w:val="18"/>
          <w:color w:val="auto"/>
        </w:rPr>
        <w:t>means:</w:t>
      </w:r>
    </w:p>
    <w:p>
      <w:pPr>
        <w:spacing w:after="0" w:line="220" w:lineRule="exact"/>
        <w:rPr>
          <w:sz w:val="20"/>
          <w:szCs w:val="20"/>
          <w:color w:val="auto"/>
        </w:rPr>
      </w:pPr>
    </w:p>
    <w:p>
      <w:pPr>
        <w:jc w:val="both"/>
        <w:ind w:left="580" w:hanging="53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law or regulation in force as at the date hereof implementing the Basel II Accord (including the relevant provisions of CRD IV and CRR) to the extent only that such law or regulation re-enacts and/or implements the requirements of the Basel II Accord but excluding any provision of such law or regulation implementing the Basel III Accord; and</w:t>
      </w:r>
    </w:p>
    <w:p>
      <w:pPr>
        <w:spacing w:after="0" w:line="189" w:lineRule="exact"/>
        <w:rPr>
          <w:rFonts w:ascii="Arial" w:cs="Arial" w:eastAsia="Arial" w:hAnsi="Arial"/>
          <w:sz w:val="18"/>
          <w:szCs w:val="18"/>
          <w:color w:val="auto"/>
        </w:rPr>
      </w:pPr>
    </w:p>
    <w:p>
      <w:pPr>
        <w:ind w:left="580" w:hanging="53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Basel II Approach adopted by a Finance Party or any of its Affiliates.</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Basel III Accord </w:t>
      </w:r>
      <w:r>
        <w:rPr>
          <w:rFonts w:ascii="Arial" w:cs="Arial" w:eastAsia="Arial" w:hAnsi="Arial"/>
          <w:sz w:val="18"/>
          <w:szCs w:val="18"/>
          <w:color w:val="auto"/>
        </w:rPr>
        <w:t>means, together:</w:t>
      </w:r>
    </w:p>
    <w:p>
      <w:pPr>
        <w:spacing w:after="0" w:line="216" w:lineRule="exact"/>
        <w:rPr>
          <w:sz w:val="20"/>
          <w:szCs w:val="20"/>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agreements on capital requirements, a leverage ratio and liquidity standards contained in “Basel III: A global regulatory</w:t>
      </w:r>
    </w:p>
    <w:p>
      <w:pPr>
        <w:jc w:val="both"/>
        <w:ind w:left="540"/>
        <w:spacing w:after="0"/>
        <w:rPr>
          <w:rFonts w:ascii="Arial" w:cs="Arial" w:eastAsia="Arial" w:hAnsi="Arial"/>
          <w:sz w:val="18"/>
          <w:szCs w:val="18"/>
          <w:color w:val="auto"/>
        </w:rPr>
      </w:pPr>
      <w:r>
        <w:rPr>
          <w:rFonts w:ascii="Arial" w:cs="Arial" w:eastAsia="Arial" w:hAnsi="Arial"/>
          <w:sz w:val="18"/>
          <w:szCs w:val="18"/>
          <w:color w:val="auto"/>
        </w:rPr>
        <w:t>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w:t>
      </w:r>
    </w:p>
    <w:p>
      <w:pPr>
        <w:spacing w:after="0" w:line="189" w:lineRule="exact"/>
        <w:rPr>
          <w:rFonts w:ascii="Arial" w:cs="Arial" w:eastAsia="Arial" w:hAnsi="Arial"/>
          <w:sz w:val="18"/>
          <w:szCs w:val="18"/>
          <w:color w:val="auto"/>
        </w:rPr>
      </w:pPr>
    </w:p>
    <w:p>
      <w:pPr>
        <w:jc w:val="both"/>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w:t>
      </w:r>
    </w:p>
    <w:p>
      <w:pPr>
        <w:spacing w:after="0" w:line="189" w:lineRule="exact"/>
        <w:rPr>
          <w:rFonts w:ascii="Arial" w:cs="Arial" w:eastAsia="Arial" w:hAnsi="Arial"/>
          <w:sz w:val="18"/>
          <w:szCs w:val="18"/>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further guidance or standards published by the Basel Committee on Banking Supervision relating to “Basel III”.</w:t>
      </w:r>
    </w:p>
    <w:p>
      <w:pPr>
        <w:spacing w:after="0" w:line="176" w:lineRule="exact"/>
        <w:rPr>
          <w:sz w:val="20"/>
          <w:szCs w:val="20"/>
          <w:color w:val="auto"/>
        </w:rPr>
      </w:pPr>
    </w:p>
    <w:p>
      <w:pPr>
        <w:jc w:val="both"/>
        <w:ind w:left="40"/>
        <w:spacing w:after="0" w:line="253" w:lineRule="auto"/>
        <w:rPr>
          <w:sz w:val="20"/>
          <w:szCs w:val="20"/>
          <w:color w:val="auto"/>
        </w:rPr>
      </w:pPr>
      <w:r>
        <w:rPr>
          <w:rFonts w:ascii="Arial" w:cs="Arial" w:eastAsia="Arial" w:hAnsi="Arial"/>
          <w:sz w:val="18"/>
          <w:szCs w:val="18"/>
          <w:b w:val="1"/>
          <w:bCs w:val="1"/>
          <w:color w:val="auto"/>
        </w:rPr>
        <w:t xml:space="preserve">Basel III Increased Cost </w:t>
      </w:r>
      <w:r>
        <w:rPr>
          <w:rFonts w:ascii="Arial" w:cs="Arial" w:eastAsia="Arial" w:hAnsi="Arial"/>
          <w:sz w:val="18"/>
          <w:szCs w:val="18"/>
          <w:color w:val="auto"/>
        </w:rPr>
        <w:t>means an Increased Cost which is attributable to the implementation or application of or compliance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Basel III Regulation (whether such implementation, application or compliance is by a government, regulator, Finance Party or any of its Affiliates).</w:t>
      </w:r>
    </w:p>
    <w:p>
      <w:pPr>
        <w:spacing w:after="0" w:line="156" w:lineRule="exact"/>
        <w:rPr>
          <w:sz w:val="20"/>
          <w:szCs w:val="20"/>
          <w:color w:val="auto"/>
        </w:rPr>
      </w:pPr>
    </w:p>
    <w:p>
      <w:pPr>
        <w:jc w:val="both"/>
        <w:ind w:left="40"/>
        <w:spacing w:after="0" w:line="271" w:lineRule="auto"/>
        <w:rPr>
          <w:sz w:val="20"/>
          <w:szCs w:val="20"/>
          <w:color w:val="auto"/>
        </w:rPr>
      </w:pPr>
      <w:r>
        <w:rPr>
          <w:rFonts w:ascii="Arial" w:cs="Arial" w:eastAsia="Arial" w:hAnsi="Arial"/>
          <w:sz w:val="18"/>
          <w:szCs w:val="18"/>
          <w:b w:val="1"/>
          <w:bCs w:val="1"/>
          <w:color w:val="auto"/>
        </w:rPr>
        <w:t xml:space="preserve">Basel III Regulation </w:t>
      </w:r>
      <w:r>
        <w:rPr>
          <w:rFonts w:ascii="Arial" w:cs="Arial" w:eastAsia="Arial" w:hAnsi="Arial"/>
          <w:sz w:val="18"/>
          <w:szCs w:val="18"/>
          <w:color w:val="auto"/>
        </w:rPr>
        <w:t>means any law or regulation implementing the Basel III Accord (including the relevant provisions of CRD IV and</w:t>
      </w:r>
      <w:r>
        <w:rPr>
          <w:rFonts w:ascii="Arial" w:cs="Arial" w:eastAsia="Arial" w:hAnsi="Arial"/>
          <w:sz w:val="18"/>
          <w:szCs w:val="18"/>
          <w:b w:val="1"/>
          <w:bCs w:val="1"/>
          <w:color w:val="auto"/>
        </w:rPr>
        <w:t xml:space="preserve"> </w:t>
      </w:r>
      <w:r>
        <w:rPr>
          <w:rFonts w:ascii="Arial" w:cs="Arial" w:eastAsia="Arial" w:hAnsi="Arial"/>
          <w:sz w:val="18"/>
          <w:szCs w:val="18"/>
          <w:color w:val="auto"/>
        </w:rPr>
        <w:t>CRR) save to the extent that such law or regulation re-enacts a Basel II Regulation.</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Break Costs </w:t>
      </w:r>
      <w:r>
        <w:rPr>
          <w:rFonts w:ascii="Arial" w:cs="Arial" w:eastAsia="Arial" w:hAnsi="Arial"/>
          <w:sz w:val="18"/>
          <w:szCs w:val="18"/>
          <w:color w:val="auto"/>
        </w:rPr>
        <w:t>means the amount (if any) by which:</w:t>
      </w:r>
    </w:p>
    <w:p>
      <w:pPr>
        <w:spacing w:after="0" w:line="220" w:lineRule="exact"/>
        <w:rPr>
          <w:sz w:val="20"/>
          <w:szCs w:val="20"/>
          <w:color w:val="auto"/>
        </w:rPr>
      </w:pPr>
    </w:p>
    <w:p>
      <w:pPr>
        <w:jc w:val="both"/>
        <w:ind w:left="580" w:hanging="532"/>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interest (excluding the Margin) which a Lender should have received for the period from the date of receipt of all or any part of its participation in a Loan or Unpaid Sum to the last day of the current Interest Period in respect of that Loan or Unpaid Sum, had the principal amount or Unpaid Sum received been paid on the last day of that Interest Period;</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exceeds:</w:t>
      </w:r>
    </w:p>
    <w:p>
      <w:pPr>
        <w:spacing w:after="0" w:line="198" w:lineRule="exact"/>
        <w:rPr>
          <w:sz w:val="20"/>
          <w:szCs w:val="20"/>
          <w:color w:val="auto"/>
        </w:rPr>
      </w:pPr>
    </w:p>
    <w:p>
      <w:pPr>
        <w:jc w:val="both"/>
        <w:ind w:left="580" w:hanging="53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 which that Lender would be able to obtain by placing an amount equal to the principal amount or Unpaid Sum received by it on deposit with a leading bank in the Interbank Market for a period starting on the Business Day following receipt or recovery and ending on the last day of the current Interest Period.</w:t>
      </w:r>
    </w:p>
    <w:p>
      <w:pPr>
        <w:spacing w:after="0" w:line="167" w:lineRule="exact"/>
        <w:rPr>
          <w:sz w:val="20"/>
          <w:szCs w:val="20"/>
          <w:color w:val="auto"/>
        </w:rPr>
      </w:pPr>
    </w:p>
    <w:p>
      <w:pPr>
        <w:ind w:left="40"/>
        <w:spacing w:after="0" w:line="271"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(other than a Saturday or Sunday) on which banks are open for general business in London, Oslo, Basel,</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Stockholm, Copenhagen, Amsterdam, Seoul and Frankfurt and (in relation to any date for payment or purchase of dollars) New York.</w:t>
      </w:r>
    </w:p>
    <w:p>
      <w:pPr>
        <w:spacing w:after="0" w:line="14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135255</wp:posOffset>
            </wp:positionV>
            <wp:extent cx="72466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920"/>
          </w:cols>
          <w:pgMar w:left="740" w:top="400" w:right="239" w:bottom="1440" w:gutter="0" w:footer="0" w:header="0"/>
        </w:sectPr>
      </w:pPr>
    </w:p>
    <w:bookmarkStart w:id="55" w:name="page56"/>
    <w:bookmarkEnd w:id="55"/>
    <w:p>
      <w:pPr>
        <w:ind w:left="40"/>
        <w:spacing w:after="0"/>
        <w:rPr>
          <w:sz w:val="20"/>
          <w:szCs w:val="20"/>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occurs if:</w:t>
      </w:r>
    </w:p>
    <w:p>
      <w:pPr>
        <w:spacing w:after="0" w:line="220" w:lineRule="exact"/>
        <w:rPr>
          <w:sz w:val="20"/>
          <w:szCs w:val="20"/>
          <w:color w:val="auto"/>
        </w:rPr>
      </w:pPr>
    </w:p>
    <w:p>
      <w:pPr>
        <w:ind w:left="580" w:hanging="532"/>
        <w:spacing w:after="0" w:line="246"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Parent ceases to control, directly or indirectly, the affairs or the composition of the board of directors (or equivalent) of any of the Borrowers or the Holding Company of any of the Borrowers; or</w:t>
      </w:r>
    </w:p>
    <w:p>
      <w:pPr>
        <w:spacing w:after="0" w:line="183" w:lineRule="exact"/>
        <w:rPr>
          <w:rFonts w:ascii="Arial" w:cs="Arial" w:eastAsia="Arial" w:hAnsi="Arial"/>
          <w:sz w:val="18"/>
          <w:szCs w:val="18"/>
          <w:color w:val="auto"/>
        </w:rPr>
      </w:pPr>
    </w:p>
    <w:p>
      <w:pPr>
        <w:ind w:left="580" w:right="20" w:hanging="532"/>
        <w:spacing w:after="0" w:line="246"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Parent ceases to control, directly or indirectly, the affairs or the composition of the board of directors (or equivalent) of the MLP (if the MLP Guarantee has been granted) or of GPHL (if the GPHL Guarantee has been granted),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in any case without the prior written consent of the Agent (acting with the authorisation of the Majority Lenders).</w:t>
      </w:r>
    </w:p>
    <w:p>
      <w:pPr>
        <w:spacing w:after="0" w:line="176" w:lineRule="exact"/>
        <w:rPr>
          <w:sz w:val="20"/>
          <w:szCs w:val="20"/>
          <w:color w:val="auto"/>
        </w:rPr>
      </w:pPr>
    </w:p>
    <w:p>
      <w:pPr>
        <w:jc w:val="both"/>
        <w:ind w:left="40"/>
        <w:spacing w:after="0" w:line="271" w:lineRule="auto"/>
        <w:rPr>
          <w:sz w:val="20"/>
          <w:szCs w:val="20"/>
          <w:color w:val="auto"/>
        </w:rPr>
      </w:pPr>
      <w:r>
        <w:rPr>
          <w:rFonts w:ascii="Arial" w:cs="Arial" w:eastAsia="Arial" w:hAnsi="Arial"/>
          <w:sz w:val="18"/>
          <w:szCs w:val="18"/>
          <w:b w:val="1"/>
          <w:bCs w:val="1"/>
          <w:color w:val="auto"/>
        </w:rPr>
        <w:t xml:space="preserve">Charged Property </w:t>
      </w:r>
      <w:r>
        <w:rPr>
          <w:rFonts w:ascii="Arial" w:cs="Arial" w:eastAsia="Arial" w:hAnsi="Arial"/>
          <w:sz w:val="18"/>
          <w:szCs w:val="18"/>
          <w:color w:val="auto"/>
        </w:rPr>
        <w:t>means all of the assets of the Obligors which from time to time are, or are expressed or intended to be, the subject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Security Documents.</w:t>
      </w:r>
    </w:p>
    <w:p>
      <w:pPr>
        <w:spacing w:after="0" w:line="140" w:lineRule="exact"/>
        <w:rPr>
          <w:sz w:val="20"/>
          <w:szCs w:val="20"/>
          <w:color w:val="auto"/>
        </w:rPr>
      </w:pPr>
    </w:p>
    <w:p>
      <w:pPr>
        <w:jc w:val="both"/>
        <w:ind w:left="40"/>
        <w:spacing w:after="0" w:line="271" w:lineRule="auto"/>
        <w:rPr>
          <w:sz w:val="20"/>
          <w:szCs w:val="20"/>
          <w:color w:val="auto"/>
        </w:rPr>
      </w:pPr>
      <w:r>
        <w:rPr>
          <w:rFonts w:ascii="Arial" w:cs="Arial" w:eastAsia="Arial" w:hAnsi="Arial"/>
          <w:sz w:val="18"/>
          <w:szCs w:val="18"/>
          <w:b w:val="1"/>
          <w:bCs w:val="1"/>
          <w:color w:val="auto"/>
        </w:rPr>
        <w:t xml:space="preserve">Charter </w:t>
      </w:r>
      <w:r>
        <w:rPr>
          <w:rFonts w:ascii="Arial" w:cs="Arial" w:eastAsia="Arial" w:hAnsi="Arial"/>
          <w:sz w:val="18"/>
          <w:szCs w:val="18"/>
          <w:color w:val="auto"/>
        </w:rPr>
        <w:t>means, in relation to a Ship, the charter commitment (if any) for that Ship details of which are provided in Schedule 2 (</w:t>
      </w:r>
      <w:r>
        <w:rPr>
          <w:rFonts w:ascii="Arial" w:cs="Arial" w:eastAsia="Arial" w:hAnsi="Arial"/>
          <w:sz w:val="18"/>
          <w:szCs w:val="18"/>
          <w:i w:val="1"/>
          <w:iCs w:val="1"/>
          <w:color w:val="auto"/>
        </w:rPr>
        <w:t>Ship</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as it may be amended from time to time.</w:t>
      </w:r>
    </w:p>
    <w:p>
      <w:pPr>
        <w:spacing w:after="0" w:line="140" w:lineRule="exact"/>
        <w:rPr>
          <w:sz w:val="20"/>
          <w:szCs w:val="20"/>
          <w:color w:val="auto"/>
        </w:rPr>
      </w:pPr>
    </w:p>
    <w:p>
      <w:pPr>
        <w:jc w:val="both"/>
        <w:ind w:left="40"/>
        <w:spacing w:after="0" w:line="271" w:lineRule="auto"/>
        <w:rPr>
          <w:sz w:val="20"/>
          <w:szCs w:val="20"/>
          <w:color w:val="auto"/>
        </w:rPr>
      </w:pPr>
      <w:r>
        <w:rPr>
          <w:rFonts w:ascii="Arial" w:cs="Arial" w:eastAsia="Arial" w:hAnsi="Arial"/>
          <w:sz w:val="18"/>
          <w:szCs w:val="18"/>
          <w:b w:val="1"/>
          <w:bCs w:val="1"/>
          <w:color w:val="auto"/>
        </w:rPr>
        <w:t xml:space="preserve">Charter Assignment </w:t>
      </w:r>
      <w:r>
        <w:rPr>
          <w:rFonts w:ascii="Arial" w:cs="Arial" w:eastAsia="Arial" w:hAnsi="Arial"/>
          <w:sz w:val="18"/>
          <w:szCs w:val="18"/>
          <w:color w:val="auto"/>
        </w:rPr>
        <w:t>means, in relation to a Ship and its Charter Documents, an assignment by the relevant Owner of its interest in</w:t>
      </w:r>
      <w:r>
        <w:rPr>
          <w:rFonts w:ascii="Arial" w:cs="Arial" w:eastAsia="Arial" w:hAnsi="Arial"/>
          <w:sz w:val="18"/>
          <w:szCs w:val="18"/>
          <w:b w:val="1"/>
          <w:bCs w:val="1"/>
          <w:color w:val="auto"/>
        </w:rPr>
        <w:t xml:space="preserve"> </w:t>
      </w:r>
      <w:r>
        <w:rPr>
          <w:rFonts w:ascii="Arial" w:cs="Arial" w:eastAsia="Arial" w:hAnsi="Arial"/>
          <w:sz w:val="18"/>
          <w:szCs w:val="18"/>
          <w:color w:val="auto"/>
        </w:rPr>
        <w:t>such Charter Documents in favour of the Security Agent in the agreed form.</w:t>
      </w:r>
    </w:p>
    <w:p>
      <w:pPr>
        <w:spacing w:after="0" w:line="140" w:lineRule="exact"/>
        <w:rPr>
          <w:sz w:val="20"/>
          <w:szCs w:val="20"/>
          <w:color w:val="auto"/>
        </w:rPr>
      </w:pPr>
    </w:p>
    <w:p>
      <w:pPr>
        <w:jc w:val="both"/>
        <w:ind w:left="40"/>
        <w:spacing w:after="0" w:line="271" w:lineRule="auto"/>
        <w:rPr>
          <w:sz w:val="20"/>
          <w:szCs w:val="20"/>
          <w:color w:val="auto"/>
        </w:rPr>
      </w:pPr>
      <w:r>
        <w:rPr>
          <w:rFonts w:ascii="Arial" w:cs="Arial" w:eastAsia="Arial" w:hAnsi="Arial"/>
          <w:sz w:val="18"/>
          <w:szCs w:val="18"/>
          <w:b w:val="1"/>
          <w:bCs w:val="1"/>
          <w:color w:val="auto"/>
        </w:rPr>
        <w:t xml:space="preserve">Charter Documents </w:t>
      </w:r>
      <w:r>
        <w:rPr>
          <w:rFonts w:ascii="Arial" w:cs="Arial" w:eastAsia="Arial" w:hAnsi="Arial"/>
          <w:sz w:val="18"/>
          <w:szCs w:val="18"/>
          <w:color w:val="auto"/>
        </w:rPr>
        <w:t>means, in relation to a Ship, the Charter (if any) of that Ship, any documents supplementing it and any guarantee</w:t>
      </w:r>
      <w:r>
        <w:rPr>
          <w:rFonts w:ascii="Arial" w:cs="Arial" w:eastAsia="Arial" w:hAnsi="Arial"/>
          <w:sz w:val="18"/>
          <w:szCs w:val="18"/>
          <w:b w:val="1"/>
          <w:bCs w:val="1"/>
          <w:color w:val="auto"/>
        </w:rPr>
        <w:t xml:space="preserve"> </w:t>
      </w:r>
      <w:r>
        <w:rPr>
          <w:rFonts w:ascii="Arial" w:cs="Arial" w:eastAsia="Arial" w:hAnsi="Arial"/>
          <w:sz w:val="18"/>
          <w:szCs w:val="18"/>
          <w:color w:val="auto"/>
        </w:rPr>
        <w:t>or security given by any person to the relevant Owner for the relevant Charterer’s obligations under it.</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Charterer </w:t>
      </w:r>
      <w:r>
        <w:rPr>
          <w:rFonts w:ascii="Arial" w:cs="Arial" w:eastAsia="Arial" w:hAnsi="Arial"/>
          <w:sz w:val="18"/>
          <w:szCs w:val="18"/>
          <w:color w:val="auto"/>
        </w:rPr>
        <w:t>means, in relation to a Ship, the charterer named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as charterer of that Ship.</w:t>
      </w:r>
    </w:p>
    <w:p>
      <w:pPr>
        <w:spacing w:after="0" w:line="198" w:lineRule="exact"/>
        <w:rPr>
          <w:sz w:val="20"/>
          <w:szCs w:val="20"/>
          <w:color w:val="auto"/>
        </w:rPr>
      </w:pPr>
    </w:p>
    <w:p>
      <w:pPr>
        <w:jc w:val="both"/>
        <w:ind w:left="40"/>
        <w:spacing w:after="0" w:line="253" w:lineRule="auto"/>
        <w:rPr>
          <w:sz w:val="20"/>
          <w:szCs w:val="20"/>
          <w:color w:val="auto"/>
        </w:rPr>
      </w:pPr>
      <w:r>
        <w:rPr>
          <w:rFonts w:ascii="Arial" w:cs="Arial" w:eastAsia="Arial" w:hAnsi="Arial"/>
          <w:sz w:val="18"/>
          <w:szCs w:val="18"/>
          <w:b w:val="1"/>
          <w:bCs w:val="1"/>
          <w:color w:val="auto"/>
        </w:rPr>
        <w:t xml:space="preserve">Classification </w:t>
      </w:r>
      <w:r>
        <w:rPr>
          <w:rFonts w:ascii="Arial" w:cs="Arial" w:eastAsia="Arial" w:hAnsi="Arial"/>
          <w:sz w:val="18"/>
          <w:szCs w:val="18"/>
          <w:color w:val="auto"/>
        </w:rPr>
        <w:t>means, in relation to a Ship, the classification specified in respect of such Ship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relevant Classification Society or another classification approved by the Majority Lenders as its classification (such approval not to be unreasonably withheld), at the request of the relevant Owner.</w:t>
      </w:r>
    </w:p>
    <w:p>
      <w:pPr>
        <w:spacing w:after="0" w:line="156" w:lineRule="exact"/>
        <w:rPr>
          <w:sz w:val="20"/>
          <w:szCs w:val="20"/>
          <w:color w:val="auto"/>
        </w:rPr>
      </w:pPr>
    </w:p>
    <w:p>
      <w:pPr>
        <w:jc w:val="both"/>
        <w:ind w:left="40"/>
        <w:spacing w:after="0" w:line="247" w:lineRule="auto"/>
        <w:rPr>
          <w:sz w:val="20"/>
          <w:szCs w:val="20"/>
          <w:color w:val="auto"/>
        </w:rPr>
      </w:pPr>
      <w:r>
        <w:rPr>
          <w:rFonts w:ascii="Arial" w:cs="Arial" w:eastAsia="Arial" w:hAnsi="Arial"/>
          <w:sz w:val="18"/>
          <w:szCs w:val="18"/>
          <w:b w:val="1"/>
          <w:bCs w:val="1"/>
          <w:color w:val="auto"/>
        </w:rPr>
        <w:t xml:space="preserve">Classification Society </w:t>
      </w:r>
      <w:r>
        <w:rPr>
          <w:rFonts w:ascii="Arial" w:cs="Arial" w:eastAsia="Arial" w:hAnsi="Arial"/>
          <w:sz w:val="18"/>
          <w:szCs w:val="18"/>
          <w:color w:val="auto"/>
        </w:rPr>
        <w:t>means, in relation to a Ship, the classification society specified in respect of such Ship in Schedule 2 (</w:t>
      </w:r>
      <w:r>
        <w:rPr>
          <w:rFonts w:ascii="Arial" w:cs="Arial" w:eastAsia="Arial" w:hAnsi="Arial"/>
          <w:sz w:val="18"/>
          <w:szCs w:val="18"/>
          <w:i w:val="1"/>
          <w:iCs w:val="1"/>
          <w:color w:val="auto"/>
        </w:rPr>
        <w:t>Ship</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or another classification society (being a member of the International Association of Classification Societies (IACS) or, if</w:t>
      </w:r>
      <w:r>
        <w:rPr>
          <w:rFonts w:ascii="Arial" w:cs="Arial" w:eastAsia="Arial" w:hAnsi="Arial"/>
          <w:sz w:val="18"/>
          <w:szCs w:val="18"/>
          <w:i w:val="1"/>
          <w:iCs w:val="1"/>
          <w:color w:val="auto"/>
        </w:rPr>
        <w:t xml:space="preserve"> </w:t>
      </w:r>
      <w:r>
        <w:rPr>
          <w:rFonts w:ascii="Arial" w:cs="Arial" w:eastAsia="Arial" w:hAnsi="Arial"/>
          <w:sz w:val="18"/>
          <w:szCs w:val="18"/>
          <w:color w:val="auto"/>
        </w:rPr>
        <w:t>such association no longer exists, any similar association nominated by the Agent) approved by the Majority Lenders as its Classification Society (such approval not to be unreasonably withheld or delayed), at the request of the relevant Owner.</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means the US Internal Revenue Code of 1986, as amended.</w:t>
      </w:r>
    </w:p>
    <w:p>
      <w:pPr>
        <w:spacing w:after="0" w:line="198" w:lineRule="exact"/>
        <w:rPr>
          <w:sz w:val="20"/>
          <w:szCs w:val="20"/>
          <w:color w:val="auto"/>
        </w:rPr>
      </w:pPr>
    </w:p>
    <w:p>
      <w:pPr>
        <w:jc w:val="both"/>
        <w:ind w:left="40" w:right="20"/>
        <w:spacing w:after="0" w:line="271" w:lineRule="auto"/>
        <w:rPr>
          <w:sz w:val="20"/>
          <w:szCs w:val="20"/>
          <w:color w:val="auto"/>
        </w:rPr>
      </w:pPr>
      <w:r>
        <w:rPr>
          <w:rFonts w:ascii="Arial" w:cs="Arial" w:eastAsia="Arial" w:hAnsi="Arial"/>
          <w:sz w:val="18"/>
          <w:szCs w:val="18"/>
          <w:b w:val="1"/>
          <w:bCs w:val="1"/>
          <w:color w:val="auto"/>
        </w:rPr>
        <w:t xml:space="preserve">Commercial Manager </w:t>
      </w:r>
      <w:r>
        <w:rPr>
          <w:rFonts w:ascii="Arial" w:cs="Arial" w:eastAsia="Arial" w:hAnsi="Arial"/>
          <w:sz w:val="18"/>
          <w:szCs w:val="18"/>
          <w:color w:val="auto"/>
        </w:rPr>
        <w:t>means, in relation to a Ship, the Parent or another manager appointed as the commercial manager of that Ship</w:t>
      </w:r>
      <w:r>
        <w:rPr>
          <w:rFonts w:ascii="Arial" w:cs="Arial" w:eastAsia="Arial" w:hAnsi="Arial"/>
          <w:sz w:val="18"/>
          <w:szCs w:val="18"/>
          <w:b w:val="1"/>
          <w:bCs w:val="1"/>
          <w:color w:val="auto"/>
        </w:rPr>
        <w:t xml:space="preserve"> </w:t>
      </w:r>
      <w:r>
        <w:rPr>
          <w:rFonts w:ascii="Arial" w:cs="Arial" w:eastAsia="Arial" w:hAnsi="Arial"/>
          <w:sz w:val="18"/>
          <w:szCs w:val="18"/>
          <w:color w:val="auto"/>
        </w:rPr>
        <w:t>by the relevant Owner in accordance with clause 22.3 (</w:t>
      </w:r>
      <w:r>
        <w:rPr>
          <w:rFonts w:ascii="Arial" w:cs="Arial" w:eastAsia="Arial" w:hAnsi="Arial"/>
          <w:sz w:val="18"/>
          <w:szCs w:val="18"/>
          <w:i w:val="1"/>
          <w:iCs w:val="1"/>
          <w:color w:val="auto"/>
        </w:rPr>
        <w:t>Manager</w:t>
      </w:r>
      <w:r>
        <w:rPr>
          <w:rFonts w:ascii="Arial" w:cs="Arial" w:eastAsia="Arial" w:hAnsi="Arial"/>
          <w:sz w:val="18"/>
          <w:szCs w:val="18"/>
          <w:color w:val="auto"/>
        </w:rPr>
        <w:t>).</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Commitment </w:t>
      </w:r>
      <w:r>
        <w:rPr>
          <w:rFonts w:ascii="Arial" w:cs="Arial" w:eastAsia="Arial" w:hAnsi="Arial"/>
          <w:sz w:val="18"/>
          <w:szCs w:val="18"/>
          <w:color w:val="auto"/>
        </w:rPr>
        <w:t>means, in relation to a Lender, its Term Loan Commitment and its Revolving Loan Commitment.</w:t>
      </w:r>
    </w:p>
    <w:p>
      <w:pPr>
        <w:spacing w:after="0" w:line="198" w:lineRule="exact"/>
        <w:rPr>
          <w:sz w:val="20"/>
          <w:szCs w:val="20"/>
          <w:color w:val="auto"/>
        </w:rPr>
      </w:pPr>
    </w:p>
    <w:p>
      <w:pPr>
        <w:jc w:val="both"/>
        <w:ind w:left="40"/>
        <w:spacing w:after="0" w:line="271" w:lineRule="auto"/>
        <w:rPr>
          <w:sz w:val="20"/>
          <w:szCs w:val="20"/>
          <w:color w:val="auto"/>
        </w:rPr>
      </w:pPr>
      <w:r>
        <w:rPr>
          <w:rFonts w:ascii="Arial" w:cs="Arial" w:eastAsia="Arial" w:hAnsi="Arial"/>
          <w:sz w:val="18"/>
          <w:szCs w:val="18"/>
          <w:b w:val="1"/>
          <w:bCs w:val="1"/>
          <w:color w:val="auto"/>
        </w:rPr>
        <w:t xml:space="preserve">Compliance Certificate </w:t>
      </w:r>
      <w:r>
        <w:rPr>
          <w:rFonts w:ascii="Arial" w:cs="Arial" w:eastAsia="Arial" w:hAnsi="Arial"/>
          <w:sz w:val="18"/>
          <w:szCs w:val="18"/>
          <w:color w:val="auto"/>
        </w:rPr>
        <w:t>means a certificate substantially in the form set out in Schedule 6 (</w:t>
      </w:r>
      <w:r>
        <w:rPr>
          <w:rFonts w:ascii="Arial" w:cs="Arial" w:eastAsia="Arial" w:hAnsi="Arial"/>
          <w:sz w:val="18"/>
          <w:szCs w:val="18"/>
          <w:i w:val="1"/>
          <w:iCs w:val="1"/>
          <w:color w:val="auto"/>
        </w:rPr>
        <w:t>Form of Compliance Certificate</w:t>
      </w:r>
      <w:r>
        <w:rPr>
          <w:rFonts w:ascii="Arial" w:cs="Arial" w:eastAsia="Arial" w:hAnsi="Arial"/>
          <w:sz w:val="18"/>
          <w:szCs w:val="18"/>
          <w:color w:val="auto"/>
        </w:rPr>
        <w:t>)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w:t>
      </w:r>
    </w:p>
    <w:p>
      <w:pPr>
        <w:spacing w:after="0" w:line="140" w:lineRule="exact"/>
        <w:rPr>
          <w:sz w:val="20"/>
          <w:szCs w:val="20"/>
          <w:color w:val="auto"/>
        </w:rPr>
      </w:pPr>
    </w:p>
    <w:p>
      <w:pPr>
        <w:jc w:val="both"/>
        <w:ind w:left="40"/>
        <w:spacing w:after="0" w:line="247" w:lineRule="auto"/>
        <w:rPr>
          <w:sz w:val="20"/>
          <w:szCs w:val="20"/>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means all information relating to an Obligor, the Group, the Finance Documents, the Charter Documents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charter commitments (to the extent such information relating to such other charter commitments is confidential as a matter of law or contract) for each Ship or the Facilities of which a Finance Party becomes aware in its capacity as, or for the purpose of becoming, a Finance Party or which is received by a Finance Party in</w:t>
      </w:r>
    </w:p>
    <w:p>
      <w:pPr>
        <w:spacing w:after="0" w:line="16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135255</wp:posOffset>
            </wp:positionV>
            <wp:extent cx="72466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920"/>
          </w:cols>
          <w:pgMar w:left="740" w:top="400" w:right="239" w:bottom="1440" w:gutter="0" w:footer="0" w:header="0"/>
        </w:sectPr>
      </w:pPr>
    </w:p>
    <w:bookmarkStart w:id="56" w:name="page57"/>
    <w:bookmarkEnd w:id="56"/>
    <w:p>
      <w:pPr>
        <w:ind w:left="40"/>
        <w:spacing w:after="0"/>
        <w:rPr>
          <w:sz w:val="20"/>
          <w:szCs w:val="20"/>
          <w:color w:val="auto"/>
        </w:rPr>
      </w:pPr>
      <w:r>
        <w:rPr>
          <w:rFonts w:ascii="Arial" w:cs="Arial" w:eastAsia="Arial" w:hAnsi="Arial"/>
          <w:sz w:val="18"/>
          <w:szCs w:val="18"/>
          <w:color w:val="auto"/>
        </w:rPr>
        <w:t>relation to, or for the purpose of becoming a Finance Party under, the Finance Documents or the Facilities from either:</w:t>
      </w:r>
    </w:p>
    <w:p>
      <w:pPr>
        <w:spacing w:after="0" w:line="198" w:lineRule="exact"/>
        <w:rPr>
          <w:sz w:val="20"/>
          <w:szCs w:val="20"/>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Group Member or any of its advisers; or</w:t>
      </w:r>
    </w:p>
    <w:p>
      <w:pPr>
        <w:spacing w:after="0" w:line="198" w:lineRule="exact"/>
        <w:rPr>
          <w:rFonts w:ascii="Arial" w:cs="Arial" w:eastAsia="Arial" w:hAnsi="Arial"/>
          <w:sz w:val="18"/>
          <w:szCs w:val="18"/>
          <w:color w:val="auto"/>
        </w:rPr>
      </w:pPr>
    </w:p>
    <w:p>
      <w:pPr>
        <w:ind w:left="520" w:hanging="512"/>
        <w:spacing w:after="0" w:line="246"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another Finance Party, if the information was obtained by that Finance Party directly or indirectly from any Group Member or any of its advisers,</w:t>
      </w:r>
    </w:p>
    <w:p>
      <w:pPr>
        <w:spacing w:after="0" w:line="183" w:lineRule="exact"/>
        <w:rPr>
          <w:sz w:val="20"/>
          <w:szCs w:val="20"/>
          <w:color w:val="auto"/>
        </w:rPr>
      </w:pPr>
    </w:p>
    <w:p>
      <w:pPr>
        <w:ind w:left="40"/>
        <w:spacing w:after="0" w:line="246" w:lineRule="auto"/>
        <w:rPr>
          <w:sz w:val="20"/>
          <w:szCs w:val="20"/>
          <w:color w:val="auto"/>
        </w:rPr>
      </w:pPr>
      <w:r>
        <w:rPr>
          <w:rFonts w:ascii="Arial" w:cs="Arial" w:eastAsia="Arial" w:hAnsi="Arial"/>
          <w:sz w:val="18"/>
          <w:szCs w:val="18"/>
          <w:color w:val="auto"/>
        </w:rPr>
        <w:t>in whatever form, and includes information given orally and any document, electronic file or any other way of representing or recording information which contains or is derived or copied from such information but excludes information that:</w:t>
      </w:r>
    </w:p>
    <w:p>
      <w:pPr>
        <w:spacing w:after="0" w:line="183" w:lineRule="exact"/>
        <w:rPr>
          <w:sz w:val="20"/>
          <w:szCs w:val="20"/>
          <w:color w:val="auto"/>
        </w:rPr>
      </w:pPr>
    </w:p>
    <w:p>
      <w:pPr>
        <w:ind w:left="1060" w:right="20" w:hanging="539"/>
        <w:spacing w:after="0" w:line="246"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 or becomes public information other than as a direct or indirect result of any breach by that Finance Party of clause 43 (</w:t>
      </w:r>
      <w:r>
        <w:rPr>
          <w:rFonts w:ascii="Arial" w:cs="Arial" w:eastAsia="Arial" w:hAnsi="Arial"/>
          <w:sz w:val="18"/>
          <w:szCs w:val="18"/>
          <w:i w:val="1"/>
          <w:iCs w:val="1"/>
          <w:color w:val="auto"/>
        </w:rPr>
        <w:t>Confidentiality</w:t>
      </w:r>
      <w:r>
        <w:rPr>
          <w:rFonts w:ascii="Arial" w:cs="Arial" w:eastAsia="Arial" w:hAnsi="Arial"/>
          <w:sz w:val="18"/>
          <w:szCs w:val="18"/>
          <w:color w:val="auto"/>
        </w:rPr>
        <w:t>); or</w:t>
      </w:r>
    </w:p>
    <w:p>
      <w:pPr>
        <w:spacing w:after="0" w:line="183" w:lineRule="exact"/>
        <w:rPr>
          <w:rFonts w:ascii="Arial" w:cs="Arial" w:eastAsia="Arial" w:hAnsi="Arial"/>
          <w:sz w:val="18"/>
          <w:szCs w:val="18"/>
          <w:color w:val="auto"/>
        </w:rPr>
      </w:pPr>
    </w:p>
    <w:p>
      <w:pPr>
        <w:ind w:left="1060" w:hanging="539"/>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 identified in writing at the time of delivery as non-confidential by any Group Member or any of its advisers; or</w:t>
      </w:r>
    </w:p>
    <w:p>
      <w:pPr>
        <w:spacing w:after="0" w:line="198" w:lineRule="exact"/>
        <w:rPr>
          <w:rFonts w:ascii="Arial" w:cs="Arial" w:eastAsia="Arial" w:hAnsi="Arial"/>
          <w:sz w:val="18"/>
          <w:szCs w:val="18"/>
          <w:color w:val="auto"/>
        </w:rPr>
      </w:pPr>
    </w:p>
    <w:p>
      <w:pPr>
        <w:jc w:val="both"/>
        <w:ind w:left="1060" w:hanging="539"/>
        <w:spacing w:after="0" w:line="239"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 known by that Finance Party before the date the information is disclosed to it in accordance with paragraphs (a) or (b) above or is lawfully obtained by that Finance Party after that date, from a source which is, as far as that Finance Party is aware, unconnected with the Group and which, in either case, as far as that Finance Party is aware, has not been obtained in breach of, and is not otherwise subject to, any obligation of confidentiality.</w:t>
      </w:r>
    </w:p>
    <w:p>
      <w:pPr>
        <w:spacing w:after="0" w:line="166" w:lineRule="exact"/>
        <w:rPr>
          <w:sz w:val="20"/>
          <w:szCs w:val="20"/>
          <w:color w:val="auto"/>
        </w:rPr>
      </w:pPr>
    </w:p>
    <w:p>
      <w:pPr>
        <w:jc w:val="both"/>
        <w:ind w:left="40"/>
        <w:spacing w:after="0" w:line="253" w:lineRule="auto"/>
        <w:rPr>
          <w:sz w:val="20"/>
          <w:szCs w:val="20"/>
          <w:color w:val="auto"/>
        </w:rPr>
      </w:pPr>
      <w:r>
        <w:rPr>
          <w:rFonts w:ascii="Arial" w:cs="Arial" w:eastAsia="Arial" w:hAnsi="Arial"/>
          <w:sz w:val="18"/>
          <w:szCs w:val="18"/>
          <w:b w:val="1"/>
          <w:bCs w:val="1"/>
          <w:color w:val="auto"/>
        </w:rPr>
        <w:t xml:space="preserve">Constitutional Documents </w:t>
      </w:r>
      <w:r>
        <w:rPr>
          <w:rFonts w:ascii="Arial" w:cs="Arial" w:eastAsia="Arial" w:hAnsi="Arial"/>
          <w:sz w:val="18"/>
          <w:szCs w:val="18"/>
          <w:color w:val="auto"/>
        </w:rPr>
        <w:t>means, in respect of an Obligor or a Manager, such Obligor’s or Manager’s memorandum and articles of</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association, by-laws or other constitutional documents including as referred to in any certificate relating to an Obligor or a Manager delivered pursuant to Schedule 3 (</w:t>
      </w:r>
      <w:r>
        <w:rPr>
          <w:rFonts w:ascii="Arial" w:cs="Arial" w:eastAsia="Arial" w:hAnsi="Arial"/>
          <w:sz w:val="18"/>
          <w:szCs w:val="18"/>
          <w:i w:val="1"/>
          <w:iCs w:val="1"/>
          <w:color w:val="auto"/>
        </w:rPr>
        <w:t>Conditions precedent</w:t>
      </w:r>
      <w:r>
        <w:rPr>
          <w:rFonts w:ascii="Arial" w:cs="Arial" w:eastAsia="Arial" w:hAnsi="Arial"/>
          <w:sz w:val="18"/>
          <w:szCs w:val="18"/>
          <w:color w:val="auto"/>
        </w:rPr>
        <w:t>).</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Cool Pool Arrangements </w:t>
      </w:r>
      <w:r>
        <w:rPr>
          <w:rFonts w:ascii="Arial" w:cs="Arial" w:eastAsia="Arial" w:hAnsi="Arial"/>
          <w:sz w:val="18"/>
          <w:szCs w:val="18"/>
          <w:color w:val="auto"/>
        </w:rPr>
        <w:t>has the meaning given to such term in clause 22.9 (</w:t>
      </w:r>
      <w:r>
        <w:rPr>
          <w:rFonts w:ascii="Arial" w:cs="Arial" w:eastAsia="Arial" w:hAnsi="Arial"/>
          <w:sz w:val="18"/>
          <w:szCs w:val="18"/>
          <w:i w:val="1"/>
          <w:iCs w:val="1"/>
          <w:color w:val="auto"/>
        </w:rPr>
        <w:t>Sharing of Earnings</w:t>
      </w:r>
      <w:r>
        <w:rPr>
          <w:rFonts w:ascii="Arial" w:cs="Arial" w:eastAsia="Arial" w:hAnsi="Arial"/>
          <w:sz w:val="18"/>
          <w:szCs w:val="18"/>
          <w:color w:val="auto"/>
        </w:rPr>
        <w:t>).</w:t>
      </w:r>
    </w:p>
    <w:p>
      <w:pPr>
        <w:spacing w:after="0" w:line="198" w:lineRule="exact"/>
        <w:rPr>
          <w:sz w:val="20"/>
          <w:szCs w:val="20"/>
          <w:color w:val="auto"/>
        </w:rPr>
      </w:pPr>
    </w:p>
    <w:p>
      <w:pPr>
        <w:jc w:val="both"/>
        <w:ind w:left="40"/>
        <w:spacing w:after="0" w:line="271" w:lineRule="auto"/>
        <w:rPr>
          <w:sz w:val="20"/>
          <w:szCs w:val="20"/>
          <w:color w:val="auto"/>
        </w:rPr>
      </w:pPr>
      <w:r>
        <w:rPr>
          <w:rFonts w:ascii="Arial" w:cs="Arial" w:eastAsia="Arial" w:hAnsi="Arial"/>
          <w:sz w:val="18"/>
          <w:szCs w:val="18"/>
          <w:b w:val="1"/>
          <w:bCs w:val="1"/>
          <w:color w:val="auto"/>
        </w:rPr>
        <w:t xml:space="preserve">CRD IV </w:t>
      </w:r>
      <w:r>
        <w:rPr>
          <w:rFonts w:ascii="Arial" w:cs="Arial" w:eastAsia="Arial" w:hAnsi="Arial"/>
          <w:sz w:val="18"/>
          <w:szCs w:val="18"/>
          <w:color w:val="auto"/>
        </w:rPr>
        <w:t>means the directive 2013/36/EU of the European Union on access to the activity of credit institutions and the prudential</w:t>
      </w:r>
      <w:r>
        <w:rPr>
          <w:rFonts w:ascii="Arial" w:cs="Arial" w:eastAsia="Arial" w:hAnsi="Arial"/>
          <w:sz w:val="18"/>
          <w:szCs w:val="18"/>
          <w:b w:val="1"/>
          <w:bCs w:val="1"/>
          <w:color w:val="auto"/>
        </w:rPr>
        <w:t xml:space="preserve"> </w:t>
      </w:r>
      <w:r>
        <w:rPr>
          <w:rFonts w:ascii="Arial" w:cs="Arial" w:eastAsia="Arial" w:hAnsi="Arial"/>
          <w:sz w:val="18"/>
          <w:szCs w:val="18"/>
          <w:color w:val="auto"/>
        </w:rPr>
        <w:t>supervision of credit institutions and investment firms.</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CRR </w:t>
      </w:r>
      <w:r>
        <w:rPr>
          <w:rFonts w:ascii="Arial" w:cs="Arial" w:eastAsia="Arial" w:hAnsi="Arial"/>
          <w:sz w:val="18"/>
          <w:szCs w:val="18"/>
          <w:color w:val="auto"/>
        </w:rPr>
        <w:t>means the regulation 575/2013 of the European Union on prudential requirements for credit institutions and investment firms.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Debt Purchase Transaction </w:t>
      </w:r>
      <w:r>
        <w:rPr>
          <w:rFonts w:ascii="Arial" w:cs="Arial" w:eastAsia="Arial" w:hAnsi="Arial"/>
          <w:sz w:val="18"/>
          <w:szCs w:val="18"/>
          <w:color w:val="auto"/>
        </w:rPr>
        <w:t>means, in relation to a person, a transaction where such person:</w:t>
      </w:r>
    </w:p>
    <w:p>
      <w:pPr>
        <w:spacing w:after="0" w:line="220" w:lineRule="exact"/>
        <w:rPr>
          <w:sz w:val="20"/>
          <w:szCs w:val="20"/>
          <w:color w:val="auto"/>
        </w:rPr>
      </w:pPr>
    </w:p>
    <w:p>
      <w:pPr>
        <w:ind w:left="580" w:hanging="53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purchases by way of assignment or transfer;</w:t>
      </w:r>
    </w:p>
    <w:p>
      <w:pPr>
        <w:spacing w:after="0" w:line="198" w:lineRule="exact"/>
        <w:rPr>
          <w:rFonts w:ascii="Arial" w:cs="Arial" w:eastAsia="Arial" w:hAnsi="Arial"/>
          <w:sz w:val="18"/>
          <w:szCs w:val="18"/>
          <w:color w:val="auto"/>
        </w:rPr>
      </w:pPr>
    </w:p>
    <w:p>
      <w:pPr>
        <w:ind w:left="580" w:hanging="53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enters into any sub-participation in respect of; or</w:t>
      </w:r>
    </w:p>
    <w:p>
      <w:pPr>
        <w:spacing w:after="0" w:line="198" w:lineRule="exact"/>
        <w:rPr>
          <w:rFonts w:ascii="Arial" w:cs="Arial" w:eastAsia="Arial" w:hAnsi="Arial"/>
          <w:sz w:val="18"/>
          <w:szCs w:val="18"/>
          <w:color w:val="auto"/>
        </w:rPr>
      </w:pPr>
    </w:p>
    <w:p>
      <w:pPr>
        <w:ind w:left="580" w:right="20" w:hanging="532"/>
        <w:spacing w:after="0" w:line="246"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enters into any other agreement or arrangement having an economic effect substantially similar to a sub-participation in respect of,</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any Commitment or amount outstanding under this Agreement.</w:t>
      </w:r>
    </w:p>
    <w:p>
      <w:pPr>
        <w:spacing w:after="0" w:line="176" w:lineRule="exact"/>
        <w:rPr>
          <w:sz w:val="20"/>
          <w:szCs w:val="20"/>
          <w:color w:val="auto"/>
        </w:rPr>
      </w:pPr>
    </w:p>
    <w:p>
      <w:pPr>
        <w:jc w:val="both"/>
        <w:ind w:left="40"/>
        <w:spacing w:after="0" w:line="253" w:lineRule="auto"/>
        <w:rPr>
          <w:sz w:val="20"/>
          <w:szCs w:val="20"/>
          <w:color w:val="auto"/>
        </w:rPr>
      </w:pPr>
      <w:r>
        <w:rPr>
          <w:rFonts w:ascii="Arial" w:cs="Arial" w:eastAsia="Arial" w:hAnsi="Arial"/>
          <w:sz w:val="18"/>
          <w:szCs w:val="18"/>
          <w:b w:val="1"/>
          <w:bCs w:val="1"/>
          <w:color w:val="auto"/>
        </w:rPr>
        <w:t xml:space="preserve">Deed of Covenant </w:t>
      </w:r>
      <w:r>
        <w:rPr>
          <w:rFonts w:ascii="Arial" w:cs="Arial" w:eastAsia="Arial" w:hAnsi="Arial"/>
          <w:sz w:val="18"/>
          <w:szCs w:val="18"/>
          <w:color w:val="auto"/>
        </w:rPr>
        <w:t>means, in relation to a Ship, a first deed of covenant (including a first assignment of its interest in the Ship’s</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Insurances, Earnings and Requisition Compensation) in respect of such Ship by the relevant Owner in favour of the Security Agent in the agreed form.</w:t>
      </w:r>
    </w:p>
    <w:p>
      <w:pPr>
        <w:spacing w:after="0" w:line="156" w:lineRule="exact"/>
        <w:rPr>
          <w:sz w:val="20"/>
          <w:szCs w:val="20"/>
          <w:color w:val="auto"/>
        </w:rPr>
      </w:pPr>
    </w:p>
    <w:p>
      <w:pPr>
        <w:jc w:val="both"/>
        <w:ind w:left="40"/>
        <w:spacing w:after="0" w:line="271" w:lineRule="auto"/>
        <w:rPr>
          <w:sz w:val="20"/>
          <w:szCs w:val="20"/>
          <w:color w:val="auto"/>
        </w:rPr>
      </w:pPr>
      <w:r>
        <w:rPr>
          <w:rFonts w:ascii="Arial" w:cs="Arial" w:eastAsia="Arial" w:hAnsi="Arial"/>
          <w:sz w:val="18"/>
          <w:szCs w:val="18"/>
          <w:b w:val="1"/>
          <w:bCs w:val="1"/>
          <w:color w:val="auto"/>
        </w:rPr>
        <w:t xml:space="preserve">Default </w:t>
      </w:r>
      <w:r>
        <w:rPr>
          <w:rFonts w:ascii="Arial" w:cs="Arial" w:eastAsia="Arial" w:hAnsi="Arial"/>
          <w:sz w:val="18"/>
          <w:szCs w:val="18"/>
          <w:color w:val="auto"/>
        </w:rPr>
        <w:t>means an Event of Default or any event or circumstance which would (with the expiry of a grace period, the giving of notice, the</w:t>
      </w:r>
      <w:r>
        <w:rPr>
          <w:rFonts w:ascii="Arial" w:cs="Arial" w:eastAsia="Arial" w:hAnsi="Arial"/>
          <w:sz w:val="18"/>
          <w:szCs w:val="18"/>
          <w:b w:val="1"/>
          <w:bCs w:val="1"/>
          <w:color w:val="auto"/>
        </w:rPr>
        <w:t xml:space="preserve"> </w:t>
      </w:r>
      <w:r>
        <w:rPr>
          <w:rFonts w:ascii="Arial" w:cs="Arial" w:eastAsia="Arial" w:hAnsi="Arial"/>
          <w:sz w:val="18"/>
          <w:szCs w:val="18"/>
          <w:color w:val="auto"/>
        </w:rPr>
        <w:t>making of any determination under the Finance Documents or any combination of them) be an Event of Default.</w:t>
      </w:r>
    </w:p>
    <w:p>
      <w:pPr>
        <w:spacing w:after="0" w:line="14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135255</wp:posOffset>
            </wp:positionV>
            <wp:extent cx="72466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920"/>
          </w:cols>
          <w:pgMar w:left="740" w:top="422"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 xml:space="preserve">Defaulting Lender </w:t>
      </w:r>
      <w:r>
        <w:rPr>
          <w:rFonts w:ascii="Arial" w:cs="Arial" w:eastAsia="Arial" w:hAnsi="Arial"/>
          <w:sz w:val="18"/>
          <w:szCs w:val="18"/>
          <w:color w:val="auto"/>
        </w:rPr>
        <w:t>means any Lender:</w:t>
      </w:r>
    </w:p>
    <w:p>
      <w:pPr>
        <w:spacing w:after="0" w:line="220" w:lineRule="exact"/>
        <w:rPr>
          <w:sz w:val="20"/>
          <w:szCs w:val="20"/>
          <w:color w:val="auto"/>
        </w:rPr>
      </w:pPr>
    </w:p>
    <w:p>
      <w:pPr>
        <w:ind w:left="540" w:hanging="532"/>
        <w:spacing w:after="0" w:line="246"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which has failed to make its participation in a Loan available or has notified the Agent that it will not make its participation in a Loan available by the Utilisation Date of that Loan in accordance with clause 5.4 (</w:t>
      </w:r>
      <w:r>
        <w:rPr>
          <w:rFonts w:ascii="Arial" w:cs="Arial" w:eastAsia="Arial" w:hAnsi="Arial"/>
          <w:sz w:val="18"/>
          <w:szCs w:val="18"/>
          <w:i w:val="1"/>
          <w:iCs w:val="1"/>
          <w:color w:val="auto"/>
        </w:rPr>
        <w:t>Lenders’ participation</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which has otherwise rescinded or repudiated a Finance Document; or</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 respect to which an Insolvency Event has occurred and is continuing,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unless, in the case of paragraph (a) above:</w:t>
      </w:r>
    </w:p>
    <w:p>
      <w:pPr>
        <w:spacing w:after="0" w:line="198"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198" w:lineRule="exact"/>
        <w:rPr>
          <w:rFonts w:ascii="Arial" w:cs="Arial" w:eastAsia="Arial" w:hAnsi="Arial"/>
          <w:sz w:val="18"/>
          <w:szCs w:val="18"/>
          <w:color w:val="auto"/>
        </w:rPr>
      </w:pPr>
    </w:p>
    <w:p>
      <w:pPr>
        <w:ind w:left="1620" w:hanging="531"/>
        <w:spacing w:after="0"/>
        <w:tabs>
          <w:tab w:leader="none" w:pos="1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198" w:lineRule="exact"/>
        <w:rPr>
          <w:rFonts w:ascii="Arial" w:cs="Arial" w:eastAsia="Arial" w:hAnsi="Arial"/>
          <w:sz w:val="18"/>
          <w:szCs w:val="18"/>
          <w:color w:val="auto"/>
        </w:rPr>
      </w:pPr>
    </w:p>
    <w:p>
      <w:pPr>
        <w:ind w:left="1620" w:hanging="531"/>
        <w:spacing w:after="0"/>
        <w:tabs>
          <w:tab w:leader="none" w:pos="1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 Payment Disruption Event; and,</w:t>
      </w:r>
    </w:p>
    <w:p>
      <w:pPr>
        <w:spacing w:after="0" w:line="19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payment is made within 3 Business Days of its due date; or</w:t>
      </w:r>
    </w:p>
    <w:p>
      <w:pPr>
        <w:spacing w:after="0" w:line="198"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Lender is disputing in good faith whether it is contractually obliged to make the payment in question.</w:t>
      </w:r>
    </w:p>
    <w:p>
      <w:pPr>
        <w:spacing w:after="0" w:line="17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color w:val="auto"/>
        </w:rPr>
        <w:t xml:space="preserve">Delegate </w:t>
      </w:r>
      <w:r>
        <w:rPr>
          <w:rFonts w:ascii="Arial" w:cs="Arial" w:eastAsia="Arial" w:hAnsi="Arial"/>
          <w:sz w:val="18"/>
          <w:szCs w:val="18"/>
          <w:color w:val="auto"/>
        </w:rPr>
        <w:t>means any delegate, agent, attorney, additional trustee or co-trustee appointed in writing by the Security Agent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any Finance Document.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Disposal Repayment Date </w:t>
      </w:r>
      <w:r>
        <w:rPr>
          <w:rFonts w:ascii="Arial" w:cs="Arial" w:eastAsia="Arial" w:hAnsi="Arial"/>
          <w:sz w:val="18"/>
          <w:szCs w:val="18"/>
          <w:color w:val="auto"/>
        </w:rPr>
        <w:t>means, in relation to:</w:t>
      </w:r>
    </w:p>
    <w:p>
      <w:pPr>
        <w:spacing w:after="0" w:line="220" w:lineRule="exact"/>
        <w:rPr>
          <w:sz w:val="20"/>
          <w:szCs w:val="20"/>
          <w:color w:val="auto"/>
        </w:rPr>
      </w:pPr>
    </w:p>
    <w:p>
      <w:pPr>
        <w:ind w:left="540" w:hanging="532"/>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Total Loss of a Mortgaged Ship, the applicable Total Loss Repayment Date; or</w:t>
      </w:r>
    </w:p>
    <w:p>
      <w:pPr>
        <w:spacing w:after="0" w:line="198" w:lineRule="exact"/>
        <w:rPr>
          <w:rFonts w:ascii="Arial" w:cs="Arial" w:eastAsia="Arial" w:hAnsi="Arial"/>
          <w:sz w:val="18"/>
          <w:szCs w:val="18"/>
          <w:color w:val="auto"/>
        </w:rPr>
      </w:pPr>
    </w:p>
    <w:p>
      <w:pPr>
        <w:jc w:val="both"/>
        <w:ind w:left="540" w:hanging="532"/>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sale of a Mortgaged Ship by the relevant Owner, the date upon which such sale is completed by the transfer of title to the purchaser in exchange for payment of all or part of the relevant purchase price (and upon or immediately prior to such completion).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Dropdown </w:t>
      </w:r>
      <w:r>
        <w:rPr>
          <w:rFonts w:ascii="Arial" w:cs="Arial" w:eastAsia="Arial" w:hAnsi="Arial"/>
          <w:sz w:val="18"/>
          <w:szCs w:val="18"/>
          <w:color w:val="auto"/>
        </w:rPr>
        <w:t>has the meaning given to it in clause 21.15 (</w:t>
      </w:r>
      <w:r>
        <w:rPr>
          <w:rFonts w:ascii="Arial" w:cs="Arial" w:eastAsia="Arial" w:hAnsi="Arial"/>
          <w:sz w:val="18"/>
          <w:szCs w:val="18"/>
          <w:i w:val="1"/>
          <w:iCs w:val="1"/>
          <w:color w:val="auto"/>
        </w:rPr>
        <w:t>Guarantee limited recourse arrangements</w:t>
      </w:r>
      <w:r>
        <w:rPr>
          <w:rFonts w:ascii="Arial" w:cs="Arial" w:eastAsia="Arial" w:hAnsi="Arial"/>
          <w:sz w:val="18"/>
          <w:szCs w:val="18"/>
          <w:color w:val="auto"/>
        </w:rPr>
        <w:t>).</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Earnings </w:t>
      </w:r>
      <w:r>
        <w:rPr>
          <w:rFonts w:ascii="Arial" w:cs="Arial" w:eastAsia="Arial" w:hAnsi="Arial"/>
          <w:sz w:val="18"/>
          <w:szCs w:val="18"/>
          <w:color w:val="auto"/>
        </w:rPr>
        <w:t>means, in relation to a Ship and a person, all money at any time payable to that person for or in relation to the use or</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 of such Ship including (without limitation) freight, hire and passage moneys, money payable to that person for the provision of services by or from such Ship or under any charter commitment, requisition for hire compensation, remuneration for salvage and towage services, demurrage and detention moneys and damages for breach and payments for termination or variation of any charter commitment and contributions of any nature whatsoever in respect of general average.</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Earnings Account </w:t>
      </w:r>
      <w:r>
        <w:rPr>
          <w:rFonts w:ascii="Arial" w:cs="Arial" w:eastAsia="Arial" w:hAnsi="Arial"/>
          <w:sz w:val="18"/>
          <w:szCs w:val="18"/>
          <w:color w:val="auto"/>
        </w:rPr>
        <w:t>means each of the interest bearing dollar accounts of a Borrower with the Account Bank designated as an</w:t>
      </w:r>
      <w:r>
        <w:rPr>
          <w:rFonts w:ascii="Arial" w:cs="Arial" w:eastAsia="Arial" w:hAnsi="Arial"/>
          <w:sz w:val="18"/>
          <w:szCs w:val="18"/>
          <w:b w:val="1"/>
          <w:bCs w:val="1"/>
          <w:color w:val="auto"/>
        </w:rPr>
        <w:t xml:space="preserve"> Earnings Account </w:t>
      </w:r>
      <w:r>
        <w:rPr>
          <w:rFonts w:ascii="Arial" w:cs="Arial" w:eastAsia="Arial" w:hAnsi="Arial"/>
          <w:sz w:val="18"/>
          <w:szCs w:val="18"/>
          <w:color w:val="auto"/>
        </w:rPr>
        <w:t>under clause 27 (Bank</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accounts</w:t>
      </w:r>
      <w:r>
        <w:rPr>
          <w:rFonts w:ascii="Arial" w:cs="Arial" w:eastAsia="Arial" w:hAnsi="Arial"/>
          <w:sz w:val="18"/>
          <w:szCs w:val="18"/>
          <w:color w:val="auto"/>
        </w:rPr>
        <w:t>), and</w:t>
      </w:r>
      <w:r>
        <w:rPr>
          <w:rFonts w:ascii="Arial" w:cs="Arial" w:eastAsia="Arial" w:hAnsi="Arial"/>
          <w:sz w:val="18"/>
          <w:szCs w:val="18"/>
          <w:b w:val="1"/>
          <w:bCs w:val="1"/>
          <w:color w:val="auto"/>
        </w:rPr>
        <w:t xml:space="preserve"> Earnings Accounts </w:t>
      </w:r>
      <w:r>
        <w:rPr>
          <w:rFonts w:ascii="Arial" w:cs="Arial" w:eastAsia="Arial" w:hAnsi="Arial"/>
          <w:sz w:val="18"/>
          <w:szCs w:val="18"/>
          <w:color w:val="auto"/>
        </w:rPr>
        <w:t>means all of them.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Environmental Claims </w:t>
      </w:r>
      <w:r>
        <w:rPr>
          <w:rFonts w:ascii="Arial" w:cs="Arial" w:eastAsia="Arial" w:hAnsi="Arial"/>
          <w:sz w:val="18"/>
          <w:szCs w:val="18"/>
          <w:color w:val="auto"/>
        </w:rPr>
        <w:t>means:</w:t>
      </w:r>
    </w:p>
    <w:p>
      <w:pPr>
        <w:spacing w:after="0" w:line="220" w:lineRule="exact"/>
        <w:rPr>
          <w:sz w:val="20"/>
          <w:szCs w:val="20"/>
          <w:color w:val="auto"/>
        </w:rPr>
      </w:pPr>
    </w:p>
    <w:p>
      <w:pPr>
        <w:ind w:left="540" w:hanging="532"/>
        <w:spacing w:after="0" w:line="246"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enforcement, clean-up, removal or other governmental or regulatory action or orders or claims instituted or made pursuant to any Environmental Laws or resulting from a Spill; or</w:t>
      </w:r>
    </w:p>
    <w:p>
      <w:pPr>
        <w:spacing w:after="0" w:line="183" w:lineRule="exact"/>
        <w:rPr>
          <w:rFonts w:ascii="Arial" w:cs="Arial" w:eastAsia="Arial" w:hAnsi="Arial"/>
          <w:sz w:val="18"/>
          <w:szCs w:val="18"/>
          <w:color w:val="auto"/>
        </w:rPr>
      </w:pPr>
    </w:p>
    <w:p>
      <w:pPr>
        <w:ind w:left="540" w:hanging="532"/>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claim made by any other person relating to a Spill.</w:t>
      </w:r>
    </w:p>
    <w:p>
      <w:pPr>
        <w:spacing w:after="0" w:line="18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135255</wp:posOffset>
            </wp:positionV>
            <wp:extent cx="72466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80"/>
          </w:cols>
          <w:pgMar w:left="780" w:top="400" w:right="239" w:bottom="1440" w:gutter="0" w:footer="0" w:header="0"/>
        </w:sectPr>
      </w:pPr>
    </w:p>
    <w:bookmarkStart w:id="58" w:name="page59"/>
    <w:bookmarkEnd w:id="58"/>
    <w:p>
      <w:pPr>
        <w:ind w:left="40"/>
        <w:spacing w:after="0"/>
        <w:rPr>
          <w:sz w:val="20"/>
          <w:szCs w:val="20"/>
          <w:color w:val="auto"/>
        </w:rPr>
      </w:pPr>
      <w:r>
        <w:rPr>
          <w:rFonts w:ascii="Arial" w:cs="Arial" w:eastAsia="Arial" w:hAnsi="Arial"/>
          <w:sz w:val="18"/>
          <w:szCs w:val="18"/>
          <w:b w:val="1"/>
          <w:bCs w:val="1"/>
          <w:color w:val="auto"/>
        </w:rPr>
        <w:t xml:space="preserve">Environmental Incident </w:t>
      </w:r>
      <w:r>
        <w:rPr>
          <w:rFonts w:ascii="Arial" w:cs="Arial" w:eastAsia="Arial" w:hAnsi="Arial"/>
          <w:sz w:val="18"/>
          <w:szCs w:val="18"/>
          <w:color w:val="auto"/>
        </w:rPr>
        <w:t>means any Spill from any vessel in circumstances where:</w:t>
      </w:r>
    </w:p>
    <w:p>
      <w:pPr>
        <w:spacing w:after="0" w:line="220" w:lineRule="exact"/>
        <w:rPr>
          <w:sz w:val="20"/>
          <w:szCs w:val="20"/>
          <w:color w:val="auto"/>
        </w:rPr>
      </w:pPr>
    </w:p>
    <w:p>
      <w:pPr>
        <w:ind w:left="580" w:hanging="532"/>
        <w:spacing w:after="0" w:line="246"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Fleet Vessel or its owner, operator or manager may be liable for Environmental Claims arising from the Spill (other than Environmental Claims arising and fully satisfied before the date of this Agreement); and/or</w:t>
      </w:r>
    </w:p>
    <w:p>
      <w:pPr>
        <w:spacing w:after="0" w:line="183" w:lineRule="exact"/>
        <w:rPr>
          <w:rFonts w:ascii="Arial" w:cs="Arial" w:eastAsia="Arial" w:hAnsi="Arial"/>
          <w:sz w:val="18"/>
          <w:szCs w:val="18"/>
          <w:color w:val="auto"/>
        </w:rPr>
      </w:pPr>
    </w:p>
    <w:p>
      <w:pPr>
        <w:ind w:left="580" w:hanging="532"/>
        <w:spacing w:after="0"/>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Fleet Vessel may be arrested or attached in connection with any such Environmental Claim.</w:t>
      </w:r>
    </w:p>
    <w:p>
      <w:pPr>
        <w:spacing w:after="0" w:line="176" w:lineRule="exact"/>
        <w:rPr>
          <w:sz w:val="20"/>
          <w:szCs w:val="20"/>
          <w:color w:val="auto"/>
        </w:rPr>
      </w:pPr>
    </w:p>
    <w:p>
      <w:pPr>
        <w:jc w:val="both"/>
        <w:ind w:left="40" w:right="20"/>
        <w:spacing w:after="0" w:line="271" w:lineRule="auto"/>
        <w:rPr>
          <w:sz w:val="20"/>
          <w:szCs w:val="20"/>
          <w:color w:val="auto"/>
        </w:rPr>
      </w:pPr>
      <w:r>
        <w:rPr>
          <w:rFonts w:ascii="Arial" w:cs="Arial" w:eastAsia="Arial" w:hAnsi="Arial"/>
          <w:sz w:val="18"/>
          <w:szCs w:val="18"/>
          <w:b w:val="1"/>
          <w:bCs w:val="1"/>
          <w:color w:val="auto"/>
        </w:rPr>
        <w:t xml:space="preserve">Environmental Laws </w:t>
      </w:r>
      <w:r>
        <w:rPr>
          <w:rFonts w:ascii="Arial" w:cs="Arial" w:eastAsia="Arial" w:hAnsi="Arial"/>
          <w:sz w:val="18"/>
          <w:szCs w:val="18"/>
          <w:color w:val="auto"/>
        </w:rPr>
        <w:t>means all laws, regulations and conventions concerning pollution or protection of human health or the</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Event of Default </w:t>
      </w:r>
      <w:r>
        <w:rPr>
          <w:rFonts w:ascii="Arial" w:cs="Arial" w:eastAsia="Arial" w:hAnsi="Arial"/>
          <w:sz w:val="18"/>
          <w:szCs w:val="18"/>
          <w:color w:val="auto"/>
        </w:rPr>
        <w:t>means any event or circumstance specified as such in clause 29 (</w:t>
      </w: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198" w:lineRule="exact"/>
        <w:rPr>
          <w:sz w:val="20"/>
          <w:szCs w:val="20"/>
          <w:color w:val="auto"/>
        </w:rPr>
      </w:pPr>
    </w:p>
    <w:p>
      <w:pPr>
        <w:jc w:val="both"/>
        <w:ind w:left="40"/>
        <w:spacing w:after="0" w:line="247" w:lineRule="auto"/>
        <w:rPr>
          <w:sz w:val="20"/>
          <w:szCs w:val="20"/>
          <w:color w:val="auto"/>
        </w:rPr>
      </w:pPr>
      <w:r>
        <w:rPr>
          <w:rFonts w:ascii="Arial" w:cs="Arial" w:eastAsia="Arial" w:hAnsi="Arial"/>
          <w:sz w:val="18"/>
          <w:szCs w:val="18"/>
          <w:b w:val="1"/>
          <w:bCs w:val="1"/>
          <w:color w:val="auto"/>
        </w:rPr>
        <w:t xml:space="preserve">Existing Indebtedness </w:t>
      </w:r>
      <w:r>
        <w:rPr>
          <w:rFonts w:ascii="Arial" w:cs="Arial" w:eastAsia="Arial" w:hAnsi="Arial"/>
          <w:sz w:val="18"/>
          <w:szCs w:val="18"/>
          <w:color w:val="auto"/>
        </w:rPr>
        <w:t>means, at any relevant time, the aggregate principal amounts owing by the Borrowers or any of them and</w:t>
      </w:r>
      <w:r>
        <w:rPr>
          <w:rFonts w:ascii="Arial" w:cs="Arial" w:eastAsia="Arial" w:hAnsi="Arial"/>
          <w:sz w:val="18"/>
          <w:szCs w:val="18"/>
          <w:b w:val="1"/>
          <w:bCs w:val="1"/>
          <w:color w:val="auto"/>
        </w:rPr>
        <w:t xml:space="preserve"> </w:t>
      </w:r>
      <w:r>
        <w:rPr>
          <w:rFonts w:ascii="Arial" w:cs="Arial" w:eastAsia="Arial" w:hAnsi="Arial"/>
          <w:sz w:val="18"/>
          <w:szCs w:val="18"/>
          <w:color w:val="auto"/>
        </w:rPr>
        <w:t>secured on the Ships or any of them by way of first priority ship mortgage or mortgages, under certain credit facilities as disclosed by or on behalf of the Borrowers to the Lenders prior to the date of this Agreement, together with interest thereon and any other amounts owing thereunder or in connection therewith.</w:t>
      </w:r>
    </w:p>
    <w:p>
      <w:pPr>
        <w:spacing w:after="0" w:line="161" w:lineRule="exact"/>
        <w:rPr>
          <w:sz w:val="20"/>
          <w:szCs w:val="20"/>
          <w:color w:val="auto"/>
        </w:rPr>
      </w:pPr>
    </w:p>
    <w:p>
      <w:pPr>
        <w:ind w:left="40" w:right="720"/>
        <w:spacing w:after="0" w:line="478" w:lineRule="auto"/>
        <w:rPr>
          <w:sz w:val="20"/>
          <w:szCs w:val="20"/>
          <w:color w:val="auto"/>
        </w:rPr>
      </w:pPr>
      <w:r>
        <w:rPr>
          <w:rFonts w:ascii="Arial" w:cs="Arial" w:eastAsia="Arial" w:hAnsi="Arial"/>
          <w:sz w:val="18"/>
          <w:szCs w:val="18"/>
          <w:b w:val="1"/>
          <w:bCs w:val="1"/>
          <w:color w:val="auto"/>
        </w:rPr>
        <w:t xml:space="preserve">Existing Indebtedness Lender </w:t>
      </w:r>
      <w:r>
        <w:rPr>
          <w:rFonts w:ascii="Arial" w:cs="Arial" w:eastAsia="Arial" w:hAnsi="Arial"/>
          <w:sz w:val="18"/>
          <w:szCs w:val="18"/>
          <w:color w:val="auto"/>
        </w:rPr>
        <w:t>means any bank, financial institution or other person, who is a lender of Existing Indebtedness.</w:t>
      </w:r>
      <w:r>
        <w:rPr>
          <w:rFonts w:ascii="Arial" w:cs="Arial" w:eastAsia="Arial" w:hAnsi="Arial"/>
          <w:sz w:val="18"/>
          <w:szCs w:val="18"/>
          <w:b w:val="1"/>
          <w:bCs w:val="1"/>
          <w:color w:val="auto"/>
        </w:rPr>
        <w:t xml:space="preserve"> Facilities </w:t>
      </w:r>
      <w:r>
        <w:rPr>
          <w:rFonts w:ascii="Arial" w:cs="Arial" w:eastAsia="Arial" w:hAnsi="Arial"/>
          <w:sz w:val="18"/>
          <w:szCs w:val="18"/>
          <w:color w:val="auto"/>
        </w:rPr>
        <w:t>means the Term Loan Facility and the Revolving Loan Facility and</w:t>
      </w:r>
      <w:r>
        <w:rPr>
          <w:rFonts w:ascii="Arial" w:cs="Arial" w:eastAsia="Arial" w:hAnsi="Arial"/>
          <w:sz w:val="18"/>
          <w:szCs w:val="18"/>
          <w:b w:val="1"/>
          <w:bCs w:val="1"/>
          <w:color w:val="auto"/>
        </w:rPr>
        <w:t xml:space="preserve"> Facility </w:t>
      </w:r>
      <w:r>
        <w:rPr>
          <w:rFonts w:ascii="Arial" w:cs="Arial" w:eastAsia="Arial" w:hAnsi="Arial"/>
          <w:sz w:val="18"/>
          <w:szCs w:val="18"/>
          <w:color w:val="auto"/>
        </w:rPr>
        <w:t>means any of them.</w:t>
      </w:r>
      <w:r>
        <w:rPr>
          <w:rFonts w:ascii="Arial" w:cs="Arial" w:eastAsia="Arial" w:hAnsi="Arial"/>
          <w:sz w:val="18"/>
          <w:szCs w:val="18"/>
          <w:b w:val="1"/>
          <w:bCs w:val="1"/>
          <w:color w:val="auto"/>
        </w:rPr>
        <w:t xml:space="preserve"> Facility Office </w:t>
      </w:r>
      <w:r>
        <w:rPr>
          <w:rFonts w:ascii="Arial" w:cs="Arial" w:eastAsia="Arial" w:hAnsi="Arial"/>
          <w:sz w:val="18"/>
          <w:szCs w:val="18"/>
          <w:color w:val="auto"/>
        </w:rPr>
        <w:t>means:</w:t>
      </w:r>
    </w:p>
    <w:p>
      <w:pPr>
        <w:spacing w:after="0" w:line="1" w:lineRule="exact"/>
        <w:rPr>
          <w:sz w:val="20"/>
          <w:szCs w:val="20"/>
          <w:color w:val="auto"/>
        </w:rPr>
      </w:pPr>
    </w:p>
    <w:p>
      <w:pPr>
        <w:jc w:val="both"/>
        <w:ind w:left="540" w:hanging="532"/>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respect of a Lender, the office or offices notified by that Lender to the Agent in writing on or before the date it becomes a Lender (or, following that date, by not less than five (5) Business Days’ written notice) as the office through which it will perform its obligations under this Agreement; and</w:t>
      </w:r>
    </w:p>
    <w:p>
      <w:pPr>
        <w:spacing w:after="0" w:line="189" w:lineRule="exact"/>
        <w:rPr>
          <w:rFonts w:ascii="Arial" w:cs="Arial" w:eastAsia="Arial" w:hAnsi="Arial"/>
          <w:sz w:val="18"/>
          <w:szCs w:val="18"/>
          <w:color w:val="auto"/>
        </w:rPr>
      </w:pPr>
    </w:p>
    <w:p>
      <w:pPr>
        <w:ind w:left="580" w:hanging="532"/>
        <w:spacing w:after="0"/>
        <w:tabs>
          <w:tab w:leader="none" w:pos="5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 respect of any other Finance Party, the office in the jurisdiction in which it is resident for Tax purposes.</w:t>
      </w:r>
    </w:p>
    <w:p>
      <w:pPr>
        <w:spacing w:after="0" w:line="176" w:lineRule="exact"/>
        <w:rPr>
          <w:sz w:val="20"/>
          <w:szCs w:val="20"/>
          <w:color w:val="auto"/>
        </w:rPr>
      </w:pPr>
    </w:p>
    <w:p>
      <w:pPr>
        <w:jc w:val="both"/>
        <w:ind w:left="40"/>
        <w:spacing w:after="0" w:line="253" w:lineRule="auto"/>
        <w:rPr>
          <w:sz w:val="20"/>
          <w:szCs w:val="20"/>
          <w:color w:val="auto"/>
        </w:rPr>
      </w:pPr>
      <w:r>
        <w:rPr>
          <w:rFonts w:ascii="Arial" w:cs="Arial" w:eastAsia="Arial" w:hAnsi="Arial"/>
          <w:sz w:val="18"/>
          <w:szCs w:val="18"/>
          <w:b w:val="1"/>
          <w:bCs w:val="1"/>
          <w:color w:val="auto"/>
        </w:rPr>
        <w:t xml:space="preserve">Facility Period </w:t>
      </w:r>
      <w:r>
        <w:rPr>
          <w:rFonts w:ascii="Arial" w:cs="Arial" w:eastAsia="Arial" w:hAnsi="Arial"/>
          <w:sz w:val="18"/>
          <w:szCs w:val="18"/>
          <w:color w:val="auto"/>
        </w:rPr>
        <w:t>means the period from and including the date of this Agreement to and including the date on which the Total</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Commitments have reduced to zero and all indebtedness of the Obligors under the Finance Documents has been irrevocably and unconditionally paid and discharged in full.</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FATCA </w:t>
      </w:r>
      <w:r>
        <w:rPr>
          <w:rFonts w:ascii="Arial" w:cs="Arial" w:eastAsia="Arial" w:hAnsi="Arial"/>
          <w:sz w:val="18"/>
          <w:szCs w:val="18"/>
          <w:color w:val="auto"/>
        </w:rPr>
        <w:t>means:</w:t>
      </w:r>
    </w:p>
    <w:p>
      <w:pPr>
        <w:spacing w:after="0" w:line="220" w:lineRule="exact"/>
        <w:rPr>
          <w:sz w:val="20"/>
          <w:szCs w:val="20"/>
          <w:color w:val="auto"/>
        </w:rPr>
      </w:pPr>
    </w:p>
    <w:p>
      <w:pPr>
        <w:ind w:left="540" w:hanging="532"/>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sections 1471 to 1474 of the Code or any associated regulations;</w:t>
      </w:r>
    </w:p>
    <w:p>
      <w:pPr>
        <w:spacing w:after="0" w:line="198" w:lineRule="exact"/>
        <w:rPr>
          <w:rFonts w:ascii="Arial" w:cs="Arial" w:eastAsia="Arial" w:hAnsi="Arial"/>
          <w:sz w:val="18"/>
          <w:szCs w:val="18"/>
          <w:color w:val="auto"/>
        </w:rPr>
      </w:pPr>
    </w:p>
    <w:p>
      <w:pPr>
        <w:jc w:val="both"/>
        <w:ind w:left="540" w:hanging="532"/>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treaty, law or a regulation of any other jurisdiction, or relating to an intergovernmental agreement between the US and any other jurisdiction, which (in either case) facilitates the implementation of any law or regulation referred to in paragraph (a) above; or</w:t>
      </w:r>
    </w:p>
    <w:p>
      <w:pPr>
        <w:spacing w:after="0" w:line="189" w:lineRule="exact"/>
        <w:rPr>
          <w:rFonts w:ascii="Arial" w:cs="Arial" w:eastAsia="Arial" w:hAnsi="Arial"/>
          <w:sz w:val="18"/>
          <w:szCs w:val="18"/>
          <w:color w:val="auto"/>
        </w:rPr>
      </w:pPr>
    </w:p>
    <w:p>
      <w:pPr>
        <w:ind w:left="540" w:hanging="532"/>
        <w:spacing w:after="0" w:line="246"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agreement pursuant to the implementation of any treaty, law or regulation referred to in paragraphs (a) or (b) above with the US Internal Revenue Service, the US government or any governmental or taxation authority in any other jurisdiction.</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FATCA Application Date </w:t>
      </w:r>
      <w:r>
        <w:rPr>
          <w:rFonts w:ascii="Arial" w:cs="Arial" w:eastAsia="Arial" w:hAnsi="Arial"/>
          <w:sz w:val="18"/>
          <w:szCs w:val="18"/>
          <w:color w:val="auto"/>
        </w:rPr>
        <w:t>means:</w:t>
      </w:r>
    </w:p>
    <w:p>
      <w:pPr>
        <w:spacing w:after="0" w:line="220" w:lineRule="exact"/>
        <w:rPr>
          <w:sz w:val="20"/>
          <w:szCs w:val="20"/>
          <w:color w:val="auto"/>
        </w:rPr>
      </w:pPr>
    </w:p>
    <w:p>
      <w:pPr>
        <w:ind w:left="540" w:hanging="532"/>
        <w:spacing w:after="0" w:line="246"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relation to a “withholdable payment” described in section 1473(1)(A)(i) of the Code (which relates to payments of interest and certain other payments from sources within the US), 1 July 2014;</w:t>
      </w:r>
    </w:p>
    <w:p>
      <w:pPr>
        <w:spacing w:after="0" w:line="170"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135255</wp:posOffset>
            </wp:positionV>
            <wp:extent cx="72466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920"/>
          </w:cols>
          <w:pgMar w:left="740" w:top="400" w:right="239" w:bottom="1440" w:gutter="0" w:footer="0" w:header="0"/>
        </w:sectPr>
      </w:pPr>
    </w:p>
    <w:bookmarkStart w:id="59" w:name="page60"/>
    <w:bookmarkEnd w:id="59"/>
    <w:p>
      <w:pPr>
        <w:ind w:left="540" w:hanging="532"/>
        <w:spacing w:after="0" w:line="246"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relation to a “withholdable payment” described in section 1473(1)(A)(ii) of the Code (which relates to “gross proceeds” from the disposition of property of a type that can produce interest from sources within the US), 1 January 2019; or</w:t>
      </w:r>
    </w:p>
    <w:p>
      <w:pPr>
        <w:spacing w:after="0" w:line="183" w:lineRule="exact"/>
        <w:rPr>
          <w:rFonts w:ascii="Arial" w:cs="Arial" w:eastAsia="Arial" w:hAnsi="Arial"/>
          <w:sz w:val="18"/>
          <w:szCs w:val="18"/>
          <w:color w:val="auto"/>
        </w:rPr>
      </w:pPr>
    </w:p>
    <w:p>
      <w:pPr>
        <w:ind w:left="540" w:hanging="532"/>
        <w:spacing w:after="0" w:line="246"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relation to a “passthru payment” described in section 1471(d)(7) of the Code not falling within paragraphs (a) or (b) above, 1 January 2019,</w:t>
      </w:r>
    </w:p>
    <w:p>
      <w:pPr>
        <w:spacing w:after="0" w:line="183" w:lineRule="exact"/>
        <w:rPr>
          <w:sz w:val="20"/>
          <w:szCs w:val="20"/>
          <w:color w:val="auto"/>
        </w:rPr>
      </w:pPr>
    </w:p>
    <w:p>
      <w:pPr>
        <w:ind w:left="40"/>
        <w:spacing w:after="0" w:line="246" w:lineRule="auto"/>
        <w:rPr>
          <w:sz w:val="20"/>
          <w:szCs w:val="20"/>
          <w:color w:val="auto"/>
        </w:rPr>
      </w:pPr>
      <w:r>
        <w:rPr>
          <w:rFonts w:ascii="Arial" w:cs="Arial" w:eastAsia="Arial" w:hAnsi="Arial"/>
          <w:sz w:val="18"/>
          <w:szCs w:val="18"/>
          <w:color w:val="auto"/>
        </w:rPr>
        <w:t>or, in each case, such other date from which such payment may become subject to a deduction or withholding required by FATCA as a result of any change in FATCA after the date of this Agreement.</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FATCA Deduction </w:t>
      </w:r>
      <w:r>
        <w:rPr>
          <w:rFonts w:ascii="Arial" w:cs="Arial" w:eastAsia="Arial" w:hAnsi="Arial"/>
          <w:sz w:val="18"/>
          <w:szCs w:val="18"/>
          <w:color w:val="auto"/>
        </w:rPr>
        <w:t>means a deduction or withholding from a payment under a Finance Document required by FATCA.</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FATCA Exempt Party </w:t>
      </w:r>
      <w:r>
        <w:rPr>
          <w:rFonts w:ascii="Arial" w:cs="Arial" w:eastAsia="Arial" w:hAnsi="Arial"/>
          <w:sz w:val="18"/>
          <w:szCs w:val="18"/>
          <w:color w:val="auto"/>
        </w:rPr>
        <w:t>means a Party that is entitled to receive payments free from any FATCA Deduction.</w:t>
      </w:r>
    </w:p>
    <w:p>
      <w:pPr>
        <w:spacing w:after="0" w:line="198" w:lineRule="exact"/>
        <w:rPr>
          <w:sz w:val="20"/>
          <w:szCs w:val="20"/>
          <w:color w:val="auto"/>
        </w:rPr>
      </w:pPr>
    </w:p>
    <w:p>
      <w:pPr>
        <w:ind w:left="40" w:right="20"/>
        <w:spacing w:after="0" w:line="271" w:lineRule="auto"/>
        <w:rPr>
          <w:sz w:val="20"/>
          <w:szCs w:val="20"/>
          <w:color w:val="auto"/>
        </w:rPr>
      </w:pPr>
      <w:r>
        <w:rPr>
          <w:rFonts w:ascii="Arial" w:cs="Arial" w:eastAsia="Arial" w:hAnsi="Arial"/>
          <w:sz w:val="18"/>
          <w:szCs w:val="18"/>
          <w:b w:val="1"/>
          <w:bCs w:val="1"/>
          <w:color w:val="auto"/>
        </w:rPr>
        <w:t xml:space="preserve">Fee Letters </w:t>
      </w:r>
      <w:r>
        <w:rPr>
          <w:rFonts w:ascii="Arial" w:cs="Arial" w:eastAsia="Arial" w:hAnsi="Arial"/>
          <w:sz w:val="18"/>
          <w:szCs w:val="18"/>
          <w:color w:val="auto"/>
        </w:rPr>
        <w:t>means any letters entered into between (a) any Finance Parties and (b) any Obligors by reference to this Agreement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relation to any fees payable to any Finance Parties and </w:t>
      </w:r>
      <w:r>
        <w:rPr>
          <w:rFonts w:ascii="Arial" w:cs="Arial" w:eastAsia="Arial" w:hAnsi="Arial"/>
          <w:sz w:val="18"/>
          <w:szCs w:val="18"/>
          <w:b w:val="1"/>
          <w:bCs w:val="1"/>
          <w:color w:val="auto"/>
        </w:rPr>
        <w:t>Fee Letter</w:t>
      </w:r>
      <w:r>
        <w:rPr>
          <w:rFonts w:ascii="Arial" w:cs="Arial" w:eastAsia="Arial" w:hAnsi="Arial"/>
          <w:sz w:val="18"/>
          <w:szCs w:val="18"/>
          <w:color w:val="auto"/>
        </w:rPr>
        <w:t xml:space="preserve"> means any one of them.</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Final Maturity Date </w:t>
      </w:r>
      <w:r>
        <w:rPr>
          <w:rFonts w:ascii="Arial" w:cs="Arial" w:eastAsia="Arial" w:hAnsi="Arial"/>
          <w:sz w:val="18"/>
          <w:szCs w:val="18"/>
          <w:color w:val="auto"/>
        </w:rPr>
        <w:t>means the Final Repayment Date which falls due last.</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Final Repayment Date </w:t>
      </w:r>
      <w:r>
        <w:rPr>
          <w:rFonts w:ascii="Arial" w:cs="Arial" w:eastAsia="Arial" w:hAnsi="Arial"/>
          <w:sz w:val="18"/>
          <w:szCs w:val="18"/>
          <w:color w:val="auto"/>
        </w:rPr>
        <w:t>means, subject to clause 35.7 (</w:t>
      </w:r>
      <w:r>
        <w:rPr>
          <w:rFonts w:ascii="Arial" w:cs="Arial" w:eastAsia="Arial" w:hAnsi="Arial"/>
          <w:sz w:val="18"/>
          <w:szCs w:val="18"/>
          <w:i w:val="1"/>
          <w:iCs w:val="1"/>
          <w:color w:val="auto"/>
        </w:rPr>
        <w:t>Business Days</w:t>
      </w:r>
      <w:r>
        <w:rPr>
          <w:rFonts w:ascii="Arial" w:cs="Arial" w:eastAsia="Arial" w:hAnsi="Arial"/>
          <w:sz w:val="18"/>
          <w:szCs w:val="18"/>
          <w:color w:val="auto"/>
        </w:rPr>
        <w:t>):</w:t>
      </w:r>
    </w:p>
    <w:p>
      <w:pPr>
        <w:spacing w:after="0" w:line="220" w:lineRule="exact"/>
        <w:rPr>
          <w:sz w:val="20"/>
          <w:szCs w:val="20"/>
          <w:color w:val="auto"/>
        </w:rPr>
      </w:pPr>
    </w:p>
    <w:p>
      <w:pPr>
        <w:ind w:left="540" w:hanging="532"/>
        <w:spacing w:after="0" w:line="246"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respect of each Term Loan, the earlier of (i) 1 July 2021 and (ii) the date falling 54 months after the First Repayment Date for that Term Loan; or</w:t>
      </w:r>
    </w:p>
    <w:p>
      <w:pPr>
        <w:spacing w:after="0" w:line="183" w:lineRule="exact"/>
        <w:rPr>
          <w:rFonts w:ascii="Arial" w:cs="Arial" w:eastAsia="Arial" w:hAnsi="Arial"/>
          <w:sz w:val="18"/>
          <w:szCs w:val="18"/>
          <w:color w:val="auto"/>
        </w:rPr>
      </w:pPr>
    </w:p>
    <w:p>
      <w:pPr>
        <w:ind w:left="540" w:hanging="532"/>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respect of the Revolving Loans, the earlier of (i) 1 July 2021 and (ii) the date falling 60 months after the date of this Agreement.</w:t>
      </w:r>
    </w:p>
    <w:p>
      <w:pPr>
        <w:spacing w:after="0" w:line="176" w:lineRule="exact"/>
        <w:rPr>
          <w:sz w:val="20"/>
          <w:szCs w:val="20"/>
          <w:color w:val="auto"/>
        </w:rPr>
      </w:pPr>
    </w:p>
    <w:p>
      <w:pPr>
        <w:ind w:left="40"/>
        <w:spacing w:after="0" w:line="271" w:lineRule="auto"/>
        <w:rPr>
          <w:sz w:val="20"/>
          <w:szCs w:val="20"/>
          <w:color w:val="auto"/>
        </w:rPr>
      </w:pPr>
      <w:r>
        <w:rPr>
          <w:rFonts w:ascii="Arial" w:cs="Arial" w:eastAsia="Arial" w:hAnsi="Arial"/>
          <w:sz w:val="18"/>
          <w:szCs w:val="18"/>
          <w:b w:val="1"/>
          <w:bCs w:val="1"/>
          <w:color w:val="auto"/>
        </w:rPr>
        <w:t xml:space="preserve">Finance Documents </w:t>
      </w:r>
      <w:r>
        <w:rPr>
          <w:rFonts w:ascii="Arial" w:cs="Arial" w:eastAsia="Arial" w:hAnsi="Arial"/>
          <w:sz w:val="18"/>
          <w:szCs w:val="18"/>
          <w:color w:val="auto"/>
        </w:rPr>
        <w:t>means this Agreement, any Fee Letter, the Security Documents, any Transfer Certificate and any other document</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as such by the Agent and the Borrowers.</w:t>
      </w:r>
    </w:p>
    <w:p>
      <w:pPr>
        <w:spacing w:after="0" w:line="140" w:lineRule="exact"/>
        <w:rPr>
          <w:sz w:val="20"/>
          <w:szCs w:val="20"/>
          <w:color w:val="auto"/>
        </w:rPr>
      </w:pPr>
    </w:p>
    <w:p>
      <w:pPr>
        <w:ind w:left="40"/>
        <w:spacing w:after="0" w:line="271" w:lineRule="auto"/>
        <w:rPr>
          <w:sz w:val="20"/>
          <w:szCs w:val="20"/>
          <w:color w:val="auto"/>
        </w:rPr>
      </w:pPr>
      <w:r>
        <w:rPr>
          <w:rFonts w:ascii="Arial" w:cs="Arial" w:eastAsia="Arial" w:hAnsi="Arial"/>
          <w:sz w:val="18"/>
          <w:szCs w:val="18"/>
          <w:b w:val="1"/>
          <w:bCs w:val="1"/>
          <w:color w:val="auto"/>
        </w:rPr>
        <w:t xml:space="preserve">Finance Party </w:t>
      </w:r>
      <w:r>
        <w:rPr>
          <w:rFonts w:ascii="Arial" w:cs="Arial" w:eastAsia="Arial" w:hAnsi="Arial"/>
          <w:sz w:val="18"/>
          <w:szCs w:val="18"/>
          <w:color w:val="auto"/>
        </w:rPr>
        <w:t>means the Agent, the Security Agent, the Global Co-ordinator, the Bookrunner, any Arranger, a Lender or the Account</w:t>
      </w:r>
      <w:r>
        <w:rPr>
          <w:rFonts w:ascii="Arial" w:cs="Arial" w:eastAsia="Arial" w:hAnsi="Arial"/>
          <w:sz w:val="18"/>
          <w:szCs w:val="18"/>
          <w:b w:val="1"/>
          <w:bCs w:val="1"/>
          <w:color w:val="auto"/>
        </w:rPr>
        <w:t xml:space="preserve"> </w:t>
      </w:r>
      <w:r>
        <w:rPr>
          <w:rFonts w:ascii="Arial" w:cs="Arial" w:eastAsia="Arial" w:hAnsi="Arial"/>
          <w:sz w:val="18"/>
          <w:szCs w:val="18"/>
          <w:color w:val="auto"/>
        </w:rPr>
        <w:t>Bank.</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Financial Indebtedness </w:t>
      </w:r>
      <w:r>
        <w:rPr>
          <w:rFonts w:ascii="Arial" w:cs="Arial" w:eastAsia="Arial" w:hAnsi="Arial"/>
          <w:sz w:val="18"/>
          <w:szCs w:val="18"/>
          <w:color w:val="auto"/>
        </w:rPr>
        <w:t>means any indebtedness for or in respect of:</w:t>
      </w:r>
    </w:p>
    <w:p>
      <w:pPr>
        <w:spacing w:after="0" w:line="220" w:lineRule="exact"/>
        <w:rPr>
          <w:sz w:val="20"/>
          <w:szCs w:val="20"/>
          <w:color w:val="auto"/>
        </w:rPr>
      </w:pPr>
    </w:p>
    <w:p>
      <w:pPr>
        <w:ind w:left="580" w:hanging="53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moneys borrowed and debit balances at banks or other financial institutions;</w:t>
      </w:r>
    </w:p>
    <w:p>
      <w:pPr>
        <w:spacing w:after="0" w:line="198" w:lineRule="exact"/>
        <w:rPr>
          <w:rFonts w:ascii="Arial" w:cs="Arial" w:eastAsia="Arial" w:hAnsi="Arial"/>
          <w:sz w:val="18"/>
          <w:szCs w:val="18"/>
          <w:color w:val="auto"/>
        </w:rPr>
      </w:pPr>
    </w:p>
    <w:p>
      <w:pPr>
        <w:ind w:left="580" w:hanging="53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amount raised by acceptance under any acceptance credit or bill discounting facility (or dematerialised equivalent);</w:t>
      </w:r>
    </w:p>
    <w:p>
      <w:pPr>
        <w:spacing w:after="0" w:line="198" w:lineRule="exact"/>
        <w:rPr>
          <w:rFonts w:ascii="Arial" w:cs="Arial" w:eastAsia="Arial" w:hAnsi="Arial"/>
          <w:sz w:val="18"/>
          <w:szCs w:val="18"/>
          <w:color w:val="auto"/>
        </w:rPr>
      </w:pPr>
    </w:p>
    <w:p>
      <w:pPr>
        <w:ind w:left="580" w:right="20" w:hanging="532"/>
        <w:spacing w:after="0" w:line="246"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amount raised pursuant to any note purchase facility or the issue of bonds, notes, debentures, loan stock or any similar instrument;</w:t>
      </w:r>
    </w:p>
    <w:p>
      <w:pPr>
        <w:spacing w:after="0" w:line="183" w:lineRule="exact"/>
        <w:rPr>
          <w:rFonts w:ascii="Arial" w:cs="Arial" w:eastAsia="Arial" w:hAnsi="Arial"/>
          <w:sz w:val="18"/>
          <w:szCs w:val="18"/>
          <w:color w:val="auto"/>
        </w:rPr>
      </w:pPr>
    </w:p>
    <w:p>
      <w:pPr>
        <w:ind w:left="580" w:hanging="532"/>
        <w:spacing w:after="0" w:line="246"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amount of any liability in respect of any lease or hire purchase contract which would, in accordance with GAAP, be treated as a finance or capital lease;</w:t>
      </w:r>
    </w:p>
    <w:p>
      <w:pPr>
        <w:spacing w:after="0" w:line="183" w:lineRule="exact"/>
        <w:rPr>
          <w:rFonts w:ascii="Arial" w:cs="Arial" w:eastAsia="Arial" w:hAnsi="Arial"/>
          <w:sz w:val="18"/>
          <w:szCs w:val="18"/>
          <w:color w:val="auto"/>
        </w:rPr>
      </w:pPr>
    </w:p>
    <w:p>
      <w:pPr>
        <w:ind w:left="580" w:hanging="53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receivables sold or discounted (other than any receivables to the extent they are sold on a non-recourse basis);</w:t>
      </w:r>
    </w:p>
    <w:p>
      <w:pPr>
        <w:spacing w:after="0" w:line="198" w:lineRule="exact"/>
        <w:rPr>
          <w:rFonts w:ascii="Arial" w:cs="Arial" w:eastAsia="Arial" w:hAnsi="Arial"/>
          <w:sz w:val="18"/>
          <w:szCs w:val="18"/>
          <w:color w:val="auto"/>
        </w:rPr>
      </w:pPr>
    </w:p>
    <w:p>
      <w:pPr>
        <w:jc w:val="both"/>
        <w:ind w:left="580" w:hanging="53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Treasury Transaction (and, when calculating the value of that Treasury Transaction, only the marked to market value (or, if any actual amount is due as a result of the termination or close-out of that Treasury Transaction, that amount) shall be taken into account);</w:t>
      </w:r>
    </w:p>
    <w:p>
      <w:pPr>
        <w:spacing w:after="0" w:line="176"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135255</wp:posOffset>
            </wp:positionV>
            <wp:extent cx="72466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920"/>
          </w:cols>
          <w:pgMar w:left="740" w:top="422" w:right="239" w:bottom="1440" w:gutter="0" w:footer="0" w:header="0"/>
        </w:sectPr>
      </w:pPr>
    </w:p>
    <w:bookmarkStart w:id="60" w:name="page61"/>
    <w:bookmarkEnd w:id="60"/>
    <w:p>
      <w:pPr>
        <w:ind w:left="540" w:right="20" w:hanging="532"/>
        <w:spacing w:after="0" w:line="246"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counter-indemnity obligation in respect of a guarantee, indemnity, bond, standby or documentary letter of credit or any other instrument issued by a bank or financial institution;</w:t>
      </w:r>
    </w:p>
    <w:p>
      <w:pPr>
        <w:spacing w:after="0" w:line="183" w:lineRule="exact"/>
        <w:rPr>
          <w:rFonts w:ascii="Arial" w:cs="Arial" w:eastAsia="Arial" w:hAnsi="Arial"/>
          <w:sz w:val="18"/>
          <w:szCs w:val="18"/>
          <w:color w:val="auto"/>
        </w:rPr>
      </w:pPr>
    </w:p>
    <w:p>
      <w:pPr>
        <w:jc w:val="both"/>
        <w:ind w:left="540" w:hanging="532"/>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amount of any liability under an advance or deferred purchase agreement if (a) one of the primary reasons behind entering into the agreement is to raise finance or (b) the agreement is in respect of the supply of assets or services and payment is due more than 180 days after the date of supply;</w:t>
      </w:r>
    </w:p>
    <w:p>
      <w:pPr>
        <w:spacing w:after="0" w:line="189" w:lineRule="exact"/>
        <w:rPr>
          <w:rFonts w:ascii="Arial" w:cs="Arial" w:eastAsia="Arial" w:hAnsi="Arial"/>
          <w:sz w:val="18"/>
          <w:szCs w:val="18"/>
          <w:color w:val="auto"/>
        </w:rPr>
      </w:pPr>
    </w:p>
    <w:p>
      <w:pPr>
        <w:ind w:left="540" w:hanging="532"/>
        <w:spacing w:after="0" w:line="246"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amount raised under any other transaction (including any forward sale or purchase agreement) having the commercial effect of a borrowing or otherwise classified as borrowings under GAAP; and</w:t>
      </w:r>
    </w:p>
    <w:p>
      <w:pPr>
        <w:spacing w:after="0" w:line="183" w:lineRule="exact"/>
        <w:rPr>
          <w:rFonts w:ascii="Arial" w:cs="Arial" w:eastAsia="Arial" w:hAnsi="Arial"/>
          <w:sz w:val="18"/>
          <w:szCs w:val="18"/>
          <w:color w:val="auto"/>
        </w:rPr>
      </w:pPr>
    </w:p>
    <w:p>
      <w:pPr>
        <w:ind w:left="540" w:hanging="532"/>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amount of any liability in respect of any guarantee or indemnity for any of the items referred to in paragraphs (a) to (i) above.</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First Repayment Date </w:t>
      </w:r>
      <w:r>
        <w:rPr>
          <w:rFonts w:ascii="Arial" w:cs="Arial" w:eastAsia="Arial" w:hAnsi="Arial"/>
          <w:sz w:val="18"/>
          <w:szCs w:val="18"/>
          <w:color w:val="auto"/>
        </w:rPr>
        <w:t>means, in respect of each Term Loan and subject to clause 35.7 (</w:t>
      </w:r>
      <w:r>
        <w:rPr>
          <w:rFonts w:ascii="Arial" w:cs="Arial" w:eastAsia="Arial" w:hAnsi="Arial"/>
          <w:sz w:val="18"/>
          <w:szCs w:val="18"/>
          <w:i w:val="1"/>
          <w:iCs w:val="1"/>
          <w:color w:val="auto"/>
        </w:rPr>
        <w:t>Business Days</w:t>
      </w:r>
      <w:r>
        <w:rPr>
          <w:rFonts w:ascii="Arial" w:cs="Arial" w:eastAsia="Arial" w:hAnsi="Arial"/>
          <w:sz w:val="18"/>
          <w:szCs w:val="18"/>
          <w:color w:val="auto"/>
        </w:rPr>
        <w:t>), the earlier of (a) 1 January</w:t>
      </w:r>
      <w:r>
        <w:rPr>
          <w:rFonts w:ascii="Arial" w:cs="Arial" w:eastAsia="Arial" w:hAnsi="Arial"/>
          <w:sz w:val="18"/>
          <w:szCs w:val="18"/>
          <w:b w:val="1"/>
          <w:bCs w:val="1"/>
          <w:color w:val="auto"/>
        </w:rPr>
        <w:t xml:space="preserve"> </w:t>
      </w:r>
      <w:r>
        <w:rPr>
          <w:rFonts w:ascii="Arial" w:cs="Arial" w:eastAsia="Arial" w:hAnsi="Arial"/>
          <w:sz w:val="18"/>
          <w:szCs w:val="18"/>
          <w:color w:val="auto"/>
        </w:rPr>
        <w:t>2017 and (b) the date falling 6 months after the date of this Agreement.</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Flag State </w:t>
      </w:r>
      <w:r>
        <w:rPr>
          <w:rFonts w:ascii="Arial" w:cs="Arial" w:eastAsia="Arial" w:hAnsi="Arial"/>
          <w:sz w:val="18"/>
          <w:szCs w:val="18"/>
          <w:color w:val="auto"/>
        </w:rPr>
        <w:t>means, in relation to a Ship, the country specified in respect of such Ship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or another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Approved Flag State (provided that the provisions of clause 22.1(b) are complied with) or such other state or territory as may be approved by all the Lenders (acting reasonably), at the request of the relevant Owner, as being the </w:t>
      </w:r>
      <w:r>
        <w:rPr>
          <w:rFonts w:ascii="Arial" w:cs="Arial" w:eastAsia="Arial" w:hAnsi="Arial"/>
          <w:sz w:val="18"/>
          <w:szCs w:val="18"/>
          <w:b w:val="1"/>
          <w:bCs w:val="1"/>
          <w:color w:val="auto"/>
        </w:rPr>
        <w:t>Flag State</w:t>
      </w:r>
      <w:r>
        <w:rPr>
          <w:rFonts w:ascii="Arial" w:cs="Arial" w:eastAsia="Arial" w:hAnsi="Arial"/>
          <w:sz w:val="18"/>
          <w:szCs w:val="18"/>
          <w:color w:val="auto"/>
        </w:rPr>
        <w:t xml:space="preserve"> of such Ship for the purposes of the Finance Documents.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Fleet Vessel </w:t>
      </w:r>
      <w:r>
        <w:rPr>
          <w:rFonts w:ascii="Arial" w:cs="Arial" w:eastAsia="Arial" w:hAnsi="Arial"/>
          <w:sz w:val="18"/>
          <w:szCs w:val="18"/>
          <w:color w:val="auto"/>
        </w:rPr>
        <w:t>means each Mortgaged Ship and any other vessel directly or indirectly owned, wholly or partly, by any Group Member.</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GAAP </w:t>
      </w:r>
      <w:r>
        <w:rPr>
          <w:rFonts w:ascii="Arial" w:cs="Arial" w:eastAsia="Arial" w:hAnsi="Arial"/>
          <w:sz w:val="18"/>
          <w:szCs w:val="18"/>
          <w:color w:val="auto"/>
        </w:rPr>
        <w:t>means International Accounting Standards, International Financial Reporting Standards and related interpretations as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supplemented, issued or adopted from time to time by the International Accounting Standards Board to the extent applicable to the relevant financial statements.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GasLog Carriers </w:t>
      </w:r>
      <w:r>
        <w:rPr>
          <w:rFonts w:ascii="Arial" w:cs="Arial" w:eastAsia="Arial" w:hAnsi="Arial"/>
          <w:sz w:val="18"/>
          <w:szCs w:val="18"/>
          <w:color w:val="auto"/>
        </w:rPr>
        <w:t>means the company described as such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General Assignment </w:t>
      </w:r>
      <w:r>
        <w:rPr>
          <w:rFonts w:ascii="Arial" w:cs="Arial" w:eastAsia="Arial" w:hAnsi="Arial"/>
          <w:sz w:val="18"/>
          <w:szCs w:val="18"/>
          <w:color w:val="auto"/>
        </w:rPr>
        <w:t>means, in relation to a Ship in respect of which the mortgage is not an account current form, a first assignment of</w:t>
      </w:r>
      <w:r>
        <w:rPr>
          <w:rFonts w:ascii="Arial" w:cs="Arial" w:eastAsia="Arial" w:hAnsi="Arial"/>
          <w:sz w:val="18"/>
          <w:szCs w:val="18"/>
          <w:b w:val="1"/>
          <w:bCs w:val="1"/>
          <w:color w:val="auto"/>
        </w:rPr>
        <w:t xml:space="preserve"> </w:t>
      </w:r>
      <w:r>
        <w:rPr>
          <w:rFonts w:ascii="Arial" w:cs="Arial" w:eastAsia="Arial" w:hAnsi="Arial"/>
          <w:sz w:val="18"/>
          <w:szCs w:val="18"/>
          <w:color w:val="auto"/>
        </w:rPr>
        <w:t>its interest in the Ship’s Insurances, Earnings and Requisition Compensation by the relevant Owner in favour of the Security Agent and/or any of the other Finance Parties in the agreed form.</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GPHL </w:t>
      </w:r>
      <w:r>
        <w:rPr>
          <w:rFonts w:ascii="Arial" w:cs="Arial" w:eastAsia="Arial" w:hAnsi="Arial"/>
          <w:sz w:val="18"/>
          <w:szCs w:val="18"/>
          <w:color w:val="auto"/>
        </w:rPr>
        <w:t>means GasLog Partners Holdings LLC of Trust Company Complex, Ajeltake Road, Ajeltake Island, Majuro, Marshall Islands</w:t>
      </w:r>
      <w:r>
        <w:rPr>
          <w:rFonts w:ascii="Arial" w:cs="Arial" w:eastAsia="Arial" w:hAnsi="Arial"/>
          <w:sz w:val="18"/>
          <w:szCs w:val="18"/>
          <w:b w:val="1"/>
          <w:bCs w:val="1"/>
          <w:color w:val="auto"/>
        </w:rPr>
        <w:t xml:space="preserve"> </w:t>
      </w:r>
      <w:r>
        <w:rPr>
          <w:rFonts w:ascii="Arial" w:cs="Arial" w:eastAsia="Arial" w:hAnsi="Arial"/>
          <w:sz w:val="18"/>
          <w:szCs w:val="18"/>
          <w:color w:val="auto"/>
        </w:rPr>
        <w:t>MH96960.</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GPHL Guarantee </w:t>
      </w:r>
      <w:r>
        <w:rPr>
          <w:rFonts w:ascii="Arial" w:cs="Arial" w:eastAsia="Arial" w:hAnsi="Arial"/>
          <w:sz w:val="18"/>
          <w:szCs w:val="18"/>
          <w:color w:val="auto"/>
        </w:rPr>
        <w:t>means the guarantee executed by GPHL in favour of the Security Agent (the guarantee and indemnity clause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will be in a substantially similar form to the guarantee and indemnity of clause 17 (</w:t>
      </w:r>
      <w:r>
        <w:rPr>
          <w:rFonts w:ascii="Arial" w:cs="Arial" w:eastAsia="Arial" w:hAnsi="Arial"/>
          <w:sz w:val="18"/>
          <w:szCs w:val="18"/>
          <w:i w:val="1"/>
          <w:iCs w:val="1"/>
          <w:color w:val="auto"/>
        </w:rPr>
        <w:t>Guarantee and indemnity</w:t>
      </w:r>
      <w:r>
        <w:rPr>
          <w:rFonts w:ascii="Arial" w:cs="Arial" w:eastAsia="Arial" w:hAnsi="Arial"/>
          <w:sz w:val="18"/>
          <w:szCs w:val="18"/>
          <w:color w:val="auto"/>
        </w:rPr>
        <w:t>)) pursuant to clause 29.22 (</w:t>
      </w:r>
      <w:r>
        <w:rPr>
          <w:rFonts w:ascii="Arial" w:cs="Arial" w:eastAsia="Arial" w:hAnsi="Arial"/>
          <w:sz w:val="18"/>
          <w:szCs w:val="18"/>
          <w:i w:val="1"/>
          <w:iCs w:val="1"/>
          <w:color w:val="auto"/>
        </w:rPr>
        <w:t>Legal and beneficial ownership</w:t>
      </w:r>
      <w:r>
        <w:rPr>
          <w:rFonts w:ascii="Arial" w:cs="Arial" w:eastAsia="Arial" w:hAnsi="Arial"/>
          <w:sz w:val="18"/>
          <w:szCs w:val="18"/>
          <w:color w:val="auto"/>
        </w:rPr>
        <w:t>) and subject to clause 21.15 (</w:t>
      </w:r>
      <w:r>
        <w:rPr>
          <w:rFonts w:ascii="Arial" w:cs="Arial" w:eastAsia="Arial" w:hAnsi="Arial"/>
          <w:sz w:val="18"/>
          <w:szCs w:val="18"/>
          <w:i w:val="1"/>
          <w:iCs w:val="1"/>
          <w:color w:val="auto"/>
        </w:rPr>
        <w:t>Guarantee limited recourse arrangements</w:t>
      </w:r>
      <w:r>
        <w:rPr>
          <w:rFonts w:ascii="Arial" w:cs="Arial" w:eastAsia="Arial" w:hAnsi="Arial"/>
          <w:sz w:val="18"/>
          <w:szCs w:val="18"/>
          <w:color w:val="auto"/>
        </w:rPr>
        <w:t>).</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Group </w:t>
      </w:r>
      <w:r>
        <w:rPr>
          <w:rFonts w:ascii="Arial" w:cs="Arial" w:eastAsia="Arial" w:hAnsi="Arial"/>
          <w:sz w:val="18"/>
          <w:szCs w:val="18"/>
          <w:color w:val="auto"/>
        </w:rPr>
        <w:t>means the Parent and its Subsidiaries for the time being and, for the purposes of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 and clause</w:t>
      </w:r>
      <w:r>
        <w:rPr>
          <w:rFonts w:ascii="Arial" w:cs="Arial" w:eastAsia="Arial" w:hAnsi="Arial"/>
          <w:sz w:val="18"/>
          <w:szCs w:val="18"/>
          <w:b w:val="1"/>
          <w:bCs w:val="1"/>
          <w:color w:val="auto"/>
        </w:rPr>
        <w:t xml:space="preserve"> </w:t>
      </w:r>
      <w:r>
        <w:rPr>
          <w:rFonts w:ascii="Arial" w:cs="Arial" w:eastAsia="Arial" w:hAnsi="Arial"/>
          <w:sz w:val="18"/>
          <w:szCs w:val="18"/>
          <w:color w:val="auto"/>
        </w:rPr>
        <w:t>20 (</w:t>
      </w:r>
      <w:r>
        <w:rPr>
          <w:rFonts w:ascii="Arial" w:cs="Arial" w:eastAsia="Arial" w:hAnsi="Arial"/>
          <w:sz w:val="18"/>
          <w:szCs w:val="18"/>
          <w:i w:val="1"/>
          <w:iCs w:val="1"/>
          <w:color w:val="auto"/>
        </w:rPr>
        <w:t>Financial covenants</w:t>
      </w:r>
      <w:r>
        <w:rPr>
          <w:rFonts w:ascii="Arial" w:cs="Arial" w:eastAsia="Arial" w:hAnsi="Arial"/>
          <w:sz w:val="18"/>
          <w:szCs w:val="18"/>
          <w:color w:val="auto"/>
        </w:rPr>
        <w:t>), any other entity required to be treated as a subsidiary in the Parent’s consolidated accounts in accordance with GAAP and/or any applicable law.</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Group Member </w:t>
      </w:r>
      <w:r>
        <w:rPr>
          <w:rFonts w:ascii="Arial" w:cs="Arial" w:eastAsia="Arial" w:hAnsi="Arial"/>
          <w:sz w:val="18"/>
          <w:szCs w:val="18"/>
          <w:color w:val="auto"/>
        </w:rPr>
        <w:t>means any Obligor and any other entity which is part of the Group.</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Guarantees </w:t>
      </w:r>
      <w:r>
        <w:rPr>
          <w:rFonts w:ascii="Arial" w:cs="Arial" w:eastAsia="Arial" w:hAnsi="Arial"/>
          <w:sz w:val="18"/>
          <w:szCs w:val="18"/>
          <w:color w:val="auto"/>
        </w:rPr>
        <w:t>means the obligations of the Guarantors under clause 17 (</w:t>
      </w:r>
      <w:r>
        <w:rPr>
          <w:rFonts w:ascii="Arial" w:cs="Arial" w:eastAsia="Arial" w:hAnsi="Arial"/>
          <w:sz w:val="18"/>
          <w:szCs w:val="18"/>
          <w:i w:val="1"/>
          <w:iCs w:val="1"/>
          <w:color w:val="auto"/>
        </w:rPr>
        <w:t>Guarantee and indemnity</w:t>
      </w:r>
      <w:r>
        <w:rPr>
          <w:rFonts w:ascii="Arial" w:cs="Arial" w:eastAsia="Arial" w:hAnsi="Arial"/>
          <w:sz w:val="18"/>
          <w:szCs w:val="18"/>
          <w:color w:val="auto"/>
        </w:rPr>
        <w:t>) and, if executed pursuant to clause</w:t>
      </w:r>
      <w:r>
        <w:rPr>
          <w:rFonts w:ascii="Arial" w:cs="Arial" w:eastAsia="Arial" w:hAnsi="Arial"/>
          <w:sz w:val="18"/>
          <w:szCs w:val="18"/>
          <w:b w:val="1"/>
          <w:bCs w:val="1"/>
          <w:color w:val="auto"/>
        </w:rPr>
        <w:t xml:space="preserve"> </w:t>
      </w:r>
      <w:r>
        <w:rPr>
          <w:rFonts w:ascii="Arial" w:cs="Arial" w:eastAsia="Arial" w:hAnsi="Arial"/>
          <w:sz w:val="18"/>
          <w:szCs w:val="18"/>
          <w:color w:val="auto"/>
        </w:rPr>
        <w:t>29.22 (</w:t>
      </w:r>
      <w:r>
        <w:rPr>
          <w:rFonts w:ascii="Arial" w:cs="Arial" w:eastAsia="Arial" w:hAnsi="Arial"/>
          <w:sz w:val="18"/>
          <w:szCs w:val="18"/>
          <w:i w:val="1"/>
          <w:iCs w:val="1"/>
          <w:color w:val="auto"/>
        </w:rPr>
        <w:t>Legal and beneficial ownership</w:t>
      </w:r>
      <w:r>
        <w:rPr>
          <w:rFonts w:ascii="Arial" w:cs="Arial" w:eastAsia="Arial" w:hAnsi="Arial"/>
          <w:sz w:val="18"/>
          <w:szCs w:val="18"/>
          <w:color w:val="auto"/>
        </w:rPr>
        <w:t xml:space="preserve">), also the MLP Guarantee and the GPHL Guarantee, and </w:t>
      </w:r>
      <w:r>
        <w:rPr>
          <w:rFonts w:ascii="Arial" w:cs="Arial" w:eastAsia="Arial" w:hAnsi="Arial"/>
          <w:sz w:val="18"/>
          <w:szCs w:val="18"/>
          <w:b w:val="1"/>
          <w:bCs w:val="1"/>
          <w:color w:val="auto"/>
        </w:rPr>
        <w:t>Guarantee</w:t>
      </w:r>
      <w:r>
        <w:rPr>
          <w:rFonts w:ascii="Arial" w:cs="Arial" w:eastAsia="Arial" w:hAnsi="Arial"/>
          <w:sz w:val="18"/>
          <w:szCs w:val="18"/>
          <w:color w:val="auto"/>
        </w:rPr>
        <w:t xml:space="preserve"> means any of them.</w:t>
      </w:r>
    </w:p>
    <w:p>
      <w:pPr>
        <w:spacing w:after="0" w:line="14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135255</wp:posOffset>
            </wp:positionV>
            <wp:extent cx="72466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80"/>
          </w:cols>
          <w:pgMar w:left="780" w:top="422" w:right="239" w:bottom="1440" w:gutter="0" w:footer="0" w:header="0"/>
        </w:sectPr>
      </w:pPr>
    </w:p>
    <w:bookmarkStart w:id="61" w:name="page62"/>
    <w:bookmarkEnd w:id="61"/>
    <w:p>
      <w:pPr>
        <w:jc w:val="both"/>
        <w:spacing w:after="0" w:line="253" w:lineRule="auto"/>
        <w:rPr>
          <w:sz w:val="20"/>
          <w:szCs w:val="20"/>
          <w:color w:val="auto"/>
        </w:rPr>
      </w:pPr>
      <w:r>
        <w:rPr>
          <w:rFonts w:ascii="Arial" w:cs="Arial" w:eastAsia="Arial" w:hAnsi="Arial"/>
          <w:sz w:val="18"/>
          <w:szCs w:val="18"/>
          <w:b w:val="1"/>
          <w:bCs w:val="1"/>
          <w:color w:val="auto"/>
        </w:rPr>
        <w:t xml:space="preserve">Guarantors </w:t>
      </w:r>
      <w:r>
        <w:rPr>
          <w:rFonts w:ascii="Arial" w:cs="Arial" w:eastAsia="Arial" w:hAnsi="Arial"/>
          <w:sz w:val="18"/>
          <w:szCs w:val="18"/>
          <w:color w:val="auto"/>
        </w:rPr>
        <w:t>means the Parent, GasLog Carriers and, if a MLP Guarantee is executed pursuant to clause 29.22 (</w:t>
      </w:r>
      <w:r>
        <w:rPr>
          <w:rFonts w:ascii="Arial" w:cs="Arial" w:eastAsia="Arial" w:hAnsi="Arial"/>
          <w:sz w:val="18"/>
          <w:szCs w:val="18"/>
          <w:i w:val="1"/>
          <w:iCs w:val="1"/>
          <w:color w:val="auto"/>
        </w:rPr>
        <w:t>Legal and beneficial</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ownership</w:t>
      </w:r>
      <w:r>
        <w:rPr>
          <w:rFonts w:ascii="Arial" w:cs="Arial" w:eastAsia="Arial" w:hAnsi="Arial"/>
          <w:sz w:val="18"/>
          <w:szCs w:val="18"/>
          <w:color w:val="auto"/>
        </w:rPr>
        <w:t>), MLP and if a GPHL Guarantee is executed pursuant to clause 29.22 (</w:t>
      </w:r>
      <w:r>
        <w:rPr>
          <w:rFonts w:ascii="Arial" w:cs="Arial" w:eastAsia="Arial" w:hAnsi="Arial"/>
          <w:sz w:val="18"/>
          <w:szCs w:val="18"/>
          <w:i w:val="1"/>
          <w:iCs w:val="1"/>
          <w:color w:val="auto"/>
        </w:rPr>
        <w:t>Legal and beneficial ownership</w:t>
      </w:r>
      <w:r>
        <w:rPr>
          <w:rFonts w:ascii="Arial" w:cs="Arial" w:eastAsia="Arial" w:hAnsi="Arial"/>
          <w:sz w:val="18"/>
          <w:szCs w:val="18"/>
          <w:color w:val="auto"/>
        </w:rPr>
        <w:t>), GPHL and</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 xml:space="preserve">Guarantor </w:t>
      </w:r>
      <w:r>
        <w:rPr>
          <w:rFonts w:ascii="Arial" w:cs="Arial" w:eastAsia="Arial" w:hAnsi="Arial"/>
          <w:sz w:val="18"/>
          <w:szCs w:val="18"/>
          <w:color w:val="auto"/>
        </w:rPr>
        <w:t>means any of them.</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Holding Company </w:t>
      </w:r>
      <w:r>
        <w:rPr>
          <w:rFonts w:ascii="Arial" w:cs="Arial" w:eastAsia="Arial" w:hAnsi="Arial"/>
          <w:sz w:val="18"/>
          <w:szCs w:val="18"/>
          <w:color w:val="auto"/>
        </w:rPr>
        <w:t>means, in relation to a company or corporation or other person, any other company or corporation or other person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which it is a Subsidiary.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Impaired Agent </w:t>
      </w:r>
      <w:r>
        <w:rPr>
          <w:rFonts w:ascii="Arial" w:cs="Arial" w:eastAsia="Arial" w:hAnsi="Arial"/>
          <w:sz w:val="18"/>
          <w:szCs w:val="18"/>
          <w:color w:val="auto"/>
        </w:rPr>
        <w:t>means the Agent at any time when:</w:t>
      </w:r>
    </w:p>
    <w:p>
      <w:pPr>
        <w:spacing w:after="0" w:line="220" w:lineRule="exact"/>
        <w:rPr>
          <w:sz w:val="20"/>
          <w:szCs w:val="20"/>
          <w:color w:val="auto"/>
        </w:rPr>
      </w:pPr>
    </w:p>
    <w:p>
      <w:pPr>
        <w:ind w:left="540" w:right="20" w:hanging="532"/>
        <w:spacing w:after="0" w:line="246"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it has failed to make (or has notified a Party that it will not make) a payment required to be made by it under the Finance Documents by the due date for payment;</w:t>
      </w:r>
    </w:p>
    <w:p>
      <w:pPr>
        <w:spacing w:after="0" w:line="183" w:lineRule="exact"/>
        <w:rPr>
          <w:rFonts w:ascii="Arial" w:cs="Arial" w:eastAsia="Arial" w:hAnsi="Arial"/>
          <w:sz w:val="18"/>
          <w:szCs w:val="18"/>
          <w:color w:val="auto"/>
        </w:rPr>
      </w:pPr>
    </w:p>
    <w:p>
      <w:pPr>
        <w:ind w:left="540" w:hanging="532"/>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Agent otherwise rescinds or repudiates a Finance Document;</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the Agent is also a Lender) it is a Defaulting Lender under paragraph (a) or (b) of the definition of Defaulting Lender; or</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Insolvency Event has occurred and is continuing with respect to the Agent,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unless, in the case of paragraph (a) above:</w:t>
      </w:r>
    </w:p>
    <w:p>
      <w:pPr>
        <w:spacing w:after="0" w:line="198" w:lineRule="exact"/>
        <w:rPr>
          <w:sz w:val="20"/>
          <w:szCs w:val="20"/>
          <w:color w:val="auto"/>
        </w:rPr>
      </w:pPr>
    </w:p>
    <w:p>
      <w:pPr>
        <w:ind w:left="1020" w:hanging="539"/>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198" w:lineRule="exact"/>
        <w:rPr>
          <w:rFonts w:ascii="Arial" w:cs="Arial" w:eastAsia="Arial" w:hAnsi="Arial"/>
          <w:sz w:val="18"/>
          <w:szCs w:val="18"/>
          <w:color w:val="auto"/>
        </w:rPr>
      </w:pPr>
    </w:p>
    <w:p>
      <w:pPr>
        <w:ind w:left="1540" w:hanging="546"/>
        <w:spacing w:after="0"/>
        <w:tabs>
          <w:tab w:leader="none" w:pos="1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198" w:lineRule="exact"/>
        <w:rPr>
          <w:rFonts w:ascii="Arial" w:cs="Arial" w:eastAsia="Arial" w:hAnsi="Arial"/>
          <w:sz w:val="18"/>
          <w:szCs w:val="18"/>
          <w:color w:val="auto"/>
        </w:rPr>
      </w:pPr>
    </w:p>
    <w:p>
      <w:pPr>
        <w:ind w:left="1540" w:hanging="546"/>
        <w:spacing w:after="0"/>
        <w:tabs>
          <w:tab w:leader="none" w:pos="1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 Payment Disruption Event; and</w:t>
      </w:r>
    </w:p>
    <w:p>
      <w:pPr>
        <w:spacing w:after="0" w:line="19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payment is made within 3 Business Days of its due date; or</w:t>
      </w:r>
    </w:p>
    <w:p>
      <w:pPr>
        <w:spacing w:after="0" w:line="198" w:lineRule="exact"/>
        <w:rPr>
          <w:sz w:val="20"/>
          <w:szCs w:val="20"/>
          <w:color w:val="auto"/>
        </w:rPr>
      </w:pPr>
    </w:p>
    <w:p>
      <w:pPr>
        <w:ind w:left="1020" w:hanging="539"/>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Agent is disputing in good faith whether it is contractually obliged to make the payment in question.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Increased Costs </w:t>
      </w:r>
      <w:r>
        <w:rPr>
          <w:rFonts w:ascii="Arial" w:cs="Arial" w:eastAsia="Arial" w:hAnsi="Arial"/>
          <w:sz w:val="18"/>
          <w:szCs w:val="18"/>
          <w:color w:val="auto"/>
        </w:rPr>
        <w:t>has the meaning given to it in clause 13.1(b).</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Indemnified Person </w:t>
      </w:r>
      <w:r>
        <w:rPr>
          <w:rFonts w:ascii="Arial" w:cs="Arial" w:eastAsia="Arial" w:hAnsi="Arial"/>
          <w:sz w:val="18"/>
          <w:szCs w:val="18"/>
          <w:color w:val="auto"/>
        </w:rPr>
        <w:t>means:</w:t>
      </w:r>
    </w:p>
    <w:p>
      <w:pPr>
        <w:spacing w:after="0" w:line="220" w:lineRule="exact"/>
        <w:rPr>
          <w:sz w:val="20"/>
          <w:szCs w:val="20"/>
          <w:color w:val="auto"/>
        </w:rPr>
      </w:pPr>
    </w:p>
    <w:p>
      <w:pPr>
        <w:ind w:left="540" w:hanging="532"/>
        <w:spacing w:after="0" w:line="246"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Finance Party, each Receiver, any Delegate and any other attorney, agent or other person appointed by them under the Finance Documents;</w:t>
      </w:r>
    </w:p>
    <w:p>
      <w:pPr>
        <w:spacing w:after="0" w:line="183" w:lineRule="exact"/>
        <w:rPr>
          <w:rFonts w:ascii="Arial" w:cs="Arial" w:eastAsia="Arial" w:hAnsi="Arial"/>
          <w:sz w:val="18"/>
          <w:szCs w:val="18"/>
          <w:color w:val="auto"/>
        </w:rPr>
      </w:pPr>
    </w:p>
    <w:p>
      <w:pPr>
        <w:ind w:left="540" w:hanging="532"/>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Affiliate of each Finance Party, each Receiver and each Delegate; and</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officers, directors, employees, representatives or agents of each Finance Party, each Receiver and each Delegate.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Insolvency Event </w:t>
      </w:r>
      <w:r>
        <w:rPr>
          <w:rFonts w:ascii="Arial" w:cs="Arial" w:eastAsia="Arial" w:hAnsi="Arial"/>
          <w:sz w:val="18"/>
          <w:szCs w:val="18"/>
          <w:color w:val="auto"/>
        </w:rPr>
        <w:t>in relation to a Finance Party means that the Finance Party:</w:t>
      </w:r>
    </w:p>
    <w:p>
      <w:pPr>
        <w:spacing w:after="0" w:line="220" w:lineRule="exact"/>
        <w:rPr>
          <w:sz w:val="20"/>
          <w:szCs w:val="20"/>
          <w:color w:val="auto"/>
        </w:rPr>
      </w:pPr>
    </w:p>
    <w:p>
      <w:pPr>
        <w:ind w:left="540" w:hanging="532"/>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is dissolved (other than pursuant to a consolidation, amalgamation or merger);</w:t>
      </w:r>
    </w:p>
    <w:p>
      <w:pPr>
        <w:spacing w:after="0" w:line="198" w:lineRule="exact"/>
        <w:rPr>
          <w:rFonts w:ascii="Arial" w:cs="Arial" w:eastAsia="Arial" w:hAnsi="Arial"/>
          <w:sz w:val="18"/>
          <w:szCs w:val="18"/>
          <w:color w:val="auto"/>
        </w:rPr>
      </w:pPr>
    </w:p>
    <w:p>
      <w:pPr>
        <w:ind w:left="540" w:right="20" w:hanging="532"/>
        <w:spacing w:after="0" w:line="246"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becomes insolvent or is unable to pay its debts or fails or admits in writing its inability generally to pay its debts as they become due (in each case as determined in accordance with the laws applicable to such Finance Party);</w:t>
      </w:r>
    </w:p>
    <w:p>
      <w:pPr>
        <w:spacing w:after="0" w:line="183" w:lineRule="exact"/>
        <w:rPr>
          <w:rFonts w:ascii="Arial" w:cs="Arial" w:eastAsia="Arial" w:hAnsi="Arial"/>
          <w:sz w:val="18"/>
          <w:szCs w:val="18"/>
          <w:color w:val="auto"/>
        </w:rPr>
      </w:pPr>
    </w:p>
    <w:p>
      <w:pPr>
        <w:ind w:left="540" w:hanging="532"/>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makes a general assignment, arrangement or composition with or for the benefit of its creditors;</w:t>
      </w:r>
    </w:p>
    <w:p>
      <w:pPr>
        <w:spacing w:after="0" w:line="198" w:lineRule="exact"/>
        <w:rPr>
          <w:rFonts w:ascii="Arial" w:cs="Arial" w:eastAsia="Arial" w:hAnsi="Arial"/>
          <w:sz w:val="18"/>
          <w:szCs w:val="18"/>
          <w:color w:val="auto"/>
        </w:rPr>
      </w:pPr>
    </w:p>
    <w:p>
      <w:pPr>
        <w:jc w:val="both"/>
        <w:ind w:left="540" w:hanging="532"/>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w:t>
      </w:r>
    </w:p>
    <w:p>
      <w:pPr>
        <w:spacing w:after="0" w:line="17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135255</wp:posOffset>
            </wp:positionV>
            <wp:extent cx="72466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80"/>
          </w:cols>
          <w:pgMar w:left="780" w:top="400" w:right="239" w:bottom="1440" w:gutter="0" w:footer="0" w:header="0"/>
        </w:sectPr>
      </w:pPr>
    </w:p>
    <w:bookmarkStart w:id="62" w:name="page63"/>
    <w:bookmarkEnd w:id="62"/>
    <w:p>
      <w:pPr>
        <w:jc w:val="both"/>
        <w:ind w:left="480"/>
        <w:spacing w:after="0"/>
        <w:rPr>
          <w:sz w:val="20"/>
          <w:szCs w:val="20"/>
          <w:color w:val="auto"/>
        </w:rPr>
      </w:pPr>
      <w:r>
        <w:rPr>
          <w:rFonts w:ascii="Arial" w:cs="Arial" w:eastAsia="Arial" w:hAnsi="Arial"/>
          <w:sz w:val="18"/>
          <w:szCs w:val="18"/>
          <w:color w:val="auto"/>
        </w:rPr>
        <w:t>seeking a judgment of insolvency or bankruptcy or any other relief under any bankruptcy or insolvency law or other similar law affecting creditors’ rights, or a petition is presented for its winding-up or liquidation by it or such regulator, supervisor or similar official;</w:t>
      </w:r>
    </w:p>
    <w:p>
      <w:pPr>
        <w:spacing w:after="0" w:line="189" w:lineRule="exact"/>
        <w:rPr>
          <w:sz w:val="20"/>
          <w:szCs w:val="20"/>
          <w:color w:val="auto"/>
        </w:rPr>
      </w:pPr>
    </w:p>
    <w:p>
      <w:pPr>
        <w:jc w:val="both"/>
        <w:ind w:left="540" w:hanging="532"/>
        <w:spacing w:after="0" w:line="239"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is instituted or presented by a person or entity not described in paragraph (d) above and:</w:t>
      </w:r>
    </w:p>
    <w:p>
      <w:pPr>
        <w:spacing w:after="0" w:line="188" w:lineRule="exact"/>
        <w:rPr>
          <w:rFonts w:ascii="Arial" w:cs="Arial" w:eastAsia="Arial" w:hAnsi="Arial"/>
          <w:sz w:val="18"/>
          <w:szCs w:val="18"/>
          <w:color w:val="auto"/>
        </w:rPr>
      </w:pPr>
    </w:p>
    <w:p>
      <w:pPr>
        <w:ind w:left="1020" w:hanging="539"/>
        <w:spacing w:after="0" w:line="246" w:lineRule="auto"/>
        <w:tabs>
          <w:tab w:leader="none" w:pos="10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results in a judgment of insolvency or bankruptcy or the entry of an order for relief or the making of an order for its winding-up or liquidation; or</w:t>
      </w:r>
    </w:p>
    <w:p>
      <w:pPr>
        <w:spacing w:after="0" w:line="183" w:lineRule="exact"/>
        <w:rPr>
          <w:rFonts w:ascii="Arial" w:cs="Arial" w:eastAsia="Arial" w:hAnsi="Arial"/>
          <w:sz w:val="18"/>
          <w:szCs w:val="18"/>
          <w:color w:val="auto"/>
        </w:rPr>
      </w:pPr>
    </w:p>
    <w:p>
      <w:pPr>
        <w:ind w:left="1020" w:hanging="539"/>
        <w:spacing w:after="0"/>
        <w:tabs>
          <w:tab w:leader="none" w:pos="10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is not dismissed, discharged, stayed or restrained in each case within 30 days of the institution or presentation thereof;</w:t>
      </w:r>
    </w:p>
    <w:p>
      <w:pPr>
        <w:spacing w:after="0" w:line="198" w:lineRule="exact"/>
        <w:rPr>
          <w:rFonts w:ascii="Arial" w:cs="Arial" w:eastAsia="Arial" w:hAnsi="Arial"/>
          <w:sz w:val="18"/>
          <w:szCs w:val="18"/>
          <w:color w:val="auto"/>
        </w:rPr>
      </w:pPr>
    </w:p>
    <w:p>
      <w:pPr>
        <w:jc w:val="both"/>
        <w:ind w:left="540" w:right="20" w:hanging="532"/>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has exercised in respect of it one or more of the stabilisation powers pursuant to Part 1 of the Banking Act 2009 and/or has instituted against it a bank insolvency proceeding pursuant to Part 2 of the Banking Act 2009 or a bank administration proceeding pursuant to Part 3 of the Banking Act 2009;</w:t>
      </w:r>
    </w:p>
    <w:p>
      <w:pPr>
        <w:spacing w:after="0" w:line="189" w:lineRule="exact"/>
        <w:rPr>
          <w:rFonts w:ascii="Arial" w:cs="Arial" w:eastAsia="Arial" w:hAnsi="Arial"/>
          <w:sz w:val="18"/>
          <w:szCs w:val="18"/>
          <w:color w:val="auto"/>
        </w:rPr>
      </w:pPr>
    </w:p>
    <w:p>
      <w:pPr>
        <w:ind w:left="540" w:hanging="532"/>
        <w:spacing w:after="0" w:line="246"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has a resolution passed for its winding-up, official management or liquidation (other than pursuant to a consolidation, amalgamation or merger);</w:t>
      </w:r>
    </w:p>
    <w:p>
      <w:pPr>
        <w:spacing w:after="0" w:line="183" w:lineRule="exact"/>
        <w:rPr>
          <w:rFonts w:ascii="Arial" w:cs="Arial" w:eastAsia="Arial" w:hAnsi="Arial"/>
          <w:sz w:val="18"/>
          <w:szCs w:val="18"/>
          <w:color w:val="auto"/>
        </w:rPr>
      </w:pPr>
    </w:p>
    <w:p>
      <w:pPr>
        <w:ind w:left="540" w:hanging="532"/>
        <w:spacing w:after="0" w:line="246"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seeks or becomes subject to the appointment of an administrator, provisional liquidator, conservator, receiver, trustee, custodian or other similar official for it or for all or substantially all its assets;</w:t>
      </w:r>
    </w:p>
    <w:p>
      <w:pPr>
        <w:spacing w:after="0" w:line="183" w:lineRule="exact"/>
        <w:rPr>
          <w:rFonts w:ascii="Arial" w:cs="Arial" w:eastAsia="Arial" w:hAnsi="Arial"/>
          <w:sz w:val="18"/>
          <w:szCs w:val="18"/>
          <w:color w:val="auto"/>
        </w:rPr>
      </w:pPr>
    </w:p>
    <w:p>
      <w:pPr>
        <w:jc w:val="both"/>
        <w:ind w:left="540" w:hanging="532"/>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30 days thereafter;</w:t>
      </w:r>
    </w:p>
    <w:p>
      <w:pPr>
        <w:spacing w:after="0" w:line="189" w:lineRule="exact"/>
        <w:rPr>
          <w:rFonts w:ascii="Arial" w:cs="Arial" w:eastAsia="Arial" w:hAnsi="Arial"/>
          <w:sz w:val="18"/>
          <w:szCs w:val="18"/>
          <w:color w:val="auto"/>
        </w:rPr>
      </w:pPr>
    </w:p>
    <w:p>
      <w:pPr>
        <w:ind w:left="540" w:right="20" w:hanging="532"/>
        <w:spacing w:after="0" w:line="246"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causes or is subject to any event with respect to it which, under the applicable laws of any jurisdiction, has an analogous effect to any of the events specified in paragraphs (a) to (i) above; or</w:t>
      </w:r>
    </w:p>
    <w:p>
      <w:pPr>
        <w:spacing w:after="0" w:line="183" w:lineRule="exact"/>
        <w:rPr>
          <w:rFonts w:ascii="Arial" w:cs="Arial" w:eastAsia="Arial" w:hAnsi="Arial"/>
          <w:sz w:val="18"/>
          <w:szCs w:val="18"/>
          <w:color w:val="auto"/>
        </w:rPr>
      </w:pPr>
    </w:p>
    <w:p>
      <w:pPr>
        <w:ind w:left="540" w:hanging="532"/>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takes any action in furtherance of, or indicating its consent to, approval of, or acquiescence in, any of the foregoing acts.</w:t>
      </w:r>
    </w:p>
    <w:p>
      <w:pPr>
        <w:spacing w:after="0" w:line="176"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Insurance Notice </w:t>
      </w:r>
      <w:r>
        <w:rPr>
          <w:rFonts w:ascii="Arial" w:cs="Arial" w:eastAsia="Arial" w:hAnsi="Arial"/>
          <w:sz w:val="18"/>
          <w:szCs w:val="18"/>
          <w:color w:val="auto"/>
        </w:rPr>
        <w:t>means, in relation to a Ship, a notice of assignment in the form scheduled to that Ship’s General Assignment or Deed</w:t>
      </w:r>
      <w:r>
        <w:rPr>
          <w:rFonts w:ascii="Arial" w:cs="Arial" w:eastAsia="Arial" w:hAnsi="Arial"/>
          <w:sz w:val="18"/>
          <w:szCs w:val="18"/>
          <w:b w:val="1"/>
          <w:bCs w:val="1"/>
          <w:color w:val="auto"/>
        </w:rPr>
        <w:t xml:space="preserve"> </w:t>
      </w:r>
      <w:r>
        <w:rPr>
          <w:rFonts w:ascii="Arial" w:cs="Arial" w:eastAsia="Arial" w:hAnsi="Arial"/>
          <w:sz w:val="18"/>
          <w:szCs w:val="18"/>
          <w:color w:val="auto"/>
        </w:rPr>
        <w:t>of Covenant or in another approved form.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Insurances </w:t>
      </w:r>
      <w:r>
        <w:rPr>
          <w:rFonts w:ascii="Arial" w:cs="Arial" w:eastAsia="Arial" w:hAnsi="Arial"/>
          <w:sz w:val="18"/>
          <w:szCs w:val="18"/>
          <w:color w:val="auto"/>
        </w:rPr>
        <w:t>means, in relation to a Ship:</w:t>
      </w:r>
    </w:p>
    <w:p>
      <w:pPr>
        <w:spacing w:after="0" w:line="220" w:lineRule="exact"/>
        <w:rPr>
          <w:sz w:val="20"/>
          <w:szCs w:val="20"/>
          <w:color w:val="auto"/>
        </w:rPr>
      </w:pPr>
    </w:p>
    <w:p>
      <w:pPr>
        <w:ind w:left="540" w:hanging="532"/>
        <w:spacing w:after="0"/>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policies and contracts of insurance; and</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entries in a protection and indemnity or war risks or other mutual insurance association,</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name of such Ship’s Owner or the joint names of its Owner and any other person in respect of or in connection with such Ship and/or its Owner’s Earnings from the Ship and includes all benefits thereof (including the right to receive claims and to return of premiums).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Interbank Market </w:t>
      </w:r>
      <w:r>
        <w:rPr>
          <w:rFonts w:ascii="Arial" w:cs="Arial" w:eastAsia="Arial" w:hAnsi="Arial"/>
          <w:sz w:val="18"/>
          <w:szCs w:val="18"/>
          <w:color w:val="auto"/>
        </w:rPr>
        <w:t>means the London interbank market.</w:t>
      </w:r>
    </w:p>
    <w:p>
      <w:pPr>
        <w:spacing w:after="0" w:line="20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135255</wp:posOffset>
            </wp:positionV>
            <wp:extent cx="72466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80"/>
          </w:cols>
          <w:pgMar w:left="780" w:top="422" w:right="239" w:bottom="1440" w:gutter="0" w:footer="0" w:header="0"/>
        </w:sectPr>
      </w:pPr>
    </w:p>
    <w:bookmarkStart w:id="63" w:name="page64"/>
    <w:bookmarkEnd w:id="63"/>
    <w:p>
      <w:pPr>
        <w:ind w:left="40" w:right="20"/>
        <w:spacing w:after="0" w:line="271" w:lineRule="auto"/>
        <w:rPr>
          <w:sz w:val="20"/>
          <w:szCs w:val="20"/>
          <w:color w:val="auto"/>
        </w:rPr>
      </w:pPr>
      <w:r>
        <w:rPr>
          <w:rFonts w:ascii="Arial" w:cs="Arial" w:eastAsia="Arial" w:hAnsi="Arial"/>
          <w:sz w:val="18"/>
          <w:szCs w:val="18"/>
          <w:b w:val="1"/>
          <w:bCs w:val="1"/>
          <w:color w:val="auto"/>
        </w:rPr>
        <w:t xml:space="preserve">Interest Period </w:t>
      </w:r>
      <w:r>
        <w:rPr>
          <w:rFonts w:ascii="Arial" w:cs="Arial" w:eastAsia="Arial" w:hAnsi="Arial"/>
          <w:sz w:val="18"/>
          <w:szCs w:val="18"/>
          <w:color w:val="auto"/>
        </w:rPr>
        <w:t>means, in relation to a Loan, each period determined in accordance with clause 9 (</w:t>
      </w:r>
      <w:r>
        <w:rPr>
          <w:rFonts w:ascii="Arial" w:cs="Arial" w:eastAsia="Arial" w:hAnsi="Arial"/>
          <w:sz w:val="18"/>
          <w:szCs w:val="18"/>
          <w:i w:val="1"/>
          <w:iCs w:val="1"/>
          <w:color w:val="auto"/>
        </w:rPr>
        <w:t>Interest Periods</w:t>
      </w:r>
      <w:r>
        <w:rPr>
          <w:rFonts w:ascii="Arial" w:cs="Arial" w:eastAsia="Arial" w:hAnsi="Arial"/>
          <w:sz w:val="18"/>
          <w:szCs w:val="18"/>
          <w:color w:val="auto"/>
        </w:rPr>
        <w:t>) and, in relation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an Unpaid Sum, each period determined in accordance with clause 8.3 (</w:t>
      </w:r>
      <w:r>
        <w:rPr>
          <w:rFonts w:ascii="Arial" w:cs="Arial" w:eastAsia="Arial" w:hAnsi="Arial"/>
          <w:sz w:val="18"/>
          <w:szCs w:val="18"/>
          <w:i w:val="1"/>
          <w:iCs w:val="1"/>
          <w:color w:val="auto"/>
        </w:rPr>
        <w:t>Default interest</w:t>
      </w:r>
      <w:r>
        <w:rPr>
          <w:rFonts w:ascii="Arial" w:cs="Arial" w:eastAsia="Arial" w:hAnsi="Arial"/>
          <w:sz w:val="18"/>
          <w:szCs w:val="18"/>
          <w:color w:val="auto"/>
        </w:rPr>
        <w:t>).</w:t>
      </w:r>
    </w:p>
    <w:p>
      <w:pPr>
        <w:spacing w:after="0" w:line="140" w:lineRule="exact"/>
        <w:rPr>
          <w:sz w:val="20"/>
          <w:szCs w:val="20"/>
          <w:color w:val="auto"/>
        </w:rPr>
      </w:pPr>
    </w:p>
    <w:p>
      <w:pPr>
        <w:ind w:left="40"/>
        <w:spacing w:after="0" w:line="271" w:lineRule="auto"/>
        <w:rPr>
          <w:sz w:val="20"/>
          <w:szCs w:val="20"/>
          <w:color w:val="auto"/>
        </w:rPr>
      </w:pPr>
      <w:r>
        <w:rPr>
          <w:rFonts w:ascii="Arial" w:cs="Arial" w:eastAsia="Arial" w:hAnsi="Arial"/>
          <w:sz w:val="18"/>
          <w:szCs w:val="18"/>
          <w:b w:val="1"/>
          <w:bCs w:val="1"/>
          <w:color w:val="auto"/>
        </w:rPr>
        <w:t xml:space="preserve">Interpolated Screen Rate </w:t>
      </w:r>
      <w:r>
        <w:rPr>
          <w:rFonts w:ascii="Arial" w:cs="Arial" w:eastAsia="Arial" w:hAnsi="Arial"/>
          <w:sz w:val="18"/>
          <w:szCs w:val="18"/>
          <w:color w:val="auto"/>
        </w:rPr>
        <w:t>means, in relation to LIBOR for any Loan or any part of it or any Unpaid Sum, the rate (rounded to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decimal places as the two (2) relevant Screen Rates) which results from interpolating on a linear basis between:</w:t>
      </w:r>
    </w:p>
    <w:p>
      <w:pPr>
        <w:spacing w:after="0" w:line="162" w:lineRule="exact"/>
        <w:rPr>
          <w:sz w:val="20"/>
          <w:szCs w:val="20"/>
          <w:color w:val="auto"/>
        </w:rPr>
      </w:pPr>
    </w:p>
    <w:p>
      <w:pPr>
        <w:ind w:left="540" w:hanging="532"/>
        <w:spacing w:after="0" w:line="246"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applicable Screen Rate for the longest period (for which that Screen Rate is available) which is less than the relevant Interest Period of that Loan (or the relevant part of it) or the relevant Unpaid Sum; and</w:t>
      </w:r>
    </w:p>
    <w:p>
      <w:pPr>
        <w:spacing w:after="0" w:line="183" w:lineRule="exact"/>
        <w:rPr>
          <w:rFonts w:ascii="Arial" w:cs="Arial" w:eastAsia="Arial" w:hAnsi="Arial"/>
          <w:sz w:val="18"/>
          <w:szCs w:val="18"/>
          <w:color w:val="auto"/>
        </w:rPr>
      </w:pPr>
    </w:p>
    <w:p>
      <w:pPr>
        <w:ind w:left="540" w:hanging="532"/>
        <w:spacing w:after="0" w:line="246"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applicable Screen Rate for the shortest period (for which that Screen Rate is available) which exceeds the relevant Interest Period of that Loan (or the relevant part of it) or the relevant Unpaid Sum,</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each as of 11:00 a.m. on the relevant Quotation Day.</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Last Availability Date </w:t>
      </w:r>
      <w:r>
        <w:rPr>
          <w:rFonts w:ascii="Arial" w:cs="Arial" w:eastAsia="Arial" w:hAnsi="Arial"/>
          <w:sz w:val="18"/>
          <w:szCs w:val="18"/>
          <w:color w:val="auto"/>
        </w:rPr>
        <w:t>means:</w:t>
      </w:r>
    </w:p>
    <w:p>
      <w:pPr>
        <w:spacing w:after="0" w:line="220" w:lineRule="exact"/>
        <w:rPr>
          <w:sz w:val="20"/>
          <w:szCs w:val="20"/>
          <w:color w:val="auto"/>
        </w:rPr>
      </w:pPr>
    </w:p>
    <w:p>
      <w:pPr>
        <w:ind w:left="580" w:hanging="532"/>
        <w:spacing w:after="0"/>
        <w:tabs>
          <w:tab w:leader="none" w:pos="5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in relation to the Term Loan Facility and each Term Loan, 31 July 2016; or</w:t>
      </w:r>
    </w:p>
    <w:p>
      <w:pPr>
        <w:spacing w:after="0" w:line="198" w:lineRule="exact"/>
        <w:rPr>
          <w:rFonts w:ascii="Arial" w:cs="Arial" w:eastAsia="Arial" w:hAnsi="Arial"/>
          <w:sz w:val="18"/>
          <w:szCs w:val="18"/>
          <w:color w:val="auto"/>
        </w:rPr>
      </w:pPr>
    </w:p>
    <w:p>
      <w:pPr>
        <w:ind w:left="20" w:right="1540" w:hanging="12"/>
        <w:spacing w:after="0" w:line="457" w:lineRule="auto"/>
        <w:tabs>
          <w:tab w:leader="none" w:pos="554"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relation to the Revolving Facility and each Revolving Loan, the date 6 months before the Final Maturity Date, or, in each such case, such later date as may be approved by all the Lenders.</w:t>
      </w:r>
    </w:p>
    <w:p>
      <w:pPr>
        <w:ind w:left="40"/>
        <w:spacing w:after="0"/>
        <w:rPr>
          <w:sz w:val="20"/>
          <w:szCs w:val="20"/>
          <w:color w:val="auto"/>
        </w:rPr>
      </w:pPr>
      <w:r>
        <w:rPr>
          <w:rFonts w:ascii="Arial" w:cs="Arial" w:eastAsia="Arial" w:hAnsi="Arial"/>
          <w:sz w:val="18"/>
          <w:szCs w:val="18"/>
          <w:b w:val="1"/>
          <w:bCs w:val="1"/>
          <w:color w:val="auto"/>
        </w:rPr>
        <w:t xml:space="preserve">Legal Opinion </w:t>
      </w:r>
      <w:r>
        <w:rPr>
          <w:rFonts w:ascii="Arial" w:cs="Arial" w:eastAsia="Arial" w:hAnsi="Arial"/>
          <w:sz w:val="18"/>
          <w:szCs w:val="18"/>
          <w:color w:val="auto"/>
        </w:rPr>
        <w:t>means any legal opinion delivered to the Agent and the Security Agent under clause 4</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Legal Reservations </w:t>
      </w:r>
      <w:r>
        <w:rPr>
          <w:rFonts w:ascii="Arial" w:cs="Arial" w:eastAsia="Arial" w:hAnsi="Arial"/>
          <w:sz w:val="18"/>
          <w:szCs w:val="18"/>
          <w:color w:val="auto"/>
        </w:rPr>
        <w:t>means:</w:t>
      </w:r>
    </w:p>
    <w:p>
      <w:pPr>
        <w:spacing w:after="0" w:line="220" w:lineRule="exact"/>
        <w:rPr>
          <w:sz w:val="20"/>
          <w:szCs w:val="20"/>
          <w:color w:val="auto"/>
        </w:rPr>
      </w:pPr>
    </w:p>
    <w:p>
      <w:pPr>
        <w:ind w:left="580" w:right="20" w:hanging="532"/>
        <w:spacing w:after="0" w:line="246" w:lineRule="auto"/>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principle that equitable remedies may be granted or refused at the discretion of a court and the limitation of enforcement by laws relating to insolvency, reorganisation and other laws generally affecting the rights of creditors;</w:t>
      </w:r>
    </w:p>
    <w:p>
      <w:pPr>
        <w:spacing w:after="0" w:line="183" w:lineRule="exact"/>
        <w:rPr>
          <w:rFonts w:ascii="Arial" w:cs="Arial" w:eastAsia="Arial" w:hAnsi="Arial"/>
          <w:sz w:val="18"/>
          <w:szCs w:val="18"/>
          <w:color w:val="auto"/>
        </w:rPr>
      </w:pPr>
    </w:p>
    <w:p>
      <w:pPr>
        <w:jc w:val="both"/>
        <w:ind w:left="580" w:hanging="532"/>
        <w:spacing w:after="0"/>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time barring of claims under the Limitation Act 1980 and Foreign Limitation Periods Act 1984, the possibility that an undertaking to assume liability for, or indemnify a person against, non-payment of UK stamp duty may be void and defences of set-off or counterclaim;</w:t>
      </w:r>
    </w:p>
    <w:p>
      <w:pPr>
        <w:spacing w:after="0" w:line="189" w:lineRule="exact"/>
        <w:rPr>
          <w:rFonts w:ascii="Arial" w:cs="Arial" w:eastAsia="Arial" w:hAnsi="Arial"/>
          <w:sz w:val="18"/>
          <w:szCs w:val="18"/>
          <w:color w:val="auto"/>
        </w:rPr>
      </w:pPr>
    </w:p>
    <w:p>
      <w:pPr>
        <w:ind w:left="580" w:hanging="532"/>
        <w:spacing w:after="0"/>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similar principles, rights and defences under the laws of any Relevant Jurisdiction; and</w:t>
      </w:r>
    </w:p>
    <w:p>
      <w:pPr>
        <w:spacing w:after="0" w:line="198" w:lineRule="exact"/>
        <w:rPr>
          <w:rFonts w:ascii="Arial" w:cs="Arial" w:eastAsia="Arial" w:hAnsi="Arial"/>
          <w:sz w:val="18"/>
          <w:szCs w:val="18"/>
          <w:color w:val="auto"/>
        </w:rPr>
      </w:pPr>
    </w:p>
    <w:p>
      <w:pPr>
        <w:ind w:left="580" w:hanging="532"/>
        <w:spacing w:after="0"/>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other matters which are set out as qualifications or reservations as to matters of law of general application in a Legal Opinion.</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Lender </w:t>
      </w:r>
      <w:r>
        <w:rPr>
          <w:rFonts w:ascii="Arial" w:cs="Arial" w:eastAsia="Arial" w:hAnsi="Arial"/>
          <w:sz w:val="18"/>
          <w:szCs w:val="18"/>
          <w:color w:val="auto"/>
        </w:rPr>
        <w:t>means:</w:t>
      </w:r>
    </w:p>
    <w:p>
      <w:pPr>
        <w:spacing w:after="0" w:line="220" w:lineRule="exact"/>
        <w:rPr>
          <w:sz w:val="20"/>
          <w:szCs w:val="20"/>
          <w:color w:val="auto"/>
        </w:rPr>
      </w:pPr>
    </w:p>
    <w:p>
      <w:pPr>
        <w:ind w:left="580" w:hanging="532"/>
        <w:spacing w:after="0"/>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Original Lender;</w:t>
      </w:r>
    </w:p>
    <w:p>
      <w:pPr>
        <w:spacing w:after="0" w:line="198" w:lineRule="exact"/>
        <w:rPr>
          <w:rFonts w:ascii="Arial" w:cs="Arial" w:eastAsia="Arial" w:hAnsi="Arial"/>
          <w:sz w:val="18"/>
          <w:szCs w:val="18"/>
          <w:color w:val="auto"/>
        </w:rPr>
      </w:pPr>
    </w:p>
    <w:p>
      <w:pPr>
        <w:ind w:left="580" w:hanging="532"/>
        <w:spacing w:after="0" w:line="246" w:lineRule="auto"/>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bank, financial institution, trust, fund or other entity which has become a Party as a lender in accordance with clause 30 (</w:t>
      </w:r>
      <w:r>
        <w:rPr>
          <w:rFonts w:ascii="Arial" w:cs="Arial" w:eastAsia="Arial" w:hAnsi="Arial"/>
          <w:sz w:val="18"/>
          <w:szCs w:val="18"/>
          <w:i w:val="1"/>
          <w:iCs w:val="1"/>
          <w:color w:val="auto"/>
        </w:rPr>
        <w:t>Changes to the Lenders</w:t>
      </w:r>
      <w:r>
        <w:rPr>
          <w:rFonts w:ascii="Arial" w:cs="Arial" w:eastAsia="Arial" w:hAnsi="Arial"/>
          <w:sz w:val="18"/>
          <w:szCs w:val="18"/>
          <w:color w:val="auto"/>
        </w:rPr>
        <w:t>),</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which in each case has not ceased to be a Lender in accordance with the terms of this Agreement, and </w:t>
      </w:r>
      <w:r>
        <w:rPr>
          <w:rFonts w:ascii="Arial" w:cs="Arial" w:eastAsia="Arial" w:hAnsi="Arial"/>
          <w:sz w:val="18"/>
          <w:szCs w:val="18"/>
          <w:b w:val="1"/>
          <w:bCs w:val="1"/>
          <w:color w:val="auto"/>
        </w:rPr>
        <w:t>Lenders</w:t>
      </w:r>
      <w:r>
        <w:rPr>
          <w:rFonts w:ascii="Arial" w:cs="Arial" w:eastAsia="Arial" w:hAnsi="Arial"/>
          <w:sz w:val="18"/>
          <w:szCs w:val="18"/>
          <w:color w:val="auto"/>
        </w:rPr>
        <w:t xml:space="preserve"> mean all of them.</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LIBOR </w:t>
      </w:r>
      <w:r>
        <w:rPr>
          <w:rFonts w:ascii="Arial" w:cs="Arial" w:eastAsia="Arial" w:hAnsi="Arial"/>
          <w:sz w:val="18"/>
          <w:szCs w:val="18"/>
          <w:color w:val="auto"/>
        </w:rPr>
        <w:t>means, in relation to any Loan or any part of it or any Unpaid Sum:</w:t>
      </w:r>
    </w:p>
    <w:p>
      <w:pPr>
        <w:spacing w:after="0" w:line="220" w:lineRule="exact"/>
        <w:rPr>
          <w:sz w:val="20"/>
          <w:szCs w:val="20"/>
          <w:color w:val="auto"/>
        </w:rPr>
      </w:pPr>
    </w:p>
    <w:p>
      <w:pPr>
        <w:ind w:left="580" w:hanging="532"/>
        <w:spacing w:after="0"/>
        <w:tabs>
          <w:tab w:leader="none" w:pos="5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applicable Screen Rate; or</w:t>
      </w:r>
    </w:p>
    <w:p>
      <w:pPr>
        <w:spacing w:after="0" w:line="185"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135255</wp:posOffset>
            </wp:positionV>
            <wp:extent cx="72466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920"/>
          </w:cols>
          <w:pgMar w:left="740" w:top="400" w:right="239" w:bottom="1440" w:gutter="0" w:footer="0" w:header="0"/>
        </w:sectPr>
      </w:pPr>
    </w:p>
    <w:bookmarkStart w:id="64" w:name="page65"/>
    <w:bookmarkEnd w:id="64"/>
    <w:p>
      <w:pPr>
        <w:ind w:left="540" w:hanging="532"/>
        <w:spacing w:after="0" w:line="246"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no Screen Rate is available for the relevant Interest Period, the Interpolated Screen Rate for that Loan (or the relevant part of it) or that Unpaid Sum,</w:t>
      </w:r>
    </w:p>
    <w:p>
      <w:pPr>
        <w:spacing w:after="0" w:line="18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as of 11:00a.m. on the Quotation Day for the offering of deposits in dollars for a period comparable to the Interest Period for that Loan or relevant part of it or Unpaid Sum and, if that rate is less than zero (0), LIBOR shall be deemed to be zero (0).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Loans </w:t>
      </w:r>
      <w:r>
        <w:rPr>
          <w:rFonts w:ascii="Arial" w:cs="Arial" w:eastAsia="Arial" w:hAnsi="Arial"/>
          <w:sz w:val="18"/>
          <w:szCs w:val="18"/>
          <w:color w:val="auto"/>
        </w:rPr>
        <w:t>mean the Term Loans and the Revolving Loans and</w:t>
      </w:r>
      <w:r>
        <w:rPr>
          <w:rFonts w:ascii="Arial" w:cs="Arial" w:eastAsia="Arial" w:hAnsi="Arial"/>
          <w:sz w:val="18"/>
          <w:szCs w:val="18"/>
          <w:b w:val="1"/>
          <w:bCs w:val="1"/>
          <w:color w:val="auto"/>
        </w:rPr>
        <w:t xml:space="preserve"> Loan </w:t>
      </w:r>
      <w:r>
        <w:rPr>
          <w:rFonts w:ascii="Arial" w:cs="Arial" w:eastAsia="Arial" w:hAnsi="Arial"/>
          <w:sz w:val="18"/>
          <w:szCs w:val="18"/>
          <w:color w:val="auto"/>
        </w:rPr>
        <w:t>means any one of them.</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Loss Payable Clauses </w:t>
      </w:r>
      <w:r>
        <w:rPr>
          <w:rFonts w:ascii="Arial" w:cs="Arial" w:eastAsia="Arial" w:hAnsi="Arial"/>
          <w:sz w:val="18"/>
          <w:szCs w:val="18"/>
          <w:color w:val="auto"/>
        </w:rPr>
        <w:t>means, in relation to a Ship, the provisions concerning payment of claims under the Ship’s Insurances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form scheduled to the Ship’s General Assignment or (as the case may be) Deed of Covenant or in another approved form.</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Losses </w:t>
      </w:r>
      <w:r>
        <w:rPr>
          <w:rFonts w:ascii="Arial" w:cs="Arial" w:eastAsia="Arial" w:hAnsi="Arial"/>
          <w:sz w:val="18"/>
          <w:szCs w:val="18"/>
          <w:color w:val="auto"/>
        </w:rPr>
        <w:t>means any costs, expenses (including, but not limited to, legal fees), payments, charges, losses, demands, liabilities, taxes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VAT) claims, actions, proceedings, penalties, fines, damages, judgments, orders or other sanctions.</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Major Casualty </w:t>
      </w:r>
      <w:r>
        <w:rPr>
          <w:rFonts w:ascii="Arial" w:cs="Arial" w:eastAsia="Arial" w:hAnsi="Arial"/>
          <w:sz w:val="18"/>
          <w:szCs w:val="18"/>
          <w:color w:val="auto"/>
        </w:rPr>
        <w:t>means any casualty to a vessel for which the total insurance claim, inclusive of any deductible, exceeds or may exceed</w:t>
      </w:r>
      <w:r>
        <w:rPr>
          <w:rFonts w:ascii="Arial" w:cs="Arial" w:eastAsia="Arial" w:hAnsi="Arial"/>
          <w:sz w:val="18"/>
          <w:szCs w:val="18"/>
          <w:b w:val="1"/>
          <w:bCs w:val="1"/>
          <w:color w:val="auto"/>
        </w:rPr>
        <w:t xml:space="preserve"> </w:t>
      </w:r>
      <w:r>
        <w:rPr>
          <w:rFonts w:ascii="Arial" w:cs="Arial" w:eastAsia="Arial" w:hAnsi="Arial"/>
          <w:sz w:val="18"/>
          <w:szCs w:val="18"/>
          <w:color w:val="auto"/>
        </w:rPr>
        <w:t>the Major Casualty Amount.</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Major Casualty Amount </w:t>
      </w:r>
      <w:r>
        <w:rPr>
          <w:rFonts w:ascii="Arial" w:cs="Arial" w:eastAsia="Arial" w:hAnsi="Arial"/>
          <w:sz w:val="18"/>
          <w:szCs w:val="18"/>
          <w:color w:val="auto"/>
        </w:rPr>
        <w:t>means, in relation to a Ship, the amount specified as such against the name of that Ship in Schedule 2 (</w:t>
      </w:r>
      <w:r>
        <w:rPr>
          <w:rFonts w:ascii="Arial" w:cs="Arial" w:eastAsia="Arial" w:hAnsi="Arial"/>
          <w:sz w:val="18"/>
          <w:szCs w:val="18"/>
          <w:i w:val="1"/>
          <w:iCs w:val="1"/>
          <w:color w:val="auto"/>
        </w:rPr>
        <w:t>Ship</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or the equivalent in any other currency.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Majority Lenders </w:t>
      </w:r>
      <w:r>
        <w:rPr>
          <w:rFonts w:ascii="Arial" w:cs="Arial" w:eastAsia="Arial" w:hAnsi="Arial"/>
          <w:sz w:val="18"/>
          <w:szCs w:val="18"/>
          <w:color w:val="auto"/>
        </w:rPr>
        <w:t>means:</w:t>
      </w:r>
    </w:p>
    <w:p>
      <w:pPr>
        <w:spacing w:after="0" w:line="220" w:lineRule="exact"/>
        <w:rPr>
          <w:sz w:val="20"/>
          <w:szCs w:val="20"/>
          <w:color w:val="auto"/>
        </w:rPr>
      </w:pPr>
    </w:p>
    <w:p>
      <w:pPr>
        <w:jc w:val="both"/>
        <w:ind w:left="540" w:hanging="532"/>
        <w:spacing w:after="0"/>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no Loans are then outstanding, a Lender or Lenders whose Commitments aggregate more than 66.66% of the Total Commitments (or, if the Total Commitments have been reduced to zero, aggregated more than 66.66% of the Total Commitments immediately prior to the reduction); or</w:t>
      </w:r>
    </w:p>
    <w:p>
      <w:pPr>
        <w:spacing w:after="0" w:line="189" w:lineRule="exact"/>
        <w:rPr>
          <w:rFonts w:ascii="Arial" w:cs="Arial" w:eastAsia="Arial" w:hAnsi="Arial"/>
          <w:sz w:val="18"/>
          <w:szCs w:val="18"/>
          <w:color w:val="auto"/>
        </w:rPr>
      </w:pPr>
    </w:p>
    <w:p>
      <w:pPr>
        <w:ind w:left="540" w:hanging="532"/>
        <w:spacing w:after="0"/>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at any other time, a Lender or Lenders whose participations in the Loans aggregate more than 66.66% of the aggregate Loans.</w:t>
      </w:r>
    </w:p>
    <w:p>
      <w:pPr>
        <w:spacing w:after="0" w:line="176"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Manager </w:t>
      </w:r>
      <w:r>
        <w:rPr>
          <w:rFonts w:ascii="Arial" w:cs="Arial" w:eastAsia="Arial" w:hAnsi="Arial"/>
          <w:sz w:val="18"/>
          <w:szCs w:val="18"/>
          <w:color w:val="auto"/>
        </w:rPr>
        <w:t>means, in relation to a Ship, the Commercial Manager or the Technical Manager for that Ship and</w:t>
      </w:r>
      <w:r>
        <w:rPr>
          <w:rFonts w:ascii="Arial" w:cs="Arial" w:eastAsia="Arial" w:hAnsi="Arial"/>
          <w:sz w:val="18"/>
          <w:szCs w:val="18"/>
          <w:b w:val="1"/>
          <w:bCs w:val="1"/>
          <w:color w:val="auto"/>
        </w:rPr>
        <w:t xml:space="preserve"> Managers </w:t>
      </w:r>
      <w:r>
        <w:rPr>
          <w:rFonts w:ascii="Arial" w:cs="Arial" w:eastAsia="Arial" w:hAnsi="Arial"/>
          <w:sz w:val="18"/>
          <w:szCs w:val="18"/>
          <w:color w:val="auto"/>
        </w:rPr>
        <w:t>means both of</w:t>
      </w:r>
      <w:r>
        <w:rPr>
          <w:rFonts w:ascii="Arial" w:cs="Arial" w:eastAsia="Arial" w:hAnsi="Arial"/>
          <w:sz w:val="18"/>
          <w:szCs w:val="18"/>
          <w:b w:val="1"/>
          <w:bCs w:val="1"/>
          <w:color w:val="auto"/>
        </w:rPr>
        <w:t xml:space="preserve"> </w:t>
      </w:r>
      <w:r>
        <w:rPr>
          <w:rFonts w:ascii="Arial" w:cs="Arial" w:eastAsia="Arial" w:hAnsi="Arial"/>
          <w:sz w:val="18"/>
          <w:szCs w:val="18"/>
          <w:color w:val="auto"/>
        </w:rPr>
        <w:t>them.</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Manager’s Undertaking </w:t>
      </w:r>
      <w:r>
        <w:rPr>
          <w:rFonts w:ascii="Arial" w:cs="Arial" w:eastAsia="Arial" w:hAnsi="Arial"/>
          <w:sz w:val="18"/>
          <w:szCs w:val="18"/>
          <w:color w:val="auto"/>
        </w:rPr>
        <w:t>means, in relation to a Ship, an undertaking by any manager of the Ship to the Security Agent in the agreed</w:t>
      </w:r>
      <w:r>
        <w:rPr>
          <w:rFonts w:ascii="Arial" w:cs="Arial" w:eastAsia="Arial" w:hAnsi="Arial"/>
          <w:sz w:val="18"/>
          <w:szCs w:val="18"/>
          <w:b w:val="1"/>
          <w:bCs w:val="1"/>
          <w:color w:val="auto"/>
        </w:rPr>
        <w:t xml:space="preserve"> </w:t>
      </w:r>
      <w:r>
        <w:rPr>
          <w:rFonts w:ascii="Arial" w:cs="Arial" w:eastAsia="Arial" w:hAnsi="Arial"/>
          <w:sz w:val="18"/>
          <w:szCs w:val="18"/>
          <w:color w:val="auto"/>
        </w:rPr>
        <w:t>form, including if required pursuant to clause 22.3 (</w:t>
      </w:r>
      <w:r>
        <w:rPr>
          <w:rFonts w:ascii="Arial" w:cs="Arial" w:eastAsia="Arial" w:hAnsi="Arial"/>
          <w:sz w:val="18"/>
          <w:szCs w:val="18"/>
          <w:i w:val="1"/>
          <w:iCs w:val="1"/>
          <w:color w:val="auto"/>
        </w:rPr>
        <w:t>Manager</w:t>
      </w:r>
      <w:r>
        <w:rPr>
          <w:rFonts w:ascii="Arial" w:cs="Arial" w:eastAsia="Arial" w:hAnsi="Arial"/>
          <w:sz w:val="18"/>
          <w:szCs w:val="18"/>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Margin </w:t>
      </w:r>
      <w:r>
        <w:rPr>
          <w:rFonts w:ascii="Arial" w:cs="Arial" w:eastAsia="Arial" w:hAnsi="Arial"/>
          <w:sz w:val="18"/>
          <w:szCs w:val="18"/>
          <w:color w:val="auto"/>
        </w:rPr>
        <w:t>means 2.25 per cent per annum.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Material Adverse Effect </w:t>
      </w:r>
      <w:r>
        <w:rPr>
          <w:rFonts w:ascii="Arial" w:cs="Arial" w:eastAsia="Arial" w:hAnsi="Arial"/>
          <w:sz w:val="18"/>
          <w:szCs w:val="18"/>
          <w:color w:val="auto"/>
        </w:rPr>
        <w:t>means a material adverse effect on:</w:t>
      </w:r>
    </w:p>
    <w:p>
      <w:pPr>
        <w:spacing w:after="0" w:line="220" w:lineRule="exact"/>
        <w:rPr>
          <w:sz w:val="20"/>
          <w:szCs w:val="20"/>
          <w:color w:val="auto"/>
        </w:rPr>
      </w:pPr>
    </w:p>
    <w:p>
      <w:pPr>
        <w:ind w:left="540" w:hanging="532"/>
        <w:spacing w:after="0"/>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business, operations, property, financial condition or performance of any Obligor or of the Group taken as a whole; or</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ability of an Obligor to perform its obligations under any of the Finance Documents; or</w:t>
      </w:r>
    </w:p>
    <w:p>
      <w:pPr>
        <w:spacing w:after="0" w:line="198" w:lineRule="exact"/>
        <w:rPr>
          <w:rFonts w:ascii="Arial" w:cs="Arial" w:eastAsia="Arial" w:hAnsi="Arial"/>
          <w:sz w:val="18"/>
          <w:szCs w:val="18"/>
          <w:color w:val="auto"/>
        </w:rPr>
      </w:pPr>
    </w:p>
    <w:p>
      <w:pPr>
        <w:jc w:val="both"/>
        <w:ind w:left="540" w:hanging="532"/>
        <w:spacing w:after="0"/>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legality, validity or enforceability of, or the effectiveness or ranking of any Security Interest granted or purporting to be granted pursuant to any of, the Finance Documents or any of the rights or remedies of any Finance Party under any of the Finance Documents.</w:t>
      </w:r>
    </w:p>
    <w:p>
      <w:pPr>
        <w:spacing w:after="0" w:line="167"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Minimum Value </w:t>
      </w:r>
      <w:r>
        <w:rPr>
          <w:rFonts w:ascii="Arial" w:cs="Arial" w:eastAsia="Arial" w:hAnsi="Arial"/>
          <w:sz w:val="18"/>
          <w:szCs w:val="18"/>
          <w:color w:val="auto"/>
        </w:rPr>
        <w:t>means, at any time, the amount in dollars which is 120% of the aggregate of (a) all Loans and (b) any undrawn portion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Available Facility.</w:t>
      </w:r>
    </w:p>
    <w:p>
      <w:pPr>
        <w:spacing w:after="0" w:line="14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color w:val="auto"/>
        </w:rPr>
        <w:t xml:space="preserve">MLP </w:t>
      </w:r>
      <w:r>
        <w:rPr>
          <w:rFonts w:ascii="Arial" w:cs="Arial" w:eastAsia="Arial" w:hAnsi="Arial"/>
          <w:sz w:val="18"/>
          <w:szCs w:val="18"/>
          <w:color w:val="auto"/>
        </w:rPr>
        <w:t>means GasLog Partners LP of Trust Company Complex, Ajeltake Road, Ajeltake Island, Majuro, Marshall Islands MH96960, listed</w:t>
      </w:r>
      <w:r>
        <w:rPr>
          <w:rFonts w:ascii="Arial" w:cs="Arial" w:eastAsia="Arial" w:hAnsi="Arial"/>
          <w:sz w:val="18"/>
          <w:szCs w:val="18"/>
          <w:b w:val="1"/>
          <w:bCs w:val="1"/>
          <w:color w:val="auto"/>
        </w:rPr>
        <w:t xml:space="preserve"> </w:t>
      </w:r>
      <w:r>
        <w:rPr>
          <w:rFonts w:ascii="Arial" w:cs="Arial" w:eastAsia="Arial" w:hAnsi="Arial"/>
          <w:sz w:val="18"/>
          <w:szCs w:val="18"/>
          <w:color w:val="auto"/>
        </w:rPr>
        <w:t>on NYSE with tracker symbol “GLOP”.</w:t>
      </w:r>
    </w:p>
    <w:p>
      <w:pPr>
        <w:spacing w:after="0" w:line="14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135255</wp:posOffset>
            </wp:positionV>
            <wp:extent cx="72466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80"/>
          </w:cols>
          <w:pgMar w:left="780" w:top="422" w:right="239" w:bottom="1440" w:gutter="0" w:footer="0" w:header="0"/>
        </w:sectPr>
      </w:pPr>
    </w:p>
    <w:bookmarkStart w:id="65" w:name="page66"/>
    <w:bookmarkEnd w:id="65"/>
    <w:p>
      <w:pPr>
        <w:jc w:val="both"/>
        <w:spacing w:after="0" w:line="253" w:lineRule="auto"/>
        <w:rPr>
          <w:sz w:val="20"/>
          <w:szCs w:val="20"/>
          <w:color w:val="auto"/>
        </w:rPr>
      </w:pPr>
      <w:r>
        <w:rPr>
          <w:rFonts w:ascii="Arial" w:cs="Arial" w:eastAsia="Arial" w:hAnsi="Arial"/>
          <w:sz w:val="18"/>
          <w:szCs w:val="18"/>
          <w:b w:val="1"/>
          <w:bCs w:val="1"/>
          <w:color w:val="auto"/>
        </w:rPr>
        <w:t xml:space="preserve">MLP Guarantee </w:t>
      </w:r>
      <w:r>
        <w:rPr>
          <w:rFonts w:ascii="Arial" w:cs="Arial" w:eastAsia="Arial" w:hAnsi="Arial"/>
          <w:sz w:val="18"/>
          <w:szCs w:val="18"/>
          <w:color w:val="auto"/>
        </w:rPr>
        <w:t>means the guarantee to be executed by MLP in favour of the Security Agent (the guarantee and indemnity clause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will be in a substantially similar form to the guarantee and indemnity of clause 17 (</w:t>
      </w:r>
      <w:r>
        <w:rPr>
          <w:rFonts w:ascii="Arial" w:cs="Arial" w:eastAsia="Arial" w:hAnsi="Arial"/>
          <w:sz w:val="18"/>
          <w:szCs w:val="18"/>
          <w:i w:val="1"/>
          <w:iCs w:val="1"/>
          <w:color w:val="auto"/>
        </w:rPr>
        <w:t>Guarantee and indemnity</w:t>
      </w:r>
      <w:r>
        <w:rPr>
          <w:rFonts w:ascii="Arial" w:cs="Arial" w:eastAsia="Arial" w:hAnsi="Arial"/>
          <w:sz w:val="18"/>
          <w:szCs w:val="18"/>
          <w:color w:val="auto"/>
        </w:rPr>
        <w:t>)) pursuant to clause 29.22 (</w:t>
      </w:r>
      <w:r>
        <w:rPr>
          <w:rFonts w:ascii="Arial" w:cs="Arial" w:eastAsia="Arial" w:hAnsi="Arial"/>
          <w:sz w:val="18"/>
          <w:szCs w:val="18"/>
          <w:i w:val="1"/>
          <w:iCs w:val="1"/>
          <w:color w:val="auto"/>
        </w:rPr>
        <w:t>Legal and beneficial ownership</w:t>
      </w:r>
      <w:r>
        <w:rPr>
          <w:rFonts w:ascii="Arial" w:cs="Arial" w:eastAsia="Arial" w:hAnsi="Arial"/>
          <w:sz w:val="18"/>
          <w:szCs w:val="18"/>
          <w:color w:val="auto"/>
        </w:rPr>
        <w:t>) and subject to clause 21.15 (</w:t>
      </w:r>
      <w:r>
        <w:rPr>
          <w:rFonts w:ascii="Arial" w:cs="Arial" w:eastAsia="Arial" w:hAnsi="Arial"/>
          <w:sz w:val="18"/>
          <w:szCs w:val="18"/>
          <w:i w:val="1"/>
          <w:iCs w:val="1"/>
          <w:color w:val="auto"/>
        </w:rPr>
        <w:t>Guarantee limited recourse arrangements</w:t>
      </w:r>
      <w:r>
        <w:rPr>
          <w:rFonts w:ascii="Arial" w:cs="Arial" w:eastAsia="Arial" w:hAnsi="Arial"/>
          <w:sz w:val="18"/>
          <w:szCs w:val="18"/>
          <w:color w:val="auto"/>
        </w:rPr>
        <w:t>).</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Mortgage </w:t>
      </w:r>
      <w:r>
        <w:rPr>
          <w:rFonts w:ascii="Arial" w:cs="Arial" w:eastAsia="Arial" w:hAnsi="Arial"/>
          <w:sz w:val="18"/>
          <w:szCs w:val="18"/>
          <w:color w:val="auto"/>
        </w:rPr>
        <w:t>means, in relation to a Ship, a first priority or (as the case may be) first preferred mortgage of the Ship in the agreed form by</w:t>
      </w:r>
      <w:r>
        <w:rPr>
          <w:rFonts w:ascii="Arial" w:cs="Arial" w:eastAsia="Arial" w:hAnsi="Arial"/>
          <w:sz w:val="18"/>
          <w:szCs w:val="18"/>
          <w:b w:val="1"/>
          <w:bCs w:val="1"/>
          <w:color w:val="auto"/>
        </w:rPr>
        <w:t xml:space="preserve"> </w:t>
      </w:r>
      <w:r>
        <w:rPr>
          <w:rFonts w:ascii="Arial" w:cs="Arial" w:eastAsia="Arial" w:hAnsi="Arial"/>
          <w:sz w:val="18"/>
          <w:szCs w:val="18"/>
          <w:color w:val="auto"/>
        </w:rPr>
        <w:t>the relevant Owner in favour of the Security Agent and/or any of the other Finance Parties.</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Mortgage Period </w:t>
      </w:r>
      <w:r>
        <w:rPr>
          <w:rFonts w:ascii="Arial" w:cs="Arial" w:eastAsia="Arial" w:hAnsi="Arial"/>
          <w:sz w:val="18"/>
          <w:szCs w:val="18"/>
          <w:color w:val="auto"/>
        </w:rPr>
        <w:t>means, in relation to a Mortgaged Ship, the period from the date the Mortgage over that Ship is executed and</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until the date such Mortgage is released and discharged or, if earlier, its Total Loss Date.</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Mortgaged Ship </w:t>
      </w:r>
      <w:r>
        <w:rPr>
          <w:rFonts w:ascii="Arial" w:cs="Arial" w:eastAsia="Arial" w:hAnsi="Arial"/>
          <w:sz w:val="18"/>
          <w:szCs w:val="18"/>
          <w:color w:val="auto"/>
        </w:rPr>
        <w:t>means, at any relevant time, any Ship which is subject to a Mortgage and/or whose Earnings, Insurances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Requisition Compensation are subject to a Security Interest under the Finance Documents.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New Lender </w:t>
      </w:r>
      <w:r>
        <w:rPr>
          <w:rFonts w:ascii="Arial" w:cs="Arial" w:eastAsia="Arial" w:hAnsi="Arial"/>
          <w:sz w:val="18"/>
          <w:szCs w:val="18"/>
          <w:color w:val="auto"/>
        </w:rPr>
        <w:t>has the meaning given to that term in clause 30 (</w:t>
      </w:r>
      <w:r>
        <w:rPr>
          <w:rFonts w:ascii="Arial" w:cs="Arial" w:eastAsia="Arial" w:hAnsi="Arial"/>
          <w:sz w:val="18"/>
          <w:szCs w:val="18"/>
          <w:i w:val="1"/>
          <w:iCs w:val="1"/>
          <w:color w:val="auto"/>
        </w:rPr>
        <w:t>Changes to the Lenders</w:t>
      </w:r>
      <w:r>
        <w:rPr>
          <w:rFonts w:ascii="Arial" w:cs="Arial" w:eastAsia="Arial" w:hAnsi="Arial"/>
          <w:sz w:val="18"/>
          <w:szCs w:val="18"/>
          <w:color w:val="auto"/>
        </w:rPr>
        <w:t>).</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 xml:space="preserve">Notifiable Debt Purchase Transaction </w:t>
      </w:r>
      <w:r>
        <w:rPr>
          <w:rFonts w:ascii="Arial" w:cs="Arial" w:eastAsia="Arial" w:hAnsi="Arial"/>
          <w:sz w:val="18"/>
          <w:szCs w:val="18"/>
          <w:color w:val="auto"/>
        </w:rPr>
        <w:t>has the meaning given to that term in clause 31.3(b) (</w:t>
      </w:r>
      <w:r>
        <w:rPr>
          <w:rFonts w:ascii="Arial" w:cs="Arial" w:eastAsia="Arial" w:hAnsi="Arial"/>
          <w:sz w:val="18"/>
          <w:szCs w:val="18"/>
          <w:i w:val="1"/>
          <w:iCs w:val="1"/>
          <w:color w:val="auto"/>
        </w:rPr>
        <w:t>Disenfranchisement of Debt Purchase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Transactions entered into by Affiliates</w:t>
      </w:r>
      <w:r>
        <w:rPr>
          <w:rFonts w:ascii="Arial" w:cs="Arial" w:eastAsia="Arial" w:hAnsi="Arial"/>
          <w:sz w:val="18"/>
          <w:szCs w:val="18"/>
          <w:color w:val="auto"/>
        </w:rPr>
        <w:t>).</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Obligors </w:t>
      </w:r>
      <w:r>
        <w:rPr>
          <w:rFonts w:ascii="Arial" w:cs="Arial" w:eastAsia="Arial" w:hAnsi="Arial"/>
          <w:sz w:val="18"/>
          <w:szCs w:val="18"/>
          <w:color w:val="auto"/>
        </w:rPr>
        <w:t>means the parties to the Finance Documents (other than the Finance Parties, any Charterers and the Managers of each Ship)</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w:t>
      </w:r>
      <w:r>
        <w:rPr>
          <w:rFonts w:ascii="Arial" w:cs="Arial" w:eastAsia="Arial" w:hAnsi="Arial"/>
          <w:sz w:val="18"/>
          <w:szCs w:val="18"/>
          <w:b w:val="1"/>
          <w:bCs w:val="1"/>
          <w:color w:val="auto"/>
        </w:rPr>
        <w:t>Obligor</w:t>
      </w:r>
      <w:r>
        <w:rPr>
          <w:rFonts w:ascii="Arial" w:cs="Arial" w:eastAsia="Arial" w:hAnsi="Arial"/>
          <w:sz w:val="18"/>
          <w:szCs w:val="18"/>
          <w:color w:val="auto"/>
        </w:rPr>
        <w:t xml:space="preserve"> means any one of them.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Original Financial Statements </w:t>
      </w:r>
      <w:r>
        <w:rPr>
          <w:rFonts w:ascii="Arial" w:cs="Arial" w:eastAsia="Arial" w:hAnsi="Arial"/>
          <w:sz w:val="18"/>
          <w:szCs w:val="18"/>
          <w:color w:val="auto"/>
        </w:rPr>
        <w:t>means:</w:t>
      </w:r>
    </w:p>
    <w:p>
      <w:pPr>
        <w:spacing w:after="0" w:line="220" w:lineRule="exact"/>
        <w:rPr>
          <w:sz w:val="20"/>
          <w:szCs w:val="20"/>
          <w:color w:val="auto"/>
        </w:rPr>
      </w:pPr>
    </w:p>
    <w:p>
      <w:pPr>
        <w:ind w:left="540" w:hanging="532"/>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audited consolidated financial statements of the Parent for its financial year ended on 31 December 2015; and</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audited consolidated financial statements of GasLog Carriers for the financial year ended on 31 December 2015.</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Original Security Documents </w:t>
      </w:r>
      <w:r>
        <w:rPr>
          <w:rFonts w:ascii="Arial" w:cs="Arial" w:eastAsia="Arial" w:hAnsi="Arial"/>
          <w:sz w:val="18"/>
          <w:szCs w:val="18"/>
          <w:color w:val="auto"/>
        </w:rPr>
        <w:t>means:</w:t>
      </w:r>
    </w:p>
    <w:p>
      <w:pPr>
        <w:spacing w:after="0" w:line="220" w:lineRule="exact"/>
        <w:rPr>
          <w:sz w:val="20"/>
          <w:szCs w:val="20"/>
          <w:color w:val="auto"/>
        </w:rPr>
      </w:pPr>
    </w:p>
    <w:p>
      <w:pPr>
        <w:ind w:left="540" w:hanging="532"/>
        <w:spacing w:after="0"/>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Mortgages over each of the Ships;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Deeds of Covenant in relation to each of the Ships in respect of which the Mortgage is in account current form;</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General Assignments in relation to each of the Ships in respect of which the Mortgage is in preferred form;</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Charter Assignment in relation to each Ship’s Charter Documents;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Quiet Enjoyment Agreement in relation to any Ship;</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Account Security in relation to each Account;</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Share Security in relation to each Borrower; and</w:t>
      </w:r>
    </w:p>
    <w:p>
      <w:pPr>
        <w:spacing w:after="0" w:line="180" w:lineRule="exact"/>
        <w:rPr>
          <w:rFonts w:ascii="Arial" w:cs="Arial" w:eastAsia="Arial" w:hAnsi="Arial"/>
          <w:sz w:val="18"/>
          <w:szCs w:val="18"/>
          <w:color w:val="auto"/>
        </w:rPr>
      </w:pPr>
    </w:p>
    <w:p>
      <w:pPr>
        <w:ind w:left="540" w:hanging="532"/>
        <w:spacing w:after="0"/>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Manager’s Undertaking in relation to a Ship, including if required under clause 22.3 (</w:t>
      </w:r>
      <w:r>
        <w:rPr>
          <w:rFonts w:ascii="Arial" w:cs="Arial" w:eastAsia="Arial" w:hAnsi="Arial"/>
          <w:sz w:val="18"/>
          <w:szCs w:val="18"/>
          <w:i w:val="1"/>
          <w:iCs w:val="1"/>
          <w:color w:val="auto"/>
        </w:rPr>
        <w:t>Manager</w:t>
      </w:r>
      <w:r>
        <w:rPr>
          <w:rFonts w:ascii="Arial" w:cs="Arial" w:eastAsia="Arial" w:hAnsi="Arial"/>
          <w:sz w:val="18"/>
          <w:szCs w:val="18"/>
          <w:color w:val="auto"/>
        </w:rPr>
        <w:t>).</w:t>
      </w:r>
    </w:p>
    <w:p>
      <w:pPr>
        <w:spacing w:after="0" w:line="194"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Owner </w:t>
      </w:r>
      <w:r>
        <w:rPr>
          <w:rFonts w:ascii="Arial" w:cs="Arial" w:eastAsia="Arial" w:hAnsi="Arial"/>
          <w:sz w:val="18"/>
          <w:szCs w:val="18"/>
          <w:color w:val="auto"/>
        </w:rPr>
        <w:t>means, in relation to a Ship, the Borrower specified against the name of that Ship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and</w:t>
      </w:r>
      <w:r>
        <w:rPr>
          <w:rFonts w:ascii="Arial" w:cs="Arial" w:eastAsia="Arial" w:hAnsi="Arial"/>
          <w:sz w:val="18"/>
          <w:szCs w:val="18"/>
          <w:b w:val="1"/>
          <w:bCs w:val="1"/>
          <w:color w:val="auto"/>
        </w:rPr>
        <w:t xml:space="preserve"> Owners </w:t>
      </w:r>
      <w:r>
        <w:rPr>
          <w:rFonts w:ascii="Arial" w:cs="Arial" w:eastAsia="Arial" w:hAnsi="Arial"/>
          <w:sz w:val="18"/>
          <w:szCs w:val="18"/>
          <w:color w:val="auto"/>
        </w:rPr>
        <w:t>means all of them.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Parent </w:t>
      </w:r>
      <w:r>
        <w:rPr>
          <w:rFonts w:ascii="Arial" w:cs="Arial" w:eastAsia="Arial" w:hAnsi="Arial"/>
          <w:sz w:val="18"/>
          <w:szCs w:val="18"/>
          <w:color w:val="auto"/>
        </w:rPr>
        <w:t>means the company described as such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w:t>
      </w:r>
    </w:p>
    <w:p>
      <w:pPr>
        <w:spacing w:after="0" w:line="20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135255</wp:posOffset>
            </wp:positionV>
            <wp:extent cx="72466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80"/>
          </w:cols>
          <w:pgMar w:left="780" w:top="400" w:right="239" w:bottom="1440" w:gutter="0" w:footer="0" w:header="0"/>
        </w:sectPr>
      </w:pPr>
    </w:p>
    <w:bookmarkStart w:id="66" w:name="page67"/>
    <w:bookmarkEnd w:id="66"/>
    <w:p>
      <w:pPr>
        <w:jc w:val="both"/>
        <w:spacing w:after="0" w:line="253" w:lineRule="auto"/>
        <w:rPr>
          <w:sz w:val="20"/>
          <w:szCs w:val="20"/>
          <w:color w:val="auto"/>
        </w:rPr>
      </w:pPr>
      <w:r>
        <w:rPr>
          <w:rFonts w:ascii="Arial" w:cs="Arial" w:eastAsia="Arial" w:hAnsi="Arial"/>
          <w:sz w:val="18"/>
          <w:szCs w:val="18"/>
          <w:b w:val="1"/>
          <w:bCs w:val="1"/>
          <w:color w:val="auto"/>
        </w:rPr>
        <w:t xml:space="preserve">Parent Affiliate </w:t>
      </w:r>
      <w:r>
        <w:rPr>
          <w:rFonts w:ascii="Arial" w:cs="Arial" w:eastAsia="Arial" w:hAnsi="Arial"/>
          <w:sz w:val="18"/>
          <w:szCs w:val="18"/>
          <w:color w:val="auto"/>
        </w:rPr>
        <w:t>means the Parent, each of its Affiliates, any trust of which the Parent or any of its Affiliates is a trustee, any partnership</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the Parent or any of its Affiliates is a partner and any trust, fund or other entity which is managed by, or is under the control of, the Parent or any of its Affiliates.</w:t>
      </w:r>
    </w:p>
    <w:p>
      <w:pPr>
        <w:spacing w:after="0" w:line="15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 xml:space="preserve">Participating Member State </w:t>
      </w:r>
      <w:r>
        <w:rPr>
          <w:rFonts w:ascii="Arial" w:cs="Arial" w:eastAsia="Arial" w:hAnsi="Arial"/>
          <w:sz w:val="18"/>
          <w:szCs w:val="18"/>
          <w:color w:val="auto"/>
        </w:rPr>
        <w:t>means any member state of the European Union that has adopted the euro as its lawful currency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legislation of the European Union relating to Economic and Monetary Union.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Party </w:t>
      </w:r>
      <w:r>
        <w:rPr>
          <w:rFonts w:ascii="Arial" w:cs="Arial" w:eastAsia="Arial" w:hAnsi="Arial"/>
          <w:sz w:val="18"/>
          <w:szCs w:val="18"/>
          <w:color w:val="auto"/>
        </w:rPr>
        <w:t>means a party to this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Payment Disruption Event </w:t>
      </w:r>
      <w:r>
        <w:rPr>
          <w:rFonts w:ascii="Arial" w:cs="Arial" w:eastAsia="Arial" w:hAnsi="Arial"/>
          <w:sz w:val="18"/>
          <w:szCs w:val="18"/>
          <w:color w:val="auto"/>
        </w:rPr>
        <w:t>means either or both of:</w:t>
      </w:r>
    </w:p>
    <w:p>
      <w:pPr>
        <w:spacing w:after="0" w:line="220" w:lineRule="exact"/>
        <w:rPr>
          <w:sz w:val="20"/>
          <w:szCs w:val="20"/>
          <w:color w:val="auto"/>
        </w:rPr>
      </w:pPr>
    </w:p>
    <w:p>
      <w:pPr>
        <w:jc w:val="both"/>
        <w:ind w:left="540" w:hanging="532"/>
        <w:spacing w:after="0" w:line="239"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material disruption to those payment or communications systems or to those financial markets which are, in each case, required to operate in order for payments to be made in connection with the Facilities (or otherwise in order for the transactions contemplated by the Finance Documents to be carried out) which disruption is not caused by, and is beyond the control of, any of the Parties; or</w:t>
      </w:r>
    </w:p>
    <w:p>
      <w:pPr>
        <w:spacing w:after="0" w:line="188" w:lineRule="exact"/>
        <w:rPr>
          <w:rFonts w:ascii="Arial" w:cs="Arial" w:eastAsia="Arial" w:hAnsi="Arial"/>
          <w:sz w:val="18"/>
          <w:szCs w:val="18"/>
          <w:color w:val="auto"/>
        </w:rPr>
      </w:pPr>
    </w:p>
    <w:p>
      <w:pPr>
        <w:ind w:left="540" w:hanging="532"/>
        <w:spacing w:after="0" w:line="246"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occurrence of any other event which results in a disruption (of a technical or systems-related nature) to the treasury or payments operations of a Party preventing that, or any other Party:</w:t>
      </w:r>
    </w:p>
    <w:p>
      <w:pPr>
        <w:spacing w:after="0" w:line="183" w:lineRule="exact"/>
        <w:rPr>
          <w:rFonts w:ascii="Arial" w:cs="Arial" w:eastAsia="Arial" w:hAnsi="Arial"/>
          <w:sz w:val="18"/>
          <w:szCs w:val="18"/>
          <w:color w:val="auto"/>
        </w:rPr>
      </w:pPr>
    </w:p>
    <w:p>
      <w:pPr>
        <w:ind w:left="1020" w:hanging="539"/>
        <w:spacing w:after="0"/>
        <w:tabs>
          <w:tab w:leader="none" w:pos="10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from performing its payment obligations under the Finance Documents; or</w:t>
      </w:r>
    </w:p>
    <w:p>
      <w:pPr>
        <w:spacing w:after="0" w:line="198" w:lineRule="exact"/>
        <w:rPr>
          <w:rFonts w:ascii="Arial" w:cs="Arial" w:eastAsia="Arial" w:hAnsi="Arial"/>
          <w:sz w:val="18"/>
          <w:szCs w:val="18"/>
          <w:color w:val="auto"/>
        </w:rPr>
      </w:pPr>
    </w:p>
    <w:p>
      <w:pPr>
        <w:ind w:left="1020" w:hanging="539"/>
        <w:spacing w:after="0"/>
        <w:tabs>
          <w:tab w:leader="none" w:pos="10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from communicating with other Parties in accordance with the terms of the Finance Documents,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and which (in either such case) is not caused by, and is beyond the control of, the Party whose operations are disrupted.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Permitted Maritime Liens </w:t>
      </w:r>
      <w:r>
        <w:rPr>
          <w:rFonts w:ascii="Arial" w:cs="Arial" w:eastAsia="Arial" w:hAnsi="Arial"/>
          <w:sz w:val="18"/>
          <w:szCs w:val="18"/>
          <w:color w:val="auto"/>
        </w:rPr>
        <w:t>means, in relation to a Ship:</w:t>
      </w:r>
    </w:p>
    <w:p>
      <w:pPr>
        <w:spacing w:after="0" w:line="220" w:lineRule="exact"/>
        <w:rPr>
          <w:sz w:val="20"/>
          <w:szCs w:val="20"/>
          <w:color w:val="auto"/>
        </w:rPr>
      </w:pPr>
    </w:p>
    <w:p>
      <w:pPr>
        <w:ind w:left="540" w:hanging="532"/>
        <w:spacing w:after="0" w:line="246"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unless a Default is continuing, any ship repairer’s or outfitter’s possessory lien in respect of such Ship for an amount not exceeding the Major Casualty Amount for such Ship;</w:t>
      </w:r>
    </w:p>
    <w:p>
      <w:pPr>
        <w:spacing w:after="0" w:line="183" w:lineRule="exact"/>
        <w:rPr>
          <w:rFonts w:ascii="Arial" w:cs="Arial" w:eastAsia="Arial" w:hAnsi="Arial"/>
          <w:sz w:val="18"/>
          <w:szCs w:val="18"/>
          <w:color w:val="auto"/>
        </w:rPr>
      </w:pPr>
    </w:p>
    <w:p>
      <w:pPr>
        <w:ind w:left="540" w:hanging="532"/>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lien on such Ship for master’s, officer’s or crew’s wages outstanding in the ordinary course of its trading;</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lien on such Ship for salvage; and</w:t>
      </w:r>
    </w:p>
    <w:p>
      <w:pPr>
        <w:spacing w:after="0" w:line="198" w:lineRule="exact"/>
        <w:rPr>
          <w:rFonts w:ascii="Arial" w:cs="Arial" w:eastAsia="Arial" w:hAnsi="Arial"/>
          <w:sz w:val="18"/>
          <w:szCs w:val="18"/>
          <w:color w:val="auto"/>
        </w:rPr>
      </w:pPr>
    </w:p>
    <w:p>
      <w:pPr>
        <w:ind w:left="540" w:hanging="532"/>
        <w:spacing w:after="0" w:line="246"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liens for master’s disbursements incurred in the ordinary course of business and any other lien arising by operation of law in the ordinary course of the business, repair or maintenance of such Ship,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each securing obligations not more than 30 days overdue.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Permitted Security Interests </w:t>
      </w:r>
      <w:r>
        <w:rPr>
          <w:rFonts w:ascii="Arial" w:cs="Arial" w:eastAsia="Arial" w:hAnsi="Arial"/>
          <w:sz w:val="18"/>
          <w:szCs w:val="18"/>
          <w:color w:val="auto"/>
        </w:rPr>
        <w:t>means, in relation to any Mortgaged Ship, any Security Interest over it which is:</w:t>
      </w:r>
    </w:p>
    <w:p>
      <w:pPr>
        <w:spacing w:after="0" w:line="220" w:lineRule="exact"/>
        <w:rPr>
          <w:sz w:val="20"/>
          <w:szCs w:val="20"/>
          <w:color w:val="auto"/>
        </w:rPr>
      </w:pPr>
    </w:p>
    <w:p>
      <w:pPr>
        <w:ind w:left="540" w:hanging="532"/>
        <w:spacing w:after="0"/>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granted by the Finance Documents; or</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Permitted Maritime Lien; or</w:t>
      </w:r>
    </w:p>
    <w:p>
      <w:pPr>
        <w:spacing w:after="0" w:line="198" w:lineRule="exact"/>
        <w:rPr>
          <w:rFonts w:ascii="Arial" w:cs="Arial" w:eastAsia="Arial" w:hAnsi="Arial"/>
          <w:sz w:val="18"/>
          <w:szCs w:val="18"/>
          <w:color w:val="auto"/>
        </w:rPr>
      </w:pPr>
    </w:p>
    <w:p>
      <w:pPr>
        <w:ind w:left="540" w:hanging="532"/>
        <w:spacing w:after="0" w:line="246"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created in favour of a claimant or defendant in any proceedings or arbitration as security for costs and expenses while the relevant Owner is actively pursuing a claim or defending such proceedings or arbitration in good faith; or</w:t>
      </w:r>
    </w:p>
    <w:p>
      <w:pPr>
        <w:spacing w:after="0" w:line="183" w:lineRule="exact"/>
        <w:rPr>
          <w:rFonts w:ascii="Arial" w:cs="Arial" w:eastAsia="Arial" w:hAnsi="Arial"/>
          <w:sz w:val="18"/>
          <w:szCs w:val="18"/>
          <w:color w:val="auto"/>
        </w:rPr>
      </w:pPr>
    </w:p>
    <w:p>
      <w:pPr>
        <w:ind w:left="540" w:hanging="532"/>
        <w:spacing w:after="0" w:line="246"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Security Interest arising by operation of law in respect of taxes which are not overdue for payment or in respect of taxes being contested in good faith by appropriate steps; or</w:t>
      </w:r>
    </w:p>
    <w:p>
      <w:pPr>
        <w:spacing w:after="0" w:line="17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135255</wp:posOffset>
            </wp:positionV>
            <wp:extent cx="72466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80"/>
          </w:cols>
          <w:pgMar w:left="780" w:top="400" w:right="239" w:bottom="1440" w:gutter="0" w:footer="0" w:header="0"/>
        </w:sectPr>
      </w:pPr>
    </w:p>
    <w:bookmarkStart w:id="67" w:name="page68"/>
    <w:bookmarkEnd w:id="67"/>
    <w:p>
      <w:pPr>
        <w:ind w:left="540" w:hanging="532"/>
        <w:spacing w:after="0"/>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approved by the Majority Lenders; or</w:t>
      </w:r>
    </w:p>
    <w:p>
      <w:pPr>
        <w:spacing w:after="0" w:line="198" w:lineRule="exact"/>
        <w:rPr>
          <w:rFonts w:ascii="Arial" w:cs="Arial" w:eastAsia="Arial" w:hAnsi="Arial"/>
          <w:sz w:val="18"/>
          <w:szCs w:val="18"/>
          <w:color w:val="auto"/>
        </w:rPr>
      </w:pPr>
    </w:p>
    <w:p>
      <w:pPr>
        <w:ind w:left="540" w:hanging="532"/>
        <w:spacing w:after="0" w:line="246"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created in connection with the Existing Indebtedness, until the Existing Indebtedness is discharged in full and in any event not later than the first Utilisation Date,</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(c) and (d) above the relevant liens (or any claim relating thereto) are, in the reasonable opinion of the Agent (acting on the instructions of the Majority Lenders), covered by insurance or, as the case may be, appropriate reserves have been made.</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Pollutant </w:t>
      </w:r>
      <w:r>
        <w:rPr>
          <w:rFonts w:ascii="Arial" w:cs="Arial" w:eastAsia="Arial" w:hAnsi="Arial"/>
          <w:sz w:val="18"/>
          <w:szCs w:val="18"/>
          <w:color w:val="auto"/>
        </w:rPr>
        <w:t>means and includes crude oil and its products, any other polluting, toxic or hazardous substance and any other substance</w:t>
      </w:r>
      <w:r>
        <w:rPr>
          <w:rFonts w:ascii="Arial" w:cs="Arial" w:eastAsia="Arial" w:hAnsi="Arial"/>
          <w:sz w:val="18"/>
          <w:szCs w:val="18"/>
          <w:b w:val="1"/>
          <w:bCs w:val="1"/>
          <w:color w:val="auto"/>
        </w:rPr>
        <w:t xml:space="preserve"> </w:t>
      </w:r>
      <w:r>
        <w:rPr>
          <w:rFonts w:ascii="Arial" w:cs="Arial" w:eastAsia="Arial" w:hAnsi="Arial"/>
          <w:sz w:val="18"/>
          <w:szCs w:val="18"/>
          <w:color w:val="auto"/>
        </w:rPr>
        <w:t>whose release into the environment is regulated or penalised by Environmental Laws.</w:t>
      </w:r>
    </w:p>
    <w:p>
      <w:pPr>
        <w:spacing w:after="0" w:line="14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 xml:space="preserve">Quiet Enjoyment Agreement </w:t>
      </w:r>
      <w:r>
        <w:rPr>
          <w:rFonts w:ascii="Arial" w:cs="Arial" w:eastAsia="Arial" w:hAnsi="Arial"/>
          <w:sz w:val="18"/>
          <w:szCs w:val="18"/>
          <w:color w:val="auto"/>
        </w:rPr>
        <w:t>means, in relation to a Ship, a letter by the Security Agent addressed to, and acknowledged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relevant Owner and Charterer of that Ship in the agreed form.</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Quotation Day </w:t>
      </w:r>
      <w:r>
        <w:rPr>
          <w:rFonts w:ascii="Arial" w:cs="Arial" w:eastAsia="Arial" w:hAnsi="Arial"/>
          <w:sz w:val="18"/>
          <w:szCs w:val="18"/>
          <w:color w:val="auto"/>
        </w:rPr>
        <w:t>means, in relation to any period for which an interest rate is to be determined, two days on which banks are open for</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business in London (other than Saturday and Sunday) before the first day of that period unless market practice differs in the Interbank Market for a currency, in which case the Quotation Day for that currency shall be determined by the Agent in accordance with market practice in the Interbank Market (and if quotations would normally be given by leading banks in the Interbank Market on more than one day, the Quotation Day will be the last of those days).</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Receiver </w:t>
      </w:r>
      <w:r>
        <w:rPr>
          <w:rFonts w:ascii="Arial" w:cs="Arial" w:eastAsia="Arial" w:hAnsi="Arial"/>
          <w:sz w:val="18"/>
          <w:szCs w:val="18"/>
          <w:color w:val="auto"/>
        </w:rPr>
        <w:t>means a receiver or a receiver and manager or an administrative receiver appointed in relation to the whole or any part of any</w:t>
      </w:r>
      <w:r>
        <w:rPr>
          <w:rFonts w:ascii="Arial" w:cs="Arial" w:eastAsia="Arial" w:hAnsi="Arial"/>
          <w:sz w:val="18"/>
          <w:szCs w:val="18"/>
          <w:b w:val="1"/>
          <w:bCs w:val="1"/>
          <w:color w:val="auto"/>
        </w:rPr>
        <w:t xml:space="preserve"> </w:t>
      </w:r>
      <w:r>
        <w:rPr>
          <w:rFonts w:ascii="Arial" w:cs="Arial" w:eastAsia="Arial" w:hAnsi="Arial"/>
          <w:sz w:val="18"/>
          <w:szCs w:val="18"/>
          <w:color w:val="auto"/>
        </w:rPr>
        <w:t>Charged Property under any relevant Security Document.</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Registry </w:t>
      </w:r>
      <w:r>
        <w:rPr>
          <w:rFonts w:ascii="Arial" w:cs="Arial" w:eastAsia="Arial" w:hAnsi="Arial"/>
          <w:sz w:val="18"/>
          <w:szCs w:val="18"/>
          <w:color w:val="auto"/>
        </w:rPr>
        <w:t>means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relation to each Ship, such registrar, commissioner or representative of the relevant Flag State who is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authorised and empowered to register the relevant Ship, the relevant Owner’s title to such Ship and the relevant Mortgage under the laws of its Flag State.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Relevant Jurisdiction </w:t>
      </w:r>
      <w:r>
        <w:rPr>
          <w:rFonts w:ascii="Arial" w:cs="Arial" w:eastAsia="Arial" w:hAnsi="Arial"/>
          <w:sz w:val="18"/>
          <w:szCs w:val="18"/>
          <w:color w:val="auto"/>
        </w:rPr>
        <w:t>means, in relation to an Obligor:</w:t>
      </w:r>
    </w:p>
    <w:p>
      <w:pPr>
        <w:spacing w:after="0" w:line="220" w:lineRule="exact"/>
        <w:rPr>
          <w:sz w:val="20"/>
          <w:szCs w:val="20"/>
          <w:color w:val="auto"/>
        </w:rPr>
      </w:pPr>
    </w:p>
    <w:p>
      <w:pPr>
        <w:ind w:left="540" w:hanging="532"/>
        <w:spacing w:after="0"/>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its jurisdiction of incorporation;</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jurisdiction where any Charged Property owned by it is situated;</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jurisdiction where it conducts its business; and</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jurisdiction whose laws govern the perfection of any of the Security Documents entered into by it.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Repayment Date </w:t>
      </w:r>
      <w:r>
        <w:rPr>
          <w:rFonts w:ascii="Arial" w:cs="Arial" w:eastAsia="Arial" w:hAnsi="Arial"/>
          <w:sz w:val="18"/>
          <w:szCs w:val="18"/>
          <w:color w:val="auto"/>
        </w:rPr>
        <w:t>means, in respect of each Term Loan:</w:t>
      </w:r>
    </w:p>
    <w:p>
      <w:pPr>
        <w:spacing w:after="0" w:line="220" w:lineRule="exact"/>
        <w:rPr>
          <w:sz w:val="20"/>
          <w:szCs w:val="20"/>
          <w:color w:val="auto"/>
        </w:rPr>
      </w:pPr>
    </w:p>
    <w:p>
      <w:pPr>
        <w:ind w:left="540" w:hanging="532"/>
        <w:spacing w:after="0"/>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First Repayment Date for that Term Loan;</w:t>
      </w:r>
    </w:p>
    <w:p>
      <w:pPr>
        <w:spacing w:after="0" w:line="198" w:lineRule="exact"/>
        <w:rPr>
          <w:rFonts w:ascii="Arial" w:cs="Arial" w:eastAsia="Arial" w:hAnsi="Arial"/>
          <w:sz w:val="18"/>
          <w:szCs w:val="18"/>
          <w:color w:val="auto"/>
        </w:rPr>
      </w:pPr>
    </w:p>
    <w:p>
      <w:pPr>
        <w:ind w:left="540" w:hanging="532"/>
        <w:spacing w:after="0" w:line="246" w:lineRule="auto"/>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of the dates falling at 6 monthly intervals thereafter up to but not including the Final Repayment Date for that Term Loan; and</w:t>
      </w:r>
    </w:p>
    <w:p>
      <w:pPr>
        <w:spacing w:after="0" w:line="183" w:lineRule="exact"/>
        <w:rPr>
          <w:rFonts w:ascii="Arial" w:cs="Arial" w:eastAsia="Arial" w:hAnsi="Arial"/>
          <w:sz w:val="18"/>
          <w:szCs w:val="18"/>
          <w:color w:val="auto"/>
        </w:rPr>
      </w:pPr>
    </w:p>
    <w:p>
      <w:pPr>
        <w:ind w:left="540" w:hanging="532"/>
        <w:spacing w:after="0"/>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Final Repayment Date for that Term Loan.</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Repeating Representations </w:t>
      </w:r>
      <w:r>
        <w:rPr>
          <w:rFonts w:ascii="Arial" w:cs="Arial" w:eastAsia="Arial" w:hAnsi="Arial"/>
          <w:sz w:val="18"/>
          <w:szCs w:val="18"/>
          <w:color w:val="auto"/>
        </w:rPr>
        <w:t>means each of the representations and warranties set out in clauses 18.1 (</w:t>
      </w:r>
      <w:r>
        <w:rPr>
          <w:rFonts w:ascii="Arial" w:cs="Arial" w:eastAsia="Arial" w:hAnsi="Arial"/>
          <w:sz w:val="18"/>
          <w:szCs w:val="18"/>
          <w:i w:val="1"/>
          <w:iCs w:val="1"/>
          <w:color w:val="auto"/>
        </w:rPr>
        <w:t>Status</w:t>
      </w:r>
      <w:r>
        <w:rPr>
          <w:rFonts w:ascii="Arial" w:cs="Arial" w:eastAsia="Arial" w:hAnsi="Arial"/>
          <w:sz w:val="18"/>
          <w:szCs w:val="18"/>
          <w:color w:val="auto"/>
        </w:rPr>
        <w:t>) to 18.10 (</w:t>
      </w:r>
      <w:r>
        <w:rPr>
          <w:rFonts w:ascii="Arial" w:cs="Arial" w:eastAsia="Arial" w:hAnsi="Arial"/>
          <w:sz w:val="18"/>
          <w:szCs w:val="18"/>
          <w:i w:val="1"/>
          <w:iCs w:val="1"/>
          <w:color w:val="auto"/>
        </w:rPr>
        <w:t>Ranking and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effectiveness of security</w:t>
      </w:r>
      <w:r>
        <w:rPr>
          <w:rFonts w:ascii="Arial" w:cs="Arial" w:eastAsia="Arial" w:hAnsi="Arial"/>
          <w:sz w:val="18"/>
          <w:szCs w:val="18"/>
          <w:color w:val="auto"/>
        </w:rPr>
        <w:t>), 18.16 (</w:t>
      </w:r>
      <w:r>
        <w:rPr>
          <w:rFonts w:ascii="Arial" w:cs="Arial" w:eastAsia="Arial" w:hAnsi="Arial"/>
          <w:sz w:val="18"/>
          <w:szCs w:val="18"/>
          <w:i w:val="1"/>
          <w:iCs w:val="1"/>
          <w:color w:val="auto"/>
        </w:rPr>
        <w:t>No breach of laws</w:t>
      </w:r>
      <w:r>
        <w:rPr>
          <w:rFonts w:ascii="Arial" w:cs="Arial" w:eastAsia="Arial" w:hAnsi="Arial"/>
          <w:sz w:val="18"/>
          <w:szCs w:val="18"/>
          <w:color w:val="auto"/>
        </w:rPr>
        <w:t>), 18.20 (</w:t>
      </w:r>
      <w:r>
        <w:rPr>
          <w:rFonts w:ascii="Arial" w:cs="Arial" w:eastAsia="Arial" w:hAnsi="Arial"/>
          <w:sz w:val="18"/>
          <w:szCs w:val="18"/>
          <w:i w:val="1"/>
          <w:iCs w:val="1"/>
          <w:color w:val="auto"/>
        </w:rPr>
        <w:t>Security and Financial Indebtedness</w:t>
      </w:r>
      <w:r>
        <w:rPr>
          <w:rFonts w:ascii="Arial" w:cs="Arial" w:eastAsia="Arial" w:hAnsi="Arial"/>
          <w:sz w:val="18"/>
          <w:szCs w:val="18"/>
          <w:color w:val="auto"/>
        </w:rPr>
        <w:t>), 18.21(a) (</w:t>
      </w:r>
      <w:r>
        <w:rPr>
          <w:rFonts w:ascii="Arial" w:cs="Arial" w:eastAsia="Arial" w:hAnsi="Arial"/>
          <w:sz w:val="18"/>
          <w:szCs w:val="18"/>
          <w:i w:val="1"/>
          <w:iCs w:val="1"/>
          <w:color w:val="auto"/>
        </w:rPr>
        <w:t>Legal and beneficial ownership</w:t>
      </w:r>
      <w:r>
        <w:rPr>
          <w:rFonts w:ascii="Arial" w:cs="Arial" w:eastAsia="Arial" w:hAnsi="Arial"/>
          <w:sz w:val="18"/>
          <w:szCs w:val="18"/>
          <w:color w:val="auto"/>
        </w:rPr>
        <w:t>), 18.22 (</w:t>
      </w:r>
      <w:r>
        <w:rPr>
          <w:rFonts w:ascii="Arial" w:cs="Arial" w:eastAsia="Arial" w:hAnsi="Arial"/>
          <w:sz w:val="18"/>
          <w:szCs w:val="18"/>
          <w:i w:val="1"/>
          <w:iCs w:val="1"/>
          <w:color w:val="auto"/>
        </w:rPr>
        <w:t>Shares</w:t>
      </w:r>
      <w:r>
        <w:rPr>
          <w:rFonts w:ascii="Arial" w:cs="Arial" w:eastAsia="Arial" w:hAnsi="Arial"/>
          <w:sz w:val="18"/>
          <w:szCs w:val="18"/>
          <w:color w:val="auto"/>
        </w:rPr>
        <w:t>), 18.24 (</w:t>
      </w:r>
      <w:r>
        <w:rPr>
          <w:rFonts w:ascii="Arial" w:cs="Arial" w:eastAsia="Arial" w:hAnsi="Arial"/>
          <w:sz w:val="18"/>
          <w:szCs w:val="18"/>
          <w:i w:val="1"/>
          <w:iCs w:val="1"/>
          <w:color w:val="auto"/>
        </w:rPr>
        <w:t>No adverse consequences</w:t>
      </w:r>
      <w:r>
        <w:rPr>
          <w:rFonts w:ascii="Arial" w:cs="Arial" w:eastAsia="Arial" w:hAnsi="Arial"/>
          <w:sz w:val="18"/>
          <w:szCs w:val="18"/>
          <w:color w:val="auto"/>
        </w:rPr>
        <w:t>), 18.25 (</w:t>
      </w:r>
      <w:r>
        <w:rPr>
          <w:rFonts w:ascii="Arial" w:cs="Arial" w:eastAsia="Arial" w:hAnsi="Arial"/>
          <w:sz w:val="18"/>
          <w:szCs w:val="18"/>
          <w:i w:val="1"/>
          <w:iCs w:val="1"/>
          <w:color w:val="auto"/>
        </w:rPr>
        <w:t>Copies of documents</w:t>
      </w:r>
      <w:r>
        <w:rPr>
          <w:rFonts w:ascii="Arial" w:cs="Arial" w:eastAsia="Arial" w:hAnsi="Arial"/>
          <w:sz w:val="18"/>
          <w:szCs w:val="18"/>
          <w:color w:val="auto"/>
        </w:rPr>
        <w:t>) and 18.27 (</w:t>
      </w:r>
      <w:r>
        <w:rPr>
          <w:rFonts w:ascii="Arial" w:cs="Arial" w:eastAsia="Arial" w:hAnsi="Arial"/>
          <w:sz w:val="18"/>
          <w:szCs w:val="18"/>
          <w:i w:val="1"/>
          <w:iCs w:val="1"/>
          <w:color w:val="auto"/>
        </w:rPr>
        <w:t>No immunity</w:t>
      </w:r>
      <w:r>
        <w:rPr>
          <w:rFonts w:ascii="Arial" w:cs="Arial" w:eastAsia="Arial" w:hAnsi="Arial"/>
          <w:sz w:val="18"/>
          <w:szCs w:val="18"/>
          <w:color w:val="auto"/>
        </w:rPr>
        <w:t>).</w:t>
      </w:r>
    </w:p>
    <w:p>
      <w:pPr>
        <w:spacing w:after="0" w:line="16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135255</wp:posOffset>
            </wp:positionV>
            <wp:extent cx="72466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80"/>
          </w:cols>
          <w:pgMar w:left="780" w:top="422" w:right="239" w:bottom="1440" w:gutter="0" w:footer="0" w:header="0"/>
        </w:sectPr>
      </w:pPr>
    </w:p>
    <w:bookmarkStart w:id="68" w:name="page69"/>
    <w:bookmarkEnd w:id="68"/>
    <w:p>
      <w:pPr>
        <w:jc w:val="both"/>
        <w:spacing w:after="0" w:line="271" w:lineRule="auto"/>
        <w:rPr>
          <w:sz w:val="20"/>
          <w:szCs w:val="20"/>
          <w:color w:val="auto"/>
        </w:rPr>
      </w:pPr>
      <w:r>
        <w:rPr>
          <w:rFonts w:ascii="Arial" w:cs="Arial" w:eastAsia="Arial" w:hAnsi="Arial"/>
          <w:sz w:val="18"/>
          <w:szCs w:val="18"/>
          <w:b w:val="1"/>
          <w:bCs w:val="1"/>
          <w:color w:val="auto"/>
        </w:rPr>
        <w:t xml:space="preserve">Requisition Compensation </w:t>
      </w:r>
      <w:r>
        <w:rPr>
          <w:rFonts w:ascii="Arial" w:cs="Arial" w:eastAsia="Arial" w:hAnsi="Arial"/>
          <w:sz w:val="18"/>
          <w:szCs w:val="18"/>
          <w:color w:val="auto"/>
        </w:rPr>
        <w:t>means, in relation to a Ship, any compensation paid or payable by a government entity for the requisition</w:t>
      </w:r>
      <w:r>
        <w:rPr>
          <w:rFonts w:ascii="Arial" w:cs="Arial" w:eastAsia="Arial" w:hAnsi="Arial"/>
          <w:sz w:val="18"/>
          <w:szCs w:val="18"/>
          <w:b w:val="1"/>
          <w:bCs w:val="1"/>
          <w:color w:val="auto"/>
        </w:rPr>
        <w:t xml:space="preserve"> </w:t>
      </w:r>
      <w:r>
        <w:rPr>
          <w:rFonts w:ascii="Arial" w:cs="Arial" w:eastAsia="Arial" w:hAnsi="Arial"/>
          <w:sz w:val="18"/>
          <w:szCs w:val="18"/>
          <w:color w:val="auto"/>
        </w:rPr>
        <w:t>for title, confiscation or compulsory acquisition of such Ship.</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Revolving Loan </w:t>
      </w:r>
      <w:r>
        <w:rPr>
          <w:rFonts w:ascii="Arial" w:cs="Arial" w:eastAsia="Arial" w:hAnsi="Arial"/>
          <w:sz w:val="18"/>
          <w:szCs w:val="18"/>
          <w:color w:val="auto"/>
        </w:rPr>
        <w:t>means a loan (being part of the Revolving Loan Ship Tranche for that Ship) made or to be made under the Revolving</w:t>
      </w:r>
      <w:r>
        <w:rPr>
          <w:rFonts w:ascii="Arial" w:cs="Arial" w:eastAsia="Arial" w:hAnsi="Arial"/>
          <w:sz w:val="18"/>
          <w:szCs w:val="18"/>
          <w:b w:val="1"/>
          <w:bCs w:val="1"/>
          <w:color w:val="auto"/>
        </w:rPr>
        <w:t xml:space="preserve"> </w:t>
      </w:r>
      <w:r>
        <w:rPr>
          <w:rFonts w:ascii="Arial" w:cs="Arial" w:eastAsia="Arial" w:hAnsi="Arial"/>
          <w:sz w:val="18"/>
          <w:szCs w:val="18"/>
          <w:color w:val="auto"/>
        </w:rPr>
        <w:t>Loan Facility and under the Revolving Loan Ship Commitment for a Ship or (as the context may require) the outstanding principal amount of that loan.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Revolving Loan Commitment </w:t>
      </w:r>
      <w:r>
        <w:rPr>
          <w:rFonts w:ascii="Arial" w:cs="Arial" w:eastAsia="Arial" w:hAnsi="Arial"/>
          <w:sz w:val="18"/>
          <w:szCs w:val="18"/>
          <w:color w:val="auto"/>
        </w:rPr>
        <w:t>means:</w:t>
      </w:r>
    </w:p>
    <w:p>
      <w:pPr>
        <w:spacing w:after="0" w:line="220" w:lineRule="exact"/>
        <w:rPr>
          <w:sz w:val="20"/>
          <w:szCs w:val="20"/>
          <w:color w:val="auto"/>
        </w:rPr>
      </w:pPr>
    </w:p>
    <w:p>
      <w:pPr>
        <w:jc w:val="both"/>
        <w:ind w:left="540" w:hanging="532"/>
        <w:spacing w:after="0"/>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in relation to an Original Lender, the amount set opposite under its name opposite the heading “Revolving Loan Commitment”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and the amount of any other Revolving Loan Commitment transferred to it under this Agreement; and</w:t>
      </w:r>
    </w:p>
    <w:p>
      <w:pPr>
        <w:spacing w:after="0" w:line="189" w:lineRule="exact"/>
        <w:rPr>
          <w:rFonts w:ascii="Arial" w:cs="Arial" w:eastAsia="Arial" w:hAnsi="Arial"/>
          <w:sz w:val="18"/>
          <w:szCs w:val="18"/>
          <w:color w:val="auto"/>
        </w:rPr>
      </w:pPr>
    </w:p>
    <w:p>
      <w:pPr>
        <w:ind w:left="540" w:hanging="532"/>
        <w:spacing w:after="0"/>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relation to any other Lender, the amount of any Revolving Loan Commitment transferred to it under this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to the extent not cancelled, reduced or transferred by it under this Agreement.</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Revolving Loan Facility </w:t>
      </w:r>
      <w:r>
        <w:rPr>
          <w:rFonts w:ascii="Arial" w:cs="Arial" w:eastAsia="Arial" w:hAnsi="Arial"/>
          <w:sz w:val="18"/>
          <w:szCs w:val="18"/>
          <w:color w:val="auto"/>
        </w:rPr>
        <w:t>means the revolving credit facility made available by the Lenders under this Agreement as described in clause</w:t>
      </w:r>
      <w:r>
        <w:rPr>
          <w:rFonts w:ascii="Arial" w:cs="Arial" w:eastAsia="Arial" w:hAnsi="Arial"/>
          <w:sz w:val="18"/>
          <w:szCs w:val="18"/>
          <w:b w:val="1"/>
          <w:bCs w:val="1"/>
          <w:color w:val="auto"/>
        </w:rPr>
        <w:t xml:space="preserve"> </w:t>
      </w:r>
      <w:r>
        <w:rPr>
          <w:rFonts w:ascii="Arial" w:cs="Arial" w:eastAsia="Arial" w:hAnsi="Arial"/>
          <w:sz w:val="18"/>
          <w:szCs w:val="18"/>
          <w:color w:val="auto"/>
        </w:rPr>
        <w:t>2 (</w:t>
      </w:r>
      <w:r>
        <w:rPr>
          <w:rFonts w:ascii="Arial" w:cs="Arial" w:eastAsia="Arial" w:hAnsi="Arial"/>
          <w:sz w:val="18"/>
          <w:szCs w:val="18"/>
          <w:i w:val="1"/>
          <w:iCs w:val="1"/>
          <w:color w:val="auto"/>
        </w:rPr>
        <w:t>The Facilities</w:t>
      </w:r>
      <w:r>
        <w:rPr>
          <w:rFonts w:ascii="Arial" w:cs="Arial" w:eastAsia="Arial" w:hAnsi="Arial"/>
          <w:sz w:val="18"/>
          <w:szCs w:val="18"/>
          <w:color w:val="auto"/>
        </w:rPr>
        <w:t>), in eight (8) Revolving Loan Ship Tranches, one in respect of each Ship.</w:t>
      </w:r>
    </w:p>
    <w:p>
      <w:pPr>
        <w:spacing w:after="0" w:line="14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color w:val="auto"/>
        </w:rPr>
        <w:t xml:space="preserve">Revolving Loan Ship Commitment </w:t>
      </w:r>
      <w:r>
        <w:rPr>
          <w:rFonts w:ascii="Arial" w:cs="Arial" w:eastAsia="Arial" w:hAnsi="Arial"/>
          <w:sz w:val="18"/>
          <w:szCs w:val="18"/>
          <w:color w:val="auto"/>
        </w:rPr>
        <w:t>means, in relation to a Ship, the amount specified as such in respect of such Ship in Schedule 2</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Ship information</w:t>
      </w:r>
      <w:r>
        <w:rPr>
          <w:rFonts w:ascii="Arial" w:cs="Arial" w:eastAsia="Arial" w:hAnsi="Arial"/>
          <w:sz w:val="18"/>
          <w:szCs w:val="18"/>
          <w:color w:val="auto"/>
        </w:rPr>
        <w:t>), being a part of the Total Revolving Loan Commitments, as cancelled or reduced pursuant to any provision of this Agreement and available for Utilisation under the Revolving Loan Ship Tranche for that Ship.</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Revolving Loan Ship Tranche A </w:t>
      </w:r>
      <w:r>
        <w:rPr>
          <w:rFonts w:ascii="Arial" w:cs="Arial" w:eastAsia="Arial" w:hAnsi="Arial"/>
          <w:sz w:val="18"/>
          <w:szCs w:val="18"/>
          <w:color w:val="auto"/>
        </w:rPr>
        <w:t>means, at any relevant time, the aggregate of the Revolving Loans drawn in respect of Ship A which</w:t>
      </w:r>
      <w:r>
        <w:rPr>
          <w:rFonts w:ascii="Arial" w:cs="Arial" w:eastAsia="Arial" w:hAnsi="Arial"/>
          <w:sz w:val="18"/>
          <w:szCs w:val="18"/>
          <w:b w:val="1"/>
          <w:bCs w:val="1"/>
          <w:color w:val="auto"/>
        </w:rPr>
        <w:t xml:space="preserve"> </w:t>
      </w:r>
      <w:r>
        <w:rPr>
          <w:rFonts w:ascii="Arial" w:cs="Arial" w:eastAsia="Arial" w:hAnsi="Arial"/>
          <w:sz w:val="18"/>
          <w:szCs w:val="18"/>
          <w:color w:val="auto"/>
        </w:rPr>
        <w:t>are then outstanding, up to the Revolving Loan Ship Commitment in respect of Ship A.</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Revolving Loan Ship Tranche B </w:t>
      </w:r>
      <w:r>
        <w:rPr>
          <w:rFonts w:ascii="Arial" w:cs="Arial" w:eastAsia="Arial" w:hAnsi="Arial"/>
          <w:sz w:val="18"/>
          <w:szCs w:val="18"/>
          <w:color w:val="auto"/>
        </w:rPr>
        <w:t>means, at any relevant time, the aggregate of the Revolving Loans drawn in respect of Ship B which</w:t>
      </w:r>
      <w:r>
        <w:rPr>
          <w:rFonts w:ascii="Arial" w:cs="Arial" w:eastAsia="Arial" w:hAnsi="Arial"/>
          <w:sz w:val="18"/>
          <w:szCs w:val="18"/>
          <w:b w:val="1"/>
          <w:bCs w:val="1"/>
          <w:color w:val="auto"/>
        </w:rPr>
        <w:t xml:space="preserve"> </w:t>
      </w:r>
      <w:r>
        <w:rPr>
          <w:rFonts w:ascii="Arial" w:cs="Arial" w:eastAsia="Arial" w:hAnsi="Arial"/>
          <w:sz w:val="18"/>
          <w:szCs w:val="18"/>
          <w:color w:val="auto"/>
        </w:rPr>
        <w:t>are then outstanding, up to the Revolving Loan Ship Commitment in respect of Ship B.</w:t>
      </w:r>
    </w:p>
    <w:p>
      <w:pPr>
        <w:spacing w:after="0" w:line="14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 xml:space="preserve">Revolving Loan Ship Tranche C </w:t>
      </w:r>
      <w:r>
        <w:rPr>
          <w:rFonts w:ascii="Arial" w:cs="Arial" w:eastAsia="Arial" w:hAnsi="Arial"/>
          <w:sz w:val="18"/>
          <w:szCs w:val="18"/>
          <w:color w:val="auto"/>
        </w:rPr>
        <w:t>means, at any relevant time, the aggregate of the Revolving Loans drawn in respect of Ship C which</w:t>
      </w:r>
      <w:r>
        <w:rPr>
          <w:rFonts w:ascii="Arial" w:cs="Arial" w:eastAsia="Arial" w:hAnsi="Arial"/>
          <w:sz w:val="18"/>
          <w:szCs w:val="18"/>
          <w:b w:val="1"/>
          <w:bCs w:val="1"/>
          <w:color w:val="auto"/>
        </w:rPr>
        <w:t xml:space="preserve"> </w:t>
      </w:r>
      <w:r>
        <w:rPr>
          <w:rFonts w:ascii="Arial" w:cs="Arial" w:eastAsia="Arial" w:hAnsi="Arial"/>
          <w:sz w:val="18"/>
          <w:szCs w:val="18"/>
          <w:color w:val="auto"/>
        </w:rPr>
        <w:t>are then outstanding, up to the Revolving Loan Ship Commitment in respect of Ship C.</w:t>
      </w:r>
    </w:p>
    <w:p>
      <w:pPr>
        <w:spacing w:after="0" w:line="14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 xml:space="preserve">Revolving Loan Ship Tranche D </w:t>
      </w:r>
      <w:r>
        <w:rPr>
          <w:rFonts w:ascii="Arial" w:cs="Arial" w:eastAsia="Arial" w:hAnsi="Arial"/>
          <w:sz w:val="18"/>
          <w:szCs w:val="18"/>
          <w:color w:val="auto"/>
        </w:rPr>
        <w:t>means, at any relevant time, the aggregate of the Revolving Loans drawn in respect of Ship D which</w:t>
      </w:r>
      <w:r>
        <w:rPr>
          <w:rFonts w:ascii="Arial" w:cs="Arial" w:eastAsia="Arial" w:hAnsi="Arial"/>
          <w:sz w:val="18"/>
          <w:szCs w:val="18"/>
          <w:b w:val="1"/>
          <w:bCs w:val="1"/>
          <w:color w:val="auto"/>
        </w:rPr>
        <w:t xml:space="preserve"> </w:t>
      </w:r>
      <w:r>
        <w:rPr>
          <w:rFonts w:ascii="Arial" w:cs="Arial" w:eastAsia="Arial" w:hAnsi="Arial"/>
          <w:sz w:val="18"/>
          <w:szCs w:val="18"/>
          <w:color w:val="auto"/>
        </w:rPr>
        <w:t>are then outstanding, up to the Revolving Loan Ship Commitment in respect of Ship D.</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Revolving Loan Ship Tranche E </w:t>
      </w:r>
      <w:r>
        <w:rPr>
          <w:rFonts w:ascii="Arial" w:cs="Arial" w:eastAsia="Arial" w:hAnsi="Arial"/>
          <w:sz w:val="18"/>
          <w:szCs w:val="18"/>
          <w:color w:val="auto"/>
        </w:rPr>
        <w:t>means, at any relevant time, the aggregate of the Revolving Loans drawn in respect of Ship E which</w:t>
      </w:r>
      <w:r>
        <w:rPr>
          <w:rFonts w:ascii="Arial" w:cs="Arial" w:eastAsia="Arial" w:hAnsi="Arial"/>
          <w:sz w:val="18"/>
          <w:szCs w:val="18"/>
          <w:b w:val="1"/>
          <w:bCs w:val="1"/>
          <w:color w:val="auto"/>
        </w:rPr>
        <w:t xml:space="preserve"> </w:t>
      </w:r>
      <w:r>
        <w:rPr>
          <w:rFonts w:ascii="Arial" w:cs="Arial" w:eastAsia="Arial" w:hAnsi="Arial"/>
          <w:sz w:val="18"/>
          <w:szCs w:val="18"/>
          <w:color w:val="auto"/>
        </w:rPr>
        <w:t>are then outstanding, up to the Revolving Loan Ship Commitment in respect of Ship E.</w:t>
      </w:r>
    </w:p>
    <w:p>
      <w:pPr>
        <w:spacing w:after="0" w:line="14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 xml:space="preserve">Revolving Loan Ship Tranche F </w:t>
      </w:r>
      <w:r>
        <w:rPr>
          <w:rFonts w:ascii="Arial" w:cs="Arial" w:eastAsia="Arial" w:hAnsi="Arial"/>
          <w:sz w:val="18"/>
          <w:szCs w:val="18"/>
          <w:color w:val="auto"/>
        </w:rPr>
        <w:t>means, at any relevant time, the aggregate of the Revolving Loans drawn in respect of Ship F which</w:t>
      </w:r>
      <w:r>
        <w:rPr>
          <w:rFonts w:ascii="Arial" w:cs="Arial" w:eastAsia="Arial" w:hAnsi="Arial"/>
          <w:sz w:val="18"/>
          <w:szCs w:val="18"/>
          <w:b w:val="1"/>
          <w:bCs w:val="1"/>
          <w:color w:val="auto"/>
        </w:rPr>
        <w:t xml:space="preserve"> </w:t>
      </w:r>
      <w:r>
        <w:rPr>
          <w:rFonts w:ascii="Arial" w:cs="Arial" w:eastAsia="Arial" w:hAnsi="Arial"/>
          <w:sz w:val="18"/>
          <w:szCs w:val="18"/>
          <w:color w:val="auto"/>
        </w:rPr>
        <w:t>are then outstanding, up to the Revolving Loan Ship Commitment in respect of Ship F.</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Revolving Loan Ship Tranche G </w:t>
      </w:r>
      <w:r>
        <w:rPr>
          <w:rFonts w:ascii="Arial" w:cs="Arial" w:eastAsia="Arial" w:hAnsi="Arial"/>
          <w:sz w:val="18"/>
          <w:szCs w:val="18"/>
          <w:color w:val="auto"/>
        </w:rPr>
        <w:t>means, at any relevant time, the aggregate of the Revolving Loans drawn in respect of Ship G which</w:t>
      </w:r>
      <w:r>
        <w:rPr>
          <w:rFonts w:ascii="Arial" w:cs="Arial" w:eastAsia="Arial" w:hAnsi="Arial"/>
          <w:sz w:val="18"/>
          <w:szCs w:val="18"/>
          <w:b w:val="1"/>
          <w:bCs w:val="1"/>
          <w:color w:val="auto"/>
        </w:rPr>
        <w:t xml:space="preserve"> </w:t>
      </w:r>
      <w:r>
        <w:rPr>
          <w:rFonts w:ascii="Arial" w:cs="Arial" w:eastAsia="Arial" w:hAnsi="Arial"/>
          <w:sz w:val="18"/>
          <w:szCs w:val="18"/>
          <w:color w:val="auto"/>
        </w:rPr>
        <w:t>are then outstanding, up to the Revolving Loan Ship Commitment in respect of Ship G.</w:t>
      </w:r>
    </w:p>
    <w:p>
      <w:pPr>
        <w:spacing w:after="0" w:line="14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135255</wp:posOffset>
            </wp:positionV>
            <wp:extent cx="72466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80"/>
          </w:cols>
          <w:pgMar w:left="780" w:top="400" w:right="239" w:bottom="1440" w:gutter="0" w:footer="0" w:header="0"/>
        </w:sectPr>
      </w:pPr>
    </w:p>
    <w:bookmarkStart w:id="69" w:name="page70"/>
    <w:bookmarkEnd w:id="69"/>
    <w:p>
      <w:pPr>
        <w:jc w:val="both"/>
        <w:ind w:right="20"/>
        <w:spacing w:after="0" w:line="271" w:lineRule="auto"/>
        <w:rPr>
          <w:sz w:val="20"/>
          <w:szCs w:val="20"/>
          <w:color w:val="auto"/>
        </w:rPr>
      </w:pPr>
      <w:r>
        <w:rPr>
          <w:rFonts w:ascii="Arial" w:cs="Arial" w:eastAsia="Arial" w:hAnsi="Arial"/>
          <w:sz w:val="18"/>
          <w:szCs w:val="18"/>
          <w:b w:val="1"/>
          <w:bCs w:val="1"/>
          <w:color w:val="auto"/>
        </w:rPr>
        <w:t xml:space="preserve">Revolving Loan Ship Tranche H </w:t>
      </w:r>
      <w:r>
        <w:rPr>
          <w:rFonts w:ascii="Arial" w:cs="Arial" w:eastAsia="Arial" w:hAnsi="Arial"/>
          <w:sz w:val="18"/>
          <w:szCs w:val="18"/>
          <w:color w:val="auto"/>
        </w:rPr>
        <w:t>means, at any relevant time, the aggregate of the Revolving Loans drawn in respect of Ship H which</w:t>
      </w:r>
      <w:r>
        <w:rPr>
          <w:rFonts w:ascii="Arial" w:cs="Arial" w:eastAsia="Arial" w:hAnsi="Arial"/>
          <w:sz w:val="18"/>
          <w:szCs w:val="18"/>
          <w:b w:val="1"/>
          <w:bCs w:val="1"/>
          <w:color w:val="auto"/>
        </w:rPr>
        <w:t xml:space="preserve"> </w:t>
      </w:r>
      <w:r>
        <w:rPr>
          <w:rFonts w:ascii="Arial" w:cs="Arial" w:eastAsia="Arial" w:hAnsi="Arial"/>
          <w:sz w:val="18"/>
          <w:szCs w:val="18"/>
          <w:color w:val="auto"/>
        </w:rPr>
        <w:t>are then outstanding, up to the Revolving Loan Ship Commitment in respect of Ship H.</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Revolving Loan Ship Tranches </w:t>
      </w:r>
      <w:r>
        <w:rPr>
          <w:rFonts w:ascii="Arial" w:cs="Arial" w:eastAsia="Arial" w:hAnsi="Arial"/>
          <w:sz w:val="18"/>
          <w:szCs w:val="18"/>
          <w:color w:val="auto"/>
        </w:rPr>
        <w:t>means Revolving Loan Ship Tranche A, Revolving Loan Ship Tranche B, Revolving Loan Ship Tranche</w:t>
      </w:r>
      <w:r>
        <w:rPr>
          <w:rFonts w:ascii="Arial" w:cs="Arial" w:eastAsia="Arial" w:hAnsi="Arial"/>
          <w:sz w:val="18"/>
          <w:szCs w:val="18"/>
          <w:b w:val="1"/>
          <w:bCs w:val="1"/>
          <w:color w:val="auto"/>
        </w:rPr>
        <w:t xml:space="preserve"> </w:t>
      </w:r>
      <w:r>
        <w:rPr>
          <w:rFonts w:ascii="Arial" w:cs="Arial" w:eastAsia="Arial" w:hAnsi="Arial"/>
          <w:sz w:val="18"/>
          <w:szCs w:val="18"/>
          <w:color w:val="auto"/>
        </w:rPr>
        <w:t>C, Revolving Loan Ship Tranche D, Revolving Loan Ship Tranche E, Revolving Loan Ship Tranche F, Revolving Loan Ship Tranche G and Revolving Loan Ship Tranche H, and:</w:t>
      </w:r>
    </w:p>
    <w:p>
      <w:pPr>
        <w:spacing w:after="0" w:line="178" w:lineRule="exact"/>
        <w:rPr>
          <w:sz w:val="20"/>
          <w:szCs w:val="20"/>
          <w:color w:val="auto"/>
        </w:rPr>
      </w:pPr>
    </w:p>
    <w:p>
      <w:pPr>
        <w:ind w:left="540" w:hanging="532"/>
        <w:spacing w:after="0"/>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relation to Ship A, it means Revolving Loan Ship Tranche A;</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relation to Ship B, it means Revolving Loan Ship Tranche B;</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relation to Ship C, it means Revolving Loan Ship Tranche C;</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relation to Ship D, it means Revolving Loan Ship Tranche D;</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relation to Ship E, it means Revolving Loan Ship Tranche E;</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relation to Ship F, it means Revolving Loan Ship Tranche F;</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relation to Ship G, it means Revolving Loan Ship Tranche G; and</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relation to Ship H, it means Revolving Loan Ship Tranche H,</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b w:val="1"/>
          <w:bCs w:val="1"/>
          <w:color w:val="auto"/>
        </w:rPr>
        <w:t>Revolving Loan Ship Tranche</w:t>
      </w:r>
      <w:r>
        <w:rPr>
          <w:rFonts w:ascii="Arial" w:cs="Arial" w:eastAsia="Arial" w:hAnsi="Arial"/>
          <w:sz w:val="18"/>
          <w:szCs w:val="18"/>
          <w:color w:val="auto"/>
        </w:rPr>
        <w:t xml:space="preserve"> means any of them.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Rollover Loan </w:t>
      </w:r>
      <w:r>
        <w:rPr>
          <w:rFonts w:ascii="Arial" w:cs="Arial" w:eastAsia="Arial" w:hAnsi="Arial"/>
          <w:sz w:val="18"/>
          <w:szCs w:val="18"/>
          <w:color w:val="auto"/>
        </w:rPr>
        <w:t>means one or more Revolving Loans under a Revolving Loan Ship Tranche:</w:t>
      </w:r>
    </w:p>
    <w:p>
      <w:pPr>
        <w:spacing w:after="0" w:line="220" w:lineRule="exact"/>
        <w:rPr>
          <w:sz w:val="20"/>
          <w:szCs w:val="20"/>
          <w:color w:val="auto"/>
        </w:rPr>
      </w:pPr>
    </w:p>
    <w:p>
      <w:pPr>
        <w:ind w:left="540" w:hanging="532"/>
        <w:spacing w:after="0" w:line="246"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made or to be made on the same day that a maturing Revolving Loan under that Revolving Loan Ship Tranche is due to be repaid;</w:t>
      </w:r>
    </w:p>
    <w:p>
      <w:pPr>
        <w:spacing w:after="0" w:line="183" w:lineRule="exact"/>
        <w:rPr>
          <w:rFonts w:ascii="Arial" w:cs="Arial" w:eastAsia="Arial" w:hAnsi="Arial"/>
          <w:sz w:val="18"/>
          <w:szCs w:val="18"/>
          <w:color w:val="auto"/>
        </w:rPr>
      </w:pPr>
    </w:p>
    <w:p>
      <w:pPr>
        <w:ind w:left="540" w:hanging="532"/>
        <w:spacing w:after="0"/>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aggregate amount of which is equal to or less than the maturing Revolving Loan under that Revolving Loan Ship Tranche; and</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made or to be made for the purpose of refinancing a maturing Revolving Loan under that Revolving Loan Ship Tranche.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Sanctions </w:t>
      </w:r>
      <w:r>
        <w:rPr>
          <w:rFonts w:ascii="Arial" w:cs="Arial" w:eastAsia="Arial" w:hAnsi="Arial"/>
          <w:sz w:val="18"/>
          <w:szCs w:val="18"/>
          <w:color w:val="auto"/>
        </w:rPr>
        <w:t>has the meaning given to it in clause 21.11 (</w:t>
      </w:r>
      <w:r>
        <w:rPr>
          <w:rFonts w:ascii="Arial" w:cs="Arial" w:eastAsia="Arial" w:hAnsi="Arial"/>
          <w:sz w:val="18"/>
          <w:szCs w:val="18"/>
          <w:i w:val="1"/>
          <w:iCs w:val="1"/>
          <w:color w:val="auto"/>
        </w:rPr>
        <w:t>Sanctions</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Sanctions Authority </w:t>
      </w:r>
      <w:r>
        <w:rPr>
          <w:rFonts w:ascii="Arial" w:cs="Arial" w:eastAsia="Arial" w:hAnsi="Arial"/>
          <w:sz w:val="18"/>
          <w:szCs w:val="18"/>
          <w:color w:val="auto"/>
        </w:rPr>
        <w:t>has the meaning given to it in clause 21.11 (</w:t>
      </w:r>
      <w:r>
        <w:rPr>
          <w:rFonts w:ascii="Arial" w:cs="Arial" w:eastAsia="Arial" w:hAnsi="Arial"/>
          <w:sz w:val="18"/>
          <w:szCs w:val="18"/>
          <w:i w:val="1"/>
          <w:iCs w:val="1"/>
          <w:color w:val="auto"/>
        </w:rPr>
        <w:t>Sanctions</w:t>
      </w:r>
      <w:r>
        <w:rPr>
          <w:rFonts w:ascii="Arial" w:cs="Arial" w:eastAsia="Arial" w:hAnsi="Arial"/>
          <w:sz w:val="18"/>
          <w:szCs w:val="18"/>
          <w:color w:val="auto"/>
        </w:rPr>
        <w:t>).</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Screen Rate </w:t>
      </w:r>
      <w:r>
        <w:rPr>
          <w:rFonts w:ascii="Arial" w:cs="Arial" w:eastAsia="Arial" w:hAnsi="Arial"/>
          <w:sz w:val="18"/>
          <w:szCs w:val="18"/>
          <w:color w:val="auto"/>
        </w:rPr>
        <w:t>means the London interbank offered rate administered by ICE Benchmark Administration Limited (or any other person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takes over the administration of that rate) for dollars and the relevant period displayed (before any correction, recalculation or republication by the administrator) on pages LIBOR01 or LIBOR02 of the Thomson Reuters screen (or any replacement Thomson Reuters page which displays that rate), or on the appropriate page of such other information service which publishes that rate from time to time in place of Thomson Reuters. If such page or service ceases to be available, the Agent may specify another page or service displaying the relevant rate after consultation with the Borrowers and the Lenders.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Security Agent </w:t>
      </w:r>
      <w:r>
        <w:rPr>
          <w:rFonts w:ascii="Arial" w:cs="Arial" w:eastAsia="Arial" w:hAnsi="Arial"/>
          <w:sz w:val="18"/>
          <w:szCs w:val="18"/>
          <w:color w:val="auto"/>
        </w:rPr>
        <w:t>includes any person as may be appointed as security agent and trustee for the other Finance Parties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the other Finance Documents.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Security Documents </w:t>
      </w:r>
      <w:r>
        <w:rPr>
          <w:rFonts w:ascii="Arial" w:cs="Arial" w:eastAsia="Arial" w:hAnsi="Arial"/>
          <w:sz w:val="18"/>
          <w:szCs w:val="18"/>
          <w:color w:val="auto"/>
        </w:rPr>
        <w:t>means:</w:t>
      </w:r>
    </w:p>
    <w:p>
      <w:pPr>
        <w:spacing w:after="0" w:line="220" w:lineRule="exact"/>
        <w:rPr>
          <w:sz w:val="20"/>
          <w:szCs w:val="20"/>
          <w:color w:val="auto"/>
        </w:rPr>
      </w:pPr>
    </w:p>
    <w:p>
      <w:pPr>
        <w:ind w:left="540" w:hanging="532"/>
        <w:spacing w:after="0"/>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Original Security Documents; and</w:t>
      </w:r>
    </w:p>
    <w:p>
      <w:pPr>
        <w:spacing w:after="0" w:line="18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135255</wp:posOffset>
            </wp:positionV>
            <wp:extent cx="724662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80"/>
          </w:cols>
          <w:pgMar w:left="780" w:top="400" w:right="239" w:bottom="1440" w:gutter="0" w:footer="0" w:header="0"/>
        </w:sectPr>
      </w:pPr>
    </w:p>
    <w:bookmarkStart w:id="70" w:name="page71"/>
    <w:bookmarkEnd w:id="70"/>
    <w:p>
      <w:pPr>
        <w:ind w:left="540" w:hanging="532"/>
        <w:spacing w:after="0" w:line="246" w:lineRule="auto"/>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other document as may be executed to guarantee and/or secure any amounts owing to the Finance Parties under this Agreement or any other Finance Document (including the MLP Guarantee and the GPHL Guarantee).</w:t>
      </w:r>
    </w:p>
    <w:p>
      <w:pPr>
        <w:spacing w:after="0" w:line="16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 xml:space="preserve">Security Interest </w:t>
      </w:r>
      <w:r>
        <w:rPr>
          <w:rFonts w:ascii="Arial" w:cs="Arial" w:eastAsia="Arial" w:hAnsi="Arial"/>
          <w:sz w:val="18"/>
          <w:szCs w:val="18"/>
          <w:color w:val="auto"/>
        </w:rPr>
        <w:t>means a mortgage, charge, pledge, lien, assignment, trust, hypothecation or other security interest of any kind</w:t>
      </w:r>
      <w:r>
        <w:rPr>
          <w:rFonts w:ascii="Arial" w:cs="Arial" w:eastAsia="Arial" w:hAnsi="Arial"/>
          <w:sz w:val="18"/>
          <w:szCs w:val="18"/>
          <w:b w:val="1"/>
          <w:bCs w:val="1"/>
          <w:color w:val="auto"/>
        </w:rPr>
        <w:t xml:space="preserve"> </w:t>
      </w:r>
      <w:r>
        <w:rPr>
          <w:rFonts w:ascii="Arial" w:cs="Arial" w:eastAsia="Arial" w:hAnsi="Arial"/>
          <w:sz w:val="18"/>
          <w:szCs w:val="18"/>
          <w:color w:val="auto"/>
        </w:rPr>
        <w:t>securing any obligation of any person or any other agreement or arrangement having a similar effect.</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Security Value </w:t>
      </w:r>
      <w:r>
        <w:rPr>
          <w:rFonts w:ascii="Arial" w:cs="Arial" w:eastAsia="Arial" w:hAnsi="Arial"/>
          <w:sz w:val="18"/>
          <w:szCs w:val="18"/>
          <w:color w:val="auto"/>
        </w:rPr>
        <w:t>means, at any time, the amount in dollars which, at that time, is the aggregate of (a) the value of all the Mortgaged Ships</w:t>
      </w:r>
      <w:r>
        <w:rPr>
          <w:rFonts w:ascii="Arial" w:cs="Arial" w:eastAsia="Arial" w:hAnsi="Arial"/>
          <w:sz w:val="18"/>
          <w:szCs w:val="18"/>
          <w:b w:val="1"/>
          <w:bCs w:val="1"/>
          <w:color w:val="auto"/>
        </w:rPr>
        <w:t xml:space="preserve"> </w:t>
      </w:r>
      <w:r>
        <w:rPr>
          <w:rFonts w:ascii="Arial" w:cs="Arial" w:eastAsia="Arial" w:hAnsi="Arial"/>
          <w:sz w:val="18"/>
          <w:szCs w:val="18"/>
          <w:color w:val="auto"/>
        </w:rPr>
        <w:t>which have not then become a Total Loss (or, if less, the maximum amount capable of being secured by the Mortgages over the Mortgaged Ships) and (b) the value of any additional security then held by the Security Agent or any other Finance Party provided under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 or clause 29.21(a)(ii) (</w:t>
      </w:r>
      <w:r>
        <w:rPr>
          <w:rFonts w:ascii="Arial" w:cs="Arial" w:eastAsia="Arial" w:hAnsi="Arial"/>
          <w:sz w:val="18"/>
          <w:szCs w:val="18"/>
          <w:i w:val="1"/>
          <w:iCs w:val="1"/>
          <w:color w:val="auto"/>
        </w:rPr>
        <w:t>Charters</w:t>
      </w:r>
      <w:r>
        <w:rPr>
          <w:rFonts w:ascii="Arial" w:cs="Arial" w:eastAsia="Arial" w:hAnsi="Arial"/>
          <w:sz w:val="18"/>
          <w:szCs w:val="18"/>
          <w:color w:val="auto"/>
        </w:rPr>
        <w:t>), in each case as most recently determined in accordance with this Agreement.</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Selection Notice </w:t>
      </w:r>
      <w:r>
        <w:rPr>
          <w:rFonts w:ascii="Arial" w:cs="Arial" w:eastAsia="Arial" w:hAnsi="Arial"/>
          <w:sz w:val="18"/>
          <w:szCs w:val="18"/>
          <w:color w:val="auto"/>
        </w:rPr>
        <w:t>means a notice substantially in the form set out in Schedule 5 (</w:t>
      </w:r>
      <w:r>
        <w:rPr>
          <w:rFonts w:ascii="Arial" w:cs="Arial" w:eastAsia="Arial" w:hAnsi="Arial"/>
          <w:sz w:val="18"/>
          <w:szCs w:val="18"/>
          <w:i w:val="1"/>
          <w:iCs w:val="1"/>
          <w:color w:val="auto"/>
        </w:rPr>
        <w:t>Selection Notice</w:t>
      </w:r>
      <w:r>
        <w:rPr>
          <w:rFonts w:ascii="Arial" w:cs="Arial" w:eastAsia="Arial" w:hAnsi="Arial"/>
          <w:sz w:val="18"/>
          <w:szCs w:val="18"/>
          <w:color w:val="auto"/>
        </w:rPr>
        <w:t>) given in accordance with clause 9</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Interest Periods</w:t>
      </w:r>
      <w:r>
        <w:rPr>
          <w:rFonts w:ascii="Arial" w:cs="Arial" w:eastAsia="Arial" w:hAnsi="Arial"/>
          <w:sz w:val="18"/>
          <w:szCs w:val="18"/>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Semi-Annual Financial Statements </w:t>
      </w:r>
      <w:r>
        <w:rPr>
          <w:rFonts w:ascii="Arial" w:cs="Arial" w:eastAsia="Arial" w:hAnsi="Arial"/>
          <w:sz w:val="18"/>
          <w:szCs w:val="18"/>
          <w:color w:val="auto"/>
        </w:rPr>
        <w:t>has the meaning given to it in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Share Security </w:t>
      </w:r>
      <w:r>
        <w:rPr>
          <w:rFonts w:ascii="Arial" w:cs="Arial" w:eastAsia="Arial" w:hAnsi="Arial"/>
          <w:sz w:val="18"/>
          <w:szCs w:val="18"/>
          <w:color w:val="auto"/>
        </w:rPr>
        <w:t>means, in relation to each Borrower, the document constituting a first Security Interest in respect of all the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Borrower executed by GasLog Carriers or (as the case may be) GPHL, in favour of the Security Agent in the agreed form.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Shell Technical Manager </w:t>
      </w:r>
      <w:r>
        <w:rPr>
          <w:rFonts w:ascii="Arial" w:cs="Arial" w:eastAsia="Arial" w:hAnsi="Arial"/>
          <w:sz w:val="18"/>
          <w:szCs w:val="18"/>
          <w:color w:val="auto"/>
        </w:rPr>
        <w:t>means Shell International Trading and Shipping Co. Ltd. of 80 Strand, London WC2R 0ZA, England.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Ship A </w:t>
      </w:r>
      <w:r>
        <w:rPr>
          <w:rFonts w:ascii="Arial" w:cs="Arial" w:eastAsia="Arial" w:hAnsi="Arial"/>
          <w:sz w:val="18"/>
          <w:szCs w:val="18"/>
          <w:color w:val="auto"/>
        </w:rPr>
        <w:t>means the ship described as such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Ship Aggregate Commitments </w:t>
      </w:r>
      <w:r>
        <w:rPr>
          <w:rFonts w:ascii="Arial" w:cs="Arial" w:eastAsia="Arial" w:hAnsi="Arial"/>
          <w:sz w:val="18"/>
          <w:szCs w:val="18"/>
          <w:color w:val="auto"/>
        </w:rPr>
        <w:t>means, in relation to a Ship, the aggregate of the Term Loan Ship Commitment for that Ship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Loan Ship Commitment for that Ship.</w:t>
      </w:r>
    </w:p>
    <w:p>
      <w:pPr>
        <w:spacing w:after="0" w:line="14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 xml:space="preserve">Ship Aggregate Loans </w:t>
      </w:r>
      <w:r>
        <w:rPr>
          <w:rFonts w:ascii="Arial" w:cs="Arial" w:eastAsia="Arial" w:hAnsi="Arial"/>
          <w:sz w:val="18"/>
          <w:szCs w:val="18"/>
          <w:color w:val="auto"/>
        </w:rPr>
        <w:t>means, in relation to a Ship, the aggregate of the Term Loan for that Ship and all the Revolving Loans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Loan Ship Tranche for that Ship.</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Ship B </w:t>
      </w:r>
      <w:r>
        <w:rPr>
          <w:rFonts w:ascii="Arial" w:cs="Arial" w:eastAsia="Arial" w:hAnsi="Arial"/>
          <w:sz w:val="18"/>
          <w:szCs w:val="18"/>
          <w:color w:val="auto"/>
        </w:rPr>
        <w:t>means the ship described as such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Ship C </w:t>
      </w:r>
      <w:r>
        <w:rPr>
          <w:rFonts w:ascii="Arial" w:cs="Arial" w:eastAsia="Arial" w:hAnsi="Arial"/>
          <w:sz w:val="18"/>
          <w:szCs w:val="18"/>
          <w:color w:val="auto"/>
        </w:rPr>
        <w:t>means the ship described as such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Ship D </w:t>
      </w:r>
      <w:r>
        <w:rPr>
          <w:rFonts w:ascii="Arial" w:cs="Arial" w:eastAsia="Arial" w:hAnsi="Arial"/>
          <w:sz w:val="18"/>
          <w:szCs w:val="18"/>
          <w:color w:val="auto"/>
        </w:rPr>
        <w:t>means the ship described as such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Ship E </w:t>
      </w:r>
      <w:r>
        <w:rPr>
          <w:rFonts w:ascii="Arial" w:cs="Arial" w:eastAsia="Arial" w:hAnsi="Arial"/>
          <w:sz w:val="18"/>
          <w:szCs w:val="18"/>
          <w:color w:val="auto"/>
        </w:rPr>
        <w:t>means the ship described as such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Ship F </w:t>
      </w:r>
      <w:r>
        <w:rPr>
          <w:rFonts w:ascii="Arial" w:cs="Arial" w:eastAsia="Arial" w:hAnsi="Arial"/>
          <w:sz w:val="18"/>
          <w:szCs w:val="18"/>
          <w:color w:val="auto"/>
        </w:rPr>
        <w:t>means the ship described as such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Ship G </w:t>
      </w:r>
      <w:r>
        <w:rPr>
          <w:rFonts w:ascii="Arial" w:cs="Arial" w:eastAsia="Arial" w:hAnsi="Arial"/>
          <w:sz w:val="18"/>
          <w:szCs w:val="18"/>
          <w:color w:val="auto"/>
        </w:rPr>
        <w:t>means the ship described as such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Ship H </w:t>
      </w:r>
      <w:r>
        <w:rPr>
          <w:rFonts w:ascii="Arial" w:cs="Arial" w:eastAsia="Arial" w:hAnsi="Arial"/>
          <w:sz w:val="18"/>
          <w:szCs w:val="18"/>
          <w:color w:val="auto"/>
        </w:rPr>
        <w:t>means the ship described as such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Ship Representations </w:t>
      </w:r>
      <w:r>
        <w:rPr>
          <w:rFonts w:ascii="Arial" w:cs="Arial" w:eastAsia="Arial" w:hAnsi="Arial"/>
          <w:sz w:val="18"/>
          <w:szCs w:val="18"/>
          <w:color w:val="auto"/>
        </w:rPr>
        <w:t>means each of the representations and warranties set out in clauses 18.28 (</w:t>
      </w:r>
      <w:r>
        <w:rPr>
          <w:rFonts w:ascii="Arial" w:cs="Arial" w:eastAsia="Arial" w:hAnsi="Arial"/>
          <w:sz w:val="18"/>
          <w:szCs w:val="18"/>
          <w:i w:val="1"/>
          <w:iCs w:val="1"/>
          <w:color w:val="auto"/>
        </w:rPr>
        <w:t>Ship status</w:t>
      </w:r>
      <w:r>
        <w:rPr>
          <w:rFonts w:ascii="Arial" w:cs="Arial" w:eastAsia="Arial" w:hAnsi="Arial"/>
          <w:sz w:val="18"/>
          <w:szCs w:val="18"/>
          <w:color w:val="auto"/>
        </w:rPr>
        <w:t>) and 18.29 (</w:t>
      </w:r>
      <w:r>
        <w:rPr>
          <w:rFonts w:ascii="Arial" w:cs="Arial" w:eastAsia="Arial" w:hAnsi="Arial"/>
          <w:sz w:val="18"/>
          <w:szCs w:val="18"/>
          <w:i w:val="1"/>
          <w:iCs w:val="1"/>
          <w:color w:val="auto"/>
        </w:rPr>
        <w:t>Ship’s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employment</w:t>
      </w:r>
      <w:r>
        <w:rPr>
          <w:rFonts w:ascii="Arial" w:cs="Arial" w:eastAsia="Arial" w:hAnsi="Arial"/>
          <w:sz w:val="18"/>
          <w:szCs w:val="18"/>
          <w:color w:val="auto"/>
        </w:rPr>
        <w:t>).</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Ships </w:t>
      </w:r>
      <w:r>
        <w:rPr>
          <w:rFonts w:ascii="Arial" w:cs="Arial" w:eastAsia="Arial" w:hAnsi="Arial"/>
          <w:sz w:val="18"/>
          <w:szCs w:val="18"/>
          <w:color w:val="auto"/>
        </w:rPr>
        <w:t>means each of the ships described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being each of Ship A, Ship B, Ship C, Ship D, Ship E, Ship</w:t>
      </w:r>
      <w:r>
        <w:rPr>
          <w:rFonts w:ascii="Arial" w:cs="Arial" w:eastAsia="Arial" w:hAnsi="Arial"/>
          <w:sz w:val="18"/>
          <w:szCs w:val="18"/>
          <w:b w:val="1"/>
          <w:bCs w:val="1"/>
          <w:color w:val="auto"/>
        </w:rPr>
        <w:t xml:space="preserve"> </w:t>
      </w:r>
      <w:r>
        <w:rPr>
          <w:rFonts w:ascii="Arial" w:cs="Arial" w:eastAsia="Arial" w:hAnsi="Arial"/>
          <w:sz w:val="18"/>
          <w:szCs w:val="18"/>
          <w:color w:val="auto"/>
        </w:rPr>
        <w:t>F, Ship G and Ship H, and:</w:t>
      </w:r>
    </w:p>
    <w:p>
      <w:pPr>
        <w:spacing w:after="0" w:line="162" w:lineRule="exact"/>
        <w:rPr>
          <w:sz w:val="20"/>
          <w:szCs w:val="20"/>
          <w:color w:val="auto"/>
        </w:rPr>
      </w:pPr>
    </w:p>
    <w:p>
      <w:pPr>
        <w:ind w:left="540" w:hanging="532"/>
        <w:spacing w:after="0"/>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relation to Term Loan A and/or Revolving Loan Ship Tranche A (or any Revolving Loan under it), it means Ship A;</w:t>
      </w:r>
    </w:p>
    <w:p>
      <w:pPr>
        <w:spacing w:after="0" w:line="184" w:lineRule="exact"/>
        <w:rPr>
          <w:rFonts w:ascii="Arial" w:cs="Arial" w:eastAsia="Arial" w:hAnsi="Arial"/>
          <w:sz w:val="18"/>
          <w:szCs w:val="18"/>
          <w:color w:val="auto"/>
        </w:rPr>
      </w:pPr>
    </w:p>
    <w:p>
      <w:pPr>
        <w:ind w:left="5080"/>
        <w:spacing w:after="0"/>
        <w:rPr>
          <w:rFonts w:ascii="Arial" w:cs="Arial" w:eastAsia="Arial" w:hAnsi="Arial"/>
          <w:sz w:val="18"/>
          <w:szCs w:val="18"/>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135255</wp:posOffset>
            </wp:positionV>
            <wp:extent cx="72466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80"/>
          </w:cols>
          <w:pgMar w:left="780" w:top="422" w:right="239" w:bottom="1440" w:gutter="0" w:footer="0" w:header="0"/>
        </w:sectPr>
      </w:pPr>
    </w:p>
    <w:bookmarkStart w:id="71" w:name="page72"/>
    <w:bookmarkEnd w:id="71"/>
    <w:p>
      <w:pPr>
        <w:ind w:left="540" w:hanging="532"/>
        <w:spacing w:after="0"/>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relation to Term Loan B and/or Revolving Loan Ship Tranche B (or any Revolving Loan under it), it means Ship B;</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relation to Term Loan C and/or Revolving Loan Ship Tranche C (or any Revolving Loan under it), it means Ship C;</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relation to Term Loan D and/or Revolving Loan Ship Tranche D (or any Revolving Loan under it), it means Ship D;</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relation to Term Loan E and/or Revolving Loan Ship Tranche E (or any Revolving Loan under it), it means Ship E;</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relation to Term Loan F and/or Revolving Loan Ship Tranche F (or any Revolving Loan under it), it means Ship F;</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relation to Term Loan G and/or Revolving Loan Ship Tranche G (or any Revolving Loan under it), it means Ship G; and</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relation to Term Loan H and/or Revolving Loan Ship Tranche H (or any Revolving Loan under it), it means Ship H,</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b w:val="1"/>
          <w:bCs w:val="1"/>
          <w:color w:val="auto"/>
        </w:rPr>
        <w:t>Ship</w:t>
      </w:r>
      <w:r>
        <w:rPr>
          <w:rFonts w:ascii="Arial" w:cs="Arial" w:eastAsia="Arial" w:hAnsi="Arial"/>
          <w:sz w:val="18"/>
          <w:szCs w:val="18"/>
          <w:color w:val="auto"/>
        </w:rPr>
        <w:t xml:space="preserve"> means any of them.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Spill </w:t>
      </w:r>
      <w:r>
        <w:rPr>
          <w:rFonts w:ascii="Arial" w:cs="Arial" w:eastAsia="Arial" w:hAnsi="Arial"/>
          <w:sz w:val="18"/>
          <w:szCs w:val="18"/>
          <w:color w:val="auto"/>
        </w:rPr>
        <w:t>means any spill, release or discharge of a Pollutant into the environment.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of a person means any other person:</w:t>
      </w:r>
    </w:p>
    <w:p>
      <w:pPr>
        <w:spacing w:after="0" w:line="220" w:lineRule="exact"/>
        <w:rPr>
          <w:sz w:val="20"/>
          <w:szCs w:val="20"/>
          <w:color w:val="auto"/>
        </w:rPr>
      </w:pPr>
    </w:p>
    <w:p>
      <w:pPr>
        <w:ind w:left="540" w:hanging="532"/>
        <w:spacing w:after="0"/>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directly or indirectly controlled by such person; or</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of whose dividends or distributions on ordinary voting share capital such person is entitled to receive more than 50%.</w:t>
      </w:r>
    </w:p>
    <w:p>
      <w:pPr>
        <w:spacing w:after="0" w:line="176"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Tax </w:t>
      </w:r>
      <w:r>
        <w:rPr>
          <w:rFonts w:ascii="Arial" w:cs="Arial" w:eastAsia="Arial" w:hAnsi="Arial"/>
          <w:sz w:val="18"/>
          <w:szCs w:val="18"/>
          <w:color w:val="auto"/>
        </w:rPr>
        <w:t>means any tax, levy, impost, duty or other charge or withholding of a similar nature (including any penalty or interest payable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connection with any failure to pay or any delay in paying any of the same) and </w:t>
      </w:r>
      <w:r>
        <w:rPr>
          <w:rFonts w:ascii="Arial" w:cs="Arial" w:eastAsia="Arial" w:hAnsi="Arial"/>
          <w:sz w:val="18"/>
          <w:szCs w:val="18"/>
          <w:b w:val="1"/>
          <w:bCs w:val="1"/>
          <w:color w:val="auto"/>
        </w:rPr>
        <w:t>Taxation</w:t>
      </w:r>
      <w:r>
        <w:rPr>
          <w:rFonts w:ascii="Arial" w:cs="Arial" w:eastAsia="Arial" w:hAnsi="Arial"/>
          <w:sz w:val="18"/>
          <w:szCs w:val="18"/>
          <w:color w:val="auto"/>
        </w:rPr>
        <w:t xml:space="preserve"> shall be construed accordingly.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Technical Manager </w:t>
      </w:r>
      <w:r>
        <w:rPr>
          <w:rFonts w:ascii="Arial" w:cs="Arial" w:eastAsia="Arial" w:hAnsi="Arial"/>
          <w:sz w:val="18"/>
          <w:szCs w:val="18"/>
          <w:color w:val="auto"/>
        </w:rPr>
        <w:t>means:</w:t>
      </w:r>
    </w:p>
    <w:p>
      <w:pPr>
        <w:spacing w:after="0" w:line="220" w:lineRule="exact"/>
        <w:rPr>
          <w:sz w:val="20"/>
          <w:szCs w:val="20"/>
          <w:color w:val="auto"/>
        </w:rPr>
      </w:pPr>
    </w:p>
    <w:p>
      <w:pPr>
        <w:ind w:left="540" w:hanging="532"/>
        <w:spacing w:after="0"/>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relation to a Ship other than Ship E, GasLog LNG Services Ltd. of Bermuda; or</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relation to Ship E, the Shell Technical Manager,</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or, in relation to any Ship, another manager appointed as the technical manager of that Ship by the relevant Owner in accordance with clause 22.3 (</w:t>
      </w:r>
      <w:r>
        <w:rPr>
          <w:rFonts w:ascii="Arial" w:cs="Arial" w:eastAsia="Arial" w:hAnsi="Arial"/>
          <w:sz w:val="18"/>
          <w:szCs w:val="18"/>
          <w:i w:val="1"/>
          <w:iCs w:val="1"/>
          <w:color w:val="auto"/>
        </w:rPr>
        <w:t>Manager</w:t>
      </w:r>
      <w:r>
        <w:rPr>
          <w:rFonts w:ascii="Arial" w:cs="Arial" w:eastAsia="Arial" w:hAnsi="Arial"/>
          <w:sz w:val="18"/>
          <w:szCs w:val="18"/>
          <w:color w:val="auto"/>
        </w:rPr>
        <w:t>).</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Term Loan A </w:t>
      </w:r>
      <w:r>
        <w:rPr>
          <w:rFonts w:ascii="Arial" w:cs="Arial" w:eastAsia="Arial" w:hAnsi="Arial"/>
          <w:sz w:val="18"/>
          <w:szCs w:val="18"/>
          <w:color w:val="auto"/>
        </w:rPr>
        <w:t>means a borrowing of a part of the Total Term Loan Commitments by the Borrowers up to the Term Loan Ship</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in respect of Ship A, which is to be made available in relation to Ship A, or (as the context may require) the outstanding principal amount of such borrowing.</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Term Loan B </w:t>
      </w:r>
      <w:r>
        <w:rPr>
          <w:rFonts w:ascii="Arial" w:cs="Arial" w:eastAsia="Arial" w:hAnsi="Arial"/>
          <w:sz w:val="18"/>
          <w:szCs w:val="18"/>
          <w:color w:val="auto"/>
        </w:rPr>
        <w:t>means a borrowing of a part of the Total Term Loan Commitments by the Borrowers up to the Term Loan Ship</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in respect of Ship B, which is to be made available in relation to Ship B, or (as the context may require) the outstanding principal amount of such borrowing.</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Term Loan C </w:t>
      </w:r>
      <w:r>
        <w:rPr>
          <w:rFonts w:ascii="Arial" w:cs="Arial" w:eastAsia="Arial" w:hAnsi="Arial"/>
          <w:sz w:val="18"/>
          <w:szCs w:val="18"/>
          <w:color w:val="auto"/>
        </w:rPr>
        <w:t>means a borrowing of a part of the Total Term Loan Commitments by the Borrowers up to the Term Loan Ship</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in respect of Ship C, which is to be made available in relation to Ship C, or (as the context may require) the outstanding principal amount of such borrowing.</w:t>
      </w:r>
    </w:p>
    <w:p>
      <w:pPr>
        <w:spacing w:after="0" w:line="16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135255</wp:posOffset>
            </wp:positionV>
            <wp:extent cx="724662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80"/>
          </w:cols>
          <w:pgMar w:left="780" w:top="422"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 xml:space="preserve">Term Loan Commitment </w:t>
      </w:r>
      <w:r>
        <w:rPr>
          <w:rFonts w:ascii="Arial" w:cs="Arial" w:eastAsia="Arial" w:hAnsi="Arial"/>
          <w:sz w:val="18"/>
          <w:szCs w:val="18"/>
          <w:color w:val="auto"/>
        </w:rPr>
        <w:t>means:</w:t>
      </w:r>
    </w:p>
    <w:p>
      <w:pPr>
        <w:spacing w:after="0" w:line="220" w:lineRule="exact"/>
        <w:rPr>
          <w:sz w:val="20"/>
          <w:szCs w:val="20"/>
          <w:color w:val="auto"/>
        </w:rPr>
      </w:pPr>
    </w:p>
    <w:p>
      <w:pPr>
        <w:ind w:left="540" w:hanging="532"/>
        <w:spacing w:after="0" w:line="246"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relation to an Original Lender, the amount set under its name opposite the heading “Term Loan Commitment”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and the amount of any other Term Loan Commitment transferred to it under this Agreement; and</w:t>
      </w:r>
    </w:p>
    <w:p>
      <w:pPr>
        <w:spacing w:after="0" w:line="183" w:lineRule="exact"/>
        <w:rPr>
          <w:rFonts w:ascii="Arial" w:cs="Arial" w:eastAsia="Arial" w:hAnsi="Arial"/>
          <w:sz w:val="18"/>
          <w:szCs w:val="18"/>
          <w:color w:val="auto"/>
        </w:rPr>
      </w:pPr>
    </w:p>
    <w:p>
      <w:pPr>
        <w:ind w:left="540" w:hanging="532"/>
        <w:spacing w:after="0"/>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relation to any other Lender, the amount of any Term Loan Commitment assigned to it under this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to the extent not cancelled, reduced or assigned by it under this Agreement.</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Term Loan D </w:t>
      </w:r>
      <w:r>
        <w:rPr>
          <w:rFonts w:ascii="Arial" w:cs="Arial" w:eastAsia="Arial" w:hAnsi="Arial"/>
          <w:sz w:val="18"/>
          <w:szCs w:val="18"/>
          <w:color w:val="auto"/>
        </w:rPr>
        <w:t>means a borrowing of a part of the Total Term Loan Commitments by the Borrowers up to the Term Loan Ship</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in respect of Ship D, which is to be made available in relation to Ship D, or (as the context may require) the outstanding principal amount of such borrowing.</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Term Loan E </w:t>
      </w:r>
      <w:r>
        <w:rPr>
          <w:rFonts w:ascii="Arial" w:cs="Arial" w:eastAsia="Arial" w:hAnsi="Arial"/>
          <w:sz w:val="18"/>
          <w:szCs w:val="18"/>
          <w:color w:val="auto"/>
        </w:rPr>
        <w:t>means a borrowing of a part of the Total Term Loan Commitments by the Borrowers up to the Term Loan Ship</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in respect of Ship E, which is to be made available in relation to Ship E, or (as the context may require) the outstanding principal amount of such borrowing.</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Term Loan F </w:t>
      </w:r>
      <w:r>
        <w:rPr>
          <w:rFonts w:ascii="Arial" w:cs="Arial" w:eastAsia="Arial" w:hAnsi="Arial"/>
          <w:sz w:val="18"/>
          <w:szCs w:val="18"/>
          <w:color w:val="auto"/>
        </w:rPr>
        <w:t>means a borrowing of a part of the Total Term Loan Commitments by the Borrowers up to the Term Loan Ship</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in respect of Ship F, which is to be made available in relation to Ship F, or (as the context may require) the outstanding principal amount of such borrowing.</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Term Loan Facility </w:t>
      </w:r>
      <w:r>
        <w:rPr>
          <w:rFonts w:ascii="Arial" w:cs="Arial" w:eastAsia="Arial" w:hAnsi="Arial"/>
          <w:sz w:val="18"/>
          <w:szCs w:val="18"/>
          <w:color w:val="auto"/>
        </w:rPr>
        <w:t>means the term loan facility made available by the Lenders under this Agreement as described in clause 2 (</w:t>
      </w:r>
      <w:r>
        <w:rPr>
          <w:rFonts w:ascii="Arial" w:cs="Arial" w:eastAsia="Arial" w:hAnsi="Arial"/>
          <w:sz w:val="18"/>
          <w:szCs w:val="18"/>
          <w:i w:val="1"/>
          <w:iCs w:val="1"/>
          <w:color w:val="auto"/>
        </w:rPr>
        <w:t>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Facilities</w:t>
      </w:r>
      <w:r>
        <w:rPr>
          <w:rFonts w:ascii="Arial" w:cs="Arial" w:eastAsia="Arial" w:hAnsi="Arial"/>
          <w:sz w:val="18"/>
          <w:szCs w:val="18"/>
          <w:color w:val="auto"/>
        </w:rPr>
        <w:t>), in eight (8) Term Loans, one in respect of each Ship.</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Term Loan G </w:t>
      </w:r>
      <w:r>
        <w:rPr>
          <w:rFonts w:ascii="Arial" w:cs="Arial" w:eastAsia="Arial" w:hAnsi="Arial"/>
          <w:sz w:val="18"/>
          <w:szCs w:val="18"/>
          <w:color w:val="auto"/>
        </w:rPr>
        <w:t>means a borrowing of a part of the Total Term Loan Commitments by the Borrowers up to the Term Loan Ship</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in respect of Ship G, which is to be made available in relation to Ship G, or (as the context may require) the outstanding principal amount of such borrowing.</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Term Loan H </w:t>
      </w:r>
      <w:r>
        <w:rPr>
          <w:rFonts w:ascii="Arial" w:cs="Arial" w:eastAsia="Arial" w:hAnsi="Arial"/>
          <w:sz w:val="18"/>
          <w:szCs w:val="18"/>
          <w:color w:val="auto"/>
        </w:rPr>
        <w:t>means a borrowing of a part of the Total Term Loan Commitments by the Borrowers up to the Term Loan Ship</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in respect of Ship H, which is to be made available in relation to Ship H, or (as the context may require) the outstanding principal amount of such borrowing.</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Term Loan Ship Commitment </w:t>
      </w:r>
      <w:r>
        <w:rPr>
          <w:rFonts w:ascii="Arial" w:cs="Arial" w:eastAsia="Arial" w:hAnsi="Arial"/>
          <w:sz w:val="18"/>
          <w:szCs w:val="18"/>
          <w:color w:val="auto"/>
        </w:rPr>
        <w:t>means, in relation to a Ship, the amount specified as such in respect of such Ship in Schedule 2 (</w:t>
      </w:r>
      <w:r>
        <w:rPr>
          <w:rFonts w:ascii="Arial" w:cs="Arial" w:eastAsia="Arial" w:hAnsi="Arial"/>
          <w:sz w:val="18"/>
          <w:szCs w:val="18"/>
          <w:i w:val="1"/>
          <w:iCs w:val="1"/>
          <w:color w:val="auto"/>
        </w:rPr>
        <w:t>Ship</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being a part of the Total Term Loan Commitments, as cancelled or reduced pursuant to any provision of this Agreement.</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Term Loans </w:t>
      </w:r>
      <w:r>
        <w:rPr>
          <w:rFonts w:ascii="Arial" w:cs="Arial" w:eastAsia="Arial" w:hAnsi="Arial"/>
          <w:sz w:val="18"/>
          <w:szCs w:val="18"/>
          <w:color w:val="auto"/>
        </w:rPr>
        <w:t>means Term Loan A, Term Loan B, Term Loan C, Term Loan D, Term Loan E, Term Loan F, Term Loan G and Term Loan</w:t>
      </w:r>
      <w:r>
        <w:rPr>
          <w:rFonts w:ascii="Arial" w:cs="Arial" w:eastAsia="Arial" w:hAnsi="Arial"/>
          <w:sz w:val="18"/>
          <w:szCs w:val="18"/>
          <w:b w:val="1"/>
          <w:bCs w:val="1"/>
          <w:color w:val="auto"/>
        </w:rPr>
        <w:t xml:space="preserve"> </w:t>
      </w:r>
      <w:r>
        <w:rPr>
          <w:rFonts w:ascii="Arial" w:cs="Arial" w:eastAsia="Arial" w:hAnsi="Arial"/>
          <w:sz w:val="18"/>
          <w:szCs w:val="18"/>
          <w:color w:val="auto"/>
        </w:rPr>
        <w:t>H, and:</w:t>
      </w:r>
    </w:p>
    <w:p>
      <w:pPr>
        <w:spacing w:after="0" w:line="162" w:lineRule="exact"/>
        <w:rPr>
          <w:sz w:val="20"/>
          <w:szCs w:val="20"/>
          <w:color w:val="auto"/>
        </w:rPr>
      </w:pPr>
    </w:p>
    <w:p>
      <w:pPr>
        <w:ind w:left="540" w:hanging="532"/>
        <w:spacing w:after="0"/>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relation to Ship A, it means Term Loan A;</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relation to Ship B, it means Term Loan B;</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relation to Ship C, it means Term Loan C;</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relation to Ship D, it means Term Loan D;</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relation to Ship E, it means Term Loan E;</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relation to Ship F, it means Term Loan F;</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relation to Ship G, it means Term Loan G; and</w:t>
      </w:r>
    </w:p>
    <w:p>
      <w:pPr>
        <w:spacing w:after="0" w:line="18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135255</wp:posOffset>
            </wp:positionV>
            <wp:extent cx="724662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80"/>
          </w:cols>
          <w:pgMar w:left="780" w:top="400" w:right="239" w:bottom="1440" w:gutter="0" w:footer="0" w:header="0"/>
        </w:sectPr>
      </w:pPr>
    </w:p>
    <w:bookmarkStart w:id="73" w:name="page74"/>
    <w:bookmarkEnd w:id="73"/>
    <w:p>
      <w:pPr>
        <w:ind w:right="6840" w:firstLine="8"/>
        <w:spacing w:after="0" w:line="457" w:lineRule="auto"/>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in relation to Ship H, it means Term Loan H, and </w:t>
      </w:r>
      <w:r>
        <w:rPr>
          <w:rFonts w:ascii="Arial" w:cs="Arial" w:eastAsia="Arial" w:hAnsi="Arial"/>
          <w:sz w:val="18"/>
          <w:szCs w:val="18"/>
          <w:b w:val="1"/>
          <w:bCs w:val="1"/>
          <w:color w:val="auto"/>
        </w:rPr>
        <w:t>Term Loan</w:t>
      </w:r>
      <w:r>
        <w:rPr>
          <w:rFonts w:ascii="Arial" w:cs="Arial" w:eastAsia="Arial" w:hAnsi="Arial"/>
          <w:sz w:val="18"/>
          <w:szCs w:val="18"/>
          <w:color w:val="auto"/>
        </w:rPr>
        <w:t xml:space="preserve"> means any of them.</w:t>
      </w:r>
    </w:p>
    <w:p>
      <w:pPr>
        <w:ind w:right="20"/>
        <w:spacing w:after="0" w:line="271" w:lineRule="auto"/>
        <w:rPr>
          <w:sz w:val="20"/>
          <w:szCs w:val="20"/>
          <w:color w:val="auto"/>
        </w:rPr>
      </w:pPr>
      <w:r>
        <w:rPr>
          <w:rFonts w:ascii="Arial" w:cs="Arial" w:eastAsia="Arial" w:hAnsi="Arial"/>
          <w:sz w:val="18"/>
          <w:szCs w:val="18"/>
          <w:b w:val="1"/>
          <w:bCs w:val="1"/>
          <w:color w:val="auto"/>
        </w:rPr>
        <w:t xml:space="preserve">Total Commitments </w:t>
      </w:r>
      <w:r>
        <w:rPr>
          <w:rFonts w:ascii="Arial" w:cs="Arial" w:eastAsia="Arial" w:hAnsi="Arial"/>
          <w:sz w:val="18"/>
          <w:szCs w:val="18"/>
          <w:color w:val="auto"/>
        </w:rPr>
        <w:t>means the aggregate of the Total Term Loan Commitments and the Total Revolving Loan Commitments, being</w:t>
      </w:r>
      <w:r>
        <w:rPr>
          <w:rFonts w:ascii="Arial" w:cs="Arial" w:eastAsia="Arial" w:hAnsi="Arial"/>
          <w:sz w:val="18"/>
          <w:szCs w:val="18"/>
          <w:b w:val="1"/>
          <w:bCs w:val="1"/>
          <w:color w:val="auto"/>
        </w:rPr>
        <w:t xml:space="preserve"> </w:t>
      </w:r>
      <w:r>
        <w:rPr>
          <w:rFonts w:ascii="Arial" w:cs="Arial" w:eastAsia="Arial" w:hAnsi="Arial"/>
          <w:sz w:val="18"/>
          <w:szCs w:val="18"/>
          <w:color w:val="auto"/>
        </w:rPr>
        <w:t>$1,050,000,000 at the date of this Agreement.</w:t>
      </w:r>
    </w:p>
    <w:p>
      <w:pPr>
        <w:spacing w:after="0" w:line="200" w:lineRule="exact"/>
        <w:rPr>
          <w:sz w:val="20"/>
          <w:szCs w:val="20"/>
          <w:color w:val="auto"/>
        </w:rPr>
      </w:pPr>
    </w:p>
    <w:p>
      <w:pPr>
        <w:spacing w:after="0" w:line="367" w:lineRule="exact"/>
        <w:rPr>
          <w:sz w:val="20"/>
          <w:szCs w:val="20"/>
          <w:color w:val="auto"/>
        </w:rPr>
      </w:pPr>
    </w:p>
    <w:p>
      <w:pPr>
        <w:ind w:left="540" w:hanging="532"/>
        <w:spacing w:after="0"/>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actual, constructive, compromised, agreed or arranged total loss; or</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requisition for title, confiscation or other compulsory acquisition by a government entity; or</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condemnation, capture, seizure, arrest or detention for more than 30 days; or</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hijacking, piracy or theft for more than 60 days.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40" w:hanging="532"/>
        <w:spacing w:after="0" w:line="246"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the case of an actual total loss, the date it happened or, if such date is not known, the date on which the vessel was last reported;</w:t>
      </w:r>
    </w:p>
    <w:p>
      <w:pPr>
        <w:spacing w:after="0" w:line="183" w:lineRule="exact"/>
        <w:rPr>
          <w:rFonts w:ascii="Arial" w:cs="Arial" w:eastAsia="Arial" w:hAnsi="Arial"/>
          <w:sz w:val="18"/>
          <w:szCs w:val="18"/>
          <w:color w:val="auto"/>
        </w:rPr>
      </w:pPr>
    </w:p>
    <w:p>
      <w:pPr>
        <w:ind w:left="540" w:hanging="532"/>
        <w:spacing w:after="0"/>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the case of a constructive, compromised, agreed or arranged total loss, the earliest of:</w:t>
      </w:r>
    </w:p>
    <w:p>
      <w:pPr>
        <w:spacing w:after="0" w:line="198" w:lineRule="exact"/>
        <w:rPr>
          <w:rFonts w:ascii="Arial" w:cs="Arial" w:eastAsia="Arial" w:hAnsi="Arial"/>
          <w:sz w:val="18"/>
          <w:szCs w:val="18"/>
          <w:color w:val="auto"/>
        </w:rPr>
      </w:pPr>
    </w:p>
    <w:p>
      <w:pPr>
        <w:ind w:left="1020" w:hanging="539"/>
        <w:spacing w:after="0"/>
        <w:tabs>
          <w:tab w:leader="none" w:pos="10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date notice of abandonment of the vessel is given to its insurers; or</w:t>
      </w:r>
    </w:p>
    <w:p>
      <w:pPr>
        <w:spacing w:after="0" w:line="198" w:lineRule="exact"/>
        <w:rPr>
          <w:rFonts w:ascii="Arial" w:cs="Arial" w:eastAsia="Arial" w:hAnsi="Arial"/>
          <w:sz w:val="18"/>
          <w:szCs w:val="18"/>
          <w:color w:val="auto"/>
        </w:rPr>
      </w:pPr>
    </w:p>
    <w:p>
      <w:pPr>
        <w:ind w:left="1020" w:hanging="539"/>
        <w:spacing w:after="0" w:line="246" w:lineRule="auto"/>
        <w:tabs>
          <w:tab w:leader="none" w:pos="10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if the insurers do not admit such a claim, the date later determined by a competent court of law to have been the date on which the total loss happened; or</w:t>
      </w:r>
    </w:p>
    <w:p>
      <w:pPr>
        <w:spacing w:after="0" w:line="183" w:lineRule="exact"/>
        <w:rPr>
          <w:rFonts w:ascii="Arial" w:cs="Arial" w:eastAsia="Arial" w:hAnsi="Arial"/>
          <w:sz w:val="18"/>
          <w:szCs w:val="18"/>
          <w:color w:val="auto"/>
        </w:rPr>
      </w:pPr>
    </w:p>
    <w:p>
      <w:pPr>
        <w:ind w:left="1020" w:right="20" w:hanging="539"/>
        <w:spacing w:after="0" w:line="246" w:lineRule="auto"/>
        <w:tabs>
          <w:tab w:leader="none" w:pos="10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date upon which a binding agreement as to such compromised or arranged total loss has been entered into by the vessel’s insurers;</w:t>
      </w:r>
    </w:p>
    <w:p>
      <w:pPr>
        <w:spacing w:after="0" w:line="183" w:lineRule="exact"/>
        <w:rPr>
          <w:rFonts w:ascii="Arial" w:cs="Arial" w:eastAsia="Arial" w:hAnsi="Arial"/>
          <w:sz w:val="18"/>
          <w:szCs w:val="18"/>
          <w:color w:val="auto"/>
        </w:rPr>
      </w:pPr>
    </w:p>
    <w:p>
      <w:pPr>
        <w:ind w:left="540" w:hanging="532"/>
        <w:spacing w:after="0"/>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the case of a requisition for title, confiscation or compulsory acquisition, the date it happened;</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the case of condemnation, capture, seizure, arrest or detention, the date 30 days after the date upon which it happened; and</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the case of hijacking, piracy or theft, the date 60 days after the date upon which it happened.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Total Loss Repayment Date </w:t>
      </w:r>
      <w:r>
        <w:rPr>
          <w:rFonts w:ascii="Arial" w:cs="Arial" w:eastAsia="Arial" w:hAnsi="Arial"/>
          <w:sz w:val="18"/>
          <w:szCs w:val="18"/>
          <w:color w:val="auto"/>
        </w:rPr>
        <w:t>means, where a Mortgaged Ship has become a Total Loss, the earlier of:</w:t>
      </w:r>
    </w:p>
    <w:p>
      <w:pPr>
        <w:spacing w:after="0" w:line="220" w:lineRule="exact"/>
        <w:rPr>
          <w:sz w:val="20"/>
          <w:szCs w:val="20"/>
          <w:color w:val="auto"/>
        </w:rPr>
      </w:pPr>
    </w:p>
    <w:p>
      <w:pPr>
        <w:ind w:left="540" w:hanging="532"/>
        <w:spacing w:after="0"/>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date falling 180 days after its Total Loss Date; and</w:t>
      </w:r>
    </w:p>
    <w:p>
      <w:pPr>
        <w:spacing w:after="0" w:line="198" w:lineRule="exact"/>
        <w:rPr>
          <w:rFonts w:ascii="Arial" w:cs="Arial" w:eastAsia="Arial" w:hAnsi="Arial"/>
          <w:sz w:val="18"/>
          <w:szCs w:val="18"/>
          <w:color w:val="auto"/>
        </w:rPr>
      </w:pPr>
    </w:p>
    <w:p>
      <w:pPr>
        <w:ind w:left="540" w:hanging="532"/>
        <w:spacing w:after="0" w:line="246" w:lineRule="auto"/>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date upon which insurance proceeds or Requisition Compensation for such Total Loss are paid by insurers or the relevant government entity.</w:t>
      </w:r>
    </w:p>
    <w:p>
      <w:pPr>
        <w:spacing w:after="0" w:line="16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color w:val="auto"/>
        </w:rPr>
        <w:t xml:space="preserve">Total Revolving Loan Commitments </w:t>
      </w:r>
      <w:r>
        <w:rPr>
          <w:rFonts w:ascii="Arial" w:cs="Arial" w:eastAsia="Arial" w:hAnsi="Arial"/>
          <w:sz w:val="18"/>
          <w:szCs w:val="18"/>
          <w:color w:val="auto"/>
        </w:rPr>
        <w:t>means the aggregate of the Revolving Loan Commitments, being $100,000,000 as at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Total Term Loan Commitments </w:t>
      </w:r>
      <w:r>
        <w:rPr>
          <w:rFonts w:ascii="Arial" w:cs="Arial" w:eastAsia="Arial" w:hAnsi="Arial"/>
          <w:sz w:val="18"/>
          <w:szCs w:val="18"/>
          <w:color w:val="auto"/>
        </w:rPr>
        <w:t>means the aggregate of the Term Loan Commitments, being $950,000,000 as at the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Transfer Certificate </w:t>
      </w:r>
      <w:r>
        <w:rPr>
          <w:rFonts w:ascii="Arial" w:cs="Arial" w:eastAsia="Arial" w:hAnsi="Arial"/>
          <w:sz w:val="18"/>
          <w:szCs w:val="18"/>
          <w:color w:val="auto"/>
        </w:rPr>
        <w:t>means a certificate substantially in the form set out in Schedule 7 (</w:t>
      </w:r>
      <w:r>
        <w:rPr>
          <w:rFonts w:ascii="Arial" w:cs="Arial" w:eastAsia="Arial" w:hAnsi="Arial"/>
          <w:sz w:val="18"/>
          <w:szCs w:val="18"/>
          <w:i w:val="1"/>
          <w:iCs w:val="1"/>
          <w:color w:val="auto"/>
        </w:rPr>
        <w:t>Form of Transfer Certificate</w:t>
      </w:r>
      <w:r>
        <w:rPr>
          <w:rFonts w:ascii="Arial" w:cs="Arial" w:eastAsia="Arial" w:hAnsi="Arial"/>
          <w:sz w:val="18"/>
          <w:szCs w:val="18"/>
          <w:color w:val="auto"/>
        </w:rPr>
        <w:t>) or any other form</w:t>
      </w:r>
      <w:r>
        <w:rPr>
          <w:rFonts w:ascii="Arial" w:cs="Arial" w:eastAsia="Arial" w:hAnsi="Arial"/>
          <w:sz w:val="18"/>
          <w:szCs w:val="18"/>
          <w:b w:val="1"/>
          <w:bCs w:val="1"/>
          <w:color w:val="auto"/>
        </w:rPr>
        <w:t xml:space="preserve"> </w:t>
      </w:r>
      <w:r>
        <w:rPr>
          <w:rFonts w:ascii="Arial" w:cs="Arial" w:eastAsia="Arial" w:hAnsi="Arial"/>
          <w:sz w:val="18"/>
          <w:szCs w:val="18"/>
          <w:color w:val="auto"/>
        </w:rPr>
        <w:t>agreed between the Agent and the Borrowers or, at any time after the occurrence of an Event of Default, required by the Agent.</w:t>
      </w:r>
    </w:p>
    <w:p>
      <w:pPr>
        <w:spacing w:after="0" w:line="14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135255</wp:posOffset>
            </wp:positionV>
            <wp:extent cx="724662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80"/>
          </w:cols>
          <w:pgMar w:left="780" w:top="422" w:right="239" w:bottom="1440" w:gutter="0" w:footer="0" w:header="0"/>
        </w:sectPr>
      </w:pPr>
    </w:p>
    <w:bookmarkStart w:id="74" w:name="page75"/>
    <w:bookmarkEnd w:id="74"/>
    <w:p>
      <w:pPr>
        <w:ind w:left="40"/>
        <w:spacing w:after="0"/>
        <w:rPr>
          <w:sz w:val="20"/>
          <w:szCs w:val="20"/>
          <w:color w:val="auto"/>
        </w:rPr>
      </w:pPr>
      <w:r>
        <w:rPr>
          <w:rFonts w:ascii="Arial" w:cs="Arial" w:eastAsia="Arial" w:hAnsi="Arial"/>
          <w:sz w:val="18"/>
          <w:szCs w:val="18"/>
          <w:b w:val="1"/>
          <w:bCs w:val="1"/>
          <w:color w:val="auto"/>
        </w:rPr>
        <w:t xml:space="preserve">Transfer Date </w:t>
      </w:r>
      <w:r>
        <w:rPr>
          <w:rFonts w:ascii="Arial" w:cs="Arial" w:eastAsia="Arial" w:hAnsi="Arial"/>
          <w:sz w:val="18"/>
          <w:szCs w:val="18"/>
          <w:color w:val="auto"/>
        </w:rPr>
        <w:t>means, in relation to an assignment pursuant to a Transfer Certificate, the later of:</w:t>
      </w:r>
    </w:p>
    <w:p>
      <w:pPr>
        <w:spacing w:after="0" w:line="220" w:lineRule="exact"/>
        <w:rPr>
          <w:sz w:val="20"/>
          <w:szCs w:val="20"/>
          <w:color w:val="auto"/>
        </w:rPr>
      </w:pPr>
    </w:p>
    <w:p>
      <w:pPr>
        <w:ind w:left="580" w:hanging="532"/>
        <w:spacing w:after="0"/>
        <w:tabs>
          <w:tab w:leader="none" w:pos="5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proposed Transfer Date specified in the Transfer Certificate; and</w:t>
      </w:r>
    </w:p>
    <w:p>
      <w:pPr>
        <w:spacing w:after="0" w:line="198" w:lineRule="exact"/>
        <w:rPr>
          <w:rFonts w:ascii="Arial" w:cs="Arial" w:eastAsia="Arial" w:hAnsi="Arial"/>
          <w:sz w:val="18"/>
          <w:szCs w:val="18"/>
          <w:color w:val="auto"/>
        </w:rPr>
      </w:pPr>
    </w:p>
    <w:p>
      <w:pPr>
        <w:ind w:left="580" w:hanging="532"/>
        <w:spacing w:after="0"/>
        <w:tabs>
          <w:tab w:leader="none" w:pos="5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date on which the Agent executes the Transfer Certificate.</w:t>
      </w:r>
    </w:p>
    <w:p>
      <w:pPr>
        <w:spacing w:after="0" w:line="176" w:lineRule="exact"/>
        <w:rPr>
          <w:sz w:val="20"/>
          <w:szCs w:val="20"/>
          <w:color w:val="auto"/>
        </w:rPr>
      </w:pPr>
    </w:p>
    <w:p>
      <w:pPr>
        <w:ind w:left="40"/>
        <w:spacing w:after="0" w:line="271" w:lineRule="auto"/>
        <w:rPr>
          <w:sz w:val="20"/>
          <w:szCs w:val="20"/>
          <w:color w:val="auto"/>
        </w:rPr>
      </w:pPr>
      <w:r>
        <w:rPr>
          <w:rFonts w:ascii="Arial" w:cs="Arial" w:eastAsia="Arial" w:hAnsi="Arial"/>
          <w:sz w:val="18"/>
          <w:szCs w:val="18"/>
          <w:b w:val="1"/>
          <w:bCs w:val="1"/>
          <w:color w:val="auto"/>
        </w:rPr>
        <w:t xml:space="preserve">Treasury Transaction </w:t>
      </w:r>
      <w:r>
        <w:rPr>
          <w:rFonts w:ascii="Arial" w:cs="Arial" w:eastAsia="Arial" w:hAnsi="Arial"/>
          <w:sz w:val="18"/>
          <w:szCs w:val="18"/>
          <w:color w:val="auto"/>
        </w:rPr>
        <w:t>means any derivative transaction entered into in connection with protection against or benefit from fluctuation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any rate or price.</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Trust Property </w:t>
      </w:r>
      <w:r>
        <w:rPr>
          <w:rFonts w:ascii="Arial" w:cs="Arial" w:eastAsia="Arial" w:hAnsi="Arial"/>
          <w:sz w:val="18"/>
          <w:szCs w:val="18"/>
          <w:color w:val="auto"/>
        </w:rPr>
        <w:t>means, collectively:</w:t>
      </w:r>
    </w:p>
    <w:p>
      <w:pPr>
        <w:spacing w:after="0" w:line="220" w:lineRule="exact"/>
        <w:rPr>
          <w:sz w:val="20"/>
          <w:szCs w:val="20"/>
          <w:color w:val="auto"/>
        </w:rPr>
      </w:pPr>
    </w:p>
    <w:p>
      <w:pPr>
        <w:ind w:left="580" w:hanging="532"/>
        <w:spacing w:after="0"/>
        <w:tabs>
          <w:tab w:leader="none" w:pos="5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moneys duly received by the Security Agent under or in respect of the Finance Documents;</w:t>
      </w:r>
    </w:p>
    <w:p>
      <w:pPr>
        <w:spacing w:after="0" w:line="198" w:lineRule="exact"/>
        <w:rPr>
          <w:rFonts w:ascii="Arial" w:cs="Arial" w:eastAsia="Arial" w:hAnsi="Arial"/>
          <w:sz w:val="18"/>
          <w:szCs w:val="18"/>
          <w:color w:val="auto"/>
        </w:rPr>
      </w:pPr>
    </w:p>
    <w:p>
      <w:pPr>
        <w:ind w:left="580" w:hanging="532"/>
        <w:spacing w:after="0"/>
        <w:tabs>
          <w:tab w:leader="none" w:pos="5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portion of the balance on any Account held by or charged to the Security Agent at any time;</w:t>
      </w:r>
    </w:p>
    <w:p>
      <w:pPr>
        <w:spacing w:after="0" w:line="198" w:lineRule="exact"/>
        <w:rPr>
          <w:rFonts w:ascii="Arial" w:cs="Arial" w:eastAsia="Arial" w:hAnsi="Arial"/>
          <w:sz w:val="18"/>
          <w:szCs w:val="18"/>
          <w:color w:val="auto"/>
        </w:rPr>
      </w:pPr>
    </w:p>
    <w:p>
      <w:pPr>
        <w:jc w:val="both"/>
        <w:ind w:left="580" w:hanging="532"/>
        <w:spacing w:after="0"/>
        <w:tabs>
          <w:tab w:leader="none" w:pos="5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Security Interests, guarantees, security, powers and rights given to the Security Agent under and pursuant to the Finance Documents including, without limitation, the covenants given to the Security Agent in respect of all obligations of any Obligor and any Manager;</w:t>
      </w:r>
    </w:p>
    <w:p>
      <w:pPr>
        <w:spacing w:after="0" w:line="189" w:lineRule="exact"/>
        <w:rPr>
          <w:rFonts w:ascii="Arial" w:cs="Arial" w:eastAsia="Arial" w:hAnsi="Arial"/>
          <w:sz w:val="18"/>
          <w:szCs w:val="18"/>
          <w:color w:val="auto"/>
        </w:rPr>
      </w:pPr>
    </w:p>
    <w:p>
      <w:pPr>
        <w:ind w:left="580" w:hanging="532"/>
        <w:spacing w:after="0" w:line="246" w:lineRule="auto"/>
        <w:tabs>
          <w:tab w:leader="none" w:pos="5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assets paid or transferred to or vested in the Security Agent or its agent or received or recovered by the Security Agent or its agent in connection with any of the Finance Documents whether from any Obligor, any Manager or any other person; and</w:t>
      </w:r>
    </w:p>
    <w:p>
      <w:pPr>
        <w:spacing w:after="0" w:line="183" w:lineRule="exact"/>
        <w:rPr>
          <w:rFonts w:ascii="Arial" w:cs="Arial" w:eastAsia="Arial" w:hAnsi="Arial"/>
          <w:sz w:val="18"/>
          <w:szCs w:val="18"/>
          <w:color w:val="auto"/>
        </w:rPr>
      </w:pPr>
    </w:p>
    <w:p>
      <w:pPr>
        <w:jc w:val="both"/>
        <w:ind w:left="580" w:hanging="532"/>
        <w:spacing w:after="0"/>
        <w:tabs>
          <w:tab w:leader="none" w:pos="5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or any part of any rights, benefits, interests and other assets at any time representing or deriving from any of the above, including all income and other sums at any time received or receivable by the Security Agent or its agent in respect of the same (or any part thereof).</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Unpaid Sum </w:t>
      </w:r>
      <w:r>
        <w:rPr>
          <w:rFonts w:ascii="Arial" w:cs="Arial" w:eastAsia="Arial" w:hAnsi="Arial"/>
          <w:sz w:val="18"/>
          <w:szCs w:val="18"/>
          <w:color w:val="auto"/>
        </w:rPr>
        <w:t>means any sum due and payable but unpaid by an Obligor under the Finance Documents.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US </w:t>
      </w:r>
      <w:r>
        <w:rPr>
          <w:rFonts w:ascii="Arial" w:cs="Arial" w:eastAsia="Arial" w:hAnsi="Arial"/>
          <w:sz w:val="18"/>
          <w:szCs w:val="18"/>
          <w:color w:val="auto"/>
        </w:rPr>
        <w:t>means the United States of America.</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US Tax Obligor </w:t>
      </w:r>
      <w:r>
        <w:rPr>
          <w:rFonts w:ascii="Arial" w:cs="Arial" w:eastAsia="Arial" w:hAnsi="Arial"/>
          <w:sz w:val="18"/>
          <w:szCs w:val="18"/>
          <w:color w:val="auto"/>
        </w:rPr>
        <w:t>means:</w:t>
      </w:r>
    </w:p>
    <w:p>
      <w:pPr>
        <w:spacing w:after="0" w:line="220" w:lineRule="exact"/>
        <w:rPr>
          <w:sz w:val="20"/>
          <w:szCs w:val="20"/>
          <w:color w:val="auto"/>
        </w:rPr>
      </w:pPr>
    </w:p>
    <w:p>
      <w:pPr>
        <w:ind w:left="540" w:hanging="532"/>
        <w:spacing w:after="0"/>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Borrower if it is resident for tax purposes in the US; or</w:t>
      </w:r>
    </w:p>
    <w:p>
      <w:pPr>
        <w:spacing w:after="0" w:line="198" w:lineRule="exact"/>
        <w:rPr>
          <w:rFonts w:ascii="Arial" w:cs="Arial" w:eastAsia="Arial" w:hAnsi="Arial"/>
          <w:sz w:val="18"/>
          <w:szCs w:val="18"/>
          <w:color w:val="auto"/>
        </w:rPr>
      </w:pPr>
    </w:p>
    <w:p>
      <w:pPr>
        <w:ind w:left="540" w:hanging="532"/>
        <w:spacing w:after="0" w:line="246" w:lineRule="auto"/>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Obligor some or all of whose payments under the Finance Documents are from sources within the US for US federal income tax purposes.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Utilisation </w:t>
      </w:r>
      <w:r>
        <w:rPr>
          <w:rFonts w:ascii="Arial" w:cs="Arial" w:eastAsia="Arial" w:hAnsi="Arial"/>
          <w:sz w:val="18"/>
          <w:szCs w:val="18"/>
          <w:color w:val="auto"/>
        </w:rPr>
        <w:t>means the making of a Loan.</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Utilisation Date </w:t>
      </w:r>
      <w:r>
        <w:rPr>
          <w:rFonts w:ascii="Arial" w:cs="Arial" w:eastAsia="Arial" w:hAnsi="Arial"/>
          <w:sz w:val="18"/>
          <w:szCs w:val="18"/>
          <w:color w:val="auto"/>
        </w:rPr>
        <w:t>means the date on which a Utilisation is made.</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Utilisation Request </w:t>
      </w:r>
      <w:r>
        <w:rPr>
          <w:rFonts w:ascii="Arial" w:cs="Arial" w:eastAsia="Arial" w:hAnsi="Arial"/>
          <w:sz w:val="18"/>
          <w:szCs w:val="18"/>
          <w:color w:val="auto"/>
        </w:rPr>
        <w:t>means a notice substantially in the form set out in Schedule 4 (</w:t>
      </w:r>
      <w:r>
        <w:rPr>
          <w:rFonts w:ascii="Arial" w:cs="Arial" w:eastAsia="Arial" w:hAnsi="Arial"/>
          <w:sz w:val="18"/>
          <w:szCs w:val="18"/>
          <w:i w:val="1"/>
          <w:iCs w:val="1"/>
          <w:color w:val="auto"/>
        </w:rPr>
        <w:t>Utilisation Request</w:t>
      </w:r>
      <w:r>
        <w:rPr>
          <w:rFonts w:ascii="Arial" w:cs="Arial" w:eastAsia="Arial" w:hAnsi="Arial"/>
          <w:sz w:val="18"/>
          <w:szCs w:val="18"/>
          <w:color w:val="auto"/>
        </w:rPr>
        <w:t>).</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VAT </w:t>
      </w:r>
      <w:r>
        <w:rPr>
          <w:rFonts w:ascii="Arial" w:cs="Arial" w:eastAsia="Arial" w:hAnsi="Arial"/>
          <w:sz w:val="18"/>
          <w:szCs w:val="18"/>
          <w:color w:val="auto"/>
        </w:rPr>
        <w:t>means:</w:t>
      </w:r>
    </w:p>
    <w:p>
      <w:pPr>
        <w:spacing w:after="0" w:line="220" w:lineRule="exact"/>
        <w:rPr>
          <w:sz w:val="20"/>
          <w:szCs w:val="20"/>
          <w:color w:val="auto"/>
        </w:rPr>
      </w:pPr>
    </w:p>
    <w:p>
      <w:pPr>
        <w:ind w:left="540" w:right="20" w:hanging="492"/>
        <w:spacing w:after="0" w:line="246" w:lineRule="auto"/>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tax imposed in compliance with the Council Directive of 28 November 2006 on the common system of value added tax (EC Directive 2006/112); and</w:t>
      </w:r>
    </w:p>
    <w:p>
      <w:pPr>
        <w:spacing w:after="0" w:line="183" w:lineRule="exact"/>
        <w:rPr>
          <w:rFonts w:ascii="Arial" w:cs="Arial" w:eastAsia="Arial" w:hAnsi="Arial"/>
          <w:sz w:val="18"/>
          <w:szCs w:val="18"/>
          <w:color w:val="auto"/>
        </w:rPr>
      </w:pPr>
    </w:p>
    <w:p>
      <w:pPr>
        <w:ind w:left="540" w:hanging="492"/>
        <w:spacing w:after="0" w:line="246" w:lineRule="auto"/>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other tax of a similar nature, whether imposed in a member state of the European Union in substitution for, or levied in addition to, such tax referred to in paragraph (a) above, or imposed elsewhere.</w:t>
      </w:r>
    </w:p>
    <w:p>
      <w:pPr>
        <w:spacing w:after="0" w:line="170"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135255</wp:posOffset>
            </wp:positionV>
            <wp:extent cx="72466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920"/>
          </w:cols>
          <w:pgMar w:left="740" w:top="400" w:right="239" w:bottom="1440" w:gutter="0" w:footer="0" w:header="0"/>
        </w:sectPr>
      </w:pPr>
    </w:p>
    <w:bookmarkStart w:id="75" w:name="page76"/>
    <w:bookmarkEnd w:id="75"/>
    <w:p>
      <w:pPr>
        <w:spacing w:after="0"/>
        <w:tabs>
          <w:tab w:leader="none" w:pos="520" w:val="left"/>
        </w:tabs>
        <w:rPr>
          <w:sz w:val="20"/>
          <w:szCs w:val="20"/>
          <w:color w:val="auto"/>
        </w:rPr>
      </w:pPr>
      <w:r>
        <w:rPr>
          <w:rFonts w:ascii="Arial" w:cs="Arial" w:eastAsia="Arial" w:hAnsi="Arial"/>
          <w:sz w:val="18"/>
          <w:szCs w:val="18"/>
          <w:b w:val="1"/>
          <w:bCs w:val="1"/>
          <w:color w:val="auto"/>
        </w:rPr>
        <w:t>1.2</w:t>
        <w:tab/>
        <w:t>Construction</w:t>
      </w:r>
    </w:p>
    <w:p>
      <w:pPr>
        <w:spacing w:after="0" w:line="220" w:lineRule="exact"/>
        <w:rPr>
          <w:sz w:val="20"/>
          <w:szCs w:val="20"/>
          <w:color w:val="auto"/>
        </w:rPr>
      </w:pPr>
    </w:p>
    <w:p>
      <w:pPr>
        <w:ind w:left="1060" w:hanging="512"/>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Unless a contrary indication appears, any reference in any of the Finance Documents to:</w:t>
      </w:r>
    </w:p>
    <w:p>
      <w:pPr>
        <w:spacing w:after="0" w:line="198" w:lineRule="exact"/>
        <w:rPr>
          <w:rFonts w:ascii="Arial" w:cs="Arial" w:eastAsia="Arial" w:hAnsi="Arial"/>
          <w:sz w:val="18"/>
          <w:szCs w:val="18"/>
          <w:color w:val="auto"/>
        </w:rPr>
      </w:pPr>
    </w:p>
    <w:p>
      <w:pPr>
        <w:ind w:left="1660" w:hanging="639"/>
        <w:spacing w:after="0" w:line="246" w:lineRule="auto"/>
        <w:tabs>
          <w:tab w:leader="none" w:pos="16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Sections, clauses and Schedules are to be construed as references to the Sections and clauses of, and the Schedules to, the relevant Finance Document and references to a Finance Document include its Schedules;</w:t>
      </w:r>
    </w:p>
    <w:p>
      <w:pPr>
        <w:spacing w:after="0" w:line="161" w:lineRule="exact"/>
        <w:rPr>
          <w:rFonts w:ascii="Arial" w:cs="Arial" w:eastAsia="Arial" w:hAnsi="Arial"/>
          <w:sz w:val="18"/>
          <w:szCs w:val="18"/>
          <w:color w:val="auto"/>
        </w:rPr>
      </w:pPr>
    </w:p>
    <w:p>
      <w:pPr>
        <w:ind w:left="1660" w:hanging="639"/>
        <w:spacing w:after="0" w:line="271" w:lineRule="auto"/>
        <w:tabs>
          <w:tab w:leader="none" w:pos="16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Finance Document</w:t>
      </w:r>
      <w:r>
        <w:rPr>
          <w:rFonts w:ascii="Arial" w:cs="Arial" w:eastAsia="Arial" w:hAnsi="Arial"/>
          <w:sz w:val="18"/>
          <w:szCs w:val="18"/>
          <w:color w:val="auto"/>
        </w:rPr>
        <w:t xml:space="preserve"> or any other agreement or instrument is a reference to that Finance Document or other agreement or instrument as it may from time to time be amended, restated, novated or replaced, however fundamentally;</w:t>
      </w:r>
    </w:p>
    <w:p>
      <w:pPr>
        <w:spacing w:after="0" w:line="162" w:lineRule="exact"/>
        <w:rPr>
          <w:rFonts w:ascii="Arial" w:cs="Arial" w:eastAsia="Arial" w:hAnsi="Arial"/>
          <w:sz w:val="18"/>
          <w:szCs w:val="18"/>
          <w:color w:val="auto"/>
        </w:rPr>
      </w:pPr>
    </w:p>
    <w:p>
      <w:pPr>
        <w:ind w:left="1660" w:hanging="639"/>
        <w:spacing w:after="0"/>
        <w:tabs>
          <w:tab w:leader="none" w:pos="16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words importing the plural shall include the singular and vice versa;</w:t>
      </w:r>
    </w:p>
    <w:p>
      <w:pPr>
        <w:spacing w:after="0" w:line="198" w:lineRule="exact"/>
        <w:rPr>
          <w:rFonts w:ascii="Arial" w:cs="Arial" w:eastAsia="Arial" w:hAnsi="Arial"/>
          <w:sz w:val="18"/>
          <w:szCs w:val="18"/>
          <w:color w:val="auto"/>
        </w:rPr>
      </w:pPr>
    </w:p>
    <w:p>
      <w:pPr>
        <w:ind w:left="1660" w:hanging="639"/>
        <w:spacing w:after="0"/>
        <w:tabs>
          <w:tab w:leader="none" w:pos="16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 time of day is to London time;</w:t>
      </w:r>
    </w:p>
    <w:p>
      <w:pPr>
        <w:spacing w:after="0" w:line="198" w:lineRule="exact"/>
        <w:rPr>
          <w:rFonts w:ascii="Arial" w:cs="Arial" w:eastAsia="Arial" w:hAnsi="Arial"/>
          <w:sz w:val="18"/>
          <w:szCs w:val="18"/>
          <w:color w:val="auto"/>
        </w:rPr>
      </w:pPr>
    </w:p>
    <w:p>
      <w:pPr>
        <w:ind w:left="1660" w:hanging="639"/>
        <w:spacing w:after="0"/>
        <w:tabs>
          <w:tab w:leader="none" w:pos="16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person includes its successors in title, permitted assignees or transferees;</w:t>
      </w:r>
    </w:p>
    <w:p>
      <w:pPr>
        <w:spacing w:after="0" w:line="198" w:lineRule="exact"/>
        <w:rPr>
          <w:rFonts w:ascii="Arial" w:cs="Arial" w:eastAsia="Arial" w:hAnsi="Arial"/>
          <w:sz w:val="18"/>
          <w:szCs w:val="18"/>
          <w:color w:val="auto"/>
        </w:rPr>
      </w:pPr>
    </w:p>
    <w:p>
      <w:pPr>
        <w:ind w:left="1660" w:hanging="639"/>
        <w:spacing w:after="0" w:line="246" w:lineRule="auto"/>
        <w:tabs>
          <w:tab w:leader="none" w:pos="16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knowledge, awareness and/or beliefs (and similar expressions) of any Obligor shall be construed so as to mean the knowledge, awareness and beliefs of the director and officers of such Obligor, having made due and careful enquiry;</w:t>
      </w:r>
    </w:p>
    <w:p>
      <w:pPr>
        <w:spacing w:after="0" w:line="161" w:lineRule="exact"/>
        <w:rPr>
          <w:rFonts w:ascii="Arial" w:cs="Arial" w:eastAsia="Arial" w:hAnsi="Arial"/>
          <w:sz w:val="18"/>
          <w:szCs w:val="18"/>
          <w:color w:val="auto"/>
        </w:rPr>
      </w:pPr>
    </w:p>
    <w:p>
      <w:pPr>
        <w:jc w:val="both"/>
        <w:ind w:left="1660" w:hanging="639"/>
        <w:spacing w:after="0" w:line="253" w:lineRule="auto"/>
        <w:tabs>
          <w:tab w:leader="none" w:pos="16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two or more persons are </w:t>
      </w:r>
      <w:r>
        <w:rPr>
          <w:rFonts w:ascii="Arial" w:cs="Arial" w:eastAsia="Arial" w:hAnsi="Arial"/>
          <w:sz w:val="18"/>
          <w:szCs w:val="18"/>
          <w:b w:val="1"/>
          <w:bCs w:val="1"/>
          <w:color w:val="auto"/>
        </w:rPr>
        <w:t>acting in concert</w:t>
      </w:r>
      <w:r>
        <w:rPr>
          <w:rFonts w:ascii="Arial" w:cs="Arial" w:eastAsia="Arial" w:hAnsi="Arial"/>
          <w:sz w:val="18"/>
          <w:szCs w:val="18"/>
          <w:color w:val="auto"/>
        </w:rPr>
        <w:t xml:space="preserve"> if pursuant to an agreement or understanding (whether formal or informal) they actively co-operate, through the acquisition (directly or indirectly) of shares, partnership interest or units or limited liability company interests in an entity by any of them, either directly or indirectly, to obtain or consolidate control of that entity;</w:t>
      </w:r>
    </w:p>
    <w:p>
      <w:pPr>
        <w:spacing w:after="0" w:line="155" w:lineRule="exact"/>
        <w:rPr>
          <w:rFonts w:ascii="Arial" w:cs="Arial" w:eastAsia="Arial" w:hAnsi="Arial"/>
          <w:sz w:val="18"/>
          <w:szCs w:val="18"/>
          <w:color w:val="auto"/>
        </w:rPr>
      </w:pPr>
    </w:p>
    <w:p>
      <w:pPr>
        <w:ind w:left="1660" w:hanging="639"/>
        <w:spacing w:after="0"/>
        <w:tabs>
          <w:tab w:leader="none" w:pos="16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a document in </w:t>
      </w:r>
      <w:r>
        <w:rPr>
          <w:rFonts w:ascii="Arial" w:cs="Arial" w:eastAsia="Arial" w:hAnsi="Arial"/>
          <w:sz w:val="18"/>
          <w:szCs w:val="18"/>
          <w:b w:val="1"/>
          <w:bCs w:val="1"/>
          <w:color w:val="auto"/>
        </w:rPr>
        <w:t>agreed form</w:t>
      </w:r>
      <w:r>
        <w:rPr>
          <w:rFonts w:ascii="Arial" w:cs="Arial" w:eastAsia="Arial" w:hAnsi="Arial"/>
          <w:sz w:val="18"/>
          <w:szCs w:val="18"/>
          <w:color w:val="auto"/>
        </w:rPr>
        <w:t xml:space="preserve"> means:</w:t>
      </w:r>
    </w:p>
    <w:p>
      <w:pPr>
        <w:spacing w:after="0" w:line="220" w:lineRule="exact"/>
        <w:rPr>
          <w:rFonts w:ascii="Arial" w:cs="Arial" w:eastAsia="Arial" w:hAnsi="Arial"/>
          <w:sz w:val="18"/>
          <w:szCs w:val="18"/>
          <w:color w:val="auto"/>
        </w:rPr>
      </w:pPr>
    </w:p>
    <w:p>
      <w:pPr>
        <w:ind w:left="2040" w:hanging="384"/>
        <w:spacing w:after="0" w:line="246" w:lineRule="auto"/>
        <w:tabs>
          <w:tab w:leader="none" w:pos="2040" w:val="left"/>
        </w:tabs>
        <w:numPr>
          <w:ilvl w:val="2"/>
          <w:numId w:val="96"/>
        </w:numPr>
        <w:rPr>
          <w:rFonts w:ascii="Arial" w:cs="Arial" w:eastAsia="Arial" w:hAnsi="Arial"/>
          <w:sz w:val="18"/>
          <w:szCs w:val="18"/>
          <w:color w:val="auto"/>
        </w:rPr>
      </w:pPr>
      <w:r>
        <w:rPr>
          <w:rFonts w:ascii="Arial" w:cs="Arial" w:eastAsia="Arial" w:hAnsi="Arial"/>
          <w:sz w:val="18"/>
          <w:szCs w:val="18"/>
          <w:color w:val="auto"/>
        </w:rPr>
        <w:t>where a Finance Document has already been executed by all of the relevant parties to it, such Finance Document in its executed form;</w:t>
      </w:r>
    </w:p>
    <w:p>
      <w:pPr>
        <w:spacing w:after="0" w:line="183" w:lineRule="exact"/>
        <w:rPr>
          <w:rFonts w:ascii="Arial" w:cs="Arial" w:eastAsia="Arial" w:hAnsi="Arial"/>
          <w:sz w:val="18"/>
          <w:szCs w:val="18"/>
          <w:color w:val="auto"/>
        </w:rPr>
      </w:pPr>
    </w:p>
    <w:p>
      <w:pPr>
        <w:jc w:val="both"/>
        <w:ind w:left="2040" w:hanging="384"/>
        <w:spacing w:after="0" w:line="239" w:lineRule="auto"/>
        <w:tabs>
          <w:tab w:leader="none" w:pos="2040" w:val="left"/>
        </w:tabs>
        <w:numPr>
          <w:ilvl w:val="2"/>
          <w:numId w:val="96"/>
        </w:numPr>
        <w:rPr>
          <w:rFonts w:ascii="Arial" w:cs="Arial" w:eastAsia="Arial" w:hAnsi="Arial"/>
          <w:sz w:val="18"/>
          <w:szCs w:val="18"/>
          <w:color w:val="auto"/>
        </w:rPr>
      </w:pPr>
      <w:r>
        <w:rPr>
          <w:rFonts w:ascii="Arial" w:cs="Arial" w:eastAsia="Arial" w:hAnsi="Arial"/>
          <w:sz w:val="18"/>
          <w:szCs w:val="18"/>
          <w:color w:val="auto"/>
        </w:rPr>
        <w:t>prior to the execution of a Finance Document, the form of such Finance Document separately agreed in writing between the Agent (acting on the instructions of all the Lenders) and the Borrowers, whether before or after the date of this Agreement, as the form in which that Finance Document is to be executed or another form approved at the request of the Borrowers or, if not so agreed or approved, in the form reasonably required by the Agent;</w:t>
      </w:r>
    </w:p>
    <w:p>
      <w:pPr>
        <w:spacing w:after="0" w:line="166" w:lineRule="exact"/>
        <w:rPr>
          <w:rFonts w:ascii="Arial" w:cs="Arial" w:eastAsia="Arial" w:hAnsi="Arial"/>
          <w:sz w:val="18"/>
          <w:szCs w:val="18"/>
          <w:color w:val="auto"/>
        </w:rPr>
      </w:pPr>
    </w:p>
    <w:p>
      <w:pPr>
        <w:jc w:val="both"/>
        <w:ind w:left="1660" w:hanging="639"/>
        <w:spacing w:after="0" w:line="244" w:lineRule="auto"/>
        <w:tabs>
          <w:tab w:leader="none" w:pos="1660" w:val="left"/>
        </w:tabs>
        <w:numPr>
          <w:ilvl w:val="1"/>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approved by the Majority Lenders </w:t>
      </w:r>
      <w:r>
        <w:rPr>
          <w:rFonts w:ascii="Arial" w:cs="Arial" w:eastAsia="Arial" w:hAnsi="Arial"/>
          <w:sz w:val="18"/>
          <w:szCs w:val="18"/>
          <w:color w:val="auto"/>
        </w:rPr>
        <w:t>or</w:t>
      </w:r>
      <w:r>
        <w:rPr>
          <w:rFonts w:ascii="Arial" w:cs="Arial" w:eastAsia="Arial" w:hAnsi="Arial"/>
          <w:sz w:val="18"/>
          <w:szCs w:val="18"/>
          <w:b w:val="1"/>
          <w:bCs w:val="1"/>
          <w:color w:val="auto"/>
        </w:rPr>
        <w:t xml:space="preserve"> approved by the Lenders </w:t>
      </w:r>
      <w:r>
        <w:rPr>
          <w:rFonts w:ascii="Arial" w:cs="Arial" w:eastAsia="Arial" w:hAnsi="Arial"/>
          <w:sz w:val="18"/>
          <w:szCs w:val="18"/>
          <w:color w:val="auto"/>
        </w:rPr>
        <w:t>means approved in writing by the Agent acting on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instructions of the Majority Lenders or, as the case may be, all of the Lenders (on such conditions as they may respectively impose) and otherwise </w:t>
      </w:r>
      <w:r>
        <w:rPr>
          <w:rFonts w:ascii="Arial" w:cs="Arial" w:eastAsia="Arial" w:hAnsi="Arial"/>
          <w:sz w:val="18"/>
          <w:szCs w:val="18"/>
          <w:b w:val="1"/>
          <w:bCs w:val="1"/>
          <w:color w:val="auto"/>
        </w:rPr>
        <w:t>approved</w:t>
      </w:r>
      <w:r>
        <w:rPr>
          <w:rFonts w:ascii="Arial" w:cs="Arial" w:eastAsia="Arial" w:hAnsi="Arial"/>
          <w:sz w:val="18"/>
          <w:szCs w:val="18"/>
          <w:color w:val="auto"/>
        </w:rPr>
        <w:t xml:space="preserve"> means approved in writing by the Agent acting on the instructions of the Majority Lenders (on such conditions as the Agent (acting on the instructions of the Majority Lenders) may impose) and </w:t>
      </w:r>
      <w:r>
        <w:rPr>
          <w:rFonts w:ascii="Arial" w:cs="Arial" w:eastAsia="Arial" w:hAnsi="Arial"/>
          <w:sz w:val="18"/>
          <w:szCs w:val="18"/>
          <w:b w:val="1"/>
          <w:bCs w:val="1"/>
          <w:color w:val="auto"/>
        </w:rPr>
        <w:t>approval</w:t>
      </w:r>
      <w:r>
        <w:rPr>
          <w:rFonts w:ascii="Arial" w:cs="Arial" w:eastAsia="Arial" w:hAnsi="Arial"/>
          <w:sz w:val="18"/>
          <w:szCs w:val="18"/>
          <w:color w:val="auto"/>
        </w:rPr>
        <w:t xml:space="preserve"> and </w:t>
      </w:r>
      <w:r>
        <w:rPr>
          <w:rFonts w:ascii="Arial" w:cs="Arial" w:eastAsia="Arial" w:hAnsi="Arial"/>
          <w:sz w:val="18"/>
          <w:szCs w:val="18"/>
          <w:b w:val="1"/>
          <w:bCs w:val="1"/>
          <w:color w:val="auto"/>
        </w:rPr>
        <w:t>approve</w:t>
      </w:r>
      <w:r>
        <w:rPr>
          <w:rFonts w:ascii="Arial" w:cs="Arial" w:eastAsia="Arial" w:hAnsi="Arial"/>
          <w:sz w:val="18"/>
          <w:szCs w:val="18"/>
          <w:color w:val="auto"/>
        </w:rPr>
        <w:t xml:space="preserve"> shall be construed accordingly;</w:t>
      </w:r>
    </w:p>
    <w:p>
      <w:pPr>
        <w:spacing w:after="0" w:line="163" w:lineRule="exact"/>
        <w:rPr>
          <w:rFonts w:ascii="Arial" w:cs="Arial" w:eastAsia="Arial" w:hAnsi="Arial"/>
          <w:sz w:val="18"/>
          <w:szCs w:val="18"/>
          <w:color w:val="auto"/>
        </w:rPr>
      </w:pPr>
    </w:p>
    <w:p>
      <w:pPr>
        <w:ind w:left="1660" w:hanging="639"/>
        <w:spacing w:after="0"/>
        <w:tabs>
          <w:tab w:leader="none" w:pos="1660" w:val="left"/>
        </w:tabs>
        <w:numPr>
          <w:ilvl w:val="1"/>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assets </w:t>
      </w:r>
      <w:r>
        <w:rPr>
          <w:rFonts w:ascii="Arial" w:cs="Arial" w:eastAsia="Arial" w:hAnsi="Arial"/>
          <w:sz w:val="18"/>
          <w:szCs w:val="18"/>
          <w:color w:val="auto"/>
        </w:rPr>
        <w:t>includes present and future properties, revenues and rights of every description;</w:t>
      </w:r>
    </w:p>
    <w:p>
      <w:pPr>
        <w:spacing w:after="0" w:line="198" w:lineRule="exact"/>
        <w:rPr>
          <w:rFonts w:ascii="Arial" w:cs="Arial" w:eastAsia="Arial" w:hAnsi="Arial"/>
          <w:sz w:val="18"/>
          <w:szCs w:val="18"/>
          <w:color w:val="auto"/>
        </w:rPr>
      </w:pPr>
    </w:p>
    <w:p>
      <w:pPr>
        <w:ind w:left="1660" w:right="20" w:hanging="639"/>
        <w:spacing w:after="0" w:line="271" w:lineRule="auto"/>
        <w:tabs>
          <w:tab w:leader="none" w:pos="16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authorisation</w:t>
      </w:r>
      <w:r>
        <w:rPr>
          <w:rFonts w:ascii="Arial" w:cs="Arial" w:eastAsia="Arial" w:hAnsi="Arial"/>
          <w:sz w:val="18"/>
          <w:szCs w:val="18"/>
          <w:color w:val="auto"/>
        </w:rPr>
        <w:t xml:space="preserve"> means any authorisation, consent, concession, approval, resolution, licence, exemption, filing, notarisation or registration;</w:t>
      </w:r>
    </w:p>
    <w:p>
      <w:pPr>
        <w:spacing w:after="0" w:line="140" w:lineRule="exact"/>
        <w:rPr>
          <w:rFonts w:ascii="Arial" w:cs="Arial" w:eastAsia="Arial" w:hAnsi="Arial"/>
          <w:sz w:val="18"/>
          <w:szCs w:val="18"/>
          <w:color w:val="auto"/>
        </w:rPr>
      </w:pPr>
    </w:p>
    <w:p>
      <w:pPr>
        <w:jc w:val="both"/>
        <w:ind w:left="1660" w:hanging="639"/>
        <w:spacing w:after="0" w:line="253" w:lineRule="auto"/>
        <w:tabs>
          <w:tab w:leader="none" w:pos="1660" w:val="left"/>
        </w:tabs>
        <w:numPr>
          <w:ilvl w:val="1"/>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charter commitment </w:t>
      </w:r>
      <w:r>
        <w:rPr>
          <w:rFonts w:ascii="Arial" w:cs="Arial" w:eastAsia="Arial" w:hAnsi="Arial"/>
          <w:sz w:val="18"/>
          <w:szCs w:val="18"/>
          <w:color w:val="auto"/>
        </w:rPr>
        <w:t>means, in relation to a vessel, any charter or contract for the use, employment or operation of that</w:t>
      </w:r>
      <w:r>
        <w:rPr>
          <w:rFonts w:ascii="Arial" w:cs="Arial" w:eastAsia="Arial" w:hAnsi="Arial"/>
          <w:sz w:val="18"/>
          <w:szCs w:val="18"/>
          <w:b w:val="1"/>
          <w:bCs w:val="1"/>
          <w:color w:val="auto"/>
        </w:rPr>
        <w:t xml:space="preserve"> </w:t>
      </w:r>
      <w:r>
        <w:rPr>
          <w:rFonts w:ascii="Arial" w:cs="Arial" w:eastAsia="Arial" w:hAnsi="Arial"/>
          <w:sz w:val="18"/>
          <w:szCs w:val="18"/>
          <w:color w:val="auto"/>
        </w:rPr>
        <w:t>vessel or the carriage of people and/or cargo or the provision of services by or from it and includes any agreement for pooling or sharing income derived from any such charter or contract;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76" w:name="page77"/>
    <w:bookmarkEnd w:id="76"/>
    <w:p>
      <w:pPr>
        <w:ind w:left="640" w:hanging="639"/>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 xml:space="preserve">control </w:t>
      </w:r>
      <w:r>
        <w:rPr>
          <w:rFonts w:ascii="Arial" w:cs="Arial" w:eastAsia="Arial" w:hAnsi="Arial"/>
          <w:sz w:val="18"/>
          <w:szCs w:val="18"/>
          <w:color w:val="auto"/>
        </w:rPr>
        <w:t>of an entity means:</w:t>
      </w:r>
    </w:p>
    <w:p>
      <w:pPr>
        <w:spacing w:after="0" w:line="220" w:lineRule="exact"/>
        <w:rPr>
          <w:rFonts w:ascii="Arial" w:cs="Arial" w:eastAsia="Arial" w:hAnsi="Arial"/>
          <w:sz w:val="18"/>
          <w:szCs w:val="18"/>
          <w:color w:val="auto"/>
        </w:rPr>
      </w:pPr>
    </w:p>
    <w:p>
      <w:pPr>
        <w:ind w:left="1020" w:right="20" w:hanging="384"/>
        <w:spacing w:after="0" w:line="246" w:lineRule="auto"/>
        <w:tabs>
          <w:tab w:leader="none" w:pos="10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power (whether by way of ownership of shares, partnership interest or units or limited liability company interest or by proxy, contract, agency or otherwise, directly or indirectly) to:</w:t>
      </w:r>
    </w:p>
    <w:p>
      <w:pPr>
        <w:spacing w:after="0" w:line="183" w:lineRule="exact"/>
        <w:rPr>
          <w:rFonts w:ascii="Arial" w:cs="Arial" w:eastAsia="Arial" w:hAnsi="Arial"/>
          <w:sz w:val="18"/>
          <w:szCs w:val="18"/>
          <w:color w:val="auto"/>
        </w:rPr>
      </w:pPr>
    </w:p>
    <w:p>
      <w:pPr>
        <w:ind w:left="1560" w:hanging="533"/>
        <w:spacing w:after="0" w:line="246" w:lineRule="auto"/>
        <w:tabs>
          <w:tab w:leader="none" w:pos="1560" w:val="left"/>
        </w:tabs>
        <w:numPr>
          <w:ilvl w:val="2"/>
          <w:numId w:val="97"/>
        </w:numPr>
        <w:rPr>
          <w:rFonts w:ascii="Arial" w:cs="Arial" w:eastAsia="Arial" w:hAnsi="Arial"/>
          <w:sz w:val="18"/>
          <w:szCs w:val="18"/>
          <w:color w:val="auto"/>
        </w:rPr>
      </w:pPr>
      <w:r>
        <w:rPr>
          <w:rFonts w:ascii="Arial" w:cs="Arial" w:eastAsia="Arial" w:hAnsi="Arial"/>
          <w:sz w:val="18"/>
          <w:szCs w:val="18"/>
          <w:color w:val="auto"/>
        </w:rPr>
        <w:t>cast, or control the casting of, more than 50% of the maximum number of votes that might be cast at a general meeting (or equivalent) of that entity; or</w:t>
      </w:r>
    </w:p>
    <w:p>
      <w:pPr>
        <w:spacing w:after="0" w:line="183" w:lineRule="exact"/>
        <w:rPr>
          <w:rFonts w:ascii="Arial" w:cs="Arial" w:eastAsia="Arial" w:hAnsi="Arial"/>
          <w:sz w:val="18"/>
          <w:szCs w:val="18"/>
          <w:color w:val="auto"/>
        </w:rPr>
      </w:pPr>
    </w:p>
    <w:p>
      <w:pPr>
        <w:ind w:left="1560" w:hanging="533"/>
        <w:spacing w:after="0"/>
        <w:tabs>
          <w:tab w:leader="none" w:pos="1560" w:val="left"/>
        </w:tabs>
        <w:numPr>
          <w:ilvl w:val="2"/>
          <w:numId w:val="97"/>
        </w:numPr>
        <w:rPr>
          <w:rFonts w:ascii="Arial" w:cs="Arial" w:eastAsia="Arial" w:hAnsi="Arial"/>
          <w:sz w:val="18"/>
          <w:szCs w:val="18"/>
          <w:color w:val="auto"/>
        </w:rPr>
      </w:pPr>
      <w:r>
        <w:rPr>
          <w:rFonts w:ascii="Arial" w:cs="Arial" w:eastAsia="Arial" w:hAnsi="Arial"/>
          <w:sz w:val="18"/>
          <w:szCs w:val="18"/>
          <w:color w:val="auto"/>
        </w:rPr>
        <w:t>appoint or remove all, or the majority, of the directors or other equivalent officers of that entity; or</w:t>
      </w:r>
    </w:p>
    <w:p>
      <w:pPr>
        <w:spacing w:after="0" w:line="198" w:lineRule="exact"/>
        <w:rPr>
          <w:rFonts w:ascii="Arial" w:cs="Arial" w:eastAsia="Arial" w:hAnsi="Arial"/>
          <w:sz w:val="18"/>
          <w:szCs w:val="18"/>
          <w:color w:val="auto"/>
        </w:rPr>
      </w:pPr>
    </w:p>
    <w:p>
      <w:pPr>
        <w:ind w:left="1560" w:right="20" w:hanging="533"/>
        <w:spacing w:after="0" w:line="246" w:lineRule="auto"/>
        <w:tabs>
          <w:tab w:leader="none" w:pos="1560" w:val="left"/>
        </w:tabs>
        <w:numPr>
          <w:ilvl w:val="2"/>
          <w:numId w:val="97"/>
        </w:numPr>
        <w:rPr>
          <w:rFonts w:ascii="Arial" w:cs="Arial" w:eastAsia="Arial" w:hAnsi="Arial"/>
          <w:sz w:val="18"/>
          <w:szCs w:val="18"/>
          <w:color w:val="auto"/>
        </w:rPr>
      </w:pPr>
      <w:r>
        <w:rPr>
          <w:rFonts w:ascii="Arial" w:cs="Arial" w:eastAsia="Arial" w:hAnsi="Arial"/>
          <w:sz w:val="18"/>
          <w:szCs w:val="18"/>
          <w:color w:val="auto"/>
        </w:rPr>
        <w:t>give directions with respect to the operating and financial policies of that entity with which the directors or other equivalent officers of that entity are obliged to comply; and/or</w:t>
      </w:r>
    </w:p>
    <w:p>
      <w:pPr>
        <w:spacing w:after="0" w:line="183" w:lineRule="exact"/>
        <w:rPr>
          <w:rFonts w:ascii="Arial" w:cs="Arial" w:eastAsia="Arial" w:hAnsi="Arial"/>
          <w:sz w:val="18"/>
          <w:szCs w:val="18"/>
          <w:color w:val="auto"/>
        </w:rPr>
      </w:pPr>
    </w:p>
    <w:p>
      <w:pPr>
        <w:jc w:val="both"/>
        <w:ind w:left="1020" w:hanging="384"/>
        <w:spacing w:after="0" w:line="237" w:lineRule="auto"/>
        <w:tabs>
          <w:tab w:leader="none" w:pos="10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holding beneficially of more than 50% of the issued share capital, partnership interest or units or limited liability company interest of that entity, as the case may be, (excluding any part of that issued share capital, partnership interest or units or limited liability company interest that carries no right to participate beyond a specified amount in a distribution of either profits or capital) (and, for this purpose, a Security Interest over share capital, partnership interest or units or limited liability company interest shall be disregarded in determining the beneficial ownership of such share capital, partnership interest or units or limited liability company interest);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b w:val="1"/>
          <w:bCs w:val="1"/>
          <w:color w:val="auto"/>
        </w:rPr>
        <w:t>controlled</w:t>
      </w:r>
      <w:r>
        <w:rPr>
          <w:rFonts w:ascii="Arial" w:cs="Arial" w:eastAsia="Arial" w:hAnsi="Arial"/>
          <w:sz w:val="18"/>
          <w:szCs w:val="18"/>
          <w:color w:val="auto"/>
        </w:rPr>
        <w:t xml:space="preserve"> shall be construed accordingly;</w:t>
      </w:r>
    </w:p>
    <w:p>
      <w:pPr>
        <w:spacing w:after="0" w:line="198" w:lineRule="exact"/>
        <w:rPr>
          <w:sz w:val="20"/>
          <w:szCs w:val="20"/>
          <w:color w:val="auto"/>
        </w:rPr>
      </w:pPr>
    </w:p>
    <w:p>
      <w:pPr>
        <w:jc w:val="both"/>
        <w:ind w:left="640" w:hanging="639"/>
        <w:spacing w:after="0" w:line="253" w:lineRule="auto"/>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the term </w:t>
      </w:r>
      <w:r>
        <w:rPr>
          <w:rFonts w:ascii="Arial" w:cs="Arial" w:eastAsia="Arial" w:hAnsi="Arial"/>
          <w:sz w:val="18"/>
          <w:szCs w:val="18"/>
          <w:b w:val="1"/>
          <w:bCs w:val="1"/>
          <w:color w:val="auto"/>
        </w:rPr>
        <w:t>disposal</w:t>
      </w:r>
      <w:r>
        <w:rPr>
          <w:rFonts w:ascii="Arial" w:cs="Arial" w:eastAsia="Arial" w:hAnsi="Arial"/>
          <w:sz w:val="18"/>
          <w:szCs w:val="18"/>
          <w:color w:val="auto"/>
        </w:rPr>
        <w:t xml:space="preserve"> or </w:t>
      </w:r>
      <w:r>
        <w:rPr>
          <w:rFonts w:ascii="Arial" w:cs="Arial" w:eastAsia="Arial" w:hAnsi="Arial"/>
          <w:sz w:val="18"/>
          <w:szCs w:val="18"/>
          <w:b w:val="1"/>
          <w:bCs w:val="1"/>
          <w:color w:val="auto"/>
        </w:rPr>
        <w:t>dispose</w:t>
      </w:r>
      <w:r>
        <w:rPr>
          <w:rFonts w:ascii="Arial" w:cs="Arial" w:eastAsia="Arial" w:hAnsi="Arial"/>
          <w:sz w:val="18"/>
          <w:szCs w:val="18"/>
          <w:color w:val="auto"/>
        </w:rPr>
        <w:t xml:space="preserve"> means a sale, transfer or other disposal (including by way of lease or loan but not including by way of loan of money) by a person of all or part of its assets, whether by one transaction or a series of transactions and whether at the same time or over a period of time, but not the creation of a Security Interest;</w:t>
      </w:r>
    </w:p>
    <w:p>
      <w:pPr>
        <w:spacing w:after="0" w:line="155" w:lineRule="exact"/>
        <w:rPr>
          <w:rFonts w:ascii="Arial" w:cs="Arial" w:eastAsia="Arial" w:hAnsi="Arial"/>
          <w:sz w:val="18"/>
          <w:szCs w:val="18"/>
          <w:color w:val="auto"/>
        </w:rPr>
      </w:pPr>
    </w:p>
    <w:p>
      <w:pPr>
        <w:ind w:left="640" w:hanging="639"/>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dollar</w:t>
      </w:r>
      <w:r>
        <w:rPr>
          <w:rFonts w:ascii="Arial" w:cs="Arial" w:eastAsia="Arial" w:hAnsi="Arial"/>
          <w:sz w:val="18"/>
          <w:szCs w:val="18"/>
          <w:color w:val="auto"/>
        </w:rPr>
        <w:t>,</w:t>
      </w:r>
      <w:r>
        <w:rPr>
          <w:rFonts w:ascii="Arial" w:cs="Arial" w:eastAsia="Arial" w:hAnsi="Arial"/>
          <w:sz w:val="18"/>
          <w:szCs w:val="18"/>
          <w:b w:val="1"/>
          <w:bCs w:val="1"/>
          <w:color w:val="auto"/>
        </w:rPr>
        <w:t xml:space="preserve"> $ </w:t>
      </w:r>
      <w:r>
        <w:rPr>
          <w:rFonts w:ascii="Arial" w:cs="Arial" w:eastAsia="Arial" w:hAnsi="Arial"/>
          <w:sz w:val="18"/>
          <w:szCs w:val="18"/>
          <w:color w:val="auto"/>
        </w:rPr>
        <w:t>and</w:t>
      </w:r>
      <w:r>
        <w:rPr>
          <w:rFonts w:ascii="Arial" w:cs="Arial" w:eastAsia="Arial" w:hAnsi="Arial"/>
          <w:sz w:val="18"/>
          <w:szCs w:val="18"/>
          <w:b w:val="1"/>
          <w:bCs w:val="1"/>
          <w:color w:val="auto"/>
        </w:rPr>
        <w:t xml:space="preserve"> USD </w:t>
      </w:r>
      <w:r>
        <w:rPr>
          <w:rFonts w:ascii="Arial" w:cs="Arial" w:eastAsia="Arial" w:hAnsi="Arial"/>
          <w:sz w:val="18"/>
          <w:szCs w:val="18"/>
          <w:color w:val="auto"/>
        </w:rPr>
        <w:t>mean the lawful currency of the United States of America;</w:t>
      </w:r>
    </w:p>
    <w:p>
      <w:pPr>
        <w:spacing w:after="0" w:line="198" w:lineRule="exact"/>
        <w:rPr>
          <w:rFonts w:ascii="Arial" w:cs="Arial" w:eastAsia="Arial" w:hAnsi="Arial"/>
          <w:sz w:val="18"/>
          <w:szCs w:val="18"/>
          <w:color w:val="auto"/>
        </w:rPr>
      </w:pPr>
    </w:p>
    <w:p>
      <w:pPr>
        <w:jc w:val="both"/>
        <w:ind w:left="640" w:hanging="639"/>
        <w:spacing w:after="0" w:line="244" w:lineRule="auto"/>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equivalent</w:t>
      </w:r>
      <w:r>
        <w:rPr>
          <w:rFonts w:ascii="Arial" w:cs="Arial" w:eastAsia="Arial" w:hAnsi="Arial"/>
          <w:sz w:val="18"/>
          <w:szCs w:val="18"/>
          <w:color w:val="auto"/>
        </w:rPr>
        <w:t xml:space="preserve"> of an amount specified in a particular currency (the </w:t>
      </w:r>
      <w:r>
        <w:rPr>
          <w:rFonts w:ascii="Arial" w:cs="Arial" w:eastAsia="Arial" w:hAnsi="Arial"/>
          <w:sz w:val="18"/>
          <w:szCs w:val="18"/>
          <w:b w:val="1"/>
          <w:bCs w:val="1"/>
          <w:color w:val="auto"/>
        </w:rPr>
        <w:t>specified currency amount</w:t>
      </w:r>
      <w:r>
        <w:rPr>
          <w:rFonts w:ascii="Arial" w:cs="Arial" w:eastAsia="Arial" w:hAnsi="Arial"/>
          <w:sz w:val="18"/>
          <w:szCs w:val="18"/>
          <w:color w:val="auto"/>
        </w:rPr>
        <w:t xml:space="preserve">) shall be construed as a reference to the amount of the other relevant currency which can be purchased with the specified currency amount in the London foreign exchange market at or about 11 a.m. on the date the calculation falls to be made for spot delivery, as conclusively determined by the Agent (with the relevant exchange rate of any such purchase being the </w:t>
      </w:r>
      <w:r>
        <w:rPr>
          <w:rFonts w:ascii="Arial" w:cs="Arial" w:eastAsia="Arial" w:hAnsi="Arial"/>
          <w:sz w:val="18"/>
          <w:szCs w:val="18"/>
          <w:b w:val="1"/>
          <w:bCs w:val="1"/>
          <w:color w:val="auto"/>
        </w:rPr>
        <w:t>Agent’s spot rate</w:t>
      </w:r>
      <w:r>
        <w:rPr>
          <w:rFonts w:ascii="Arial" w:cs="Arial" w:eastAsia="Arial" w:hAnsi="Arial"/>
          <w:sz w:val="18"/>
          <w:szCs w:val="18"/>
          <w:color w:val="auto"/>
        </w:rPr>
        <w:t xml:space="preserve"> </w:t>
      </w:r>
      <w:r>
        <w:rPr>
          <w:rFonts w:ascii="Arial" w:cs="Arial" w:eastAsia="Arial" w:hAnsi="Arial"/>
          <w:sz w:val="18"/>
          <w:szCs w:val="18"/>
          <w:b w:val="1"/>
          <w:bCs w:val="1"/>
          <w:color w:val="auto"/>
        </w:rPr>
        <w:t>of exchange</w:t>
      </w:r>
      <w:r>
        <w:rPr>
          <w:rFonts w:ascii="Arial" w:cs="Arial" w:eastAsia="Arial" w:hAnsi="Arial"/>
          <w:sz w:val="18"/>
          <w:szCs w:val="18"/>
          <w:color w:val="auto"/>
        </w:rPr>
        <w:t>);</w:t>
      </w:r>
    </w:p>
    <w:p>
      <w:pPr>
        <w:spacing w:after="0" w:line="163" w:lineRule="exact"/>
        <w:rPr>
          <w:rFonts w:ascii="Arial" w:cs="Arial" w:eastAsia="Arial" w:hAnsi="Arial"/>
          <w:sz w:val="18"/>
          <w:szCs w:val="18"/>
          <w:color w:val="auto"/>
        </w:rPr>
      </w:pPr>
    </w:p>
    <w:p>
      <w:pPr>
        <w:ind w:left="640" w:hanging="639"/>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government entity</w:t>
      </w:r>
      <w:r>
        <w:rPr>
          <w:rFonts w:ascii="Arial" w:cs="Arial" w:eastAsia="Arial" w:hAnsi="Arial"/>
          <w:sz w:val="18"/>
          <w:szCs w:val="18"/>
          <w:color w:val="auto"/>
        </w:rPr>
        <w:t xml:space="preserve"> means any government, state or agency of a state;</w:t>
      </w:r>
    </w:p>
    <w:p>
      <w:pPr>
        <w:spacing w:after="0" w:line="198" w:lineRule="exact"/>
        <w:rPr>
          <w:rFonts w:ascii="Arial" w:cs="Arial" w:eastAsia="Arial" w:hAnsi="Arial"/>
          <w:sz w:val="18"/>
          <w:szCs w:val="18"/>
          <w:color w:val="auto"/>
        </w:rPr>
      </w:pPr>
    </w:p>
    <w:p>
      <w:pPr>
        <w:ind w:left="640" w:hanging="639"/>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group of Lenders</w:t>
      </w:r>
      <w:r>
        <w:rPr>
          <w:rFonts w:ascii="Arial" w:cs="Arial" w:eastAsia="Arial" w:hAnsi="Arial"/>
          <w:sz w:val="18"/>
          <w:szCs w:val="18"/>
          <w:color w:val="auto"/>
        </w:rPr>
        <w:t xml:space="preserve"> includes all the Lenders;</w:t>
      </w:r>
    </w:p>
    <w:p>
      <w:pPr>
        <w:spacing w:after="0" w:line="198" w:lineRule="exact"/>
        <w:rPr>
          <w:rFonts w:ascii="Arial" w:cs="Arial" w:eastAsia="Arial" w:hAnsi="Arial"/>
          <w:sz w:val="18"/>
          <w:szCs w:val="18"/>
          <w:color w:val="auto"/>
        </w:rPr>
      </w:pPr>
    </w:p>
    <w:p>
      <w:pPr>
        <w:jc w:val="both"/>
        <w:ind w:left="640" w:hanging="639"/>
        <w:spacing w:after="0" w:line="247" w:lineRule="auto"/>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guarantee</w:t>
      </w:r>
      <w:r>
        <w:rPr>
          <w:rFonts w:ascii="Arial" w:cs="Arial" w:eastAsia="Arial" w:hAnsi="Arial"/>
          <w:sz w:val="18"/>
          <w:szCs w:val="18"/>
          <w:color w:val="auto"/>
        </w:rPr>
        <w:t xml:space="preserve"> means any guarantee, letter of credit, bond, indemnity or similar assurance against loss, or any obligation, direct or indirect, actual or contingent, to purchase or assume any indebtedness of any person or to make an investment in or loan to any person or to purchase assets of any person where, in each case, such obligation is assumed in order to maintain or assist the ability of such person to meet its indebtedness;</w:t>
      </w:r>
    </w:p>
    <w:p>
      <w:pPr>
        <w:spacing w:after="0" w:line="160" w:lineRule="exact"/>
        <w:rPr>
          <w:rFonts w:ascii="Arial" w:cs="Arial" w:eastAsia="Arial" w:hAnsi="Arial"/>
          <w:sz w:val="18"/>
          <w:szCs w:val="18"/>
          <w:color w:val="auto"/>
        </w:rPr>
      </w:pPr>
    </w:p>
    <w:p>
      <w:pPr>
        <w:ind w:left="640" w:hanging="639"/>
        <w:spacing w:after="0" w:line="271" w:lineRule="auto"/>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indebtedness </w:t>
      </w:r>
      <w:r>
        <w:rPr>
          <w:rFonts w:ascii="Arial" w:cs="Arial" w:eastAsia="Arial" w:hAnsi="Arial"/>
          <w:sz w:val="18"/>
          <w:szCs w:val="18"/>
          <w:color w:val="auto"/>
        </w:rPr>
        <w:t>includes any obligation (whether incurred as principal or as surety) for the payment or repayment of money,</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present or future, actual or contingent;</w:t>
      </w:r>
    </w:p>
    <w:p>
      <w:pPr>
        <w:spacing w:after="0" w:line="14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135255</wp:posOffset>
            </wp:positionV>
            <wp:extent cx="72466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400"/>
          </w:cols>
          <w:pgMar w:left="1260" w:top="400" w:right="239" w:bottom="1440" w:gutter="0" w:footer="0" w:header="0"/>
        </w:sectPr>
      </w:pPr>
    </w:p>
    <w:bookmarkStart w:id="77" w:name="page78"/>
    <w:bookmarkEnd w:id="77"/>
    <w:p>
      <w:pPr>
        <w:ind w:left="1120" w:hanging="639"/>
        <w:spacing w:after="0" w:line="271" w:lineRule="auto"/>
        <w:tabs>
          <w:tab w:leader="none" w:pos="112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 xml:space="preserve">month </w:t>
      </w:r>
      <w:r>
        <w:rPr>
          <w:rFonts w:ascii="Arial" w:cs="Arial" w:eastAsia="Arial" w:hAnsi="Arial"/>
          <w:sz w:val="18"/>
          <w:szCs w:val="18"/>
          <w:color w:val="auto"/>
        </w:rPr>
        <w:t>means a period starting on one day in a calendar month and ending on the numerically corresponding day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next calendar month or the calendar month in which it is to end, except that:</w:t>
      </w:r>
    </w:p>
    <w:p>
      <w:pPr>
        <w:spacing w:after="0" w:line="162" w:lineRule="exact"/>
        <w:rPr>
          <w:rFonts w:ascii="Arial" w:cs="Arial" w:eastAsia="Arial" w:hAnsi="Arial"/>
          <w:sz w:val="18"/>
          <w:szCs w:val="18"/>
          <w:color w:val="auto"/>
        </w:rPr>
      </w:pPr>
    </w:p>
    <w:p>
      <w:pPr>
        <w:ind w:left="1500" w:hanging="384"/>
        <w:spacing w:after="0" w:line="246" w:lineRule="auto"/>
        <w:tabs>
          <w:tab w:leader="none" w:pos="15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if the numerically corresponding day is not a Business Day, that period shall end on the next Business Day in that month (if there is one) or on the immediately preceding Business Day (if there is not); and</w:t>
      </w:r>
    </w:p>
    <w:p>
      <w:pPr>
        <w:spacing w:after="0" w:line="183" w:lineRule="exact"/>
        <w:rPr>
          <w:rFonts w:ascii="Arial" w:cs="Arial" w:eastAsia="Arial" w:hAnsi="Arial"/>
          <w:sz w:val="18"/>
          <w:szCs w:val="18"/>
          <w:color w:val="auto"/>
        </w:rPr>
      </w:pPr>
    </w:p>
    <w:p>
      <w:pPr>
        <w:ind w:left="1500" w:hanging="384"/>
        <w:spacing w:after="0" w:line="246" w:lineRule="auto"/>
        <w:tabs>
          <w:tab w:leader="none" w:pos="15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if there is no numerically corresponding day in that month, that period shall end on the last Business Day in that month,</w:t>
      </w:r>
    </w:p>
    <w:p>
      <w:pPr>
        <w:spacing w:after="0" w:line="18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and the above rules in paragraphs (A) to (B) will only apply to the last month of any period;</w:t>
      </w:r>
    </w:p>
    <w:p>
      <w:pPr>
        <w:spacing w:after="0" w:line="176" w:lineRule="exact"/>
        <w:rPr>
          <w:sz w:val="20"/>
          <w:szCs w:val="20"/>
          <w:color w:val="auto"/>
        </w:rPr>
      </w:pPr>
    </w:p>
    <w:p>
      <w:pPr>
        <w:ind w:left="1120" w:hanging="639"/>
        <w:spacing w:after="0"/>
        <w:tabs>
          <w:tab w:leader="none" w:pos="11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obligation</w:t>
      </w:r>
      <w:r>
        <w:rPr>
          <w:rFonts w:ascii="Arial" w:cs="Arial" w:eastAsia="Arial" w:hAnsi="Arial"/>
          <w:sz w:val="18"/>
          <w:szCs w:val="18"/>
          <w:color w:val="auto"/>
        </w:rPr>
        <w:t xml:space="preserve"> means any duty, obligation or liability of any kind;</w:t>
      </w:r>
    </w:p>
    <w:p>
      <w:pPr>
        <w:spacing w:after="0" w:line="198" w:lineRule="exact"/>
        <w:rPr>
          <w:rFonts w:ascii="Arial" w:cs="Arial" w:eastAsia="Arial" w:hAnsi="Arial"/>
          <w:sz w:val="18"/>
          <w:szCs w:val="18"/>
          <w:color w:val="auto"/>
        </w:rPr>
      </w:pPr>
    </w:p>
    <w:p>
      <w:pPr>
        <w:jc w:val="both"/>
        <w:ind w:left="1120" w:hanging="639"/>
        <w:spacing w:after="0" w:line="253" w:lineRule="auto"/>
        <w:tabs>
          <w:tab w:leader="none" w:pos="11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something being in the </w:t>
      </w:r>
      <w:r>
        <w:rPr>
          <w:rFonts w:ascii="Arial" w:cs="Arial" w:eastAsia="Arial" w:hAnsi="Arial"/>
          <w:sz w:val="18"/>
          <w:szCs w:val="18"/>
          <w:b w:val="1"/>
          <w:bCs w:val="1"/>
          <w:color w:val="auto"/>
        </w:rPr>
        <w:t>ordinary course of business</w:t>
      </w:r>
      <w:r>
        <w:rPr>
          <w:rFonts w:ascii="Arial" w:cs="Arial" w:eastAsia="Arial" w:hAnsi="Arial"/>
          <w:sz w:val="18"/>
          <w:szCs w:val="18"/>
          <w:color w:val="auto"/>
        </w:rPr>
        <w:t xml:space="preserve"> of a person means something that is in the ordinary course of that person’s current day-to-day operational business (and not merely anything which that person is entitled to do under its Constitutional Documents);</w:t>
      </w:r>
    </w:p>
    <w:p>
      <w:pPr>
        <w:spacing w:after="0" w:line="155" w:lineRule="exact"/>
        <w:rPr>
          <w:rFonts w:ascii="Arial" w:cs="Arial" w:eastAsia="Arial" w:hAnsi="Arial"/>
          <w:sz w:val="18"/>
          <w:szCs w:val="18"/>
          <w:color w:val="auto"/>
        </w:rPr>
      </w:pPr>
    </w:p>
    <w:p>
      <w:pPr>
        <w:ind w:left="1120" w:hanging="639"/>
        <w:spacing w:after="0"/>
        <w:tabs>
          <w:tab w:leader="none" w:pos="1120" w:val="left"/>
        </w:tabs>
        <w:numPr>
          <w:ilvl w:val="0"/>
          <w:numId w:val="100"/>
        </w:numPr>
        <w:rPr>
          <w:rFonts w:ascii="Arial" w:cs="Arial" w:eastAsia="Arial" w:hAnsi="Arial"/>
          <w:sz w:val="17"/>
          <w:szCs w:val="17"/>
          <w:color w:val="auto"/>
        </w:rPr>
      </w:pPr>
      <w:r>
        <w:rPr>
          <w:rFonts w:ascii="Arial" w:cs="Arial" w:eastAsia="Arial" w:hAnsi="Arial"/>
          <w:sz w:val="17"/>
          <w:szCs w:val="17"/>
          <w:b w:val="1"/>
          <w:bCs w:val="1"/>
          <w:color w:val="auto"/>
        </w:rPr>
        <w:t>pay</w:t>
      </w:r>
      <w:r>
        <w:rPr>
          <w:rFonts w:ascii="Arial" w:cs="Arial" w:eastAsia="Arial" w:hAnsi="Arial"/>
          <w:sz w:val="17"/>
          <w:szCs w:val="17"/>
          <w:color w:val="auto"/>
        </w:rPr>
        <w:t>,</w:t>
      </w:r>
      <w:r>
        <w:rPr>
          <w:rFonts w:ascii="Arial" w:cs="Arial" w:eastAsia="Arial" w:hAnsi="Arial"/>
          <w:sz w:val="17"/>
          <w:szCs w:val="17"/>
          <w:b w:val="1"/>
          <w:bCs w:val="1"/>
          <w:color w:val="auto"/>
        </w:rPr>
        <w:t xml:space="preserve"> prepay </w:t>
      </w:r>
      <w:r>
        <w:rPr>
          <w:rFonts w:ascii="Arial" w:cs="Arial" w:eastAsia="Arial" w:hAnsi="Arial"/>
          <w:sz w:val="17"/>
          <w:szCs w:val="17"/>
          <w:color w:val="auto"/>
        </w:rPr>
        <w:t>or</w:t>
      </w:r>
      <w:r>
        <w:rPr>
          <w:rFonts w:ascii="Arial" w:cs="Arial" w:eastAsia="Arial" w:hAnsi="Arial"/>
          <w:sz w:val="17"/>
          <w:szCs w:val="17"/>
          <w:b w:val="1"/>
          <w:bCs w:val="1"/>
          <w:color w:val="auto"/>
        </w:rPr>
        <w:t xml:space="preserve"> repay </w:t>
      </w:r>
      <w:r>
        <w:rPr>
          <w:rFonts w:ascii="Arial" w:cs="Arial" w:eastAsia="Arial" w:hAnsi="Arial"/>
          <w:sz w:val="17"/>
          <w:szCs w:val="17"/>
          <w:color w:val="auto"/>
        </w:rPr>
        <w:t>in clause 28 (</w:t>
      </w:r>
      <w:r>
        <w:rPr>
          <w:rFonts w:ascii="Arial" w:cs="Arial" w:eastAsia="Arial" w:hAnsi="Arial"/>
          <w:sz w:val="17"/>
          <w:szCs w:val="17"/>
          <w:i w:val="1"/>
          <w:iCs w:val="1"/>
          <w:color w:val="auto"/>
        </w:rPr>
        <w:t>Business restrictions</w:t>
      </w:r>
      <w:r>
        <w:rPr>
          <w:rFonts w:ascii="Arial" w:cs="Arial" w:eastAsia="Arial" w:hAnsi="Arial"/>
          <w:sz w:val="17"/>
          <w:szCs w:val="17"/>
          <w:color w:val="auto"/>
        </w:rPr>
        <w:t>) includes by way of set-off, combination of accounts or otherwise;</w:t>
      </w:r>
    </w:p>
    <w:p>
      <w:pPr>
        <w:spacing w:after="0" w:line="209" w:lineRule="exact"/>
        <w:rPr>
          <w:rFonts w:ascii="Arial" w:cs="Arial" w:eastAsia="Arial" w:hAnsi="Arial"/>
          <w:sz w:val="17"/>
          <w:szCs w:val="17"/>
          <w:color w:val="auto"/>
        </w:rPr>
      </w:pPr>
    </w:p>
    <w:p>
      <w:pPr>
        <w:ind w:left="1120" w:hanging="639"/>
        <w:spacing w:after="0" w:line="271" w:lineRule="auto"/>
        <w:tabs>
          <w:tab w:leader="none" w:pos="11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person</w:t>
      </w:r>
      <w:r>
        <w:rPr>
          <w:rFonts w:ascii="Arial" w:cs="Arial" w:eastAsia="Arial" w:hAnsi="Arial"/>
          <w:sz w:val="18"/>
          <w:szCs w:val="18"/>
          <w:color w:val="auto"/>
        </w:rPr>
        <w:t xml:space="preserve"> includes any individual, firm, company, corporation, government entity or any association, trust, joint venture, consortium or partnership or other entity (whether or not having separate legal personality);</w:t>
      </w:r>
    </w:p>
    <w:p>
      <w:pPr>
        <w:spacing w:after="0" w:line="140" w:lineRule="exact"/>
        <w:rPr>
          <w:rFonts w:ascii="Arial" w:cs="Arial" w:eastAsia="Arial" w:hAnsi="Arial"/>
          <w:sz w:val="18"/>
          <w:szCs w:val="18"/>
          <w:color w:val="auto"/>
        </w:rPr>
      </w:pPr>
    </w:p>
    <w:p>
      <w:pPr>
        <w:jc w:val="both"/>
        <w:ind w:left="1120" w:hanging="639"/>
        <w:spacing w:after="0" w:line="253" w:lineRule="auto"/>
        <w:tabs>
          <w:tab w:leader="none" w:pos="11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regulation</w:t>
      </w:r>
      <w:r>
        <w:rPr>
          <w:rFonts w:ascii="Arial" w:cs="Arial" w:eastAsia="Arial" w:hAnsi="Arial"/>
          <w:sz w:val="18"/>
          <w:szCs w:val="18"/>
          <w:color w:val="auto"/>
        </w:rPr>
        <w:t xml:space="preserve"> includes any regulation, rule, official directive, request or guideline (whether or not having the force of law) of any governmental, intergovernmental or supranational body, agency, department or regulatory, self-regulatory or other authority or organisation and includes (without limitation) any Basel II Regulation or Basel III Regulation;</w:t>
      </w:r>
    </w:p>
    <w:p>
      <w:pPr>
        <w:spacing w:after="0" w:line="155" w:lineRule="exact"/>
        <w:rPr>
          <w:rFonts w:ascii="Arial" w:cs="Arial" w:eastAsia="Arial" w:hAnsi="Arial"/>
          <w:sz w:val="18"/>
          <w:szCs w:val="18"/>
          <w:color w:val="auto"/>
        </w:rPr>
      </w:pPr>
    </w:p>
    <w:p>
      <w:pPr>
        <w:ind w:left="1120" w:hanging="639"/>
        <w:spacing w:after="0" w:line="271" w:lineRule="auto"/>
        <w:tabs>
          <w:tab w:leader="none" w:pos="112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 xml:space="preserve">right </w:t>
      </w:r>
      <w:r>
        <w:rPr>
          <w:rFonts w:ascii="Arial" w:cs="Arial" w:eastAsia="Arial" w:hAnsi="Arial"/>
          <w:sz w:val="18"/>
          <w:szCs w:val="18"/>
          <w:color w:val="auto"/>
        </w:rPr>
        <w:t>means any right, privilege, power or remedy, any proprietary interest in any asset and any other interest or remedy of</w:t>
      </w:r>
      <w:r>
        <w:rPr>
          <w:rFonts w:ascii="Arial" w:cs="Arial" w:eastAsia="Arial" w:hAnsi="Arial"/>
          <w:sz w:val="18"/>
          <w:szCs w:val="18"/>
          <w:b w:val="1"/>
          <w:bCs w:val="1"/>
          <w:color w:val="auto"/>
        </w:rPr>
        <w:t xml:space="preserve"> </w:t>
      </w:r>
      <w:r>
        <w:rPr>
          <w:rFonts w:ascii="Arial" w:cs="Arial" w:eastAsia="Arial" w:hAnsi="Arial"/>
          <w:sz w:val="18"/>
          <w:szCs w:val="18"/>
          <w:color w:val="auto"/>
        </w:rPr>
        <w:t>any kind, whether actual or contingent, present or future, arising under contract or law, or in equity;</w:t>
      </w:r>
    </w:p>
    <w:p>
      <w:pPr>
        <w:spacing w:after="0" w:line="140" w:lineRule="exact"/>
        <w:rPr>
          <w:rFonts w:ascii="Arial" w:cs="Arial" w:eastAsia="Arial" w:hAnsi="Arial"/>
          <w:sz w:val="18"/>
          <w:szCs w:val="18"/>
          <w:color w:val="auto"/>
        </w:rPr>
      </w:pPr>
    </w:p>
    <w:p>
      <w:pPr>
        <w:ind w:left="1120" w:hanging="639"/>
        <w:spacing w:after="0"/>
        <w:tabs>
          <w:tab w:leader="none" w:pos="112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trustee</w:t>
      </w:r>
      <w:r>
        <w:rPr>
          <w:rFonts w:ascii="Arial" w:cs="Arial" w:eastAsia="Arial" w:hAnsi="Arial"/>
          <w:sz w:val="18"/>
          <w:szCs w:val="18"/>
          <w:color w:val="auto"/>
        </w:rPr>
        <w:t>,</w:t>
      </w:r>
      <w:r>
        <w:rPr>
          <w:rFonts w:ascii="Arial" w:cs="Arial" w:eastAsia="Arial" w:hAnsi="Arial"/>
          <w:sz w:val="18"/>
          <w:szCs w:val="18"/>
          <w:b w:val="1"/>
          <w:bCs w:val="1"/>
          <w:color w:val="auto"/>
        </w:rPr>
        <w:t xml:space="preserve"> fiduciary </w:t>
      </w:r>
      <w:r>
        <w:rPr>
          <w:rFonts w:ascii="Arial" w:cs="Arial" w:eastAsia="Arial" w:hAnsi="Arial"/>
          <w:sz w:val="18"/>
          <w:szCs w:val="18"/>
          <w:color w:val="auto"/>
        </w:rPr>
        <w:t>and</w:t>
      </w:r>
      <w:r>
        <w:rPr>
          <w:rFonts w:ascii="Arial" w:cs="Arial" w:eastAsia="Arial" w:hAnsi="Arial"/>
          <w:sz w:val="18"/>
          <w:szCs w:val="18"/>
          <w:b w:val="1"/>
          <w:bCs w:val="1"/>
          <w:color w:val="auto"/>
        </w:rPr>
        <w:t xml:space="preserve"> fiduciary duty </w:t>
      </w:r>
      <w:r>
        <w:rPr>
          <w:rFonts w:ascii="Arial" w:cs="Arial" w:eastAsia="Arial" w:hAnsi="Arial"/>
          <w:sz w:val="18"/>
          <w:szCs w:val="18"/>
          <w:color w:val="auto"/>
        </w:rPr>
        <w:t>has in each case the meaning given to such term under applicable law;</w:t>
      </w:r>
    </w:p>
    <w:p>
      <w:pPr>
        <w:spacing w:after="0" w:line="198" w:lineRule="exact"/>
        <w:rPr>
          <w:rFonts w:ascii="Arial" w:cs="Arial" w:eastAsia="Arial" w:hAnsi="Arial"/>
          <w:sz w:val="18"/>
          <w:szCs w:val="18"/>
          <w:color w:val="auto"/>
        </w:rPr>
      </w:pPr>
    </w:p>
    <w:p>
      <w:pPr>
        <w:jc w:val="both"/>
        <w:ind w:left="1120" w:hanging="639"/>
        <w:spacing w:after="0" w:line="242" w:lineRule="auto"/>
        <w:tabs>
          <w:tab w:leader="none" w:pos="11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(i) the </w:t>
      </w:r>
      <w:r>
        <w:rPr>
          <w:rFonts w:ascii="Arial" w:cs="Arial" w:eastAsia="Arial" w:hAnsi="Arial"/>
          <w:sz w:val="18"/>
          <w:szCs w:val="18"/>
          <w:b w:val="1"/>
          <w:bCs w:val="1"/>
          <w:color w:val="auto"/>
        </w:rPr>
        <w:t>liquidation</w:t>
      </w:r>
      <w:r>
        <w:rPr>
          <w:rFonts w:ascii="Arial" w:cs="Arial" w:eastAsia="Arial" w:hAnsi="Arial"/>
          <w:sz w:val="18"/>
          <w:szCs w:val="18"/>
          <w:color w:val="auto"/>
        </w:rPr>
        <w:t xml:space="preserve">, </w:t>
      </w:r>
      <w:r>
        <w:rPr>
          <w:rFonts w:ascii="Arial" w:cs="Arial" w:eastAsia="Arial" w:hAnsi="Arial"/>
          <w:sz w:val="18"/>
          <w:szCs w:val="18"/>
          <w:b w:val="1"/>
          <w:bCs w:val="1"/>
          <w:color w:val="auto"/>
        </w:rPr>
        <w:t>winding up</w:t>
      </w:r>
      <w:r>
        <w:rPr>
          <w:rFonts w:ascii="Arial" w:cs="Arial" w:eastAsia="Arial" w:hAnsi="Arial"/>
          <w:sz w:val="18"/>
          <w:szCs w:val="18"/>
          <w:color w:val="auto"/>
        </w:rPr>
        <w:t xml:space="preserve">, </w:t>
      </w:r>
      <w:r>
        <w:rPr>
          <w:rFonts w:ascii="Arial" w:cs="Arial" w:eastAsia="Arial" w:hAnsi="Arial"/>
          <w:sz w:val="18"/>
          <w:szCs w:val="18"/>
          <w:b w:val="1"/>
          <w:bCs w:val="1"/>
          <w:color w:val="auto"/>
        </w:rPr>
        <w:t>dissolution</w:t>
      </w:r>
      <w:r>
        <w:rPr>
          <w:rFonts w:ascii="Arial" w:cs="Arial" w:eastAsia="Arial" w:hAnsi="Arial"/>
          <w:sz w:val="18"/>
          <w:szCs w:val="18"/>
          <w:color w:val="auto"/>
        </w:rPr>
        <w:t xml:space="preserve">, or </w:t>
      </w:r>
      <w:r>
        <w:rPr>
          <w:rFonts w:ascii="Arial" w:cs="Arial" w:eastAsia="Arial" w:hAnsi="Arial"/>
          <w:sz w:val="18"/>
          <w:szCs w:val="18"/>
          <w:b w:val="1"/>
          <w:bCs w:val="1"/>
          <w:color w:val="auto"/>
        </w:rPr>
        <w:t>administration</w:t>
      </w:r>
      <w:r>
        <w:rPr>
          <w:rFonts w:ascii="Arial" w:cs="Arial" w:eastAsia="Arial" w:hAnsi="Arial"/>
          <w:sz w:val="18"/>
          <w:szCs w:val="18"/>
          <w:color w:val="auto"/>
        </w:rPr>
        <w:t xml:space="preserve"> of person or (ii) a </w:t>
      </w:r>
      <w:r>
        <w:rPr>
          <w:rFonts w:ascii="Arial" w:cs="Arial" w:eastAsia="Arial" w:hAnsi="Arial"/>
          <w:sz w:val="18"/>
          <w:szCs w:val="18"/>
          <w:b w:val="1"/>
          <w:bCs w:val="1"/>
          <w:color w:val="auto"/>
        </w:rPr>
        <w:t>receiver</w:t>
      </w:r>
      <w:r>
        <w:rPr>
          <w:rFonts w:ascii="Arial" w:cs="Arial" w:eastAsia="Arial" w:hAnsi="Arial"/>
          <w:sz w:val="18"/>
          <w:szCs w:val="18"/>
          <w:color w:val="auto"/>
        </w:rPr>
        <w:t xml:space="preserve"> or </w:t>
      </w:r>
      <w:r>
        <w:rPr>
          <w:rFonts w:ascii="Arial" w:cs="Arial" w:eastAsia="Arial" w:hAnsi="Arial"/>
          <w:sz w:val="18"/>
          <w:szCs w:val="18"/>
          <w:b w:val="1"/>
          <w:bCs w:val="1"/>
          <w:color w:val="auto"/>
        </w:rPr>
        <w:t>administrative receiver</w:t>
      </w:r>
      <w:r>
        <w:rPr>
          <w:rFonts w:ascii="Arial" w:cs="Arial" w:eastAsia="Arial" w:hAnsi="Arial"/>
          <w:sz w:val="18"/>
          <w:szCs w:val="18"/>
          <w:color w:val="auto"/>
        </w:rPr>
        <w:t xml:space="preserve"> or </w:t>
      </w:r>
      <w:r>
        <w:rPr>
          <w:rFonts w:ascii="Arial" w:cs="Arial" w:eastAsia="Arial" w:hAnsi="Arial"/>
          <w:sz w:val="18"/>
          <w:szCs w:val="18"/>
          <w:b w:val="1"/>
          <w:bCs w:val="1"/>
          <w:color w:val="auto"/>
        </w:rPr>
        <w:t xml:space="preserve">administrator </w:t>
      </w:r>
      <w:r>
        <w:rPr>
          <w:rFonts w:ascii="Arial" w:cs="Arial" w:eastAsia="Arial" w:hAnsi="Arial"/>
          <w:sz w:val="18"/>
          <w:szCs w:val="18"/>
          <w:color w:val="auto"/>
        </w:rPr>
        <w:t>in the context of insolvency proceedings or security enforcement actions in respect of a person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so as to include any equivalent or analogous proceedings or any equivalent and analogous person or appointee (respectively) under the law of the jurisdiction in which such person is established or incorporated or any jurisdiction in which such person carries on business including (in respect of proceedings) the seeking or occurrences of liquidation, winding-up, reorganisation, dissolution, administration, arrangement, adjustment, protection or relief of debtors;</w:t>
      </w:r>
    </w:p>
    <w:p>
      <w:pPr>
        <w:spacing w:after="0" w:line="165" w:lineRule="exact"/>
        <w:rPr>
          <w:rFonts w:ascii="Arial" w:cs="Arial" w:eastAsia="Arial" w:hAnsi="Arial"/>
          <w:sz w:val="18"/>
          <w:szCs w:val="18"/>
          <w:color w:val="auto"/>
        </w:rPr>
      </w:pPr>
    </w:p>
    <w:p>
      <w:pPr>
        <w:ind w:left="1120" w:hanging="639"/>
        <w:spacing w:after="0"/>
        <w:tabs>
          <w:tab w:leader="none" w:pos="11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wholly-owned subsidiary</w:t>
      </w:r>
      <w:r>
        <w:rPr>
          <w:rFonts w:ascii="Arial" w:cs="Arial" w:eastAsia="Arial" w:hAnsi="Arial"/>
          <w:sz w:val="18"/>
          <w:szCs w:val="18"/>
          <w:color w:val="auto"/>
        </w:rPr>
        <w:t xml:space="preserve"> has the meaning given to that term in section 1159 of the Companies Act 2006; and</w:t>
      </w:r>
    </w:p>
    <w:p>
      <w:pPr>
        <w:spacing w:after="0" w:line="220" w:lineRule="exact"/>
        <w:rPr>
          <w:rFonts w:ascii="Arial" w:cs="Arial" w:eastAsia="Arial" w:hAnsi="Arial"/>
          <w:sz w:val="18"/>
          <w:szCs w:val="18"/>
          <w:color w:val="auto"/>
        </w:rPr>
      </w:pPr>
    </w:p>
    <w:p>
      <w:pPr>
        <w:ind w:left="1120" w:hanging="639"/>
        <w:spacing w:after="0"/>
        <w:tabs>
          <w:tab w:leader="none" w:pos="11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provision of law is a reference to that provision as amended or re-enacted.</w:t>
      </w:r>
    </w:p>
    <w:p>
      <w:pPr>
        <w:spacing w:after="0" w:line="176" w:lineRule="exact"/>
        <w:rPr>
          <w:sz w:val="20"/>
          <w:szCs w:val="20"/>
          <w:color w:val="auto"/>
        </w:rPr>
      </w:pPr>
    </w:p>
    <w:p>
      <w:pPr>
        <w:ind w:left="520" w:right="20" w:hanging="512"/>
        <w:spacing w:after="0" w:line="271" w:lineRule="auto"/>
        <w:tabs>
          <w:tab w:leader="none" w:pos="5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The determination of the extent to which a rate is </w:t>
      </w:r>
      <w:r>
        <w:rPr>
          <w:rFonts w:ascii="Arial" w:cs="Arial" w:eastAsia="Arial" w:hAnsi="Arial"/>
          <w:sz w:val="18"/>
          <w:szCs w:val="18"/>
          <w:b w:val="1"/>
          <w:bCs w:val="1"/>
          <w:color w:val="auto"/>
        </w:rPr>
        <w:t>for a period equal in length</w:t>
      </w:r>
      <w:r>
        <w:rPr>
          <w:rFonts w:ascii="Arial" w:cs="Arial" w:eastAsia="Arial" w:hAnsi="Arial"/>
          <w:sz w:val="18"/>
          <w:szCs w:val="18"/>
          <w:color w:val="auto"/>
        </w:rPr>
        <w:t xml:space="preserve"> to an Interest Period shall disregard any inconsistency arising from the last day of that Interest Period being determined pursuant to the terms of this Agreement.</w:t>
      </w:r>
    </w:p>
    <w:p>
      <w:pPr>
        <w:spacing w:after="0" w:line="14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135255</wp:posOffset>
            </wp:positionV>
            <wp:extent cx="724662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80"/>
          </w:cols>
          <w:pgMar w:left="780" w:top="400" w:right="239" w:bottom="1440" w:gutter="0" w:footer="0" w:header="0"/>
        </w:sectPr>
      </w:pPr>
    </w:p>
    <w:bookmarkStart w:id="78" w:name="page79"/>
    <w:bookmarkEnd w:id="78"/>
    <w:p>
      <w:pPr>
        <w:jc w:val="both"/>
        <w:ind w:left="1060" w:hanging="512"/>
        <w:spacing w:after="0"/>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Where in this Agreement a provision includes a monetary reference level in one currency, unless a contrary indication appears, such reference level is intended to apply equally to its equivalent in other currencies as of the relevant time for the purposes of applying such reference level to any other currencies.</w:t>
      </w:r>
    </w:p>
    <w:p>
      <w:pPr>
        <w:spacing w:after="0" w:line="189" w:lineRule="exact"/>
        <w:rPr>
          <w:rFonts w:ascii="Arial" w:cs="Arial" w:eastAsia="Arial" w:hAnsi="Arial"/>
          <w:sz w:val="18"/>
          <w:szCs w:val="18"/>
          <w:color w:val="auto"/>
        </w:rPr>
      </w:pPr>
    </w:p>
    <w:p>
      <w:pPr>
        <w:ind w:left="1060" w:hanging="512"/>
        <w:spacing w:after="0"/>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Section, clause and Schedule headings are for ease of reference only.</w:t>
      </w:r>
    </w:p>
    <w:p>
      <w:pPr>
        <w:spacing w:after="0" w:line="198" w:lineRule="exact"/>
        <w:rPr>
          <w:rFonts w:ascii="Arial" w:cs="Arial" w:eastAsia="Arial" w:hAnsi="Arial"/>
          <w:sz w:val="18"/>
          <w:szCs w:val="18"/>
          <w:color w:val="auto"/>
        </w:rPr>
      </w:pPr>
    </w:p>
    <w:p>
      <w:pPr>
        <w:ind w:left="1060" w:hanging="512"/>
        <w:spacing w:after="0" w:line="246" w:lineRule="auto"/>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161" w:lineRule="exact"/>
        <w:rPr>
          <w:rFonts w:ascii="Arial" w:cs="Arial" w:eastAsia="Arial" w:hAnsi="Arial"/>
          <w:sz w:val="18"/>
          <w:szCs w:val="18"/>
          <w:color w:val="auto"/>
        </w:rPr>
      </w:pPr>
    </w:p>
    <w:p>
      <w:pPr>
        <w:ind w:left="1060" w:hanging="512"/>
        <w:spacing w:after="0" w:line="271" w:lineRule="auto"/>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A Default (other than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xml:space="preserve"> if it has not been remedied or waived and an Event of Default is </w:t>
      </w:r>
      <w:r>
        <w:rPr>
          <w:rFonts w:ascii="Arial" w:cs="Arial" w:eastAsia="Arial" w:hAnsi="Arial"/>
          <w:sz w:val="18"/>
          <w:szCs w:val="18"/>
          <w:b w:val="1"/>
          <w:bCs w:val="1"/>
          <w:color w:val="auto"/>
        </w:rPr>
        <w:t xml:space="preserve">continuing </w:t>
      </w:r>
      <w:r>
        <w:rPr>
          <w:rFonts w:ascii="Arial" w:cs="Arial" w:eastAsia="Arial" w:hAnsi="Arial"/>
          <w:sz w:val="18"/>
          <w:szCs w:val="18"/>
          <w:color w:val="auto"/>
        </w:rPr>
        <w:t>if it has not been waived or remedied to the satisfaction of the Agent (acting on the instructions of all the Lenders).</w:t>
      </w:r>
    </w:p>
    <w:p>
      <w:pPr>
        <w:spacing w:after="0" w:line="162" w:lineRule="exact"/>
        <w:rPr>
          <w:rFonts w:ascii="Arial" w:cs="Arial" w:eastAsia="Arial" w:hAnsi="Arial"/>
          <w:sz w:val="18"/>
          <w:szCs w:val="18"/>
          <w:color w:val="auto"/>
        </w:rPr>
      </w:pPr>
    </w:p>
    <w:p>
      <w:pPr>
        <w:ind w:left="1060" w:hanging="512"/>
        <w:spacing w:after="0" w:line="246" w:lineRule="auto"/>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Unless a contrary indication appears, in the event of any inconsistency between the terms of this Agreement and the terms of any other Finance Document when dealing with the same or similar subject matter, the terms of this Agreement shall prevail.</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1.3</w:t>
        <w:tab/>
        <w:t>Third party rights</w:t>
      </w:r>
    </w:p>
    <w:p>
      <w:pPr>
        <w:spacing w:after="0" w:line="220" w:lineRule="exact"/>
        <w:rPr>
          <w:sz w:val="20"/>
          <w:szCs w:val="20"/>
          <w:color w:val="auto"/>
        </w:rPr>
      </w:pPr>
    </w:p>
    <w:p>
      <w:pPr>
        <w:jc w:val="both"/>
        <w:ind w:left="1060" w:hanging="512"/>
        <w:spacing w:after="0"/>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Unless expressly provided to the contrary in a Finance Document for the benefit of a Finance Party or another Indemnified Person, a person who is not a party to a Finance Document has no right under the Contracts (Rights of Third Parties) Act 1999 (the </w:t>
      </w:r>
      <w:r>
        <w:rPr>
          <w:rFonts w:ascii="Arial" w:cs="Arial" w:eastAsia="Arial" w:hAnsi="Arial"/>
          <w:sz w:val="18"/>
          <w:szCs w:val="18"/>
          <w:b w:val="1"/>
          <w:bCs w:val="1"/>
          <w:color w:val="auto"/>
        </w:rPr>
        <w:t>Third Parties Act</w:t>
      </w:r>
      <w:r>
        <w:rPr>
          <w:rFonts w:ascii="Arial" w:cs="Arial" w:eastAsia="Arial" w:hAnsi="Arial"/>
          <w:sz w:val="18"/>
          <w:szCs w:val="18"/>
          <w:color w:val="auto"/>
        </w:rPr>
        <w:t>) to enforce or enjoy the benefit of any term of the relevant Finance Document.</w:t>
      </w:r>
    </w:p>
    <w:p>
      <w:pPr>
        <w:spacing w:after="0" w:line="189" w:lineRule="exact"/>
        <w:rPr>
          <w:rFonts w:ascii="Arial" w:cs="Arial" w:eastAsia="Arial" w:hAnsi="Arial"/>
          <w:sz w:val="18"/>
          <w:szCs w:val="18"/>
          <w:color w:val="auto"/>
        </w:rPr>
      </w:pPr>
    </w:p>
    <w:p>
      <w:pPr>
        <w:ind w:left="1060" w:hanging="512"/>
        <w:spacing w:after="0"/>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Finance Document may be rescinded or varied by the parties to it without the consent of any person who is not a party to it.</w:t>
      </w:r>
    </w:p>
    <w:p>
      <w:pPr>
        <w:spacing w:after="0" w:line="198" w:lineRule="exact"/>
        <w:rPr>
          <w:rFonts w:ascii="Arial" w:cs="Arial" w:eastAsia="Arial" w:hAnsi="Arial"/>
          <w:sz w:val="18"/>
          <w:szCs w:val="18"/>
          <w:color w:val="auto"/>
        </w:rPr>
      </w:pPr>
    </w:p>
    <w:p>
      <w:pPr>
        <w:ind w:left="1060" w:hanging="512"/>
        <w:spacing w:after="0" w:line="246"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 Indemnified Person who is not a party to a Finance Document may only enforce its rights under that Finance Document through a Finance Party and if and to the extent and in such manner as the Finance Party may determine.</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w:t>
        <w:tab/>
        <w:t>Finance Documents</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Where any other Finance Document provides that this clause 1.4 shall apply to that Finance Document, any other provision of this Agreement which, by its terms, purports to apply to all or any of the Finance Documents and/or any Obligor shall apply to that Finance Document as if set out in it but with all necessary changes.</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Conflict of documents</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The terms of the Finance Documents (other than as relates to the creation and/or perfection of security) are subject to the terms of this Agreement and, in the event of any conflict between any provision of this Agreement and any provision of any Finance Document (other than in relation to the creation and/or perfection of security) the provisions of this Agreement shall prevail.</w:t>
      </w:r>
    </w:p>
    <w:p>
      <w:pPr>
        <w:spacing w:after="0" w:line="167" w:lineRule="exact"/>
        <w:rPr>
          <w:sz w:val="20"/>
          <w:szCs w:val="20"/>
          <w:color w:val="auto"/>
        </w:rPr>
      </w:pPr>
    </w:p>
    <w:p>
      <w:pPr>
        <w:ind w:left="540" w:hanging="532"/>
        <w:spacing w:after="0"/>
        <w:tabs>
          <w:tab w:leader="none" w:pos="5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The Facilities</w:t>
      </w:r>
    </w:p>
    <w:p>
      <w:pPr>
        <w:spacing w:after="0" w:line="19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The Term Loan Facility</w:t>
      </w:r>
    </w:p>
    <w:p>
      <w:pPr>
        <w:spacing w:after="0" w:line="220" w:lineRule="exact"/>
        <w:rPr>
          <w:sz w:val="20"/>
          <w:szCs w:val="20"/>
          <w:color w:val="auto"/>
        </w:rPr>
      </w:pPr>
    </w:p>
    <w:p>
      <w:pPr>
        <w:ind w:left="540"/>
        <w:spacing w:after="0" w:line="246" w:lineRule="auto"/>
        <w:rPr>
          <w:sz w:val="20"/>
          <w:szCs w:val="20"/>
          <w:color w:val="auto"/>
        </w:rPr>
      </w:pPr>
      <w:r>
        <w:rPr>
          <w:rFonts w:ascii="Arial" w:cs="Arial" w:eastAsia="Arial" w:hAnsi="Arial"/>
          <w:sz w:val="18"/>
          <w:szCs w:val="18"/>
          <w:color w:val="auto"/>
        </w:rPr>
        <w:t>Subject to the terms of this Agreement, the Lenders make available to the Borrowers a term loan facility in an aggregate amount equal to the Total Term Loan Commitments.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79" w:name="page80"/>
    <w:bookmarkEnd w:id="79"/>
    <w:p>
      <w:pPr>
        <w:spacing w:after="0"/>
        <w:tabs>
          <w:tab w:leader="none" w:pos="5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b w:val="1"/>
          <w:bCs w:val="1"/>
          <w:color w:val="auto"/>
        </w:rPr>
        <w:t>The Revolving Loan Facility</w:t>
      </w:r>
    </w:p>
    <w:p>
      <w:pPr>
        <w:spacing w:after="0" w:line="220" w:lineRule="exact"/>
        <w:rPr>
          <w:sz w:val="20"/>
          <w:szCs w:val="20"/>
          <w:color w:val="auto"/>
        </w:rPr>
      </w:pPr>
    </w:p>
    <w:p>
      <w:pPr>
        <w:ind w:left="540"/>
        <w:spacing w:after="0" w:line="246" w:lineRule="auto"/>
        <w:rPr>
          <w:sz w:val="20"/>
          <w:szCs w:val="20"/>
          <w:color w:val="auto"/>
        </w:rPr>
      </w:pPr>
      <w:r>
        <w:rPr>
          <w:rFonts w:ascii="Arial" w:cs="Arial" w:eastAsia="Arial" w:hAnsi="Arial"/>
          <w:sz w:val="18"/>
          <w:szCs w:val="18"/>
          <w:color w:val="auto"/>
        </w:rPr>
        <w:t>Subject to the terms of this Agreement, the Lenders make available to the Borrowers a revolving credit facility in an aggregate amount equal to the Total Revolving Loan Commitments.</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w:t>
        <w:tab/>
        <w:t>Finance Parties’ rights and obligations</w:t>
      </w:r>
    </w:p>
    <w:p>
      <w:pPr>
        <w:spacing w:after="0" w:line="220" w:lineRule="exact"/>
        <w:rPr>
          <w:sz w:val="20"/>
          <w:szCs w:val="20"/>
          <w:color w:val="auto"/>
        </w:rPr>
      </w:pPr>
    </w:p>
    <w:p>
      <w:pPr>
        <w:jc w:val="both"/>
        <w:ind w:left="1060" w:right="20" w:hanging="512"/>
        <w:spacing w:after="0"/>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obligations of each Finance Party under the Finance Documents are several. Failure by a Finance Party to perform its obligations under the Finance Documents does not affect the obligations of any other Party under the Finance Documents. No Finance Party is responsible for the obligations of any other Finance Party under the Finance Documents.</w:t>
      </w:r>
    </w:p>
    <w:p>
      <w:pPr>
        <w:spacing w:after="0" w:line="189" w:lineRule="exact"/>
        <w:rPr>
          <w:rFonts w:ascii="Arial" w:cs="Arial" w:eastAsia="Arial" w:hAnsi="Arial"/>
          <w:sz w:val="18"/>
          <w:szCs w:val="18"/>
          <w:color w:val="auto"/>
        </w:rPr>
      </w:pPr>
    </w:p>
    <w:p>
      <w:pPr>
        <w:ind w:left="1060" w:hanging="512"/>
        <w:spacing w:after="0" w:line="246" w:lineRule="auto"/>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rights of each Finance Party under or in connection with the Finance Documents are separate and independent rights and any debt arising under the Finance Documents to a Finance Party from an Obligor shall be a separate and independent debt.</w:t>
      </w:r>
    </w:p>
    <w:p>
      <w:pPr>
        <w:spacing w:after="0" w:line="165" w:lineRule="exact"/>
        <w:rPr>
          <w:rFonts w:ascii="Arial" w:cs="Arial" w:eastAsia="Arial" w:hAnsi="Arial"/>
          <w:sz w:val="18"/>
          <w:szCs w:val="18"/>
          <w:color w:val="auto"/>
        </w:rPr>
      </w:pPr>
    </w:p>
    <w:p>
      <w:pPr>
        <w:jc w:val="both"/>
        <w:ind w:left="1060" w:hanging="512"/>
        <w:spacing w:after="0" w:line="251" w:lineRule="auto"/>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Finance Party may, except as otherwise stated in the Finance Documents (including clauses 32.30 (</w:t>
      </w:r>
      <w:r>
        <w:rPr>
          <w:rFonts w:ascii="Arial" w:cs="Arial" w:eastAsia="Arial" w:hAnsi="Arial"/>
          <w:sz w:val="18"/>
          <w:szCs w:val="18"/>
          <w:i w:val="1"/>
          <w:iCs w:val="1"/>
          <w:color w:val="auto"/>
        </w:rPr>
        <w:t>All enforcement action</w:t>
      </w:r>
      <w:r>
        <w:rPr>
          <w:rFonts w:ascii="Arial" w:cs="Arial" w:eastAsia="Arial" w:hAnsi="Arial"/>
          <w:sz w:val="18"/>
          <w:szCs w:val="18"/>
          <w:color w:val="auto"/>
        </w:rPr>
        <w:t xml:space="preserve"> </w:t>
      </w:r>
      <w:r>
        <w:rPr>
          <w:rFonts w:ascii="Arial" w:cs="Arial" w:eastAsia="Arial" w:hAnsi="Arial"/>
          <w:sz w:val="18"/>
          <w:szCs w:val="18"/>
          <w:i w:val="1"/>
          <w:iCs w:val="1"/>
          <w:color w:val="auto"/>
        </w:rPr>
        <w:t>through the Security Agent</w:t>
      </w:r>
      <w:r>
        <w:rPr>
          <w:rFonts w:ascii="Arial" w:cs="Arial" w:eastAsia="Arial" w:hAnsi="Arial"/>
          <w:sz w:val="18"/>
          <w:szCs w:val="18"/>
          <w:color w:val="auto"/>
        </w:rPr>
        <w:t>) and 33.2 (</w:t>
      </w:r>
      <w:r>
        <w:rPr>
          <w:rFonts w:ascii="Arial" w:cs="Arial" w:eastAsia="Arial" w:hAnsi="Arial"/>
          <w:sz w:val="18"/>
          <w:szCs w:val="18"/>
          <w:i w:val="1"/>
          <w:iCs w:val="1"/>
          <w:color w:val="auto"/>
        </w:rPr>
        <w:t>Finance Parties acting together</w:t>
      </w:r>
      <w:r>
        <w:rPr>
          <w:rFonts w:ascii="Arial" w:cs="Arial" w:eastAsia="Arial" w:hAnsi="Arial"/>
          <w:sz w:val="18"/>
          <w:szCs w:val="18"/>
          <w:color w:val="auto"/>
        </w:rPr>
        <w:t>)), separately enforce its rights under the Finance</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w:t>
      </w:r>
    </w:p>
    <w:p>
      <w:pPr>
        <w:spacing w:after="0" w:line="15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7"/>
          <w:szCs w:val="17"/>
          <w:b w:val="1"/>
          <w:bCs w:val="1"/>
          <w:color w:val="auto"/>
        </w:rPr>
        <w:t>Borrowers’ rights and obligations</w:t>
      </w:r>
    </w:p>
    <w:p>
      <w:pPr>
        <w:spacing w:after="0" w:line="220" w:lineRule="exact"/>
        <w:rPr>
          <w:sz w:val="20"/>
          <w:szCs w:val="20"/>
          <w:color w:val="auto"/>
        </w:rPr>
      </w:pPr>
    </w:p>
    <w:p>
      <w:pPr>
        <w:ind w:left="1060" w:right="20" w:hanging="512"/>
        <w:spacing w:after="0" w:line="246" w:lineRule="auto"/>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obligations of each Borrower under this Agreement are joint and several. Failure by a Borrower to perform its obligations under this Agreement shall constitute a failure by all of the Borrowers.</w:t>
      </w:r>
    </w:p>
    <w:p>
      <w:pPr>
        <w:spacing w:after="0" w:line="183" w:lineRule="exact"/>
        <w:rPr>
          <w:rFonts w:ascii="Arial" w:cs="Arial" w:eastAsia="Arial" w:hAnsi="Arial"/>
          <w:sz w:val="18"/>
          <w:szCs w:val="18"/>
          <w:color w:val="auto"/>
        </w:rPr>
      </w:pPr>
    </w:p>
    <w:p>
      <w:pPr>
        <w:ind w:left="1060" w:hanging="512"/>
        <w:spacing w:after="0"/>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Each Borrower irrevocably and unconditionally jointly and severally with each other Borrower:</w:t>
      </w:r>
    </w:p>
    <w:p>
      <w:pPr>
        <w:spacing w:after="0" w:line="198" w:lineRule="exact"/>
        <w:rPr>
          <w:rFonts w:ascii="Arial" w:cs="Arial" w:eastAsia="Arial" w:hAnsi="Arial"/>
          <w:sz w:val="18"/>
          <w:szCs w:val="18"/>
          <w:color w:val="auto"/>
        </w:rPr>
      </w:pPr>
    </w:p>
    <w:p>
      <w:pPr>
        <w:ind w:left="1560" w:hanging="539"/>
        <w:spacing w:after="0"/>
        <w:tabs>
          <w:tab w:leader="none" w:pos="15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agrees that it is responsible for the performance of the obligations of each other Borrower under this Agreement;</w:t>
      </w:r>
    </w:p>
    <w:p>
      <w:pPr>
        <w:spacing w:after="0" w:line="198" w:lineRule="exact"/>
        <w:rPr>
          <w:rFonts w:ascii="Arial" w:cs="Arial" w:eastAsia="Arial" w:hAnsi="Arial"/>
          <w:sz w:val="18"/>
          <w:szCs w:val="18"/>
          <w:color w:val="auto"/>
        </w:rPr>
      </w:pPr>
    </w:p>
    <w:p>
      <w:pPr>
        <w:ind w:left="1560" w:hanging="539"/>
        <w:spacing w:after="0" w:line="246" w:lineRule="auto"/>
        <w:tabs>
          <w:tab w:leader="none" w:pos="15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acknowledges and agrees that it is a principal and original debtor in respect of all amounts due from the Borrowers under this Agreement; and</w:t>
      </w:r>
    </w:p>
    <w:p>
      <w:pPr>
        <w:spacing w:after="0" w:line="183" w:lineRule="exact"/>
        <w:rPr>
          <w:rFonts w:ascii="Arial" w:cs="Arial" w:eastAsia="Arial" w:hAnsi="Arial"/>
          <w:sz w:val="18"/>
          <w:szCs w:val="18"/>
          <w:color w:val="auto"/>
        </w:rPr>
      </w:pPr>
    </w:p>
    <w:p>
      <w:pPr>
        <w:jc w:val="both"/>
        <w:ind w:left="1560" w:hanging="539"/>
        <w:spacing w:after="0" w:line="237" w:lineRule="auto"/>
        <w:tabs>
          <w:tab w:leader="none" w:pos="15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agrees with each Finance Party that, if any obligation of another Borrower under this Agreement is or becomes unenforceable, invalid or illegal for any reason it will, as an independent and primary obligation, indemnify that Finance Party immediately on demand against any and all Losses it incurs as a result of another Borrower not paying any amount which would, but for such unenforceability, invalidity or illegality, have been payable by that other Borrower under this Agreement. The amount payable under this indemnity shall be equal to the amount which that Finance Party would otherwise have been entitled to recover.</w:t>
      </w:r>
    </w:p>
    <w:p>
      <w:pPr>
        <w:spacing w:after="0" w:line="191" w:lineRule="exact"/>
        <w:rPr>
          <w:rFonts w:ascii="Arial" w:cs="Arial" w:eastAsia="Arial" w:hAnsi="Arial"/>
          <w:sz w:val="18"/>
          <w:szCs w:val="18"/>
          <w:color w:val="auto"/>
        </w:rPr>
      </w:pPr>
    </w:p>
    <w:p>
      <w:pPr>
        <w:jc w:val="both"/>
        <w:ind w:left="1060" w:hanging="512"/>
        <w:spacing w:after="0"/>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obligations of each Borrower under the Finance Documents shall continue until all amounts which may be or become payable by the Borrowers under or in connection with the Finance Documents have been irrevocably and unconditionally paid or discharged in full, regardless of any intermediate payment or discharge in whole or in part.</w:t>
      </w:r>
    </w:p>
    <w:p>
      <w:pPr>
        <w:spacing w:after="0" w:line="189" w:lineRule="exact"/>
        <w:rPr>
          <w:rFonts w:ascii="Arial" w:cs="Arial" w:eastAsia="Arial" w:hAnsi="Arial"/>
          <w:sz w:val="18"/>
          <w:szCs w:val="18"/>
          <w:color w:val="auto"/>
        </w:rPr>
      </w:pPr>
    </w:p>
    <w:p>
      <w:pPr>
        <w:jc w:val="both"/>
        <w:ind w:left="1060" w:hanging="512"/>
        <w:spacing w:after="0" w:line="239" w:lineRule="auto"/>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any discharge, release or arrangement (whether in respect of the obligations of a Borrower or any security for those obligations or otherwise) is made by a Finance Party in whole or in part on the basis of any payment, security or other disposition which is avoided or must be restored in insolvency, liquidation, administration or otherwise, without limitation, then the liability of the Borrowers under this Agreement will continue or be reinstated as if the discharge, release or arrangement had not occurred.</w:t>
      </w:r>
    </w:p>
    <w:p>
      <w:pPr>
        <w:spacing w:after="0" w:line="188" w:lineRule="exact"/>
        <w:rPr>
          <w:rFonts w:ascii="Arial" w:cs="Arial" w:eastAsia="Arial" w:hAnsi="Arial"/>
          <w:sz w:val="18"/>
          <w:szCs w:val="18"/>
          <w:color w:val="auto"/>
        </w:rPr>
      </w:pPr>
    </w:p>
    <w:p>
      <w:pPr>
        <w:ind w:left="1060" w:right="20" w:hanging="512"/>
        <w:spacing w:after="0" w:line="246" w:lineRule="auto"/>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obligations of each Borrower under the Finance Documents shall not be affected by an act, omission, matter or thing which, but for this clause (whether or not known to it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80" w:name="page81"/>
    <w:bookmarkEnd w:id="80"/>
    <w:p>
      <w:pPr>
        <w:ind w:left="480"/>
        <w:spacing w:after="0"/>
        <w:rPr>
          <w:sz w:val="20"/>
          <w:szCs w:val="20"/>
          <w:color w:val="auto"/>
        </w:rPr>
      </w:pPr>
      <w:r>
        <w:rPr>
          <w:rFonts w:ascii="Arial" w:cs="Arial" w:eastAsia="Arial" w:hAnsi="Arial"/>
          <w:sz w:val="18"/>
          <w:szCs w:val="18"/>
          <w:color w:val="auto"/>
        </w:rPr>
        <w:t>any Finance Party), would reduce, release or prejudice any of its obligations under the Finance Documents including:</w:t>
      </w:r>
    </w:p>
    <w:p>
      <w:pPr>
        <w:spacing w:after="0" w:line="198" w:lineRule="exact"/>
        <w:rPr>
          <w:sz w:val="20"/>
          <w:szCs w:val="20"/>
          <w:color w:val="auto"/>
        </w:rPr>
      </w:pPr>
    </w:p>
    <w:p>
      <w:pPr>
        <w:ind w:left="1020" w:hanging="539"/>
        <w:spacing w:after="0"/>
        <w:tabs>
          <w:tab w:leader="none" w:pos="10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time, waiver or consent granted to, or composition with, any Obligor or other person;</w:t>
      </w:r>
    </w:p>
    <w:p>
      <w:pPr>
        <w:spacing w:after="0" w:line="198" w:lineRule="exact"/>
        <w:rPr>
          <w:rFonts w:ascii="Arial" w:cs="Arial" w:eastAsia="Arial" w:hAnsi="Arial"/>
          <w:sz w:val="18"/>
          <w:szCs w:val="18"/>
          <w:color w:val="auto"/>
        </w:rPr>
      </w:pPr>
    </w:p>
    <w:p>
      <w:pPr>
        <w:ind w:left="1020" w:right="20" w:hanging="539"/>
        <w:spacing w:after="0" w:line="246" w:lineRule="auto"/>
        <w:tabs>
          <w:tab w:leader="none" w:pos="10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release of any other Obligor or any other person under the terms of any composition or arrangement with any creditor of any other Obligor;</w:t>
      </w:r>
    </w:p>
    <w:p>
      <w:pPr>
        <w:spacing w:after="0" w:line="183" w:lineRule="exact"/>
        <w:rPr>
          <w:rFonts w:ascii="Arial" w:cs="Arial" w:eastAsia="Arial" w:hAnsi="Arial"/>
          <w:sz w:val="18"/>
          <w:szCs w:val="18"/>
          <w:color w:val="auto"/>
        </w:rPr>
      </w:pPr>
    </w:p>
    <w:p>
      <w:pPr>
        <w:jc w:val="both"/>
        <w:ind w:left="1020" w:hanging="539"/>
        <w:spacing w:after="0"/>
        <w:tabs>
          <w:tab w:leader="none" w:pos="10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taking, variation, compromise, exchange, renewal or release of, or refusal or neglect to perfect, take up or enforce, any rights against, or security over assets of, any Obligor or other person or any non-presentation or non-observance of any formality or other requirement in respect of any instrument or any failure to realise the full value of any security;</w:t>
      </w:r>
    </w:p>
    <w:p>
      <w:pPr>
        <w:spacing w:after="0" w:line="189" w:lineRule="exact"/>
        <w:rPr>
          <w:rFonts w:ascii="Arial" w:cs="Arial" w:eastAsia="Arial" w:hAnsi="Arial"/>
          <w:sz w:val="18"/>
          <w:szCs w:val="18"/>
          <w:color w:val="auto"/>
        </w:rPr>
      </w:pPr>
    </w:p>
    <w:p>
      <w:pPr>
        <w:ind w:left="1020" w:hanging="539"/>
        <w:spacing w:after="0" w:line="246" w:lineRule="auto"/>
        <w:tabs>
          <w:tab w:leader="none" w:pos="10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incapacity or lack of power, authority or legal personality of or dissolution or change in the members or status of an Obligor or any other person;</w:t>
      </w:r>
    </w:p>
    <w:p>
      <w:pPr>
        <w:spacing w:after="0" w:line="183" w:lineRule="exact"/>
        <w:rPr>
          <w:rFonts w:ascii="Arial" w:cs="Arial" w:eastAsia="Arial" w:hAnsi="Arial"/>
          <w:sz w:val="18"/>
          <w:szCs w:val="18"/>
          <w:color w:val="auto"/>
        </w:rPr>
      </w:pPr>
    </w:p>
    <w:p>
      <w:pPr>
        <w:ind w:left="1020" w:hanging="539"/>
        <w:spacing w:after="0" w:line="246" w:lineRule="auto"/>
        <w:tabs>
          <w:tab w:leader="none" w:pos="10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amendment, novation, supplement, extension, restatement (however fundamental and whether or not more onerous) or replacement of a Finance Document or any other document or security;</w:t>
      </w:r>
    </w:p>
    <w:p>
      <w:pPr>
        <w:spacing w:after="0" w:line="183" w:lineRule="exact"/>
        <w:rPr>
          <w:rFonts w:ascii="Arial" w:cs="Arial" w:eastAsia="Arial" w:hAnsi="Arial"/>
          <w:sz w:val="18"/>
          <w:szCs w:val="18"/>
          <w:color w:val="auto"/>
        </w:rPr>
      </w:pPr>
    </w:p>
    <w:p>
      <w:pPr>
        <w:ind w:left="1020" w:hanging="539"/>
        <w:spacing w:after="0" w:line="246" w:lineRule="auto"/>
        <w:tabs>
          <w:tab w:leader="none" w:pos="10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unenforceability, illegality or invalidity of any obligation of any person under any Finance Document or any other document or security; or</w:t>
      </w:r>
    </w:p>
    <w:p>
      <w:pPr>
        <w:spacing w:after="0" w:line="183" w:lineRule="exact"/>
        <w:rPr>
          <w:rFonts w:ascii="Arial" w:cs="Arial" w:eastAsia="Arial" w:hAnsi="Arial"/>
          <w:sz w:val="18"/>
          <w:szCs w:val="18"/>
          <w:color w:val="auto"/>
        </w:rPr>
      </w:pPr>
    </w:p>
    <w:p>
      <w:pPr>
        <w:ind w:left="1020" w:hanging="539"/>
        <w:spacing w:after="0"/>
        <w:tabs>
          <w:tab w:leader="none" w:pos="10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insolvency or similar proceedings.</w:t>
      </w:r>
    </w:p>
    <w:p>
      <w:pPr>
        <w:spacing w:after="0" w:line="198" w:lineRule="exact"/>
        <w:rPr>
          <w:rFonts w:ascii="Arial" w:cs="Arial" w:eastAsia="Arial" w:hAnsi="Arial"/>
          <w:sz w:val="18"/>
          <w:szCs w:val="18"/>
          <w:color w:val="auto"/>
        </w:rPr>
      </w:pPr>
    </w:p>
    <w:p>
      <w:pPr>
        <w:jc w:val="both"/>
        <w:ind w:left="520" w:hanging="512"/>
        <w:spacing w:after="0"/>
        <w:tabs>
          <w:tab w:leader="none" w:pos="5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Each Borrower waives any right it may have of first requiring any Finance Party (or any trustee or agent on its behalf) to proceed against or enforce any other rights or security or claim payment from any person before claiming from that Borrower under any Finance Document. This waiver applies irrespective of any law or any provision of a Finance Document to the contrary.</w:t>
      </w:r>
    </w:p>
    <w:p>
      <w:pPr>
        <w:spacing w:after="0" w:line="189" w:lineRule="exact"/>
        <w:rPr>
          <w:rFonts w:ascii="Arial" w:cs="Arial" w:eastAsia="Arial" w:hAnsi="Arial"/>
          <w:sz w:val="18"/>
          <w:szCs w:val="18"/>
          <w:color w:val="auto"/>
        </w:rPr>
      </w:pPr>
    </w:p>
    <w:p>
      <w:pPr>
        <w:ind w:left="520" w:right="20" w:hanging="512"/>
        <w:spacing w:after="0" w:line="246" w:lineRule="auto"/>
        <w:tabs>
          <w:tab w:leader="none" w:pos="5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Until all amounts which may be or become payable by the Obligors under or in connection with the Finance Documents have been irrevocably and unconditionally paid or discharged in full, each Finance Party (or any trustee or agent on its behalf) may:</w:t>
      </w:r>
    </w:p>
    <w:p>
      <w:pPr>
        <w:spacing w:after="0" w:line="183" w:lineRule="exact"/>
        <w:rPr>
          <w:rFonts w:ascii="Arial" w:cs="Arial" w:eastAsia="Arial" w:hAnsi="Arial"/>
          <w:sz w:val="18"/>
          <w:szCs w:val="18"/>
          <w:color w:val="auto"/>
        </w:rPr>
      </w:pPr>
    </w:p>
    <w:p>
      <w:pPr>
        <w:jc w:val="both"/>
        <w:ind w:left="1020" w:hanging="539"/>
        <w:spacing w:after="0"/>
        <w:tabs>
          <w:tab w:leader="none" w:pos="10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refrain from applying or enforcing any other moneys, security or rights held or received by that Finance Party (or any trustee or agent on its behalf) in respect of those amounts, or apply and enforce the same in such manner and order as it sees fit (whether against those amounts or otherwise) and no Borrower will be entitled to the benefit of the same; and</w:t>
      </w:r>
    </w:p>
    <w:p>
      <w:pPr>
        <w:spacing w:after="0" w:line="189" w:lineRule="exact"/>
        <w:rPr>
          <w:rFonts w:ascii="Arial" w:cs="Arial" w:eastAsia="Arial" w:hAnsi="Arial"/>
          <w:sz w:val="18"/>
          <w:szCs w:val="18"/>
          <w:color w:val="auto"/>
        </w:rPr>
      </w:pPr>
    </w:p>
    <w:p>
      <w:pPr>
        <w:ind w:left="1020" w:hanging="539"/>
        <w:spacing w:after="0" w:line="246" w:lineRule="auto"/>
        <w:tabs>
          <w:tab w:leader="none" w:pos="10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hold in an interest-bearing suspense account any money received from any Borrower or on account of any Borrower’s liability under any Finance Document.</w:t>
      </w:r>
    </w:p>
    <w:p>
      <w:pPr>
        <w:spacing w:after="0" w:line="183" w:lineRule="exact"/>
        <w:rPr>
          <w:rFonts w:ascii="Arial" w:cs="Arial" w:eastAsia="Arial" w:hAnsi="Arial"/>
          <w:sz w:val="18"/>
          <w:szCs w:val="18"/>
          <w:color w:val="auto"/>
        </w:rPr>
      </w:pPr>
    </w:p>
    <w:p>
      <w:pPr>
        <w:jc w:val="both"/>
        <w:ind w:left="520" w:hanging="512"/>
        <w:spacing w:after="0" w:line="239" w:lineRule="auto"/>
        <w:tabs>
          <w:tab w:leader="none" w:pos="5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Until all amounts which may be or become payable by the Obligors under or in connection with the Finance Documents have been irrevocably paid in full and unless the Agent otherwise directs (on such terms as it may require), no Borrower shall exercise any rights (including rights of set-off) which it may have by reason of performance by it of its obligations under the Finance Documents:</w:t>
      </w:r>
    </w:p>
    <w:p>
      <w:pPr>
        <w:spacing w:after="0" w:line="188" w:lineRule="exact"/>
        <w:rPr>
          <w:rFonts w:ascii="Arial" w:cs="Arial" w:eastAsia="Arial" w:hAnsi="Arial"/>
          <w:sz w:val="18"/>
          <w:szCs w:val="18"/>
          <w:color w:val="auto"/>
        </w:rPr>
      </w:pPr>
    </w:p>
    <w:p>
      <w:pPr>
        <w:ind w:left="1020" w:hanging="539"/>
        <w:spacing w:after="0"/>
        <w:tabs>
          <w:tab w:leader="none" w:pos="10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to be indemnified by another Obligor; and/or</w:t>
      </w:r>
    </w:p>
    <w:p>
      <w:pPr>
        <w:spacing w:after="0" w:line="198" w:lineRule="exact"/>
        <w:rPr>
          <w:rFonts w:ascii="Arial" w:cs="Arial" w:eastAsia="Arial" w:hAnsi="Arial"/>
          <w:sz w:val="18"/>
          <w:szCs w:val="18"/>
          <w:color w:val="auto"/>
        </w:rPr>
      </w:pPr>
    </w:p>
    <w:p>
      <w:pPr>
        <w:ind w:left="1020" w:hanging="539"/>
        <w:spacing w:after="0" w:line="246" w:lineRule="auto"/>
        <w:tabs>
          <w:tab w:leader="none" w:pos="10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to claim any contribution from any other Obligor or any guarantor of any Obligor’s obligations under the Finance Documents; and/or</w:t>
      </w:r>
    </w:p>
    <w:p>
      <w:pPr>
        <w:spacing w:after="0" w:line="183" w:lineRule="exact"/>
        <w:rPr>
          <w:rFonts w:ascii="Arial" w:cs="Arial" w:eastAsia="Arial" w:hAnsi="Arial"/>
          <w:sz w:val="18"/>
          <w:szCs w:val="18"/>
          <w:color w:val="auto"/>
        </w:rPr>
      </w:pPr>
    </w:p>
    <w:p>
      <w:pPr>
        <w:ind w:left="1020" w:right="20" w:hanging="539"/>
        <w:spacing w:after="0" w:line="246" w:lineRule="auto"/>
        <w:tabs>
          <w:tab w:leader="none" w:pos="10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to take the benefit (in whole or in part and whether by way of subrogation or otherwise) of any rights of the Finance Parties under the Finance Documents or of</w:t>
      </w:r>
    </w:p>
    <w:p>
      <w:pPr>
        <w:spacing w:after="0" w:line="17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135255</wp:posOffset>
            </wp:positionV>
            <wp:extent cx="72466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80"/>
          </w:cols>
          <w:pgMar w:left="780" w:top="422" w:right="239" w:bottom="1440" w:gutter="0" w:footer="0" w:header="0"/>
        </w:sectPr>
      </w:pPr>
    </w:p>
    <w:bookmarkStart w:id="81" w:name="page82"/>
    <w:bookmarkEnd w:id="81"/>
    <w:p>
      <w:pPr>
        <w:ind w:left="1540"/>
        <w:spacing w:after="0"/>
        <w:rPr>
          <w:sz w:val="20"/>
          <w:szCs w:val="20"/>
          <w:color w:val="auto"/>
        </w:rPr>
      </w:pPr>
      <w:r>
        <w:rPr>
          <w:rFonts w:ascii="Arial" w:cs="Arial" w:eastAsia="Arial" w:hAnsi="Arial"/>
          <w:sz w:val="18"/>
          <w:szCs w:val="18"/>
          <w:color w:val="auto"/>
        </w:rPr>
        <w:t>any guarantee or security taken pursuant to, or in connection with, the Finance Documents by any Finance Party; and/or</w:t>
      </w:r>
    </w:p>
    <w:p>
      <w:pPr>
        <w:spacing w:after="0" w:line="198" w:lineRule="exact"/>
        <w:rPr>
          <w:sz w:val="20"/>
          <w:szCs w:val="20"/>
          <w:color w:val="auto"/>
        </w:rPr>
      </w:pPr>
    </w:p>
    <w:p>
      <w:pPr>
        <w:ind w:left="1560" w:right="20" w:hanging="539"/>
        <w:spacing w:after="0" w:line="246" w:lineRule="auto"/>
        <w:tabs>
          <w:tab w:leader="none" w:pos="15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bring legal or other proceedings for an order requiring any Obligor to make any payment, or perform any obligation, in respect of which that Borrower is liable under this Agreement or any of the other Finance Documents; and/or</w:t>
      </w:r>
    </w:p>
    <w:p>
      <w:pPr>
        <w:spacing w:after="0" w:line="183" w:lineRule="exact"/>
        <w:rPr>
          <w:rFonts w:ascii="Arial" w:cs="Arial" w:eastAsia="Arial" w:hAnsi="Arial"/>
          <w:sz w:val="18"/>
          <w:szCs w:val="18"/>
          <w:color w:val="auto"/>
        </w:rPr>
      </w:pPr>
    </w:p>
    <w:p>
      <w:pPr>
        <w:ind w:left="1560" w:hanging="539"/>
        <w:spacing w:after="0"/>
        <w:tabs>
          <w:tab w:leader="none" w:pos="15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exercise any right of set-off against any other Obligor; and/or</w:t>
      </w:r>
    </w:p>
    <w:p>
      <w:pPr>
        <w:spacing w:after="0" w:line="198" w:lineRule="exact"/>
        <w:rPr>
          <w:rFonts w:ascii="Arial" w:cs="Arial" w:eastAsia="Arial" w:hAnsi="Arial"/>
          <w:sz w:val="18"/>
          <w:szCs w:val="18"/>
          <w:color w:val="auto"/>
        </w:rPr>
      </w:pPr>
    </w:p>
    <w:p>
      <w:pPr>
        <w:ind w:left="1560" w:hanging="539"/>
        <w:spacing w:after="0"/>
        <w:tabs>
          <w:tab w:leader="none" w:pos="15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claim or prove as a creditor of any other Obligor in competition with any Finance Party.</w:t>
      </w:r>
    </w:p>
    <w:p>
      <w:pPr>
        <w:spacing w:after="0" w:line="198" w:lineRule="exact"/>
        <w:rPr>
          <w:sz w:val="20"/>
          <w:szCs w:val="20"/>
          <w:color w:val="auto"/>
        </w:rPr>
      </w:pPr>
    </w:p>
    <w:p>
      <w:pPr>
        <w:jc w:val="both"/>
        <w:ind w:left="1020"/>
        <w:spacing w:after="0"/>
        <w:rPr>
          <w:sz w:val="20"/>
          <w:szCs w:val="20"/>
          <w:color w:val="auto"/>
        </w:rPr>
      </w:pPr>
      <w:r>
        <w:rPr>
          <w:rFonts w:ascii="Arial" w:cs="Arial" w:eastAsia="Arial" w:hAnsi="Arial"/>
          <w:sz w:val="18"/>
          <w:szCs w:val="18"/>
          <w:color w:val="auto"/>
        </w:rPr>
        <w:t>If a Borrower receives any benefit, payment or distribution in relation to such rights it will promptly pay an equal amount to the Agent for application in accordance with clause 35 (</w:t>
      </w:r>
      <w:r>
        <w:rPr>
          <w:rFonts w:ascii="Arial" w:cs="Arial" w:eastAsia="Arial" w:hAnsi="Arial"/>
          <w:sz w:val="18"/>
          <w:szCs w:val="18"/>
          <w:i w:val="1"/>
          <w:iCs w:val="1"/>
          <w:color w:val="auto"/>
        </w:rPr>
        <w:t>Payment mechanics</w:t>
      </w:r>
      <w:r>
        <w:rPr>
          <w:rFonts w:ascii="Arial" w:cs="Arial" w:eastAsia="Arial" w:hAnsi="Arial"/>
          <w:sz w:val="18"/>
          <w:szCs w:val="18"/>
          <w:color w:val="auto"/>
        </w:rPr>
        <w:t>). This only applies until all amounts which may be or become payable by the Obligors under or in connection with the Finance Documents have been irrevocably paid in full.</w:t>
      </w:r>
    </w:p>
    <w:p>
      <w:pPr>
        <w:spacing w:after="0" w:line="167" w:lineRule="exact"/>
        <w:rPr>
          <w:sz w:val="20"/>
          <w:szCs w:val="20"/>
          <w:color w:val="auto"/>
        </w:rPr>
      </w:pPr>
    </w:p>
    <w:p>
      <w:pPr>
        <w:jc w:val="right"/>
        <w:ind w:right="10160" w:firstLine="8"/>
        <w:spacing w:after="0" w:line="499" w:lineRule="auto"/>
        <w:tabs>
          <w:tab w:leader="none" w:pos="540" w:val="left"/>
        </w:tabs>
        <w:numPr>
          <w:ilvl w:val="0"/>
          <w:numId w:val="110"/>
        </w:numPr>
        <w:rPr>
          <w:rFonts w:ascii="Arial" w:cs="Arial" w:eastAsia="Arial" w:hAnsi="Arial"/>
          <w:sz w:val="17"/>
          <w:szCs w:val="17"/>
          <w:b w:val="1"/>
          <w:bCs w:val="1"/>
          <w:color w:val="auto"/>
        </w:rPr>
      </w:pPr>
      <w:r>
        <w:rPr>
          <w:rFonts w:ascii="Arial" w:cs="Arial" w:eastAsia="Arial" w:hAnsi="Arial"/>
          <w:sz w:val="17"/>
          <w:szCs w:val="17"/>
          <w:b w:val="1"/>
          <w:bCs w:val="1"/>
          <w:color w:val="auto"/>
        </w:rPr>
        <w:t>Purpose 3.1   Purpose</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Borrowers shall apply all amounts borrowed under the Facilities in accordance with and subject to clause 3.2 (</w:t>
      </w:r>
      <w:r>
        <w:rPr>
          <w:rFonts w:ascii="Arial" w:cs="Arial" w:eastAsia="Arial" w:hAnsi="Arial"/>
          <w:sz w:val="18"/>
          <w:szCs w:val="18"/>
          <w:i w:val="1"/>
          <w:iCs w:val="1"/>
          <w:color w:val="auto"/>
        </w:rPr>
        <w:t>Use</w:t>
      </w:r>
      <w:r>
        <w:rPr>
          <w:rFonts w:ascii="Arial" w:cs="Arial" w:eastAsia="Arial" w:hAnsi="Arial"/>
          <w:sz w:val="18"/>
          <w:szCs w:val="18"/>
          <w:color w:val="auto"/>
        </w:rPr>
        <w:t>).</w:t>
      </w:r>
    </w:p>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w:t>
        <w:tab/>
        <w:t>Use</w:t>
      </w:r>
    </w:p>
    <w:p>
      <w:pPr>
        <w:spacing w:after="0" w:line="220" w:lineRule="exact"/>
        <w:rPr>
          <w:sz w:val="20"/>
          <w:szCs w:val="20"/>
          <w:color w:val="auto"/>
        </w:rPr>
      </w:pPr>
    </w:p>
    <w:p>
      <w:pPr>
        <w:ind w:left="1060" w:hanging="512"/>
        <w:spacing w:after="0" w:line="246" w:lineRule="auto"/>
        <w:tabs>
          <w:tab w:leader="none" w:pos="10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Term Loan Facility shall be made available to the Borrowers solely for the purpose of assisting the Borrowers to refinance in full the Existing Indebtedness.</w:t>
      </w:r>
    </w:p>
    <w:p>
      <w:pPr>
        <w:spacing w:after="0" w:line="183" w:lineRule="exact"/>
        <w:rPr>
          <w:rFonts w:ascii="Arial" w:cs="Arial" w:eastAsia="Arial" w:hAnsi="Arial"/>
          <w:sz w:val="18"/>
          <w:szCs w:val="18"/>
          <w:color w:val="auto"/>
        </w:rPr>
      </w:pPr>
    </w:p>
    <w:p>
      <w:pPr>
        <w:jc w:val="both"/>
        <w:ind w:left="1060" w:hanging="512"/>
        <w:spacing w:after="0" w:line="238" w:lineRule="auto"/>
        <w:tabs>
          <w:tab w:leader="none" w:pos="10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Revolving Loan Facility shall be made available to the Borrowers initially for the purpose of assisting the Borrowers to refinance in full the Existing Indebtedness, but only if and to the extent that the proceeds of the Term Loan Facility are not sufficient for such purpose, and, following the full refinancing of the Existing Indebtedness, for general corporate and working capital purposes of the Group and, in the case of Rollover Loans under a Revolving Loan Ship Tranche, to repay maturing Revolving Loans under the same Revolving Loan Ship Tranche.</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3.3</w:t>
        <w:tab/>
        <w:t>Monitoring</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 Finance Party is bound to monitor or verify the application of any amount borrowed pursuant to this Agreement.</w:t>
      </w:r>
    </w:p>
    <w:p>
      <w:pPr>
        <w:spacing w:after="0" w:line="176" w:lineRule="exact"/>
        <w:rPr>
          <w:sz w:val="20"/>
          <w:szCs w:val="20"/>
          <w:color w:val="auto"/>
        </w:rPr>
      </w:pPr>
    </w:p>
    <w:p>
      <w:pPr>
        <w:ind w:left="540" w:hanging="532"/>
        <w:spacing w:after="0"/>
        <w:tabs>
          <w:tab w:leader="none" w:pos="5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of Utilisation</w:t>
      </w:r>
    </w:p>
    <w:p>
      <w:pPr>
        <w:spacing w:after="0" w:line="19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7"/>
          <w:szCs w:val="17"/>
          <w:b w:val="1"/>
          <w:bCs w:val="1"/>
          <w:color w:val="auto"/>
        </w:rPr>
        <w:t>Conditions precedent to delivering of a Utilisation Request</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The Borrowers may not deliver a Utilisation Request unless the Agent, or its duly authorised representative, has received all of the documents and other evidence listed in Part 1 of Schedule 3 (</w:t>
      </w:r>
      <w:r>
        <w:rPr>
          <w:rFonts w:ascii="Arial" w:cs="Arial" w:eastAsia="Arial" w:hAnsi="Arial"/>
          <w:sz w:val="18"/>
          <w:szCs w:val="18"/>
          <w:i w:val="1"/>
          <w:iCs w:val="1"/>
          <w:color w:val="auto"/>
        </w:rPr>
        <w:t>Conditions precedent to any Utilisation</w:t>
      </w:r>
      <w:r>
        <w:rPr>
          <w:rFonts w:ascii="Arial" w:cs="Arial" w:eastAsia="Arial" w:hAnsi="Arial"/>
          <w:sz w:val="18"/>
          <w:szCs w:val="18"/>
          <w:color w:val="auto"/>
        </w:rPr>
        <w:t>) in form and substance satisfactory to the Agent.</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4.2</w:t>
        <w:tab/>
        <w:t>Conditions precedent to Utilisation</w:t>
      </w:r>
    </w:p>
    <w:p>
      <w:pPr>
        <w:spacing w:after="0" w:line="2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Term Loan Ship Commitment and the Revolving Loan Ship Commitment in respect of a Ship may only be drawn down under this</w:t>
      </w:r>
    </w:p>
    <w:p>
      <w:pPr>
        <w:ind w:left="540"/>
        <w:spacing w:after="0" w:line="234" w:lineRule="auto"/>
        <w:rPr>
          <w:sz w:val="20"/>
          <w:szCs w:val="20"/>
          <w:color w:val="auto"/>
        </w:rPr>
      </w:pPr>
      <w:r>
        <w:rPr>
          <w:rFonts w:ascii="Arial" w:cs="Arial" w:eastAsia="Arial" w:hAnsi="Arial"/>
          <w:sz w:val="18"/>
          <w:szCs w:val="18"/>
          <w:color w:val="auto"/>
        </w:rPr>
        <w:t>Agreement if, on or before the Utilisation of the relevant Term Loan for that Ship and the Utilisation of the first Revolving Loan for that</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Ship, respectively, the Agent, or its duly authorised representative, has received all of the documents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82" w:name="page83"/>
    <w:bookmarkEnd w:id="82"/>
    <w:p>
      <w:pPr>
        <w:jc w:val="both"/>
        <w:ind w:left="540" w:right="20"/>
        <w:spacing w:after="0" w:line="267" w:lineRule="auto"/>
        <w:rPr>
          <w:sz w:val="20"/>
          <w:szCs w:val="20"/>
          <w:color w:val="auto"/>
        </w:rPr>
      </w:pPr>
      <w:r>
        <w:rPr>
          <w:rFonts w:ascii="Arial" w:cs="Arial" w:eastAsia="Arial" w:hAnsi="Arial"/>
          <w:sz w:val="18"/>
          <w:szCs w:val="18"/>
          <w:color w:val="auto"/>
        </w:rPr>
        <w:t>and evidence listed in Schedule 3 , Part 2 (</w:t>
      </w:r>
      <w:r>
        <w:rPr>
          <w:rFonts w:ascii="Arial" w:cs="Arial" w:eastAsia="Arial" w:hAnsi="Arial"/>
          <w:sz w:val="18"/>
          <w:szCs w:val="18"/>
          <w:i w:val="1"/>
          <w:iCs w:val="1"/>
          <w:color w:val="auto"/>
        </w:rPr>
        <w:t>Conditions precedent to initial Utilisation</w:t>
      </w:r>
      <w:r>
        <w:rPr>
          <w:rFonts w:ascii="Arial" w:cs="Arial" w:eastAsia="Arial" w:hAnsi="Arial"/>
          <w:sz w:val="18"/>
          <w:szCs w:val="18"/>
          <w:color w:val="auto"/>
        </w:rPr>
        <w:t>) in relation to such Ship, in form and substance satisfactory to the Agent.</w:t>
      </w:r>
    </w:p>
    <w:p>
      <w:pPr>
        <w:spacing w:after="0" w:line="14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7"/>
          <w:szCs w:val="17"/>
          <w:b w:val="1"/>
          <w:bCs w:val="1"/>
          <w:color w:val="auto"/>
        </w:rPr>
        <w:t>Notice to Lenders</w:t>
      </w:r>
    </w:p>
    <w:p>
      <w:pPr>
        <w:spacing w:after="0" w:line="220" w:lineRule="exact"/>
        <w:rPr>
          <w:sz w:val="20"/>
          <w:szCs w:val="20"/>
          <w:color w:val="auto"/>
        </w:rPr>
      </w:pPr>
    </w:p>
    <w:p>
      <w:pPr>
        <w:jc w:val="both"/>
        <w:ind w:left="540"/>
        <w:spacing w:after="0" w:line="239" w:lineRule="auto"/>
        <w:rPr>
          <w:sz w:val="20"/>
          <w:szCs w:val="20"/>
          <w:color w:val="auto"/>
        </w:rPr>
      </w:pPr>
      <w:r>
        <w:rPr>
          <w:rFonts w:ascii="Arial" w:cs="Arial" w:eastAsia="Arial" w:hAnsi="Arial"/>
          <w:sz w:val="18"/>
          <w:szCs w:val="18"/>
          <w:color w:val="auto"/>
        </w:rPr>
        <w:t>The Agent shall notify the Borrowers and the Lenders promptly upon receiving and being satisfied with all of the documents and evidence delivered to it under this clause 4. Other than to the extent that the Majority Lenders notify the Agent in writing to the contrary before the Agent gives any such notification, the Lenders authorise (but do not require) the Agent to give that notification. The Agent shall not be liable for any damages, costs or losses whatsoever as a result of giving any such notification.</w:t>
      </w:r>
    </w:p>
    <w:p>
      <w:pPr>
        <w:spacing w:after="0" w:line="16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7"/>
          <w:szCs w:val="17"/>
          <w:b w:val="1"/>
          <w:bCs w:val="1"/>
          <w:color w:val="auto"/>
        </w:rPr>
        <w:t>Further conditions precedent</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Lenders will only be obliged to comply with clause 5.4 (</w:t>
      </w:r>
      <w:r>
        <w:rPr>
          <w:rFonts w:ascii="Arial" w:cs="Arial" w:eastAsia="Arial" w:hAnsi="Arial"/>
          <w:sz w:val="18"/>
          <w:szCs w:val="18"/>
          <w:i w:val="1"/>
          <w:iCs w:val="1"/>
          <w:color w:val="auto"/>
        </w:rPr>
        <w:t>Lenders’ participation</w:t>
      </w:r>
      <w:r>
        <w:rPr>
          <w:rFonts w:ascii="Arial" w:cs="Arial" w:eastAsia="Arial" w:hAnsi="Arial"/>
          <w:sz w:val="18"/>
          <w:szCs w:val="18"/>
          <w:color w:val="auto"/>
        </w:rPr>
        <w:t>):</w:t>
      </w:r>
    </w:p>
    <w:p>
      <w:pPr>
        <w:spacing w:after="0" w:line="216" w:lineRule="exact"/>
        <w:rPr>
          <w:sz w:val="20"/>
          <w:szCs w:val="20"/>
          <w:color w:val="auto"/>
        </w:rPr>
      </w:pPr>
    </w:p>
    <w:p>
      <w:pPr>
        <w:ind w:left="1060" w:right="20" w:hanging="512"/>
        <w:spacing w:after="0" w:line="246" w:lineRule="auto"/>
        <w:tabs>
          <w:tab w:leader="none" w:pos="10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respect of a Term Loan or a Revolving Loan which is not a Rollover Loan, if on the date of the Utilisation Request and on the proposed Utilisation Date:</w:t>
      </w:r>
    </w:p>
    <w:p>
      <w:pPr>
        <w:spacing w:after="0" w:line="183" w:lineRule="exact"/>
        <w:rPr>
          <w:rFonts w:ascii="Arial" w:cs="Arial" w:eastAsia="Arial" w:hAnsi="Arial"/>
          <w:sz w:val="18"/>
          <w:szCs w:val="18"/>
          <w:color w:val="auto"/>
        </w:rPr>
      </w:pPr>
    </w:p>
    <w:p>
      <w:pPr>
        <w:ind w:left="1560" w:hanging="539"/>
        <w:spacing w:after="0"/>
        <w:tabs>
          <w:tab w:leader="none" w:pos="15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no Default is continuing or would result from the proposed Utilisation;</w:t>
      </w:r>
    </w:p>
    <w:p>
      <w:pPr>
        <w:spacing w:after="0" w:line="198" w:lineRule="exact"/>
        <w:rPr>
          <w:rFonts w:ascii="Arial" w:cs="Arial" w:eastAsia="Arial" w:hAnsi="Arial"/>
          <w:sz w:val="18"/>
          <w:szCs w:val="18"/>
          <w:color w:val="auto"/>
        </w:rPr>
      </w:pPr>
    </w:p>
    <w:p>
      <w:pPr>
        <w:ind w:left="1560" w:right="20" w:hanging="539"/>
        <w:spacing w:after="0" w:line="246" w:lineRule="auto"/>
        <w:tabs>
          <w:tab w:leader="none" w:pos="15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Repeating Representations are true and, in relation to the first Utilisation under this Agreement, all of the other representations set out in clause 18 (</w:t>
      </w:r>
      <w:r>
        <w:rPr>
          <w:rFonts w:ascii="Arial" w:cs="Arial" w:eastAsia="Arial" w:hAnsi="Arial"/>
          <w:sz w:val="18"/>
          <w:szCs w:val="18"/>
          <w:i w:val="1"/>
          <w:iCs w:val="1"/>
          <w:color w:val="auto"/>
        </w:rPr>
        <w:t>Representations</w:t>
      </w:r>
      <w:r>
        <w:rPr>
          <w:rFonts w:ascii="Arial" w:cs="Arial" w:eastAsia="Arial" w:hAnsi="Arial"/>
          <w:sz w:val="18"/>
          <w:szCs w:val="18"/>
          <w:color w:val="auto"/>
        </w:rPr>
        <w:t>) (except the Ship Representations) are true;</w:t>
      </w:r>
    </w:p>
    <w:p>
      <w:pPr>
        <w:spacing w:after="0" w:line="183" w:lineRule="exact"/>
        <w:rPr>
          <w:rFonts w:ascii="Arial" w:cs="Arial" w:eastAsia="Arial" w:hAnsi="Arial"/>
          <w:sz w:val="18"/>
          <w:szCs w:val="18"/>
          <w:color w:val="auto"/>
        </w:rPr>
      </w:pPr>
    </w:p>
    <w:p>
      <w:pPr>
        <w:ind w:left="1560" w:hanging="539"/>
        <w:spacing w:after="0" w:line="246" w:lineRule="auto"/>
        <w:tabs>
          <w:tab w:leader="none" w:pos="15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where the proposed Utilisation Date is to be the first day of the Mortgage Period for a Ship, the Ship Representations are true;</w:t>
      </w:r>
    </w:p>
    <w:p>
      <w:pPr>
        <w:spacing w:after="0" w:line="183" w:lineRule="exact"/>
        <w:rPr>
          <w:rFonts w:ascii="Arial" w:cs="Arial" w:eastAsia="Arial" w:hAnsi="Arial"/>
          <w:sz w:val="18"/>
          <w:szCs w:val="18"/>
          <w:color w:val="auto"/>
        </w:rPr>
      </w:pPr>
    </w:p>
    <w:p>
      <w:pPr>
        <w:jc w:val="both"/>
        <w:ind w:left="1560" w:hanging="539"/>
        <w:spacing w:after="0"/>
        <w:tabs>
          <w:tab w:leader="none" w:pos="15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no events, facts, conditions or circumstances shall exist or have arisen or occurred (and neither the Agent nor any Lender shall have become aware of other events, facts, conditions or circumstances not previously known to it), which the Agent (acting on the instructions of the Majority Lenders) shall determine, have had or might have, a Material Adverse Effect;</w:t>
      </w:r>
    </w:p>
    <w:p>
      <w:pPr>
        <w:spacing w:after="0" w:line="189" w:lineRule="exact"/>
        <w:rPr>
          <w:rFonts w:ascii="Arial" w:cs="Arial" w:eastAsia="Arial" w:hAnsi="Arial"/>
          <w:sz w:val="18"/>
          <w:szCs w:val="18"/>
          <w:color w:val="auto"/>
        </w:rPr>
      </w:pPr>
    </w:p>
    <w:p>
      <w:pPr>
        <w:ind w:left="1560" w:hanging="539"/>
        <w:spacing w:after="0"/>
        <w:tabs>
          <w:tab w:leader="none" w:pos="15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no Total Loss Date has occurred in relation to any Ship;</w:t>
      </w:r>
    </w:p>
    <w:p>
      <w:pPr>
        <w:spacing w:after="0" w:line="198" w:lineRule="exact"/>
        <w:rPr>
          <w:rFonts w:ascii="Arial" w:cs="Arial" w:eastAsia="Arial" w:hAnsi="Arial"/>
          <w:sz w:val="18"/>
          <w:szCs w:val="18"/>
          <w:color w:val="auto"/>
        </w:rPr>
      </w:pPr>
    </w:p>
    <w:p>
      <w:pPr>
        <w:ind w:left="1560" w:hanging="539"/>
        <w:spacing w:after="0"/>
        <w:tabs>
          <w:tab w:leader="none" w:pos="15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Security Value would not be less than the Minimum Value immediately after the proposed Utilisation; and</w:t>
      </w:r>
    </w:p>
    <w:p>
      <w:pPr>
        <w:spacing w:after="0" w:line="180" w:lineRule="exact"/>
        <w:rPr>
          <w:rFonts w:ascii="Arial" w:cs="Arial" w:eastAsia="Arial" w:hAnsi="Arial"/>
          <w:sz w:val="18"/>
          <w:szCs w:val="18"/>
          <w:color w:val="auto"/>
        </w:rPr>
      </w:pPr>
    </w:p>
    <w:p>
      <w:pPr>
        <w:ind w:left="1560" w:right="20" w:hanging="539"/>
        <w:spacing w:after="0" w:line="267" w:lineRule="auto"/>
        <w:tabs>
          <w:tab w:leader="none" w:pos="15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no prepayment or cancellation event has occurred under clause 7.9 (</w:t>
      </w:r>
      <w:r>
        <w:rPr>
          <w:rFonts w:ascii="Arial" w:cs="Arial" w:eastAsia="Arial" w:hAnsi="Arial"/>
          <w:sz w:val="18"/>
          <w:szCs w:val="18"/>
          <w:i w:val="1"/>
          <w:iCs w:val="1"/>
          <w:color w:val="auto"/>
        </w:rPr>
        <w:t>Mandatory prepayment and cancellation following non-compliance with Sanctions</w:t>
      </w:r>
      <w:r>
        <w:rPr>
          <w:rFonts w:ascii="Arial" w:cs="Arial" w:eastAsia="Arial" w:hAnsi="Arial"/>
          <w:sz w:val="18"/>
          <w:szCs w:val="18"/>
          <w:color w:val="auto"/>
        </w:rPr>
        <w:t>); or</w:t>
      </w:r>
    </w:p>
    <w:p>
      <w:pPr>
        <w:spacing w:after="0" w:line="165" w:lineRule="exact"/>
        <w:rPr>
          <w:rFonts w:ascii="Arial" w:cs="Arial" w:eastAsia="Arial" w:hAnsi="Arial"/>
          <w:sz w:val="18"/>
          <w:szCs w:val="18"/>
          <w:color w:val="auto"/>
        </w:rPr>
      </w:pPr>
    </w:p>
    <w:p>
      <w:pPr>
        <w:ind w:left="1060" w:hanging="512"/>
        <w:spacing w:after="0"/>
        <w:tabs>
          <w:tab w:leader="none" w:pos="10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respect of a Rollover Loan, if on the date of the Utilisation Request and on the proposed Utilisation Date:</w:t>
      </w:r>
    </w:p>
    <w:p>
      <w:pPr>
        <w:spacing w:after="0" w:line="198" w:lineRule="exact"/>
        <w:rPr>
          <w:rFonts w:ascii="Arial" w:cs="Arial" w:eastAsia="Arial" w:hAnsi="Arial"/>
          <w:sz w:val="18"/>
          <w:szCs w:val="18"/>
          <w:color w:val="auto"/>
        </w:rPr>
      </w:pPr>
    </w:p>
    <w:p>
      <w:pPr>
        <w:ind w:left="1560" w:hanging="539"/>
        <w:spacing w:after="0"/>
        <w:tabs>
          <w:tab w:leader="none" w:pos="15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no Event of Default is continuing or would result from the proposed Utilisation;</w:t>
      </w:r>
    </w:p>
    <w:p>
      <w:pPr>
        <w:spacing w:after="0" w:line="198" w:lineRule="exact"/>
        <w:rPr>
          <w:rFonts w:ascii="Arial" w:cs="Arial" w:eastAsia="Arial" w:hAnsi="Arial"/>
          <w:sz w:val="18"/>
          <w:szCs w:val="18"/>
          <w:color w:val="auto"/>
        </w:rPr>
      </w:pPr>
    </w:p>
    <w:p>
      <w:pPr>
        <w:ind w:left="1560" w:hanging="539"/>
        <w:spacing w:after="0"/>
        <w:tabs>
          <w:tab w:leader="none" w:pos="15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Repeating Representations are true;</w:t>
      </w:r>
    </w:p>
    <w:p>
      <w:pPr>
        <w:spacing w:after="0" w:line="198" w:lineRule="exact"/>
        <w:rPr>
          <w:rFonts w:ascii="Arial" w:cs="Arial" w:eastAsia="Arial" w:hAnsi="Arial"/>
          <w:sz w:val="18"/>
          <w:szCs w:val="18"/>
          <w:color w:val="auto"/>
        </w:rPr>
      </w:pPr>
    </w:p>
    <w:p>
      <w:pPr>
        <w:ind w:left="1560" w:hanging="539"/>
        <w:spacing w:after="0"/>
        <w:tabs>
          <w:tab w:leader="none" w:pos="15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no Total Loss Date has occurred in relation to any Ship; and</w:t>
      </w:r>
    </w:p>
    <w:p>
      <w:pPr>
        <w:spacing w:after="0" w:line="180" w:lineRule="exact"/>
        <w:rPr>
          <w:rFonts w:ascii="Arial" w:cs="Arial" w:eastAsia="Arial" w:hAnsi="Arial"/>
          <w:sz w:val="18"/>
          <w:szCs w:val="18"/>
          <w:color w:val="auto"/>
        </w:rPr>
      </w:pPr>
    </w:p>
    <w:p>
      <w:pPr>
        <w:ind w:left="1560" w:right="20" w:hanging="539"/>
        <w:spacing w:after="0" w:line="267" w:lineRule="auto"/>
        <w:tabs>
          <w:tab w:leader="none" w:pos="15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 xml:space="preserve">no prepayment or cancellation event has occurred under clause 7.9 </w:t>
      </w:r>
      <w:r>
        <w:rPr>
          <w:rFonts w:ascii="Arial" w:cs="Arial" w:eastAsia="Arial" w:hAnsi="Arial"/>
          <w:sz w:val="18"/>
          <w:szCs w:val="18"/>
          <w:i w:val="1"/>
          <w:iCs w:val="1"/>
          <w:color w:val="auto"/>
        </w:rPr>
        <w:t>(Mandatory prepayment and cancellation following non-compliance with Sanctions).</w:t>
      </w:r>
    </w:p>
    <w:p>
      <w:pPr>
        <w:spacing w:after="0" w:line="14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7"/>
          <w:szCs w:val="17"/>
          <w:b w:val="1"/>
          <w:bCs w:val="1"/>
          <w:color w:val="auto"/>
        </w:rPr>
        <w:t>Waiver of conditions precedent</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 xml:space="preserve">The conditions in this clause 4 are inserted solely for the benefit of the Finance Parties and may be waived on their behalf in whole or in part and with or without conditions by the Agent acting on the instructions of the Majority Lenders </w:t>
      </w:r>
      <w:r>
        <w:rPr>
          <w:rFonts w:ascii="Arial" w:cs="Arial" w:eastAsia="Arial" w:hAnsi="Arial"/>
          <w:sz w:val="18"/>
          <w:szCs w:val="18"/>
          <w:b w:val="1"/>
          <w:bCs w:val="1"/>
          <w:color w:val="auto"/>
        </w:rPr>
        <w:t>provided however that</w:t>
      </w:r>
      <w:r>
        <w:rPr>
          <w:rFonts w:ascii="Arial" w:cs="Arial" w:eastAsia="Arial" w:hAnsi="Arial"/>
          <w:sz w:val="18"/>
          <w:szCs w:val="18"/>
          <w:color w:val="auto"/>
        </w:rPr>
        <w:t xml:space="preserve"> the conditions set out under clauses 2, 3, 4 and 7 of Part 1 and clauses 2, 3(a), 4, 5, 6 and 8 and of Part 2 of Schedule 3</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83" w:name="page84"/>
    <w:bookmarkEnd w:id="83"/>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Conditions precedent</w:t>
      </w:r>
      <w:r>
        <w:rPr>
          <w:rFonts w:ascii="Arial" w:cs="Arial" w:eastAsia="Arial" w:hAnsi="Arial"/>
          <w:sz w:val="18"/>
          <w:szCs w:val="18"/>
          <w:color w:val="auto"/>
        </w:rPr>
        <w:t>) may only be waived by the Agent, acting on the instructions of all the Lenders.</w:t>
      </w:r>
    </w:p>
    <w:p>
      <w:pPr>
        <w:spacing w:after="0" w:line="194" w:lineRule="exact"/>
        <w:rPr>
          <w:sz w:val="20"/>
          <w:szCs w:val="20"/>
          <w:color w:val="auto"/>
        </w:rPr>
      </w:pPr>
    </w:p>
    <w:p>
      <w:pPr>
        <w:ind w:left="540" w:hanging="532"/>
        <w:spacing w:after="0"/>
        <w:tabs>
          <w:tab w:leader="none" w:pos="5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Utilisation</w:t>
      </w:r>
    </w:p>
    <w:p>
      <w:pPr>
        <w:spacing w:after="0" w:line="19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5.1</w:t>
        <w:tab/>
        <w:t>Delivery of a Utilisation Request</w:t>
      </w:r>
    </w:p>
    <w:p>
      <w:pPr>
        <w:spacing w:after="0" w:line="220" w:lineRule="exact"/>
        <w:rPr>
          <w:sz w:val="20"/>
          <w:szCs w:val="20"/>
          <w:color w:val="auto"/>
        </w:rPr>
      </w:pPr>
    </w:p>
    <w:p>
      <w:pPr>
        <w:ind w:left="540"/>
        <w:spacing w:after="0" w:line="246" w:lineRule="auto"/>
        <w:rPr>
          <w:sz w:val="20"/>
          <w:szCs w:val="20"/>
          <w:color w:val="auto"/>
        </w:rPr>
      </w:pPr>
      <w:r>
        <w:rPr>
          <w:rFonts w:ascii="Arial" w:cs="Arial" w:eastAsia="Arial" w:hAnsi="Arial"/>
          <w:sz w:val="18"/>
          <w:szCs w:val="18"/>
          <w:color w:val="auto"/>
        </w:rPr>
        <w:t>The Borrowers may utilise the Facilities by delivery to the Agent of a duly completed Utilisation Request not later than 11:00 a.m. five Business Days before the proposed Utilisation Date.</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7"/>
          <w:szCs w:val="17"/>
          <w:b w:val="1"/>
          <w:bCs w:val="1"/>
          <w:color w:val="auto"/>
        </w:rPr>
        <w:t>Completion of a Utilisation Request</w:t>
      </w:r>
    </w:p>
    <w:p>
      <w:pPr>
        <w:spacing w:after="0" w:line="220" w:lineRule="exact"/>
        <w:rPr>
          <w:sz w:val="20"/>
          <w:szCs w:val="20"/>
          <w:color w:val="auto"/>
        </w:rPr>
      </w:pPr>
    </w:p>
    <w:p>
      <w:pPr>
        <w:ind w:left="1060" w:hanging="512"/>
        <w:spacing w:after="0"/>
        <w:tabs>
          <w:tab w:leader="none" w:pos="10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Utilisation Request is irrevocable and will not be regarded as having been duly completed unless:</w:t>
      </w:r>
    </w:p>
    <w:p>
      <w:pPr>
        <w:spacing w:after="0" w:line="198" w:lineRule="exact"/>
        <w:rPr>
          <w:rFonts w:ascii="Arial" w:cs="Arial" w:eastAsia="Arial" w:hAnsi="Arial"/>
          <w:sz w:val="18"/>
          <w:szCs w:val="18"/>
          <w:color w:val="auto"/>
        </w:rPr>
      </w:pPr>
    </w:p>
    <w:p>
      <w:pPr>
        <w:ind w:left="1560" w:hanging="539"/>
        <w:spacing w:after="0"/>
        <w:tabs>
          <w:tab w:leader="none" w:pos="15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it identifies the Facility to be utilised;</w:t>
      </w:r>
    </w:p>
    <w:p>
      <w:pPr>
        <w:spacing w:after="0" w:line="198" w:lineRule="exact"/>
        <w:rPr>
          <w:rFonts w:ascii="Arial" w:cs="Arial" w:eastAsia="Arial" w:hAnsi="Arial"/>
          <w:sz w:val="18"/>
          <w:szCs w:val="18"/>
          <w:color w:val="auto"/>
        </w:rPr>
      </w:pPr>
    </w:p>
    <w:p>
      <w:pPr>
        <w:ind w:left="1560" w:hanging="539"/>
        <w:spacing w:after="0" w:line="246" w:lineRule="auto"/>
        <w:tabs>
          <w:tab w:leader="none" w:pos="15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in relation to a Utilisation under the Term Loan Facility, it identifies the Term Loan Ship Commitment, the Term Loan and the Ship to which it relates;</w:t>
      </w:r>
    </w:p>
    <w:p>
      <w:pPr>
        <w:spacing w:after="0" w:line="183" w:lineRule="exact"/>
        <w:rPr>
          <w:rFonts w:ascii="Arial" w:cs="Arial" w:eastAsia="Arial" w:hAnsi="Arial"/>
          <w:sz w:val="18"/>
          <w:szCs w:val="18"/>
          <w:color w:val="auto"/>
        </w:rPr>
      </w:pPr>
    </w:p>
    <w:p>
      <w:pPr>
        <w:ind w:left="1560" w:hanging="539"/>
        <w:spacing w:after="0" w:line="246" w:lineRule="auto"/>
        <w:tabs>
          <w:tab w:leader="none" w:pos="15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in relation to a Utilisation under the Revolving Loan Facility, it identifies the Revolving Loan Ship Commitment, the Revolving Loan Ship Tranche and the Ship to which it relates;</w:t>
      </w:r>
    </w:p>
    <w:p>
      <w:pPr>
        <w:spacing w:after="0" w:line="183" w:lineRule="exact"/>
        <w:rPr>
          <w:rFonts w:ascii="Arial" w:cs="Arial" w:eastAsia="Arial" w:hAnsi="Arial"/>
          <w:sz w:val="18"/>
          <w:szCs w:val="18"/>
          <w:color w:val="auto"/>
        </w:rPr>
      </w:pPr>
    </w:p>
    <w:p>
      <w:pPr>
        <w:ind w:left="1560" w:hanging="539"/>
        <w:spacing w:after="0" w:line="246" w:lineRule="auto"/>
        <w:tabs>
          <w:tab w:leader="none" w:pos="15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proposed Utilisation Date in respect of a Loan under a Facility is a Business Day falling not later than the Last Availability Date for that Facility;</w:t>
      </w:r>
    </w:p>
    <w:p>
      <w:pPr>
        <w:spacing w:after="0" w:line="183" w:lineRule="exact"/>
        <w:rPr>
          <w:rFonts w:ascii="Arial" w:cs="Arial" w:eastAsia="Arial" w:hAnsi="Arial"/>
          <w:sz w:val="18"/>
          <w:szCs w:val="18"/>
          <w:color w:val="auto"/>
        </w:rPr>
      </w:pPr>
    </w:p>
    <w:p>
      <w:pPr>
        <w:ind w:left="1560" w:hanging="539"/>
        <w:spacing w:after="0" w:line="246" w:lineRule="auto"/>
        <w:tabs>
          <w:tab w:leader="none" w:pos="15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in relation to a Utilisation of any Revolving Loan under the Revolving Loan Facility, a Utilisation of all the Term Loans has been made or will be made before or simultaneously with such Utilisation;</w:t>
      </w:r>
    </w:p>
    <w:p>
      <w:pPr>
        <w:spacing w:after="0" w:line="165" w:lineRule="exact"/>
        <w:rPr>
          <w:rFonts w:ascii="Arial" w:cs="Arial" w:eastAsia="Arial" w:hAnsi="Arial"/>
          <w:sz w:val="18"/>
          <w:szCs w:val="18"/>
          <w:color w:val="auto"/>
        </w:rPr>
      </w:pPr>
    </w:p>
    <w:p>
      <w:pPr>
        <w:ind w:left="1560" w:hanging="539"/>
        <w:spacing w:after="0"/>
        <w:tabs>
          <w:tab w:leader="none" w:pos="15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currency and amount of the Utilisation comply with this clause 5.2 and with clause 5.3 (</w:t>
      </w:r>
      <w:r>
        <w:rPr>
          <w:rFonts w:ascii="Arial" w:cs="Arial" w:eastAsia="Arial" w:hAnsi="Arial"/>
          <w:sz w:val="18"/>
          <w:szCs w:val="18"/>
          <w:i w:val="1"/>
          <w:iCs w:val="1"/>
          <w:color w:val="auto"/>
        </w:rPr>
        <w:t>Currency and amount</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1560" w:hanging="539"/>
        <w:spacing w:after="0"/>
        <w:tabs>
          <w:tab w:leader="none" w:pos="15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proposed Interest Period complies with clause 9 (</w:t>
      </w:r>
      <w:r>
        <w:rPr>
          <w:rFonts w:ascii="Arial" w:cs="Arial" w:eastAsia="Arial" w:hAnsi="Arial"/>
          <w:sz w:val="18"/>
          <w:szCs w:val="18"/>
          <w:i w:val="1"/>
          <w:iCs w:val="1"/>
          <w:color w:val="auto"/>
        </w:rPr>
        <w:t>Interest Periods</w:t>
      </w:r>
      <w:r>
        <w:rPr>
          <w:rFonts w:ascii="Arial" w:cs="Arial" w:eastAsia="Arial" w:hAnsi="Arial"/>
          <w:sz w:val="18"/>
          <w:szCs w:val="18"/>
          <w:color w:val="auto"/>
        </w:rPr>
        <w:t>); and</w:t>
      </w:r>
    </w:p>
    <w:p>
      <w:pPr>
        <w:spacing w:after="0" w:line="198" w:lineRule="exact"/>
        <w:rPr>
          <w:rFonts w:ascii="Arial" w:cs="Arial" w:eastAsia="Arial" w:hAnsi="Arial"/>
          <w:sz w:val="18"/>
          <w:szCs w:val="18"/>
          <w:color w:val="auto"/>
        </w:rPr>
      </w:pPr>
    </w:p>
    <w:p>
      <w:pPr>
        <w:ind w:left="1560" w:hanging="539"/>
        <w:spacing w:after="0"/>
        <w:tabs>
          <w:tab w:leader="none" w:pos="15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it identifies the purpose for the Utilisation and that purpose complies with clause 3 (</w:t>
      </w:r>
      <w:r>
        <w:rPr>
          <w:rFonts w:ascii="Arial" w:cs="Arial" w:eastAsia="Arial" w:hAnsi="Arial"/>
          <w:sz w:val="18"/>
          <w:szCs w:val="18"/>
          <w:i w:val="1"/>
          <w:iCs w:val="1"/>
          <w:color w:val="auto"/>
        </w:rPr>
        <w:t>Purpose</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1060" w:hanging="512"/>
        <w:spacing w:after="0" w:line="246" w:lineRule="auto"/>
        <w:tabs>
          <w:tab w:leader="none" w:pos="10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All Term Loans will be requested in a single Utilisation Request for Utilisation on the same Utilisation Date and at the same time, and only one Term Loan may be made in respect of each Ship under the relevant Term Loan Ship Commitment.</w:t>
      </w:r>
    </w:p>
    <w:p>
      <w:pPr>
        <w:spacing w:after="0" w:line="183" w:lineRule="exact"/>
        <w:rPr>
          <w:rFonts w:ascii="Arial" w:cs="Arial" w:eastAsia="Arial" w:hAnsi="Arial"/>
          <w:sz w:val="18"/>
          <w:szCs w:val="18"/>
          <w:color w:val="auto"/>
        </w:rPr>
      </w:pPr>
    </w:p>
    <w:p>
      <w:pPr>
        <w:jc w:val="both"/>
        <w:ind w:left="1060" w:hanging="512"/>
        <w:spacing w:after="0"/>
        <w:tabs>
          <w:tab w:leader="none" w:pos="10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 Revolving Loan Ship Tranche (nor any Revolving Loan thereunder) shall be requested in a Utilisation Request or made available under the Revolving Loan Facility, unless all Term Loans and Term Loan Ship Commitments under the Term Loan Facility have been utilised in full or will be so utilised simultaneously with such Utilisation of a Revolving Loan.</w:t>
      </w:r>
    </w:p>
    <w:p>
      <w:pPr>
        <w:spacing w:after="0" w:line="189" w:lineRule="exact"/>
        <w:rPr>
          <w:rFonts w:ascii="Arial" w:cs="Arial" w:eastAsia="Arial" w:hAnsi="Arial"/>
          <w:sz w:val="18"/>
          <w:szCs w:val="18"/>
          <w:color w:val="auto"/>
        </w:rPr>
      </w:pPr>
    </w:p>
    <w:p>
      <w:pPr>
        <w:ind w:left="1060" w:hanging="512"/>
        <w:spacing w:after="0"/>
        <w:tabs>
          <w:tab w:leader="none" w:pos="10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Only one Revolving Loan under each Revolving Loan Ship Tranche may be requested in each Utilisation Request.</w:t>
      </w:r>
    </w:p>
    <w:p>
      <w:pPr>
        <w:spacing w:after="0" w:line="198" w:lineRule="exact"/>
        <w:rPr>
          <w:rFonts w:ascii="Arial" w:cs="Arial" w:eastAsia="Arial" w:hAnsi="Arial"/>
          <w:sz w:val="18"/>
          <w:szCs w:val="18"/>
          <w:color w:val="auto"/>
        </w:rPr>
      </w:pPr>
    </w:p>
    <w:p>
      <w:pPr>
        <w:ind w:left="1060" w:hanging="512"/>
        <w:spacing w:after="0" w:line="246" w:lineRule="auto"/>
        <w:tabs>
          <w:tab w:leader="none" w:pos="10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Borrowers may not deliver a Utilisation Request if, at the time of the proposed Utilisation, more than two (2) Revolving Loans would be outstanding under the same Revolving Loan Ship Tranche.</w:t>
      </w:r>
    </w:p>
    <w:p>
      <w:pPr>
        <w:spacing w:after="0" w:line="183" w:lineRule="exact"/>
        <w:rPr>
          <w:rFonts w:ascii="Arial" w:cs="Arial" w:eastAsia="Arial" w:hAnsi="Arial"/>
          <w:sz w:val="18"/>
          <w:szCs w:val="18"/>
          <w:color w:val="auto"/>
        </w:rPr>
      </w:pPr>
    </w:p>
    <w:p>
      <w:pPr>
        <w:jc w:val="both"/>
        <w:ind w:left="1060" w:hanging="512"/>
        <w:spacing w:after="0"/>
        <w:tabs>
          <w:tab w:leader="none" w:pos="10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a Utilisation Request is not provided for a Revolving Loan under a Revolving Loan Ship Tranche and the Borrowers have not stated that such Revolving Loan will be repaid at the end of the Interest Period applicable to it, the Agent shall (provided that the Borrowers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84" w:name="page85"/>
    <w:bookmarkEnd w:id="84"/>
    <w:p>
      <w:pPr>
        <w:jc w:val="both"/>
        <w:ind w:left="1060"/>
        <w:spacing w:after="0" w:line="239" w:lineRule="auto"/>
        <w:rPr>
          <w:sz w:val="20"/>
          <w:szCs w:val="20"/>
          <w:color w:val="auto"/>
        </w:rPr>
      </w:pPr>
      <w:r>
        <w:rPr>
          <w:rFonts w:ascii="Arial" w:cs="Arial" w:eastAsia="Arial" w:hAnsi="Arial"/>
          <w:sz w:val="18"/>
          <w:szCs w:val="18"/>
          <w:color w:val="auto"/>
        </w:rPr>
        <w:t>would not otherwise be restricted from utilising the Revolving Loan Facility and/or that Revolving Loan Ship Tranche) treat that Revolving Loan as a Rollover Loan under that Revolving Loan Ship Tranche, in which case a Utilisation Request shall be deemed to have been submitted in an amount equal to the amount of such Revolving Loan and with a proposed Interest Period of six months.</w:t>
      </w:r>
    </w:p>
    <w:p>
      <w:pPr>
        <w:spacing w:after="0" w:line="16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7"/>
          <w:szCs w:val="17"/>
          <w:b w:val="1"/>
          <w:bCs w:val="1"/>
          <w:color w:val="auto"/>
        </w:rPr>
        <w:t>Currency and amount</w:t>
      </w:r>
    </w:p>
    <w:p>
      <w:pPr>
        <w:spacing w:after="0" w:line="220" w:lineRule="exact"/>
        <w:rPr>
          <w:sz w:val="20"/>
          <w:szCs w:val="20"/>
          <w:color w:val="auto"/>
        </w:rPr>
      </w:pPr>
    </w:p>
    <w:p>
      <w:pPr>
        <w:ind w:left="1060" w:hanging="512"/>
        <w:spacing w:after="0"/>
        <w:tabs>
          <w:tab w:leader="none" w:pos="10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currency specified in a Utilisation Request must be dollars.</w:t>
      </w:r>
    </w:p>
    <w:p>
      <w:pPr>
        <w:spacing w:after="0" w:line="198" w:lineRule="exact"/>
        <w:rPr>
          <w:rFonts w:ascii="Arial" w:cs="Arial" w:eastAsia="Arial" w:hAnsi="Arial"/>
          <w:sz w:val="18"/>
          <w:szCs w:val="18"/>
          <w:color w:val="auto"/>
        </w:rPr>
      </w:pPr>
    </w:p>
    <w:p>
      <w:pPr>
        <w:ind w:left="1060" w:hanging="512"/>
        <w:spacing w:after="0" w:line="246" w:lineRule="auto"/>
        <w:tabs>
          <w:tab w:leader="none" w:pos="10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total amount available and advanced under the Facilities on the first Utilisation under this Agreement shall not exceed the lower of:</w:t>
      </w:r>
    </w:p>
    <w:p>
      <w:pPr>
        <w:spacing w:after="0" w:line="183" w:lineRule="exact"/>
        <w:rPr>
          <w:rFonts w:ascii="Arial" w:cs="Arial" w:eastAsia="Arial" w:hAnsi="Arial"/>
          <w:sz w:val="18"/>
          <w:szCs w:val="18"/>
          <w:color w:val="auto"/>
        </w:rPr>
      </w:pPr>
    </w:p>
    <w:p>
      <w:pPr>
        <w:ind w:left="1560" w:hanging="539"/>
        <w:spacing w:after="0"/>
        <w:tabs>
          <w:tab w:leader="none" w:pos="15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Total Commitments; and</w:t>
      </w:r>
    </w:p>
    <w:p>
      <w:pPr>
        <w:spacing w:after="0" w:line="198" w:lineRule="exact"/>
        <w:rPr>
          <w:rFonts w:ascii="Arial" w:cs="Arial" w:eastAsia="Arial" w:hAnsi="Arial"/>
          <w:sz w:val="18"/>
          <w:szCs w:val="18"/>
          <w:color w:val="auto"/>
        </w:rPr>
      </w:pPr>
    </w:p>
    <w:p>
      <w:pPr>
        <w:ind w:left="1560" w:right="20" w:hanging="539"/>
        <w:spacing w:after="0" w:line="246" w:lineRule="auto"/>
        <w:tabs>
          <w:tab w:leader="none" w:pos="15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amount in dollars which is equal to 68.093% of the aggregate of the market values of all Ships as at the first Utilisation Date as demonstrated by valuations obtained pursuant to Part 2 of Schedule 3 (</w:t>
      </w:r>
      <w:r>
        <w:rPr>
          <w:rFonts w:ascii="Arial" w:cs="Arial" w:eastAsia="Arial" w:hAnsi="Arial"/>
          <w:sz w:val="18"/>
          <w:szCs w:val="18"/>
          <w:i w:val="1"/>
          <w:iCs w:val="1"/>
          <w:color w:val="auto"/>
        </w:rPr>
        <w:t>Conditions precedent to initial Utilisation</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060" w:hanging="512"/>
        <w:spacing w:after="0"/>
        <w:tabs>
          <w:tab w:leader="none" w:pos="10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total amount available and advanced under the Term Loan Facility shall not exceed the lower of:</w:t>
      </w:r>
    </w:p>
    <w:p>
      <w:pPr>
        <w:spacing w:after="0" w:line="198" w:lineRule="exact"/>
        <w:rPr>
          <w:rFonts w:ascii="Arial" w:cs="Arial" w:eastAsia="Arial" w:hAnsi="Arial"/>
          <w:sz w:val="18"/>
          <w:szCs w:val="18"/>
          <w:color w:val="auto"/>
        </w:rPr>
      </w:pPr>
    </w:p>
    <w:p>
      <w:pPr>
        <w:ind w:left="1560" w:hanging="539"/>
        <w:spacing w:after="0"/>
        <w:tabs>
          <w:tab w:leader="none" w:pos="15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Total Term Loan Commitments; and</w:t>
      </w:r>
    </w:p>
    <w:p>
      <w:pPr>
        <w:spacing w:after="0" w:line="198" w:lineRule="exact"/>
        <w:rPr>
          <w:rFonts w:ascii="Arial" w:cs="Arial" w:eastAsia="Arial" w:hAnsi="Arial"/>
          <w:sz w:val="18"/>
          <w:szCs w:val="18"/>
          <w:color w:val="auto"/>
        </w:rPr>
      </w:pPr>
    </w:p>
    <w:p>
      <w:pPr>
        <w:jc w:val="both"/>
        <w:ind w:left="1560" w:hanging="539"/>
        <w:spacing w:after="0"/>
        <w:tabs>
          <w:tab w:leader="none" w:pos="15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amount in dollars which, when aggregated with the amount of the Revolving Loans utilised on the first Utilisation Date, is equal to 68.093% of the aggregate of the market values of all Ships as at the first Utilisation Date as demonstrated by valuations obtained pursuant to Schedule 3, Part 2 (</w:t>
      </w:r>
      <w:r>
        <w:rPr>
          <w:rFonts w:ascii="Arial" w:cs="Arial" w:eastAsia="Arial" w:hAnsi="Arial"/>
          <w:sz w:val="18"/>
          <w:szCs w:val="18"/>
          <w:i w:val="1"/>
          <w:iCs w:val="1"/>
          <w:color w:val="auto"/>
        </w:rPr>
        <w:t>Conditions precedent to initial Utilisation</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1060" w:right="20" w:hanging="512"/>
        <w:spacing w:after="0" w:line="246" w:lineRule="auto"/>
        <w:tabs>
          <w:tab w:leader="none" w:pos="10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total amount available and advanced under all the Revolving Loan Ship Tranches under the Revolving Loan Facility, assuming they are all utilised on the first Utilisation Date together with the Term Loans, shall not exceed the lower of:</w:t>
      </w:r>
    </w:p>
    <w:p>
      <w:pPr>
        <w:spacing w:after="0" w:line="183" w:lineRule="exact"/>
        <w:rPr>
          <w:rFonts w:ascii="Arial" w:cs="Arial" w:eastAsia="Arial" w:hAnsi="Arial"/>
          <w:sz w:val="18"/>
          <w:szCs w:val="18"/>
          <w:color w:val="auto"/>
        </w:rPr>
      </w:pPr>
    </w:p>
    <w:p>
      <w:pPr>
        <w:ind w:left="1560" w:hanging="539"/>
        <w:spacing w:after="0"/>
        <w:tabs>
          <w:tab w:leader="none" w:pos="15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Total Revolving Loan Commitments; and</w:t>
      </w:r>
    </w:p>
    <w:p>
      <w:pPr>
        <w:spacing w:after="0" w:line="198" w:lineRule="exact"/>
        <w:rPr>
          <w:rFonts w:ascii="Arial" w:cs="Arial" w:eastAsia="Arial" w:hAnsi="Arial"/>
          <w:sz w:val="18"/>
          <w:szCs w:val="18"/>
          <w:color w:val="auto"/>
        </w:rPr>
      </w:pPr>
    </w:p>
    <w:p>
      <w:pPr>
        <w:jc w:val="both"/>
        <w:ind w:left="1560" w:hanging="539"/>
        <w:spacing w:after="0"/>
        <w:tabs>
          <w:tab w:leader="none" w:pos="15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amount in dollars which, when aggregated with the amount of all Term Loans utilised on the first Utilisation Date, is equal to 68.093% of the aggregate of the market values of all Ships as at the first Utilisation Date as demonstrated by valuations obtained pursuant to Schedule 3 , Part 2 (</w:t>
      </w:r>
      <w:r>
        <w:rPr>
          <w:rFonts w:ascii="Arial" w:cs="Arial" w:eastAsia="Arial" w:hAnsi="Arial"/>
          <w:sz w:val="18"/>
          <w:szCs w:val="18"/>
          <w:i w:val="1"/>
          <w:iCs w:val="1"/>
          <w:color w:val="auto"/>
        </w:rPr>
        <w:t>Conditions precedent to initial Utilisation</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1060" w:hanging="512"/>
        <w:spacing w:after="0" w:line="246" w:lineRule="auto"/>
        <w:tabs>
          <w:tab w:leader="none" w:pos="10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proposed Term Loan specified in a Utilisation Request in relation to a Ship and the Term Loan in relation to that Ship shall not exceed the lower of:</w:t>
      </w:r>
    </w:p>
    <w:p>
      <w:pPr>
        <w:spacing w:after="0" w:line="183" w:lineRule="exact"/>
        <w:rPr>
          <w:rFonts w:ascii="Arial" w:cs="Arial" w:eastAsia="Arial" w:hAnsi="Arial"/>
          <w:sz w:val="18"/>
          <w:szCs w:val="18"/>
          <w:color w:val="auto"/>
        </w:rPr>
      </w:pPr>
    </w:p>
    <w:p>
      <w:pPr>
        <w:ind w:left="1560" w:hanging="539"/>
        <w:spacing w:after="0"/>
        <w:tabs>
          <w:tab w:leader="none" w:pos="15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Term Loan Ship Commitment for that Ship; and</w:t>
      </w:r>
    </w:p>
    <w:p>
      <w:pPr>
        <w:spacing w:after="0" w:line="198" w:lineRule="exact"/>
        <w:rPr>
          <w:rFonts w:ascii="Arial" w:cs="Arial" w:eastAsia="Arial" w:hAnsi="Arial"/>
          <w:sz w:val="18"/>
          <w:szCs w:val="18"/>
          <w:color w:val="auto"/>
        </w:rPr>
      </w:pPr>
    </w:p>
    <w:p>
      <w:pPr>
        <w:jc w:val="both"/>
        <w:ind w:left="1560" w:hanging="539"/>
        <w:spacing w:after="0" w:line="239" w:lineRule="auto"/>
        <w:tabs>
          <w:tab w:leader="none" w:pos="15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amount in dollars which, when aggregated with the amount of all Revolving Loans of the Revolving Loan Ship Tranche for that Ship utilised on the first Utilisation Date, is equal to 68.093% of the market value of that Ship as at the first Utilisation Date as demonstrated by valuations obtained pursuant to Schedule 3 , Part 2 (</w:t>
      </w:r>
      <w:r>
        <w:rPr>
          <w:rFonts w:ascii="Arial" w:cs="Arial" w:eastAsia="Arial" w:hAnsi="Arial"/>
          <w:sz w:val="18"/>
          <w:szCs w:val="18"/>
          <w:i w:val="1"/>
          <w:iCs w:val="1"/>
          <w:color w:val="auto"/>
        </w:rPr>
        <w:t>Conditions precedent to initial</w:t>
      </w:r>
      <w:r>
        <w:rPr>
          <w:rFonts w:ascii="Arial" w:cs="Arial" w:eastAsia="Arial" w:hAnsi="Arial"/>
          <w:sz w:val="18"/>
          <w:szCs w:val="18"/>
          <w:color w:val="auto"/>
        </w:rPr>
        <w:t xml:space="preserve"> </w:t>
      </w:r>
      <w:r>
        <w:rPr>
          <w:rFonts w:ascii="Arial" w:cs="Arial" w:eastAsia="Arial" w:hAnsi="Arial"/>
          <w:sz w:val="18"/>
          <w:szCs w:val="18"/>
          <w:i w:val="1"/>
          <w:iCs w:val="1"/>
          <w:color w:val="auto"/>
        </w:rPr>
        <w:t>Utilisation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060" w:hanging="512"/>
        <w:spacing w:after="0" w:line="267" w:lineRule="auto"/>
        <w:tabs>
          <w:tab w:leader="none" w:pos="10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Term Loan shall be used for the purpose specified in clause 3 (</w:t>
      </w:r>
      <w:r>
        <w:rPr>
          <w:rFonts w:ascii="Arial" w:cs="Arial" w:eastAsia="Arial" w:hAnsi="Arial"/>
          <w:sz w:val="18"/>
          <w:szCs w:val="18"/>
          <w:i w:val="1"/>
          <w:iCs w:val="1"/>
          <w:color w:val="auto"/>
        </w:rPr>
        <w:t>Purpose</w:t>
      </w:r>
      <w:r>
        <w:rPr>
          <w:rFonts w:ascii="Arial" w:cs="Arial" w:eastAsia="Arial" w:hAnsi="Arial"/>
          <w:sz w:val="18"/>
          <w:szCs w:val="18"/>
          <w:color w:val="auto"/>
        </w:rPr>
        <w:t>) and utilised under the Term Loan Ship Commitment for the Ship to which that Term Loan relates, namely:</w:t>
      </w:r>
    </w:p>
    <w:p>
      <w:pPr>
        <w:spacing w:after="0" w:line="165" w:lineRule="exact"/>
        <w:rPr>
          <w:rFonts w:ascii="Arial" w:cs="Arial" w:eastAsia="Arial" w:hAnsi="Arial"/>
          <w:sz w:val="18"/>
          <w:szCs w:val="18"/>
          <w:color w:val="auto"/>
        </w:rPr>
      </w:pPr>
    </w:p>
    <w:p>
      <w:pPr>
        <w:ind w:left="1560" w:hanging="539"/>
        <w:spacing w:after="0"/>
        <w:tabs>
          <w:tab w:leader="none" w:pos="15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Term Loan A shall be made available under the Term Loan Ship Commitment for Ship 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85" w:name="page86"/>
    <w:bookmarkEnd w:id="85"/>
    <w:p>
      <w:pPr>
        <w:ind w:left="1020" w:hanging="539"/>
        <w:spacing w:after="0"/>
        <w:tabs>
          <w:tab w:leader="none" w:pos="10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Term Loan B shall be made available under the Term Loan Ship Commitment for Ship B;</w:t>
      </w:r>
    </w:p>
    <w:p>
      <w:pPr>
        <w:spacing w:after="0" w:line="198" w:lineRule="exact"/>
        <w:rPr>
          <w:rFonts w:ascii="Arial" w:cs="Arial" w:eastAsia="Arial" w:hAnsi="Arial"/>
          <w:sz w:val="18"/>
          <w:szCs w:val="18"/>
          <w:color w:val="auto"/>
        </w:rPr>
      </w:pPr>
    </w:p>
    <w:p>
      <w:pPr>
        <w:ind w:left="1020" w:hanging="539"/>
        <w:spacing w:after="0"/>
        <w:tabs>
          <w:tab w:leader="none" w:pos="10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Term Loan C shall be made available under the Term Loan Ship Commitment for Ship C;</w:t>
      </w:r>
    </w:p>
    <w:p>
      <w:pPr>
        <w:spacing w:after="0" w:line="198" w:lineRule="exact"/>
        <w:rPr>
          <w:rFonts w:ascii="Arial" w:cs="Arial" w:eastAsia="Arial" w:hAnsi="Arial"/>
          <w:sz w:val="18"/>
          <w:szCs w:val="18"/>
          <w:color w:val="auto"/>
        </w:rPr>
      </w:pPr>
    </w:p>
    <w:p>
      <w:pPr>
        <w:ind w:left="1020" w:hanging="539"/>
        <w:spacing w:after="0"/>
        <w:tabs>
          <w:tab w:leader="none" w:pos="10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Term Loan D shall be made available under the Term Loan Ship Commitment for Ship D;</w:t>
      </w:r>
    </w:p>
    <w:p>
      <w:pPr>
        <w:spacing w:after="0" w:line="198" w:lineRule="exact"/>
        <w:rPr>
          <w:rFonts w:ascii="Arial" w:cs="Arial" w:eastAsia="Arial" w:hAnsi="Arial"/>
          <w:sz w:val="18"/>
          <w:szCs w:val="18"/>
          <w:color w:val="auto"/>
        </w:rPr>
      </w:pPr>
    </w:p>
    <w:p>
      <w:pPr>
        <w:ind w:left="1020" w:hanging="539"/>
        <w:spacing w:after="0"/>
        <w:tabs>
          <w:tab w:leader="none" w:pos="10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Term Loan E shall be made available under the Term Loan Ship Commitment for Ship E;</w:t>
      </w:r>
    </w:p>
    <w:p>
      <w:pPr>
        <w:spacing w:after="0" w:line="198" w:lineRule="exact"/>
        <w:rPr>
          <w:rFonts w:ascii="Arial" w:cs="Arial" w:eastAsia="Arial" w:hAnsi="Arial"/>
          <w:sz w:val="18"/>
          <w:szCs w:val="18"/>
          <w:color w:val="auto"/>
        </w:rPr>
      </w:pPr>
    </w:p>
    <w:p>
      <w:pPr>
        <w:ind w:left="1020" w:hanging="539"/>
        <w:spacing w:after="0"/>
        <w:tabs>
          <w:tab w:leader="none" w:pos="10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Term Loan F shall be made available under the Term Loan Ship Commitment for Ship F;</w:t>
      </w:r>
    </w:p>
    <w:p>
      <w:pPr>
        <w:spacing w:after="0" w:line="198" w:lineRule="exact"/>
        <w:rPr>
          <w:rFonts w:ascii="Arial" w:cs="Arial" w:eastAsia="Arial" w:hAnsi="Arial"/>
          <w:sz w:val="18"/>
          <w:szCs w:val="18"/>
          <w:color w:val="auto"/>
        </w:rPr>
      </w:pPr>
    </w:p>
    <w:p>
      <w:pPr>
        <w:ind w:left="1020" w:hanging="539"/>
        <w:spacing w:after="0"/>
        <w:tabs>
          <w:tab w:leader="none" w:pos="10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Term Loan G shall be made available under the Term Loan Ship Commitment for Ship G; and</w:t>
      </w:r>
    </w:p>
    <w:p>
      <w:pPr>
        <w:spacing w:after="0" w:line="198" w:lineRule="exact"/>
        <w:rPr>
          <w:rFonts w:ascii="Arial" w:cs="Arial" w:eastAsia="Arial" w:hAnsi="Arial"/>
          <w:sz w:val="18"/>
          <w:szCs w:val="18"/>
          <w:color w:val="auto"/>
        </w:rPr>
      </w:pPr>
    </w:p>
    <w:p>
      <w:pPr>
        <w:ind w:left="1020" w:hanging="539"/>
        <w:spacing w:after="0"/>
        <w:tabs>
          <w:tab w:leader="none" w:pos="10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Term Loan H shall be made available under the Term Loan Ship Commitment for Ship H.</w:t>
      </w:r>
    </w:p>
    <w:p>
      <w:pPr>
        <w:spacing w:after="0" w:line="198" w:lineRule="exact"/>
        <w:rPr>
          <w:rFonts w:ascii="Arial" w:cs="Arial" w:eastAsia="Arial" w:hAnsi="Arial"/>
          <w:sz w:val="18"/>
          <w:szCs w:val="18"/>
          <w:color w:val="auto"/>
        </w:rPr>
      </w:pPr>
    </w:p>
    <w:p>
      <w:pPr>
        <w:jc w:val="both"/>
        <w:ind w:left="520" w:hanging="512"/>
        <w:spacing w:after="0"/>
        <w:tabs>
          <w:tab w:leader="none" w:pos="5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Revolving Loan Facility shall be sub-divided into eight (8) Revolving Loan Ship Tranches, one in relation to each Ship and each one in the maximum amount of the Revolving Loan Ship Commitment for that Ship, and each made available in up to 2 Revolving Loans at any time.</w:t>
      </w:r>
    </w:p>
    <w:p>
      <w:pPr>
        <w:spacing w:after="0" w:line="189" w:lineRule="exact"/>
        <w:rPr>
          <w:rFonts w:ascii="Arial" w:cs="Arial" w:eastAsia="Arial" w:hAnsi="Arial"/>
          <w:sz w:val="18"/>
          <w:szCs w:val="18"/>
          <w:color w:val="auto"/>
        </w:rPr>
      </w:pPr>
    </w:p>
    <w:p>
      <w:pPr>
        <w:ind w:left="520" w:hanging="512"/>
        <w:spacing w:after="0" w:line="246" w:lineRule="auto"/>
        <w:tabs>
          <w:tab w:leader="none" w:pos="5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total amount available and advanced under each Revolving Loan Ship Tranche in respect of a Ship under the Revolving Loan Facility, if utilised on the first Utilisation Date together with the Term Loans, shall not exceed the lower of:</w:t>
      </w:r>
    </w:p>
    <w:p>
      <w:pPr>
        <w:spacing w:after="0" w:line="183" w:lineRule="exact"/>
        <w:rPr>
          <w:rFonts w:ascii="Arial" w:cs="Arial" w:eastAsia="Arial" w:hAnsi="Arial"/>
          <w:sz w:val="18"/>
          <w:szCs w:val="18"/>
          <w:color w:val="auto"/>
        </w:rPr>
      </w:pPr>
    </w:p>
    <w:p>
      <w:pPr>
        <w:ind w:left="1020" w:hanging="539"/>
        <w:spacing w:after="0"/>
        <w:tabs>
          <w:tab w:leader="none" w:pos="10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Revolving Loan Ship Commitment for that Ship; and</w:t>
      </w:r>
    </w:p>
    <w:p>
      <w:pPr>
        <w:spacing w:after="0" w:line="198" w:lineRule="exact"/>
        <w:rPr>
          <w:rFonts w:ascii="Arial" w:cs="Arial" w:eastAsia="Arial" w:hAnsi="Arial"/>
          <w:sz w:val="18"/>
          <w:szCs w:val="18"/>
          <w:color w:val="auto"/>
        </w:rPr>
      </w:pPr>
    </w:p>
    <w:p>
      <w:pPr>
        <w:jc w:val="both"/>
        <w:ind w:left="1020" w:hanging="539"/>
        <w:spacing w:after="0"/>
        <w:tabs>
          <w:tab w:leader="none" w:pos="10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amount in dollars which, when aggregated with the amount of the Term Loan for that Ship utilised on the first Utilisation Date, is equal to 68.093% of the market value of that Ship as at the first Utilisation Date as demonstrated by valuations obtained pursuant to Schedule 3 , Part 2 (</w:t>
      </w:r>
      <w:r>
        <w:rPr>
          <w:rFonts w:ascii="Arial" w:cs="Arial" w:eastAsia="Arial" w:hAnsi="Arial"/>
          <w:sz w:val="18"/>
          <w:szCs w:val="18"/>
          <w:i w:val="1"/>
          <w:iCs w:val="1"/>
          <w:color w:val="auto"/>
        </w:rPr>
        <w:t>Conditions precedent to initial Utilisation</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left="520" w:hanging="512"/>
        <w:spacing w:after="0" w:line="238" w:lineRule="auto"/>
        <w:tabs>
          <w:tab w:leader="none" w:pos="5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proposed Revolving Loan specified in a Utilisation Request in relation to a Ship after the first Utilisation Date, must be a minimum of $5,000,000 or, if less, the amount of the Revolving Loan Ship Commitment for that Ship which is then available for Utilisation under this Agreement, less the amount of the outstanding Revolving Loan Ship Tranche for that Ship, and must not exceed (when aggregated with the other outstanding Revolving Loans under that Revolving Loan Ship Tranche) the Revolving Loan Ship Commitment for that Ship.</w:t>
      </w:r>
    </w:p>
    <w:p>
      <w:pPr>
        <w:spacing w:after="0" w:line="171" w:lineRule="exact"/>
        <w:rPr>
          <w:rFonts w:ascii="Arial" w:cs="Arial" w:eastAsia="Arial" w:hAnsi="Arial"/>
          <w:sz w:val="18"/>
          <w:szCs w:val="18"/>
          <w:color w:val="auto"/>
        </w:rPr>
      </w:pPr>
    </w:p>
    <w:p>
      <w:pPr>
        <w:ind w:left="520" w:right="20" w:hanging="512"/>
        <w:spacing w:after="0" w:line="267" w:lineRule="auto"/>
        <w:tabs>
          <w:tab w:leader="none" w:pos="5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Revolving Loan under a Revolving Loan Ship Tranche shall be used for the purpose specified in clause 3 (</w:t>
      </w:r>
      <w:r>
        <w:rPr>
          <w:rFonts w:ascii="Arial" w:cs="Arial" w:eastAsia="Arial" w:hAnsi="Arial"/>
          <w:sz w:val="18"/>
          <w:szCs w:val="18"/>
          <w:i w:val="1"/>
          <w:iCs w:val="1"/>
          <w:color w:val="auto"/>
        </w:rPr>
        <w:t>Purpose</w:t>
      </w:r>
      <w:r>
        <w:rPr>
          <w:rFonts w:ascii="Arial" w:cs="Arial" w:eastAsia="Arial" w:hAnsi="Arial"/>
          <w:sz w:val="18"/>
          <w:szCs w:val="18"/>
          <w:color w:val="auto"/>
        </w:rPr>
        <w:t>) and utilised under the Revolving Loan Ship Commitment for the Ship to which that Revolving Loan Ship Tranche relates, namely:</w:t>
      </w:r>
    </w:p>
    <w:p>
      <w:pPr>
        <w:spacing w:after="0" w:line="165" w:lineRule="exact"/>
        <w:rPr>
          <w:rFonts w:ascii="Arial" w:cs="Arial" w:eastAsia="Arial" w:hAnsi="Arial"/>
          <w:sz w:val="18"/>
          <w:szCs w:val="18"/>
          <w:color w:val="auto"/>
        </w:rPr>
      </w:pPr>
    </w:p>
    <w:p>
      <w:pPr>
        <w:ind w:left="1020" w:hanging="539"/>
        <w:spacing w:after="0" w:line="246" w:lineRule="auto"/>
        <w:tabs>
          <w:tab w:leader="none" w:pos="10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each Revolving Loan made under Revolving Loan Ship Tranche A shall be made available under the Revolving Loan Ship Commitment for Ship A;</w:t>
      </w:r>
    </w:p>
    <w:p>
      <w:pPr>
        <w:spacing w:after="0" w:line="183" w:lineRule="exact"/>
        <w:rPr>
          <w:rFonts w:ascii="Arial" w:cs="Arial" w:eastAsia="Arial" w:hAnsi="Arial"/>
          <w:sz w:val="18"/>
          <w:szCs w:val="18"/>
          <w:color w:val="auto"/>
        </w:rPr>
      </w:pPr>
    </w:p>
    <w:p>
      <w:pPr>
        <w:ind w:left="1020" w:hanging="539"/>
        <w:spacing w:after="0" w:line="246" w:lineRule="auto"/>
        <w:tabs>
          <w:tab w:leader="none" w:pos="10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each Revolving Loan made under Revolving Loan Ship Tranche B shall be made available under the Revolving Loan Ship Commitment for Ship B;</w:t>
      </w:r>
    </w:p>
    <w:p>
      <w:pPr>
        <w:spacing w:after="0" w:line="183" w:lineRule="exact"/>
        <w:rPr>
          <w:rFonts w:ascii="Arial" w:cs="Arial" w:eastAsia="Arial" w:hAnsi="Arial"/>
          <w:sz w:val="18"/>
          <w:szCs w:val="18"/>
          <w:color w:val="auto"/>
        </w:rPr>
      </w:pPr>
    </w:p>
    <w:p>
      <w:pPr>
        <w:ind w:left="1020" w:hanging="539"/>
        <w:spacing w:after="0" w:line="246" w:lineRule="auto"/>
        <w:tabs>
          <w:tab w:leader="none" w:pos="10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each Revolving Loan made under Revolving Loan Ship Tranche C shall be made available under the Revolving Loan Ship Commitment for Ship C;</w:t>
      </w:r>
    </w:p>
    <w:p>
      <w:pPr>
        <w:spacing w:after="0" w:line="17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135255</wp:posOffset>
            </wp:positionV>
            <wp:extent cx="724662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80"/>
          </w:cols>
          <w:pgMar w:left="780" w:top="422" w:right="239" w:bottom="1440" w:gutter="0" w:footer="0" w:header="0"/>
        </w:sectPr>
      </w:pPr>
    </w:p>
    <w:bookmarkStart w:id="86" w:name="page87"/>
    <w:bookmarkEnd w:id="86"/>
    <w:p>
      <w:pPr>
        <w:ind w:left="1560" w:hanging="539"/>
        <w:spacing w:after="0" w:line="246" w:lineRule="auto"/>
        <w:tabs>
          <w:tab w:leader="none" w:pos="15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each Revolving Loan made under Revolving Loan Ship Tranche D shall be made available under the Revolving Loan Ship Commitment for Ship D;</w:t>
      </w:r>
    </w:p>
    <w:p>
      <w:pPr>
        <w:spacing w:after="0" w:line="183" w:lineRule="exact"/>
        <w:rPr>
          <w:rFonts w:ascii="Arial" w:cs="Arial" w:eastAsia="Arial" w:hAnsi="Arial"/>
          <w:sz w:val="18"/>
          <w:szCs w:val="18"/>
          <w:color w:val="auto"/>
        </w:rPr>
      </w:pPr>
    </w:p>
    <w:p>
      <w:pPr>
        <w:ind w:left="1560" w:hanging="539"/>
        <w:spacing w:after="0" w:line="246" w:lineRule="auto"/>
        <w:tabs>
          <w:tab w:leader="none" w:pos="15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each Revolving Loan made under Revolving Loan Ship Tranche E shall be made available under the Revolving Loan Ship Commitment for Ship E;</w:t>
      </w:r>
    </w:p>
    <w:p>
      <w:pPr>
        <w:spacing w:after="0" w:line="183" w:lineRule="exact"/>
        <w:rPr>
          <w:rFonts w:ascii="Arial" w:cs="Arial" w:eastAsia="Arial" w:hAnsi="Arial"/>
          <w:sz w:val="18"/>
          <w:szCs w:val="18"/>
          <w:color w:val="auto"/>
        </w:rPr>
      </w:pPr>
    </w:p>
    <w:p>
      <w:pPr>
        <w:ind w:left="1560" w:right="20" w:hanging="539"/>
        <w:spacing w:after="0" w:line="246" w:lineRule="auto"/>
        <w:tabs>
          <w:tab w:leader="none" w:pos="15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each Revolving Loan made under Revolving Loan Ship Tranche F shall be made available under the Revolving Loan Ship Commitment for Ship F;</w:t>
      </w:r>
    </w:p>
    <w:p>
      <w:pPr>
        <w:spacing w:after="0" w:line="183" w:lineRule="exact"/>
        <w:rPr>
          <w:rFonts w:ascii="Arial" w:cs="Arial" w:eastAsia="Arial" w:hAnsi="Arial"/>
          <w:sz w:val="18"/>
          <w:szCs w:val="18"/>
          <w:color w:val="auto"/>
        </w:rPr>
      </w:pPr>
    </w:p>
    <w:p>
      <w:pPr>
        <w:ind w:left="1560" w:hanging="539"/>
        <w:spacing w:after="0" w:line="246" w:lineRule="auto"/>
        <w:tabs>
          <w:tab w:leader="none" w:pos="15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each Revolving Loan made under Revolving Loan Ship Tranche G shall be made available under the Revolving Loan Ship Commitment for Ship G; and</w:t>
      </w:r>
    </w:p>
    <w:p>
      <w:pPr>
        <w:spacing w:after="0" w:line="183" w:lineRule="exact"/>
        <w:rPr>
          <w:rFonts w:ascii="Arial" w:cs="Arial" w:eastAsia="Arial" w:hAnsi="Arial"/>
          <w:sz w:val="18"/>
          <w:szCs w:val="18"/>
          <w:color w:val="auto"/>
        </w:rPr>
      </w:pPr>
    </w:p>
    <w:p>
      <w:pPr>
        <w:ind w:left="1560" w:hanging="539"/>
        <w:spacing w:after="0" w:line="246" w:lineRule="auto"/>
        <w:tabs>
          <w:tab w:leader="none" w:pos="15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each Revolving Loan made under Revolving Loan Ship Tranche H shall be made available under the Revolving Loan Ship Commitment for Ship H.</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7"/>
          <w:szCs w:val="17"/>
          <w:b w:val="1"/>
          <w:bCs w:val="1"/>
          <w:color w:val="auto"/>
        </w:rPr>
        <w:t>Lenders’ participation</w:t>
      </w:r>
    </w:p>
    <w:p>
      <w:pPr>
        <w:spacing w:after="0" w:line="220" w:lineRule="exact"/>
        <w:rPr>
          <w:sz w:val="20"/>
          <w:szCs w:val="20"/>
          <w:color w:val="auto"/>
        </w:rPr>
      </w:pPr>
    </w:p>
    <w:p>
      <w:pPr>
        <w:ind w:left="1060" w:hanging="512"/>
        <w:spacing w:after="0" w:line="246" w:lineRule="auto"/>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the conditions set out in this Agreement have been met, each Lender shall make its participation in each Loan available by 11:00 am on the Utilisation Date through its Facility Office.</w:t>
      </w:r>
    </w:p>
    <w:p>
      <w:pPr>
        <w:spacing w:after="0" w:line="183" w:lineRule="exact"/>
        <w:rPr>
          <w:rFonts w:ascii="Arial" w:cs="Arial" w:eastAsia="Arial" w:hAnsi="Arial"/>
          <w:sz w:val="18"/>
          <w:szCs w:val="18"/>
          <w:color w:val="auto"/>
        </w:rPr>
      </w:pPr>
    </w:p>
    <w:p>
      <w:pPr>
        <w:ind w:left="1060" w:right="20" w:hanging="512"/>
        <w:spacing w:after="0" w:line="246" w:lineRule="auto"/>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amount of each Lender’s participation in a Term Loan will be equal to the proportion borne by its Term Loan Commitment to the Total Term Loan Commitments immediately prior to making the relevant Term Loan.</w:t>
      </w:r>
    </w:p>
    <w:p>
      <w:pPr>
        <w:spacing w:after="0" w:line="183" w:lineRule="exact"/>
        <w:rPr>
          <w:rFonts w:ascii="Arial" w:cs="Arial" w:eastAsia="Arial" w:hAnsi="Arial"/>
          <w:sz w:val="18"/>
          <w:szCs w:val="18"/>
          <w:color w:val="auto"/>
        </w:rPr>
      </w:pPr>
    </w:p>
    <w:p>
      <w:pPr>
        <w:ind w:left="1060" w:hanging="512"/>
        <w:spacing w:after="0" w:line="246" w:lineRule="auto"/>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amount of each Lender’s participation in a Revolving Loan will be equal to the proportion borne by its Revolving Loan Commitment to the Total Revolving Loan Commitments immediately prior to making the relevant Revolving Loan.</w:t>
      </w:r>
    </w:p>
    <w:p>
      <w:pPr>
        <w:spacing w:after="0" w:line="183" w:lineRule="exact"/>
        <w:rPr>
          <w:rFonts w:ascii="Arial" w:cs="Arial" w:eastAsia="Arial" w:hAnsi="Arial"/>
          <w:sz w:val="18"/>
          <w:szCs w:val="18"/>
          <w:color w:val="auto"/>
        </w:rPr>
      </w:pPr>
    </w:p>
    <w:p>
      <w:pPr>
        <w:jc w:val="both"/>
        <w:ind w:left="1060" w:hanging="512"/>
        <w:spacing w:after="0"/>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Agent shall promptly notify each Lender of the amount of each Loan and the relevant Facility under which it is utilised (and, in the case of a Revolving Loan, the Revolving Loan Ship Tranche to which it relates) and the amount of its participation in such Loan, in each case by 16:00 pm (London time) on the day before the Quotation Day.</w:t>
      </w:r>
    </w:p>
    <w:p>
      <w:pPr>
        <w:spacing w:after="0" w:line="189" w:lineRule="exact"/>
        <w:rPr>
          <w:rFonts w:ascii="Arial" w:cs="Arial" w:eastAsia="Arial" w:hAnsi="Arial"/>
          <w:sz w:val="18"/>
          <w:szCs w:val="18"/>
          <w:color w:val="auto"/>
        </w:rPr>
      </w:pPr>
    </w:p>
    <w:p>
      <w:pPr>
        <w:jc w:val="both"/>
        <w:ind w:left="1060" w:hanging="512"/>
        <w:spacing w:after="0"/>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Agent shall pay all amounts received by it in respect of each Loan (and its own participation in it, if any) to the Borrowers or for the account of any of them or to any Existing Indebtedness Lender, in each case in accordance with the instructions contained in the relevant Utilisation Request.</w:t>
      </w:r>
    </w:p>
    <w:p>
      <w:pPr>
        <w:spacing w:after="0" w:line="167" w:lineRule="exact"/>
        <w:rPr>
          <w:sz w:val="20"/>
          <w:szCs w:val="20"/>
          <w:color w:val="auto"/>
        </w:rPr>
      </w:pPr>
    </w:p>
    <w:p>
      <w:pPr>
        <w:ind w:left="540" w:hanging="532"/>
        <w:spacing w:after="0"/>
        <w:tabs>
          <w:tab w:leader="none" w:pos="5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Repayment</w:t>
      </w:r>
    </w:p>
    <w:p>
      <w:pPr>
        <w:spacing w:after="0" w:line="19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7"/>
          <w:szCs w:val="17"/>
          <w:b w:val="1"/>
          <w:bCs w:val="1"/>
          <w:color w:val="auto"/>
        </w:rPr>
        <w:t>Repayment of Revolving Loan Facility and Term Loan Facility</w:t>
      </w:r>
    </w:p>
    <w:p>
      <w:pPr>
        <w:spacing w:after="0" w:line="220" w:lineRule="exact"/>
        <w:rPr>
          <w:sz w:val="20"/>
          <w:szCs w:val="20"/>
          <w:color w:val="auto"/>
        </w:rPr>
      </w:pPr>
    </w:p>
    <w:p>
      <w:pPr>
        <w:ind w:left="1060" w:hanging="512"/>
        <w:spacing w:after="0"/>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Borrowers shall repay each Revolving Loan on the last day of its Interest Period.</w:t>
      </w:r>
    </w:p>
    <w:p>
      <w:pPr>
        <w:spacing w:after="0" w:line="198" w:lineRule="exact"/>
        <w:rPr>
          <w:rFonts w:ascii="Arial" w:cs="Arial" w:eastAsia="Arial" w:hAnsi="Arial"/>
          <w:sz w:val="18"/>
          <w:szCs w:val="18"/>
          <w:color w:val="auto"/>
        </w:rPr>
      </w:pPr>
    </w:p>
    <w:p>
      <w:pPr>
        <w:jc w:val="both"/>
        <w:ind w:left="1060" w:hanging="512"/>
        <w:spacing w:after="0" w:line="237" w:lineRule="auto"/>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Without prejudice to the Borrowers’ obligation under paragraph (a) above, if one or more Revolving Loans under a Revolving Loan Ship Tranche are to be made available to the Borrowers on the same day that a maturing Revolving Loan for that same Revolving Loan Ship Tranche is due to be repaid by the Borrowers and the proportion borne by each Lender’s participation in the maturing Revolving Loan to the amount of that maturing Revolving Loan is the same as the proportion borne by that Lender’s participation in the new Revolving Loans to the aggregate amount of those new Revolving Loans, the aggregate amount of the new Revolving Loans shall be treated as if applied in or towards repayment of the maturing Revolving Loan, so that:</w:t>
      </w:r>
    </w:p>
    <w:p>
      <w:pPr>
        <w:spacing w:after="0" w:line="192" w:lineRule="exact"/>
        <w:rPr>
          <w:sz w:val="20"/>
          <w:szCs w:val="20"/>
          <w:color w:val="auto"/>
        </w:rPr>
      </w:pPr>
    </w:p>
    <w:p>
      <w:pPr>
        <w:ind w:left="1560" w:hanging="539"/>
        <w:spacing w:after="0"/>
        <w:tabs>
          <w:tab w:leader="none" w:pos="15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the amount of the maturing Revolving Loan exceeds the aggregate amount of the new Revolving Loans:</w:t>
      </w:r>
    </w:p>
    <w:p>
      <w:pPr>
        <w:spacing w:after="0" w:line="184"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87" w:name="page88"/>
    <w:bookmarkEnd w:id="87"/>
    <w:p>
      <w:pPr>
        <w:ind w:left="2080" w:hanging="546"/>
        <w:spacing w:after="0" w:line="267" w:lineRule="auto"/>
        <w:tabs>
          <w:tab w:leader="none" w:pos="2080" w:val="left"/>
        </w:tabs>
        <w:numPr>
          <w:ilvl w:val="2"/>
          <w:numId w:val="124"/>
        </w:numPr>
        <w:rPr>
          <w:rFonts w:ascii="Arial" w:cs="Arial" w:eastAsia="Arial" w:hAnsi="Arial"/>
          <w:sz w:val="18"/>
          <w:szCs w:val="18"/>
          <w:color w:val="auto"/>
        </w:rPr>
      </w:pPr>
      <w:r>
        <w:rPr>
          <w:rFonts w:ascii="Arial" w:cs="Arial" w:eastAsia="Arial" w:hAnsi="Arial"/>
          <w:sz w:val="18"/>
          <w:szCs w:val="18"/>
          <w:color w:val="auto"/>
        </w:rPr>
        <w:t>the Borrowers will only be required to make a payment under clause 35.1 (</w:t>
      </w:r>
      <w:r>
        <w:rPr>
          <w:rFonts w:ascii="Arial" w:cs="Arial" w:eastAsia="Arial" w:hAnsi="Arial"/>
          <w:sz w:val="18"/>
          <w:szCs w:val="18"/>
          <w:i w:val="1"/>
          <w:iCs w:val="1"/>
          <w:color w:val="auto"/>
        </w:rPr>
        <w:t>Payments to the Agent</w:t>
      </w:r>
      <w:r>
        <w:rPr>
          <w:rFonts w:ascii="Arial" w:cs="Arial" w:eastAsia="Arial" w:hAnsi="Arial"/>
          <w:sz w:val="18"/>
          <w:szCs w:val="18"/>
          <w:color w:val="auto"/>
        </w:rPr>
        <w:t>) in an amount equal to that excess; and</w:t>
      </w:r>
    </w:p>
    <w:p>
      <w:pPr>
        <w:spacing w:after="0" w:line="165" w:lineRule="exact"/>
        <w:rPr>
          <w:rFonts w:ascii="Arial" w:cs="Arial" w:eastAsia="Arial" w:hAnsi="Arial"/>
          <w:sz w:val="18"/>
          <w:szCs w:val="18"/>
          <w:color w:val="auto"/>
        </w:rPr>
      </w:pPr>
    </w:p>
    <w:p>
      <w:pPr>
        <w:jc w:val="both"/>
        <w:ind w:left="2080" w:hanging="546"/>
        <w:spacing w:after="0" w:line="239" w:lineRule="auto"/>
        <w:tabs>
          <w:tab w:leader="none" w:pos="2080" w:val="left"/>
        </w:tabs>
        <w:numPr>
          <w:ilvl w:val="2"/>
          <w:numId w:val="124"/>
        </w:numPr>
        <w:rPr>
          <w:rFonts w:ascii="Arial" w:cs="Arial" w:eastAsia="Arial" w:hAnsi="Arial"/>
          <w:sz w:val="18"/>
          <w:szCs w:val="18"/>
          <w:color w:val="auto"/>
        </w:rPr>
      </w:pPr>
      <w:r>
        <w:rPr>
          <w:rFonts w:ascii="Arial" w:cs="Arial" w:eastAsia="Arial" w:hAnsi="Arial"/>
          <w:sz w:val="18"/>
          <w:szCs w:val="18"/>
          <w:color w:val="auto"/>
        </w:rPr>
        <w:t>each Lender’s participation in the new Revolving Loans shall be treated as having been made available and applied by the Borrowers in or towards repayment of that Lender’s participation in the maturing Revolving Loan and that Lender will not be required to make a payment under clause 35.1 (</w:t>
      </w:r>
      <w:r>
        <w:rPr>
          <w:rFonts w:ascii="Arial" w:cs="Arial" w:eastAsia="Arial" w:hAnsi="Arial"/>
          <w:sz w:val="18"/>
          <w:szCs w:val="18"/>
          <w:i w:val="1"/>
          <w:iCs w:val="1"/>
          <w:color w:val="auto"/>
        </w:rPr>
        <w:t>Payments to the Agent</w:t>
      </w:r>
      <w:r>
        <w:rPr>
          <w:rFonts w:ascii="Arial" w:cs="Arial" w:eastAsia="Arial" w:hAnsi="Arial"/>
          <w:sz w:val="18"/>
          <w:szCs w:val="18"/>
          <w:color w:val="auto"/>
        </w:rPr>
        <w:t>) in respect of its participation in the new Revolving Loans; and</w:t>
      </w:r>
    </w:p>
    <w:p>
      <w:pPr>
        <w:spacing w:after="0" w:line="188" w:lineRule="exact"/>
        <w:rPr>
          <w:rFonts w:ascii="Arial" w:cs="Arial" w:eastAsia="Arial" w:hAnsi="Arial"/>
          <w:sz w:val="18"/>
          <w:szCs w:val="18"/>
          <w:color w:val="auto"/>
        </w:rPr>
      </w:pPr>
    </w:p>
    <w:p>
      <w:pPr>
        <w:ind w:left="1560" w:hanging="539"/>
        <w:spacing w:after="0"/>
        <w:tabs>
          <w:tab w:leader="none" w:pos="156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if the amount of the maturing Revolving Loan is equal to or less than the aggregate amount of the new Revolving Loans:</w:t>
      </w:r>
    </w:p>
    <w:p>
      <w:pPr>
        <w:spacing w:after="0" w:line="180" w:lineRule="exact"/>
        <w:rPr>
          <w:rFonts w:ascii="Arial" w:cs="Arial" w:eastAsia="Arial" w:hAnsi="Arial"/>
          <w:sz w:val="18"/>
          <w:szCs w:val="18"/>
          <w:color w:val="auto"/>
        </w:rPr>
      </w:pPr>
    </w:p>
    <w:p>
      <w:pPr>
        <w:ind w:left="2080" w:hanging="546"/>
        <w:spacing w:after="0"/>
        <w:tabs>
          <w:tab w:leader="none" w:pos="2080" w:val="left"/>
        </w:tabs>
        <w:numPr>
          <w:ilvl w:val="2"/>
          <w:numId w:val="125"/>
        </w:numPr>
        <w:rPr>
          <w:rFonts w:ascii="Arial" w:cs="Arial" w:eastAsia="Arial" w:hAnsi="Arial"/>
          <w:sz w:val="18"/>
          <w:szCs w:val="18"/>
          <w:color w:val="auto"/>
        </w:rPr>
      </w:pPr>
      <w:r>
        <w:rPr>
          <w:rFonts w:ascii="Arial" w:cs="Arial" w:eastAsia="Arial" w:hAnsi="Arial"/>
          <w:sz w:val="18"/>
          <w:szCs w:val="18"/>
          <w:color w:val="auto"/>
        </w:rPr>
        <w:t>the Borrowers will not be required to make a payment under clause 35.1 (</w:t>
      </w:r>
      <w:r>
        <w:rPr>
          <w:rFonts w:ascii="Arial" w:cs="Arial" w:eastAsia="Arial" w:hAnsi="Arial"/>
          <w:sz w:val="18"/>
          <w:szCs w:val="18"/>
          <w:i w:val="1"/>
          <w:iCs w:val="1"/>
          <w:color w:val="auto"/>
        </w:rPr>
        <w:t>Payments to the Agent</w:t>
      </w:r>
      <w:r>
        <w:rPr>
          <w:rFonts w:ascii="Arial" w:cs="Arial" w:eastAsia="Arial" w:hAnsi="Arial"/>
          <w:sz w:val="18"/>
          <w:szCs w:val="18"/>
          <w:color w:val="auto"/>
        </w:rPr>
        <w:t>); and</w:t>
      </w:r>
    </w:p>
    <w:p>
      <w:pPr>
        <w:spacing w:after="0" w:line="198" w:lineRule="exact"/>
        <w:rPr>
          <w:rFonts w:ascii="Arial" w:cs="Arial" w:eastAsia="Arial" w:hAnsi="Arial"/>
          <w:sz w:val="18"/>
          <w:szCs w:val="18"/>
          <w:color w:val="auto"/>
        </w:rPr>
      </w:pPr>
    </w:p>
    <w:p>
      <w:pPr>
        <w:jc w:val="both"/>
        <w:ind w:left="2080" w:hanging="546"/>
        <w:spacing w:after="0" w:line="242" w:lineRule="auto"/>
        <w:tabs>
          <w:tab w:leader="none" w:pos="2080" w:val="left"/>
        </w:tabs>
        <w:numPr>
          <w:ilvl w:val="2"/>
          <w:numId w:val="125"/>
        </w:numPr>
        <w:rPr>
          <w:rFonts w:ascii="Arial" w:cs="Arial" w:eastAsia="Arial" w:hAnsi="Arial"/>
          <w:sz w:val="18"/>
          <w:szCs w:val="18"/>
          <w:color w:val="auto"/>
        </w:rPr>
      </w:pPr>
      <w:r>
        <w:rPr>
          <w:rFonts w:ascii="Arial" w:cs="Arial" w:eastAsia="Arial" w:hAnsi="Arial"/>
          <w:sz w:val="18"/>
          <w:szCs w:val="18"/>
          <w:color w:val="auto"/>
        </w:rPr>
        <w:t>each Lender will be required to make a payment under clause 35.1 (</w:t>
      </w:r>
      <w:r>
        <w:rPr>
          <w:rFonts w:ascii="Arial" w:cs="Arial" w:eastAsia="Arial" w:hAnsi="Arial"/>
          <w:sz w:val="18"/>
          <w:szCs w:val="18"/>
          <w:i w:val="1"/>
          <w:iCs w:val="1"/>
          <w:color w:val="auto"/>
        </w:rPr>
        <w:t>Payments to the Agent</w:t>
      </w:r>
      <w:r>
        <w:rPr>
          <w:rFonts w:ascii="Arial" w:cs="Arial" w:eastAsia="Arial" w:hAnsi="Arial"/>
          <w:sz w:val="18"/>
          <w:szCs w:val="18"/>
          <w:color w:val="auto"/>
        </w:rPr>
        <w:t>) in respect of its participation in the new Revolving Loans only to the extent that its participation in the new Revolving Loans exceeds that Lender’s participation in the maturing Revolving Loan and the remainder of that Lender’s participation in the new Revolving Loans shall be treated as having been made available and applied by the Borrowers in or towards repayment of that Lender’s participation in the maturing Revolving Loan.</w:t>
      </w:r>
    </w:p>
    <w:p>
      <w:pPr>
        <w:spacing w:after="0" w:line="189" w:lineRule="exact"/>
        <w:rPr>
          <w:rFonts w:ascii="Arial" w:cs="Arial" w:eastAsia="Arial" w:hAnsi="Arial"/>
          <w:sz w:val="18"/>
          <w:szCs w:val="18"/>
          <w:color w:val="auto"/>
        </w:rPr>
      </w:pPr>
    </w:p>
    <w:p>
      <w:pPr>
        <w:ind w:left="1060" w:hanging="512"/>
        <w:spacing w:after="0"/>
        <w:tabs>
          <w:tab w:leader="none" w:pos="10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On the Final Repayment Date for the Revolving Loans, the Borrowers shall repay to the Lenders all the Revolving Loans in full.</w:t>
      </w:r>
    </w:p>
    <w:p>
      <w:pPr>
        <w:spacing w:after="0" w:line="198" w:lineRule="exact"/>
        <w:rPr>
          <w:rFonts w:ascii="Arial" w:cs="Arial" w:eastAsia="Arial" w:hAnsi="Arial"/>
          <w:sz w:val="18"/>
          <w:szCs w:val="18"/>
          <w:color w:val="auto"/>
        </w:rPr>
      </w:pPr>
    </w:p>
    <w:p>
      <w:pPr>
        <w:ind w:left="1060" w:hanging="512"/>
        <w:spacing w:after="0" w:line="246" w:lineRule="auto"/>
        <w:tabs>
          <w:tab w:leader="none" w:pos="10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Subject to the other provisions of this Agreement, the Borrowers shall on each Repayment Date for a Term Loan, repay to the Lenders, such part of that Term Loan as is required to be repaid by clause 6.2 (</w:t>
      </w:r>
      <w:r>
        <w:rPr>
          <w:rFonts w:ascii="Arial" w:cs="Arial" w:eastAsia="Arial" w:hAnsi="Arial"/>
          <w:sz w:val="18"/>
          <w:szCs w:val="18"/>
          <w:i w:val="1"/>
          <w:iCs w:val="1"/>
          <w:color w:val="auto"/>
        </w:rPr>
        <w:t>Scheduled repayment of Term Loans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1060" w:hanging="512"/>
        <w:spacing w:after="0"/>
        <w:tabs>
          <w:tab w:leader="none" w:pos="10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On the Final Maturity Date (without prejudice to any other provision of this Agreement) the Loans and any amounts owing by the Borrowers to any Finance Party under any of the Finance Documents (as conclusively certified by the Agent) shall be repaid in full.</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7"/>
          <w:szCs w:val="17"/>
          <w:b w:val="1"/>
          <w:bCs w:val="1"/>
          <w:color w:val="auto"/>
        </w:rPr>
        <w:t>Scheduled repayment of Term Loans</w:t>
      </w:r>
    </w:p>
    <w:p>
      <w:pPr>
        <w:spacing w:after="0" w:line="220" w:lineRule="exact"/>
        <w:rPr>
          <w:sz w:val="20"/>
          <w:szCs w:val="20"/>
          <w:color w:val="auto"/>
        </w:rPr>
      </w:pPr>
    </w:p>
    <w:p>
      <w:pPr>
        <w:jc w:val="both"/>
        <w:ind w:left="1060" w:hanging="512"/>
        <w:spacing w:after="0" w:line="239" w:lineRule="auto"/>
        <w:tabs>
          <w:tab w:leader="none" w:pos="10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Borrowers shall repay to the Lenders each Term Loan by 10 instalments, one such instalment to be repaid on each of the Repayment Dates relative to such Term Loan. To the extent not previously reduced, the amount of each such repayment instalment for each Term Loan due on each such Repayment Date for such Term Loan is that shown in the relevant table of Schedule 9 (</w:t>
      </w:r>
      <w:r>
        <w:rPr>
          <w:rFonts w:ascii="Arial" w:cs="Arial" w:eastAsia="Arial" w:hAnsi="Arial"/>
          <w:sz w:val="18"/>
          <w:szCs w:val="18"/>
          <w:i w:val="1"/>
          <w:iCs w:val="1"/>
          <w:color w:val="auto"/>
        </w:rPr>
        <w:t>Table of Repayment Instalments</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1060" w:right="20" w:hanging="512"/>
        <w:spacing w:after="0" w:line="246" w:lineRule="auto"/>
        <w:tabs>
          <w:tab w:leader="none" w:pos="10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On the Final Repayment Date in relation to a Term Loan (without prejudice to any other provision of this Agreement), such Term Loan shall be repaid in full.</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7"/>
          <w:szCs w:val="17"/>
          <w:b w:val="1"/>
          <w:bCs w:val="1"/>
          <w:color w:val="auto"/>
        </w:rPr>
        <w:t>Scheduled reduction of Revolving Loan Facility</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To the extent not previously reduced, the Total Revolving Loan Commitments (and each Revolving Loan Ship Commitment) shall be cancelled and reduced to zero on the Final Repayment Date for the Revolving Loans and on that day the Borrowers shall repay all Revolving Loan Ship Tranches in full.</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6.4</w:t>
        <w:tab/>
        <w:t>Adjustment of scheduled repayments</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If the Total Term Loan Commitments in relation to a Term Loan have been partially reduced under this Agreement and/or any part of any Term Loan is prepaid (other than under clause 6.2 (</w:t>
      </w:r>
      <w:r>
        <w:rPr>
          <w:rFonts w:ascii="Arial" w:cs="Arial" w:eastAsia="Arial" w:hAnsi="Arial"/>
          <w:sz w:val="18"/>
          <w:szCs w:val="18"/>
          <w:i w:val="1"/>
          <w:iCs w:val="1"/>
          <w:color w:val="auto"/>
        </w:rPr>
        <w:t>Scheduled repayment of Term Loans</w:t>
      </w:r>
      <w:r>
        <w:rPr>
          <w:rFonts w:ascii="Arial" w:cs="Arial" w:eastAsia="Arial" w:hAnsi="Arial"/>
          <w:sz w:val="18"/>
          <w:szCs w:val="18"/>
          <w:color w:val="auto"/>
        </w:rPr>
        <w:t>)) before any Repayment Date for that Term Loan, then the amount of the instalments by which the relevant Term Loan shall be repaid under clause 6.2</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88" w:name="page89"/>
    <w:bookmarkEnd w:id="88"/>
    <w:p>
      <w:pPr>
        <w:jc w:val="both"/>
        <w:ind w:left="540"/>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Scheduled repayment of Term Loans</w:t>
      </w:r>
      <w:r>
        <w:rPr>
          <w:rFonts w:ascii="Arial" w:cs="Arial" w:eastAsia="Arial" w:hAnsi="Arial"/>
          <w:sz w:val="18"/>
          <w:szCs w:val="18"/>
          <w:color w:val="auto"/>
        </w:rPr>
        <w:t>) on any such Repayment Date for that Term Loan (as reduced by any earlier operation of this clause 6.4) shall be reduced pro rata to such reduction in the Total Term Loan Commitments in relation to that Term Loan or (as the case may be) pro rata to such prepayment of that Term Loan.</w:t>
      </w:r>
    </w:p>
    <w:p>
      <w:pPr>
        <w:spacing w:after="0" w:line="157" w:lineRule="exact"/>
        <w:rPr>
          <w:sz w:val="20"/>
          <w:szCs w:val="20"/>
          <w:color w:val="auto"/>
        </w:rPr>
      </w:pPr>
    </w:p>
    <w:p>
      <w:pPr>
        <w:ind w:left="540" w:hanging="532"/>
        <w:spacing w:after="0"/>
        <w:tabs>
          <w:tab w:leader="none" w:pos="54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Illegality, prepayment and cancellation</w:t>
      </w:r>
    </w:p>
    <w:p>
      <w:pPr>
        <w:spacing w:after="0" w:line="19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7"/>
          <w:szCs w:val="17"/>
          <w:b w:val="1"/>
          <w:bCs w:val="1"/>
          <w:color w:val="auto"/>
        </w:rPr>
        <w:t>Illegality</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If it becomes unlawful in any applicable jurisdiction for a Lender to perform any of its obligations as contemplated by this Agreement or any of the other Finance Documents, or for any Lender to fund or maintain its participation in any Loan or it becomes unlawful for any Affiliate of a Lender for that Lender to do so:</w:t>
      </w:r>
    </w:p>
    <w:p>
      <w:pPr>
        <w:spacing w:after="0" w:line="189" w:lineRule="exact"/>
        <w:rPr>
          <w:sz w:val="20"/>
          <w:szCs w:val="20"/>
          <w:color w:val="auto"/>
        </w:rPr>
      </w:pPr>
    </w:p>
    <w:p>
      <w:pPr>
        <w:ind w:left="1060" w:hanging="512"/>
        <w:spacing w:after="0"/>
        <w:tabs>
          <w:tab w:leader="none" w:pos="10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that Lender shall promptly notify the Agent upon becoming aware of that event;</w:t>
      </w:r>
    </w:p>
    <w:p>
      <w:pPr>
        <w:spacing w:after="0" w:line="198" w:lineRule="exact"/>
        <w:rPr>
          <w:rFonts w:ascii="Arial" w:cs="Arial" w:eastAsia="Arial" w:hAnsi="Arial"/>
          <w:sz w:val="18"/>
          <w:szCs w:val="18"/>
          <w:color w:val="auto"/>
        </w:rPr>
      </w:pPr>
    </w:p>
    <w:p>
      <w:pPr>
        <w:ind w:left="1060" w:hanging="512"/>
        <w:spacing w:after="0" w:line="246" w:lineRule="auto"/>
        <w:tabs>
          <w:tab w:leader="none" w:pos="10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upon the Agent notifying the Borrowers, the Commitments of that Lender will be immediately cancelled and the Total Commitments shall be reduced accordingly and the remaining Ship Aggregate Commitments shall be reduced rateably; and</w:t>
      </w:r>
    </w:p>
    <w:p>
      <w:pPr>
        <w:spacing w:after="0" w:line="183" w:lineRule="exact"/>
        <w:rPr>
          <w:rFonts w:ascii="Arial" w:cs="Arial" w:eastAsia="Arial" w:hAnsi="Arial"/>
          <w:sz w:val="18"/>
          <w:szCs w:val="18"/>
          <w:color w:val="auto"/>
        </w:rPr>
      </w:pPr>
    </w:p>
    <w:p>
      <w:pPr>
        <w:jc w:val="both"/>
        <w:ind w:left="1060" w:hanging="512"/>
        <w:spacing w:after="0"/>
        <w:tabs>
          <w:tab w:leader="none" w:pos="10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Borrowers shall repay that Lender’s participation in the Loans on the last day of the Interest Period for each of those Loans occurring after the Agent has notified the Borrowers or, if earlier, the date specified by the Lender in the notice delivered to the Agent (being no earlier than the last day of any applicable grace period permitted by law).</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7.2</w:t>
        <w:tab/>
        <w:t>Change of Control</w:t>
      </w:r>
    </w:p>
    <w:p>
      <w:pPr>
        <w:spacing w:after="0" w:line="220" w:lineRule="exact"/>
        <w:rPr>
          <w:sz w:val="20"/>
          <w:szCs w:val="20"/>
          <w:color w:val="auto"/>
        </w:rPr>
      </w:pPr>
    </w:p>
    <w:p>
      <w:pPr>
        <w:ind w:left="1060" w:hanging="512"/>
        <w:spacing w:after="0"/>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If there is a Change of Control</w:t>
      </w:r>
    </w:p>
    <w:p>
      <w:pPr>
        <w:spacing w:after="0" w:line="198" w:lineRule="exact"/>
        <w:rPr>
          <w:rFonts w:ascii="Arial" w:cs="Arial" w:eastAsia="Arial" w:hAnsi="Arial"/>
          <w:sz w:val="18"/>
          <w:szCs w:val="18"/>
          <w:color w:val="auto"/>
        </w:rPr>
      </w:pPr>
    </w:p>
    <w:p>
      <w:pPr>
        <w:ind w:left="1560" w:hanging="539"/>
        <w:spacing w:after="0"/>
        <w:tabs>
          <w:tab w:leader="none" w:pos="15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Borrowers shall promptly notify the Agent upon any Obligor becoming aware of a Change of Control occurring; and</w:t>
      </w:r>
    </w:p>
    <w:p>
      <w:pPr>
        <w:spacing w:after="0" w:line="198" w:lineRule="exact"/>
        <w:rPr>
          <w:rFonts w:ascii="Arial" w:cs="Arial" w:eastAsia="Arial" w:hAnsi="Arial"/>
          <w:sz w:val="18"/>
          <w:szCs w:val="18"/>
          <w:color w:val="auto"/>
        </w:rPr>
      </w:pPr>
    </w:p>
    <w:p>
      <w:pPr>
        <w:jc w:val="both"/>
        <w:ind w:left="1560" w:hanging="539"/>
        <w:spacing w:after="0" w:line="238" w:lineRule="auto"/>
        <w:tabs>
          <w:tab w:leader="none" w:pos="15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upon becoming notified by any Party of a Change of Control, the Agent shall, if instructed by the Majority Lenders, by notice to the Borrowers, cancel the Total Commitments immediately and declare the Loans to be payable within ten (10) Business Days from the date of such notice. Upon such notice being given, the Total Commitments shall be forthwith cancelled and the Borrowers shall, within such ten (10) Business Day period, prepay the Loans in full together with all other amounts owing under this Agreement or any of the other Finance Documents.</w:t>
      </w:r>
    </w:p>
    <w:p>
      <w:pPr>
        <w:spacing w:after="0" w:line="189" w:lineRule="exact"/>
        <w:rPr>
          <w:rFonts w:ascii="Arial" w:cs="Arial" w:eastAsia="Arial" w:hAnsi="Arial"/>
          <w:sz w:val="18"/>
          <w:szCs w:val="18"/>
          <w:color w:val="auto"/>
        </w:rPr>
      </w:pPr>
    </w:p>
    <w:p>
      <w:pPr>
        <w:jc w:val="both"/>
        <w:ind w:left="1060" w:hanging="512"/>
        <w:spacing w:after="0" w:line="238" w:lineRule="auto"/>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If the Parent ceases to be listed on an Approved Exchange, the Borrowers shall notify the Agent of the same upon its occurrence, and the Agent, upon being notified shall, if instructed by the Majority Lenders, cancel the Total Commitments immediately and declare the Loans to be payable within ten (10) Business Days from the date of such notice. Upon such notice being given, the Total Commitments shall be immediately cancelled and the Borrowers shall, within such ten (10) Business Day period, prepay the Loans in full together with all other amounts owing under this Agreement or any of the other Finance Documents.</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7"/>
          <w:szCs w:val="17"/>
          <w:b w:val="1"/>
          <w:bCs w:val="1"/>
          <w:color w:val="auto"/>
        </w:rPr>
        <w:t>Voluntary cancellation</w:t>
      </w:r>
    </w:p>
    <w:p>
      <w:pPr>
        <w:spacing w:after="0" w:line="220" w:lineRule="exact"/>
        <w:rPr>
          <w:sz w:val="20"/>
          <w:szCs w:val="20"/>
          <w:color w:val="auto"/>
        </w:rPr>
      </w:pPr>
    </w:p>
    <w:p>
      <w:pPr>
        <w:jc w:val="both"/>
        <w:ind w:left="1060" w:hanging="512"/>
        <w:spacing w:after="0" w:line="237" w:lineRule="auto"/>
        <w:tabs>
          <w:tab w:leader="none" w:pos="10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Borrowers may, if they give the Agent not less than 5 Business Days’ (or such shorter period as the Majority Lenders may agree) prior written notice, cancel the whole or any part (being a minimum amount of $5,000,000 and a multiple of $1,000,000) of the Term Loan Facility or the Revolving Loan Facility (or a combination of both Facilities) which is undrawn at the proposed date of cancellation, such cancellation being applied to reduce one or more Term Loan Ship Commitments and/or one or more Revolving Loan Ship Commitments (as designated by the Borrowers at their option). Upon any such cancellation the Total Commitments shall be reduced by the same amount and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89" w:name="page90"/>
    <w:bookmarkEnd w:id="89"/>
    <w:p>
      <w:pPr>
        <w:ind w:left="1080"/>
        <w:spacing w:after="0"/>
        <w:rPr>
          <w:sz w:val="20"/>
          <w:szCs w:val="20"/>
          <w:color w:val="auto"/>
        </w:rPr>
      </w:pPr>
      <w:r>
        <w:rPr>
          <w:rFonts w:ascii="Arial" w:cs="Arial" w:eastAsia="Arial" w:hAnsi="Arial"/>
          <w:sz w:val="18"/>
          <w:szCs w:val="18"/>
          <w:color w:val="auto"/>
        </w:rPr>
        <w:t>relevant Commitments of the Lenders under the relevant Facility or Facilities reduced on a pro rata basis.</w:t>
      </w:r>
    </w:p>
    <w:p>
      <w:pPr>
        <w:spacing w:after="0" w:line="198" w:lineRule="exact"/>
        <w:rPr>
          <w:sz w:val="20"/>
          <w:szCs w:val="20"/>
          <w:color w:val="auto"/>
        </w:rPr>
      </w:pPr>
    </w:p>
    <w:p>
      <w:pPr>
        <w:jc w:val="both"/>
        <w:ind w:left="1080" w:hanging="532"/>
        <w:spacing w:after="0" w:line="238"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Borrowers shall be entitled to cancel the whole or any part of the Available Revolving Loan Facility which is then drawn under a Revolving Loan Ship Commitment, only if the Borrowers prepay such amount of the Revolving Loans under the relevant Revolving Loan Ship Tranche as may be necessary to ensure that the outstanding Revolving Loans under such Revolving Loan Ship Tranche after such cancellation will not exceed the then available amount of such Revolving Loan Ship Commitment (as so reduced by this clause 7.3).</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7"/>
          <w:szCs w:val="17"/>
          <w:b w:val="1"/>
          <w:bCs w:val="1"/>
          <w:color w:val="auto"/>
        </w:rPr>
        <w:t>Voluntary prepayment</w:t>
      </w:r>
    </w:p>
    <w:p>
      <w:pPr>
        <w:spacing w:after="0" w:line="220" w:lineRule="exact"/>
        <w:rPr>
          <w:sz w:val="20"/>
          <w:szCs w:val="20"/>
          <w:color w:val="auto"/>
        </w:rPr>
      </w:pPr>
    </w:p>
    <w:p>
      <w:pPr>
        <w:jc w:val="both"/>
        <w:ind w:left="540"/>
        <w:spacing w:after="0" w:line="237" w:lineRule="auto"/>
        <w:rPr>
          <w:sz w:val="20"/>
          <w:szCs w:val="20"/>
          <w:color w:val="auto"/>
        </w:rPr>
      </w:pPr>
      <w:r>
        <w:rPr>
          <w:rFonts w:ascii="Arial" w:cs="Arial" w:eastAsia="Arial" w:hAnsi="Arial"/>
          <w:sz w:val="18"/>
          <w:szCs w:val="18"/>
          <w:color w:val="auto"/>
        </w:rPr>
        <w:t>The Borrowers may, if they give the Agent not less than 5 Business Days (or such shorter period as the Majority Lenders may agree) prior written notice, prepay the whole or any part of a Term Loan or a Revolving Loan (but if in part, (a) in the case of a Term Loan being an amount that reduces the amount of that Term Loan by a minimum amount equal to a repayment instalment falling due under clause 6.2 (</w:t>
      </w:r>
      <w:r>
        <w:rPr>
          <w:rFonts w:ascii="Arial" w:cs="Arial" w:eastAsia="Arial" w:hAnsi="Arial"/>
          <w:sz w:val="18"/>
          <w:szCs w:val="18"/>
          <w:i w:val="1"/>
          <w:iCs w:val="1"/>
          <w:color w:val="auto"/>
        </w:rPr>
        <w:t>Scheduled repayment of Term Loans</w:t>
      </w:r>
      <w:r>
        <w:rPr>
          <w:rFonts w:ascii="Arial" w:cs="Arial" w:eastAsia="Arial" w:hAnsi="Arial"/>
          <w:sz w:val="18"/>
          <w:szCs w:val="18"/>
          <w:color w:val="auto"/>
        </w:rPr>
        <w:t>) in respect of that Term Loan or is a multiple of any such repayment instalment or (b) in the case of a Revolving Loan, being an amount equal to $1,000,000 or an integral multiple of $1,000,000), on the last day of an Interest Period in respect of the amount to be prepaid (or any other date subject to payment of any Break Costs).</w:t>
      </w:r>
    </w:p>
    <w:p>
      <w:pPr>
        <w:spacing w:after="0" w:line="170" w:lineRule="exact"/>
        <w:rPr>
          <w:sz w:val="20"/>
          <w:szCs w:val="20"/>
          <w:color w:val="auto"/>
        </w:rPr>
      </w:pPr>
    </w:p>
    <w:p>
      <w:pPr>
        <w:ind w:left="540" w:hanging="539"/>
        <w:spacing w:after="0" w:line="271" w:lineRule="auto"/>
        <w:tabs>
          <w:tab w:leader="none" w:pos="520" w:val="left"/>
        </w:tabs>
        <w:rPr>
          <w:sz w:val="20"/>
          <w:szCs w:val="20"/>
          <w:color w:val="auto"/>
        </w:rPr>
      </w:pPr>
      <w:r>
        <w:rPr>
          <w:rFonts w:ascii="Arial" w:cs="Arial" w:eastAsia="Arial" w:hAnsi="Arial"/>
          <w:sz w:val="18"/>
          <w:szCs w:val="18"/>
          <w:b w:val="1"/>
          <w:bCs w:val="1"/>
          <w:color w:val="auto"/>
        </w:rPr>
        <w:t>7.5</w:t>
        <w:tab/>
        <w:t>Right of replacement or cancellation and prepayment in relation to a single Lender/Right of cancellation in relation to a Defaulting Lender</w:t>
      </w:r>
    </w:p>
    <w:p>
      <w:pPr>
        <w:spacing w:after="0" w:line="162" w:lineRule="exact"/>
        <w:rPr>
          <w:sz w:val="20"/>
          <w:szCs w:val="20"/>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w:t>
      </w:r>
    </w:p>
    <w:p>
      <w:pPr>
        <w:spacing w:after="0" w:line="180" w:lineRule="exact"/>
        <w:rPr>
          <w:rFonts w:ascii="Arial" w:cs="Arial" w:eastAsia="Arial" w:hAnsi="Arial"/>
          <w:sz w:val="18"/>
          <w:szCs w:val="18"/>
          <w:color w:val="auto"/>
        </w:rPr>
      </w:pPr>
    </w:p>
    <w:p>
      <w:pPr>
        <w:ind w:left="1620" w:hanging="532"/>
        <w:spacing w:after="0"/>
        <w:tabs>
          <w:tab w:leader="none" w:pos="162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any sum payable to any Lender by an Obligor is required to be increased under clause 12.2 (</w:t>
      </w:r>
      <w:r>
        <w:rPr>
          <w:rFonts w:ascii="Arial" w:cs="Arial" w:eastAsia="Arial" w:hAnsi="Arial"/>
          <w:sz w:val="18"/>
          <w:szCs w:val="18"/>
          <w:i w:val="1"/>
          <w:iCs w:val="1"/>
          <w:color w:val="auto"/>
        </w:rPr>
        <w:t>Tax gross-up</w:t>
      </w:r>
      <w:r>
        <w:rPr>
          <w:rFonts w:ascii="Arial" w:cs="Arial" w:eastAsia="Arial" w:hAnsi="Arial"/>
          <w:sz w:val="18"/>
          <w:szCs w:val="18"/>
          <w:color w:val="auto"/>
        </w:rPr>
        <w:t>); or</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any Lender claims indemnification from the Borrowers under clause 12.3 (</w:t>
      </w:r>
      <w:r>
        <w:rPr>
          <w:rFonts w:ascii="Arial" w:cs="Arial" w:eastAsia="Arial" w:hAnsi="Arial"/>
          <w:sz w:val="18"/>
          <w:szCs w:val="18"/>
          <w:i w:val="1"/>
          <w:iCs w:val="1"/>
          <w:color w:val="auto"/>
        </w:rPr>
        <w:t>Tax indemnity</w:t>
      </w:r>
      <w:r>
        <w:rPr>
          <w:rFonts w:ascii="Arial" w:cs="Arial" w:eastAsia="Arial" w:hAnsi="Arial"/>
          <w:sz w:val="18"/>
          <w:szCs w:val="18"/>
          <w:color w:val="auto"/>
        </w:rPr>
        <w:t>) or clause 13.1 (</w:t>
      </w:r>
      <w:r>
        <w:rPr>
          <w:rFonts w:ascii="Arial" w:cs="Arial" w:eastAsia="Arial" w:hAnsi="Arial"/>
          <w:sz w:val="18"/>
          <w:szCs w:val="18"/>
          <w:i w:val="1"/>
          <w:iCs w:val="1"/>
          <w:color w:val="auto"/>
        </w:rPr>
        <w:t>Increased Costs</w:t>
      </w:r>
      <w:r>
        <w:rPr>
          <w:rFonts w:ascii="Arial" w:cs="Arial" w:eastAsia="Arial" w:hAnsi="Arial"/>
          <w:sz w:val="18"/>
          <w:szCs w:val="18"/>
          <w:color w:val="auto"/>
        </w:rPr>
        <w:t>),</w:t>
      </w:r>
    </w:p>
    <w:p>
      <w:pPr>
        <w:spacing w:after="0" w:line="216" w:lineRule="exact"/>
        <w:rPr>
          <w:sz w:val="20"/>
          <w:szCs w:val="20"/>
          <w:color w:val="auto"/>
        </w:rPr>
      </w:pPr>
    </w:p>
    <w:p>
      <w:pPr>
        <w:jc w:val="both"/>
        <w:ind w:left="1080"/>
        <w:spacing w:after="0"/>
        <w:rPr>
          <w:sz w:val="20"/>
          <w:szCs w:val="20"/>
          <w:color w:val="auto"/>
        </w:rPr>
      </w:pPr>
      <w:r>
        <w:rPr>
          <w:rFonts w:ascii="Arial" w:cs="Arial" w:eastAsia="Arial" w:hAnsi="Arial"/>
          <w:sz w:val="18"/>
          <w:szCs w:val="18"/>
          <w:color w:val="auto"/>
        </w:rPr>
        <w:t>the Borrowers may, whilst the circumstance giving rise to the requirement for that increase or indemnification continues, give the Agent notice of cancellation of the Commitments of that Lender and their intention to procure the repayment of that Lender’s participation in the Loans or give the Agent notice of their intention to replace that Lender in accordance with clause 7.5(d).</w:t>
      </w:r>
    </w:p>
    <w:p>
      <w:pPr>
        <w:spacing w:after="0" w:line="189" w:lineRule="exact"/>
        <w:rPr>
          <w:sz w:val="20"/>
          <w:szCs w:val="20"/>
          <w:color w:val="auto"/>
        </w:rPr>
      </w:pPr>
    </w:p>
    <w:p>
      <w:pPr>
        <w:jc w:val="both"/>
        <w:ind w:left="1080" w:hanging="532"/>
        <w:spacing w:after="0" w:line="238"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On receipt of a notice referred to in clause 7.5(a) above, the Commitments of that Lender shall immediately be reduced to zero and (unless the Commitments of the relevant Lender are replaced in accordance with clause 7.5(d)) the Total Commitments shall be reduced accordingly (and the Term Loan Ship Commitments and the Revolving Loan Ship Commitments shall each be reduced rateably). The Agent shall as soon as practicable after receipt of a notice referred to in clause 7.5(a) above, notify all the Lenders.</w:t>
      </w:r>
    </w:p>
    <w:p>
      <w:pPr>
        <w:spacing w:after="0" w:line="189" w:lineRule="exact"/>
        <w:rPr>
          <w:rFonts w:ascii="Arial" w:cs="Arial" w:eastAsia="Arial" w:hAnsi="Arial"/>
          <w:sz w:val="18"/>
          <w:szCs w:val="18"/>
          <w:color w:val="auto"/>
        </w:rPr>
      </w:pPr>
    </w:p>
    <w:p>
      <w:pPr>
        <w:jc w:val="both"/>
        <w:ind w:left="1080" w:right="2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On the last day of each Interest Period which ends after the Borrowers have given notice under clause 7.5(a) above in relation to a Lender (or, if earlier, the date specified by the Borrowers in that notice), the Borrowers shall repay that Lender’s participation in the Loans.</w:t>
      </w:r>
    </w:p>
    <w:p>
      <w:pPr>
        <w:spacing w:after="0" w:line="189" w:lineRule="exact"/>
        <w:rPr>
          <w:rFonts w:ascii="Arial" w:cs="Arial" w:eastAsia="Arial" w:hAnsi="Arial"/>
          <w:sz w:val="18"/>
          <w:szCs w:val="18"/>
          <w:color w:val="auto"/>
        </w:rPr>
      </w:pPr>
    </w:p>
    <w:p>
      <w:pPr>
        <w:jc w:val="both"/>
        <w:ind w:left="1080" w:hanging="532"/>
        <w:spacing w:after="0" w:line="238"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Borrowers may, in the circumstances set out in clause 7.5(a), on 15 Business Days’ prior notice to the Agent and that Lender, replace that Lender by requiring that Lender to assign (and, to the extent permitted by law, that Lender shall assign) pursuant to clause 30 (</w:t>
      </w:r>
      <w:r>
        <w:rPr>
          <w:rFonts w:ascii="Arial" w:cs="Arial" w:eastAsia="Arial" w:hAnsi="Arial"/>
          <w:sz w:val="18"/>
          <w:szCs w:val="18"/>
          <w:i w:val="1"/>
          <w:iCs w:val="1"/>
          <w:color w:val="auto"/>
        </w:rPr>
        <w:t>Changes to the Lenders</w:t>
      </w:r>
      <w:r>
        <w:rPr>
          <w:rFonts w:ascii="Arial" w:cs="Arial" w:eastAsia="Arial" w:hAnsi="Arial"/>
          <w:sz w:val="18"/>
          <w:szCs w:val="18"/>
          <w:color w:val="auto"/>
        </w:rPr>
        <w:t>) all (and not part only) of its rights under this Agreement to a Lender or other bank, financial institution, trust, fund or other entity selected by the Borrowers which confirms its willingness to assume and does assume all the obligations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90" w:name="page91"/>
    <w:bookmarkEnd w:id="90"/>
    <w:p>
      <w:pPr>
        <w:ind w:left="1080" w:right="180"/>
        <w:spacing w:after="0" w:line="267" w:lineRule="auto"/>
        <w:rPr>
          <w:sz w:val="20"/>
          <w:szCs w:val="20"/>
          <w:color w:val="auto"/>
        </w:rPr>
      </w:pPr>
      <w:r>
        <w:rPr>
          <w:rFonts w:ascii="Arial" w:cs="Arial" w:eastAsia="Arial" w:hAnsi="Arial"/>
          <w:sz w:val="18"/>
          <w:szCs w:val="18"/>
          <w:color w:val="auto"/>
        </w:rPr>
        <w:t>of the assigning Lender in accordance with clause 30 (</w:t>
      </w:r>
      <w:r>
        <w:rPr>
          <w:rFonts w:ascii="Arial" w:cs="Arial" w:eastAsia="Arial" w:hAnsi="Arial"/>
          <w:sz w:val="18"/>
          <w:szCs w:val="18"/>
          <w:i w:val="1"/>
          <w:iCs w:val="1"/>
          <w:color w:val="auto"/>
        </w:rPr>
        <w:t>Changes to the Lenders</w:t>
      </w:r>
      <w:r>
        <w:rPr>
          <w:rFonts w:ascii="Arial" w:cs="Arial" w:eastAsia="Arial" w:hAnsi="Arial"/>
          <w:sz w:val="18"/>
          <w:szCs w:val="18"/>
          <w:color w:val="auto"/>
        </w:rPr>
        <w:t>) for a purchase price in cash payable at the time of the assignment equal to the aggregate of:</w:t>
      </w:r>
    </w:p>
    <w:p>
      <w:pPr>
        <w:spacing w:after="0" w:line="165" w:lineRule="exact"/>
        <w:rPr>
          <w:sz w:val="20"/>
          <w:szCs w:val="20"/>
          <w:color w:val="auto"/>
        </w:rPr>
      </w:pPr>
    </w:p>
    <w:p>
      <w:pPr>
        <w:ind w:left="1620" w:hanging="532"/>
        <w:spacing w:after="0"/>
        <w:tabs>
          <w:tab w:leader="none" w:pos="16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outstanding principal amount of such Lender’s participation in the Loans;</w:t>
      </w:r>
    </w:p>
    <w:p>
      <w:pPr>
        <w:spacing w:after="0" w:line="180" w:lineRule="exact"/>
        <w:rPr>
          <w:rFonts w:ascii="Arial" w:cs="Arial" w:eastAsia="Arial" w:hAnsi="Arial"/>
          <w:sz w:val="18"/>
          <w:szCs w:val="18"/>
          <w:color w:val="auto"/>
        </w:rPr>
      </w:pPr>
    </w:p>
    <w:p>
      <w:pPr>
        <w:ind w:left="1620" w:right="20" w:hanging="532"/>
        <w:spacing w:after="0" w:line="267" w:lineRule="auto"/>
        <w:tabs>
          <w:tab w:leader="none" w:pos="16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all accrued interest owing to such Lender to the extent that the Agent has not given a notification under clause 30.8 (</w:t>
      </w:r>
      <w:r>
        <w:rPr>
          <w:rFonts w:ascii="Arial" w:cs="Arial" w:eastAsia="Arial" w:hAnsi="Arial"/>
          <w:sz w:val="18"/>
          <w:szCs w:val="18"/>
          <w:i w:val="1"/>
          <w:iCs w:val="1"/>
          <w:color w:val="auto"/>
        </w:rPr>
        <w:t>Pro</w:t>
      </w:r>
      <w:r>
        <w:rPr>
          <w:rFonts w:ascii="Arial" w:cs="Arial" w:eastAsia="Arial" w:hAnsi="Arial"/>
          <w:sz w:val="18"/>
          <w:szCs w:val="18"/>
          <w:color w:val="auto"/>
        </w:rPr>
        <w:t xml:space="preserve"> </w:t>
      </w:r>
      <w:r>
        <w:rPr>
          <w:rFonts w:ascii="Arial" w:cs="Arial" w:eastAsia="Arial" w:hAnsi="Arial"/>
          <w:sz w:val="18"/>
          <w:szCs w:val="18"/>
          <w:i w:val="1"/>
          <w:iCs w:val="1"/>
          <w:color w:val="auto"/>
        </w:rPr>
        <w:t>rata interest settlement</w:t>
      </w:r>
      <w:r>
        <w:rPr>
          <w:rFonts w:ascii="Arial" w:cs="Arial" w:eastAsia="Arial" w:hAnsi="Arial"/>
          <w:sz w:val="18"/>
          <w:szCs w:val="18"/>
          <w:color w:val="auto"/>
        </w:rPr>
        <w:t>);</w:t>
      </w:r>
    </w:p>
    <w:p>
      <w:pPr>
        <w:spacing w:after="0" w:line="147" w:lineRule="exact"/>
        <w:rPr>
          <w:rFonts w:ascii="Arial" w:cs="Arial" w:eastAsia="Arial" w:hAnsi="Arial"/>
          <w:sz w:val="18"/>
          <w:szCs w:val="18"/>
          <w:color w:val="auto"/>
        </w:rPr>
      </w:pPr>
    </w:p>
    <w:p>
      <w:pPr>
        <w:ind w:left="1620" w:hanging="532"/>
        <w:spacing w:after="0" w:line="267" w:lineRule="auto"/>
        <w:tabs>
          <w:tab w:leader="none" w:pos="16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Break Costs which would have been payable to such Lender pursuant to clause 10.3 (</w:t>
      </w:r>
      <w:r>
        <w:rPr>
          <w:rFonts w:ascii="Arial" w:cs="Arial" w:eastAsia="Arial" w:hAnsi="Arial"/>
          <w:sz w:val="18"/>
          <w:szCs w:val="18"/>
          <w:i w:val="1"/>
          <w:iCs w:val="1"/>
          <w:color w:val="auto"/>
        </w:rPr>
        <w:t>Break Costs</w:t>
      </w:r>
      <w:r>
        <w:rPr>
          <w:rFonts w:ascii="Arial" w:cs="Arial" w:eastAsia="Arial" w:hAnsi="Arial"/>
          <w:sz w:val="18"/>
          <w:szCs w:val="18"/>
          <w:color w:val="auto"/>
        </w:rPr>
        <w:t>) had the Borrowers prepaid in full that Lender’s participation in the Loans on the date of the assignment; and</w:t>
      </w:r>
    </w:p>
    <w:p>
      <w:pPr>
        <w:spacing w:after="0" w:line="165" w:lineRule="exact"/>
        <w:rPr>
          <w:rFonts w:ascii="Arial" w:cs="Arial" w:eastAsia="Arial" w:hAnsi="Arial"/>
          <w:sz w:val="18"/>
          <w:szCs w:val="18"/>
          <w:color w:val="auto"/>
        </w:rPr>
      </w:pPr>
    </w:p>
    <w:p>
      <w:pPr>
        <w:ind w:left="1620" w:hanging="532"/>
        <w:spacing w:after="0"/>
        <w:tabs>
          <w:tab w:leader="none" w:pos="16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all other amounts payable to that Lender under the Finance Documents on the date of the assignment.</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replacement of a Lender pursuant to clause 7.5(d) shall be subject to the following conditions:</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Borrowers shall have no right to replace the Agent;</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neither the Agent nor any Lender shall have any obligation to find a replacement Lender;</w:t>
      </w:r>
    </w:p>
    <w:p>
      <w:pPr>
        <w:spacing w:after="0" w:line="198"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in no event shall the Lender replaced under clause 7.5(d) be required to pay or surrender any of the fees received by such Lender pursuant to the Finance Documents; and</w:t>
      </w:r>
    </w:p>
    <w:p>
      <w:pPr>
        <w:spacing w:after="0" w:line="183" w:lineRule="exact"/>
        <w:rPr>
          <w:rFonts w:ascii="Arial" w:cs="Arial" w:eastAsia="Arial" w:hAnsi="Arial"/>
          <w:sz w:val="18"/>
          <w:szCs w:val="18"/>
          <w:color w:val="auto"/>
        </w:rPr>
      </w:pPr>
    </w:p>
    <w:p>
      <w:pPr>
        <w:jc w:val="both"/>
        <w:ind w:left="1620" w:right="20" w:hanging="532"/>
        <w:spacing w:after="0"/>
        <w:tabs>
          <w:tab w:leader="none" w:pos="16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Lender shall only be obliged to assign its rights pursuant to clause 7.5(d) above once it is satisfied that it has complied with all necessary “know your customer” or other similar checks under all applicable laws and regulations in relation to that assignment.</w:t>
      </w:r>
    </w:p>
    <w:p>
      <w:pPr>
        <w:spacing w:after="0" w:line="189" w:lineRule="exact"/>
        <w:rPr>
          <w:rFonts w:ascii="Arial" w:cs="Arial" w:eastAsia="Arial" w:hAnsi="Arial"/>
          <w:sz w:val="18"/>
          <w:szCs w:val="18"/>
          <w:color w:val="auto"/>
        </w:rPr>
      </w:pPr>
    </w:p>
    <w:p>
      <w:pPr>
        <w:jc w:val="both"/>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Lender shall perform the checks described in clause 7.5(e)(iv) above as soon as reasonably practicable following delivery of a notice referred to in clause 7.5(d) above and shall notify the Agent and the Borrowers when it is satisfied that it has complied with those checks.</w:t>
      </w:r>
    </w:p>
    <w:p>
      <w:pPr>
        <w:spacing w:after="0" w:line="189"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If any Lender becomes a Defaulting Lender, the Borrowers may, at any time whilst the Lender continues to be a Defaulting Lender, give the Agent 5 Business Days’ notice of cancellation of the undrawn Commitments of that Lender.</w:t>
      </w:r>
    </w:p>
    <w:p>
      <w:pPr>
        <w:spacing w:after="0" w:line="183" w:lineRule="exact"/>
        <w:rPr>
          <w:rFonts w:ascii="Arial" w:cs="Arial" w:eastAsia="Arial" w:hAnsi="Arial"/>
          <w:sz w:val="18"/>
          <w:szCs w:val="18"/>
          <w:color w:val="auto"/>
        </w:rPr>
      </w:pPr>
    </w:p>
    <w:p>
      <w:pPr>
        <w:jc w:val="both"/>
        <w:ind w:left="1080" w:hanging="532"/>
        <w:spacing w:after="0" w:line="238"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On the notice referred to in clause 7.5(g) above becoming effective, the undrawn Commitments of the Defaulting Lender shall immediately be reduced to zero and (unless the Commitments of the relevant Lender are replaced in accordance with 41.5 (</w:t>
      </w:r>
      <w:r>
        <w:rPr>
          <w:rFonts w:ascii="Arial" w:cs="Arial" w:eastAsia="Arial" w:hAnsi="Arial"/>
          <w:sz w:val="18"/>
          <w:szCs w:val="18"/>
          <w:i w:val="1"/>
          <w:iCs w:val="1"/>
          <w:color w:val="auto"/>
        </w:rPr>
        <w:t>Replacement of a Defaulting Lender</w:t>
      </w:r>
      <w:r>
        <w:rPr>
          <w:rFonts w:ascii="Arial" w:cs="Arial" w:eastAsia="Arial" w:hAnsi="Arial"/>
          <w:sz w:val="18"/>
          <w:szCs w:val="18"/>
          <w:color w:val="auto"/>
        </w:rPr>
        <w:t>)) the remaining undrawn Term Loan Ship Commitments and Revolving Loan Ship Commitments shall each be reduced rateably and the Total Commitments shall be reduced accordingly, and the Agent shall as soon as practicable after receipt of such notice, notify all the Lenders.</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7"/>
          <w:szCs w:val="17"/>
          <w:b w:val="1"/>
          <w:bCs w:val="1"/>
          <w:color w:val="auto"/>
        </w:rPr>
        <w:t>Sale or Total Loss</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 a Mortgaged Ship’s Disposal Repayment Date:</w:t>
      </w:r>
    </w:p>
    <w:p>
      <w:pPr>
        <w:spacing w:after="0" w:line="198" w:lineRule="exact"/>
        <w:rPr>
          <w:sz w:val="20"/>
          <w:szCs w:val="20"/>
          <w:color w:val="auto"/>
        </w:rPr>
      </w:pPr>
    </w:p>
    <w:p>
      <w:pPr>
        <w:ind w:left="1080" w:hanging="532"/>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Borrowers shall prepay in full the Term Loan relevant to that Ship and all the Revolving Loans relevant to that Ship; and</w:t>
      </w:r>
    </w:p>
    <w:p>
      <w:pPr>
        <w:spacing w:after="0" w:line="19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Ship Aggregate Commitments for that Ship shall be reduced to zero, the Total Commitments shall be reduced accordingly and the Commitments reduced pro rata.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91" w:name="page92"/>
    <w:bookmarkEnd w:id="91"/>
    <w:p>
      <w:pPr>
        <w:spacing w:after="0"/>
        <w:tabs>
          <w:tab w:leader="none" w:pos="520" w:val="left"/>
        </w:tabs>
        <w:rPr>
          <w:sz w:val="20"/>
          <w:szCs w:val="20"/>
          <w:color w:val="auto"/>
        </w:rPr>
      </w:pPr>
      <w:r>
        <w:rPr>
          <w:rFonts w:ascii="Arial" w:cs="Arial" w:eastAsia="Arial" w:hAnsi="Arial"/>
          <w:sz w:val="18"/>
          <w:szCs w:val="18"/>
          <w:b w:val="1"/>
          <w:bCs w:val="1"/>
          <w:color w:val="auto"/>
        </w:rPr>
        <w:t>7.7</w:t>
        <w:tab/>
        <w:t>Automatic cancellation</w:t>
      </w:r>
    </w:p>
    <w:p>
      <w:pPr>
        <w:spacing w:after="0" w:line="220" w:lineRule="exact"/>
        <w:rPr>
          <w:sz w:val="20"/>
          <w:szCs w:val="20"/>
          <w:color w:val="auto"/>
        </w:rPr>
      </w:pPr>
    </w:p>
    <w:p>
      <w:pPr>
        <w:ind w:left="540"/>
        <w:spacing w:after="0" w:line="246" w:lineRule="auto"/>
        <w:rPr>
          <w:sz w:val="20"/>
          <w:szCs w:val="20"/>
          <w:color w:val="auto"/>
        </w:rPr>
      </w:pPr>
      <w:r>
        <w:rPr>
          <w:rFonts w:ascii="Arial" w:cs="Arial" w:eastAsia="Arial" w:hAnsi="Arial"/>
          <w:sz w:val="18"/>
          <w:szCs w:val="18"/>
          <w:color w:val="auto"/>
        </w:rPr>
        <w:t>Any part of the Total Commitments relating to a Facility which has not become available by, or which is undrawn on, the Last Availability Date applicable to it shall be automatically cancelled at close of business in London on the Last Availability Date applicable to it.</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7"/>
          <w:szCs w:val="17"/>
          <w:b w:val="1"/>
          <w:bCs w:val="1"/>
          <w:color w:val="auto"/>
        </w:rPr>
        <w:t>Restrictions</w:t>
      </w:r>
    </w:p>
    <w:p>
      <w:pPr>
        <w:spacing w:after="0" w:line="220" w:lineRule="exact"/>
        <w:rPr>
          <w:sz w:val="20"/>
          <w:szCs w:val="20"/>
          <w:color w:val="auto"/>
        </w:rPr>
      </w:pPr>
    </w:p>
    <w:p>
      <w:pPr>
        <w:jc w:val="both"/>
        <w:ind w:left="1080" w:hanging="532"/>
        <w:spacing w:after="0" w:line="238"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notice of cancellation or prepayment given by any Party under this clause 7 shall be irrevocable and, unless a contrary indication appears in this Agreement, shall specify the date or dates upon which the relevant cancellation or prepayment is to be made and the amount of that cancellation or prepayment and, in the case of a cancellation or prepayment under clause 7.3 (</w:t>
      </w:r>
      <w:r>
        <w:rPr>
          <w:rFonts w:ascii="Arial" w:cs="Arial" w:eastAsia="Arial" w:hAnsi="Arial"/>
          <w:sz w:val="18"/>
          <w:szCs w:val="18"/>
          <w:i w:val="1"/>
          <w:iCs w:val="1"/>
          <w:color w:val="auto"/>
        </w:rPr>
        <w:t>Voluntary cancellation</w:t>
      </w:r>
      <w:r>
        <w:rPr>
          <w:rFonts w:ascii="Arial" w:cs="Arial" w:eastAsia="Arial" w:hAnsi="Arial"/>
          <w:sz w:val="18"/>
          <w:szCs w:val="18"/>
          <w:color w:val="auto"/>
        </w:rPr>
        <w:t>) or clause 7.4 (</w:t>
      </w:r>
      <w:r>
        <w:rPr>
          <w:rFonts w:ascii="Arial" w:cs="Arial" w:eastAsia="Arial" w:hAnsi="Arial"/>
          <w:sz w:val="18"/>
          <w:szCs w:val="18"/>
          <w:i w:val="1"/>
          <w:iCs w:val="1"/>
          <w:color w:val="auto"/>
        </w:rPr>
        <w:t>Voluntary prepayment</w:t>
      </w:r>
      <w:r>
        <w:rPr>
          <w:rFonts w:ascii="Arial" w:cs="Arial" w:eastAsia="Arial" w:hAnsi="Arial"/>
          <w:sz w:val="18"/>
          <w:szCs w:val="18"/>
          <w:color w:val="auto"/>
        </w:rPr>
        <w:t>), the relevant Facility, Loan, Term Loan Ship Commitment or Revolving Loan Ship Commitment to be cancelled or prepaid (as the case may be).</w:t>
      </w:r>
    </w:p>
    <w:p>
      <w:pPr>
        <w:spacing w:after="0" w:line="189"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prepayment under this Agreement shall be made together with accrued interest on the amount prepaid and, subject to any Break Costs, without premium or penalty.</w:t>
      </w:r>
    </w:p>
    <w:p>
      <w:pPr>
        <w:spacing w:after="0" w:line="183" w:lineRule="exact"/>
        <w:rPr>
          <w:rFonts w:ascii="Arial" w:cs="Arial" w:eastAsia="Arial" w:hAnsi="Arial"/>
          <w:sz w:val="18"/>
          <w:szCs w:val="18"/>
          <w:color w:val="auto"/>
        </w:rPr>
      </w:pPr>
    </w:p>
    <w:p>
      <w:pPr>
        <w:jc w:val="both"/>
        <w:ind w:left="1080" w:hanging="532"/>
        <w:spacing w:after="0" w:line="239"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Unless a contrary indication appears in this Agreement, any part of the Revolving Loan Facility which is drawn under a Revolving Loan Ship Commitment for a Ship and is prepaid or repaid may be re-borrowed under the same Revolving Loan Ship Commitment in accordance with the terms of this Agreement. The Borrowers may not re-borrow any part of the Term Loan Facility which is prepaid or repaid.</w:t>
      </w:r>
    </w:p>
    <w:p>
      <w:pPr>
        <w:spacing w:after="0" w:line="18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Borrowers shall not repay or prepay all or any part of the Loans or cancel all or any part of the Commitments except at the times and in the manner expressly provided for in this Agreement.</w:t>
      </w:r>
    </w:p>
    <w:p>
      <w:pPr>
        <w:spacing w:after="0" w:line="183" w:lineRule="exact"/>
        <w:rPr>
          <w:rFonts w:ascii="Arial" w:cs="Arial" w:eastAsia="Arial" w:hAnsi="Arial"/>
          <w:sz w:val="18"/>
          <w:szCs w:val="18"/>
          <w:color w:val="auto"/>
        </w:rPr>
      </w:pPr>
    </w:p>
    <w:p>
      <w:pPr>
        <w:ind w:left="1080" w:hanging="532"/>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No amount of the Total Commitments cancelled under this Agreement may be subsequently reinstated.</w:t>
      </w:r>
    </w:p>
    <w:p>
      <w:pPr>
        <w:spacing w:after="0" w:line="198"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If the Agent receives a notice under this clause 7 it shall promptly forward a copy of that notice to either the Borrowers or the affected Lender, as appropriate.</w:t>
      </w:r>
    </w:p>
    <w:p>
      <w:pPr>
        <w:spacing w:after="0" w:line="165" w:lineRule="exact"/>
        <w:rPr>
          <w:rFonts w:ascii="Arial" w:cs="Arial" w:eastAsia="Arial" w:hAnsi="Arial"/>
          <w:sz w:val="18"/>
          <w:szCs w:val="18"/>
          <w:color w:val="auto"/>
        </w:rPr>
      </w:pPr>
    </w:p>
    <w:p>
      <w:pPr>
        <w:jc w:val="both"/>
        <w:ind w:left="1080" w:hanging="532"/>
        <w:spacing w:after="0" w:line="245"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If the Total Commitments are partially reduced under this Agreement (other than under clause 7.1 (</w:t>
      </w:r>
      <w:r>
        <w:rPr>
          <w:rFonts w:ascii="Arial" w:cs="Arial" w:eastAsia="Arial" w:hAnsi="Arial"/>
          <w:sz w:val="18"/>
          <w:szCs w:val="18"/>
          <w:i w:val="1"/>
          <w:iCs w:val="1"/>
          <w:color w:val="auto"/>
        </w:rPr>
        <w:t>Illegality</w:t>
      </w:r>
      <w:r>
        <w:rPr>
          <w:rFonts w:ascii="Arial" w:cs="Arial" w:eastAsia="Arial" w:hAnsi="Arial"/>
          <w:sz w:val="18"/>
          <w:szCs w:val="18"/>
          <w:color w:val="auto"/>
        </w:rPr>
        <w:t>) and clause 7.5 (</w:t>
      </w:r>
      <w:r>
        <w:rPr>
          <w:rFonts w:ascii="Arial" w:cs="Arial" w:eastAsia="Arial" w:hAnsi="Arial"/>
          <w:sz w:val="18"/>
          <w:szCs w:val="18"/>
          <w:i w:val="1"/>
          <w:iCs w:val="1"/>
          <w:color w:val="auto"/>
        </w:rPr>
        <w:t>Right</w:t>
      </w:r>
      <w:r>
        <w:rPr>
          <w:rFonts w:ascii="Arial" w:cs="Arial" w:eastAsia="Arial" w:hAnsi="Arial"/>
          <w:sz w:val="18"/>
          <w:szCs w:val="18"/>
          <w:color w:val="auto"/>
        </w:rPr>
        <w:t xml:space="preserve"> </w:t>
      </w:r>
      <w:r>
        <w:rPr>
          <w:rFonts w:ascii="Arial" w:cs="Arial" w:eastAsia="Arial" w:hAnsi="Arial"/>
          <w:sz w:val="18"/>
          <w:szCs w:val="18"/>
          <w:i w:val="1"/>
          <w:iCs w:val="1"/>
          <w:color w:val="auto"/>
        </w:rPr>
        <w:t>of replacement or cancellation and prepayment in relation to a single Lender/Right of cancellation in relation to a Defaulting Lender</w:t>
      </w:r>
      <w:r>
        <w:rPr>
          <w:rFonts w:ascii="Arial" w:cs="Arial" w:eastAsia="Arial" w:hAnsi="Arial"/>
          <w:sz w:val="18"/>
          <w:szCs w:val="18"/>
          <w:color w:val="auto"/>
        </w:rPr>
        <w:t>)), the Commitments of all the Lenders under both Facilities shall be reduced pro rata (except where otherwise expressly</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in this Agreement).</w:t>
      </w:r>
    </w:p>
    <w:p>
      <w:pPr>
        <w:spacing w:after="0" w:line="185" w:lineRule="exact"/>
        <w:rPr>
          <w:rFonts w:ascii="Arial" w:cs="Arial" w:eastAsia="Arial" w:hAnsi="Arial"/>
          <w:sz w:val="18"/>
          <w:szCs w:val="18"/>
          <w:color w:val="auto"/>
        </w:rPr>
      </w:pPr>
    </w:p>
    <w:p>
      <w:pPr>
        <w:jc w:val="both"/>
        <w:ind w:left="1080" w:hanging="532"/>
        <w:spacing w:after="0" w:line="238"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all cases where the Total Commitments are partially reduced under this Agreement (other than in relation to a cancellation of all of the Term Loan Ship Commitment for a Ship and/or all of the Revolving Loan Ship Commitment for a Ship under clause 7.6 (</w:t>
      </w:r>
      <w:r>
        <w:rPr>
          <w:rFonts w:ascii="Arial" w:cs="Arial" w:eastAsia="Arial" w:hAnsi="Arial"/>
          <w:sz w:val="18"/>
          <w:szCs w:val="18"/>
          <w:i w:val="1"/>
          <w:iCs w:val="1"/>
          <w:color w:val="auto"/>
        </w:rPr>
        <w:t>Sale or Total Loss</w:t>
      </w:r>
      <w:r>
        <w:rPr>
          <w:rFonts w:ascii="Arial" w:cs="Arial" w:eastAsia="Arial" w:hAnsi="Arial"/>
          <w:sz w:val="18"/>
          <w:szCs w:val="18"/>
          <w:color w:val="auto"/>
        </w:rPr>
        <w:t>) or where the Borrowers have so selected under clause 7.3 (</w:t>
      </w:r>
      <w:r>
        <w:rPr>
          <w:rFonts w:ascii="Arial" w:cs="Arial" w:eastAsia="Arial" w:hAnsi="Arial"/>
          <w:sz w:val="18"/>
          <w:szCs w:val="18"/>
          <w:i w:val="1"/>
          <w:iCs w:val="1"/>
          <w:color w:val="auto"/>
        </w:rPr>
        <w:t>Voluntary cancellation</w:t>
      </w:r>
      <w:r>
        <w:rPr>
          <w:rFonts w:ascii="Arial" w:cs="Arial" w:eastAsia="Arial" w:hAnsi="Arial"/>
          <w:sz w:val="18"/>
          <w:szCs w:val="18"/>
          <w:color w:val="auto"/>
        </w:rPr>
        <w:t>) or except where otherwise expressly specified in this Agreement), the remaining Term Loan Ship Commitments and the remaining Revolving Loan Ship Commitments for all Ships shall be reduced pro rata.</w:t>
      </w:r>
    </w:p>
    <w:p>
      <w:pPr>
        <w:spacing w:after="0" w:line="171" w:lineRule="exact"/>
        <w:rPr>
          <w:rFonts w:ascii="Arial" w:cs="Arial" w:eastAsia="Arial" w:hAnsi="Arial"/>
          <w:sz w:val="18"/>
          <w:szCs w:val="18"/>
          <w:color w:val="auto"/>
        </w:rPr>
      </w:pPr>
    </w:p>
    <w:p>
      <w:pPr>
        <w:jc w:val="both"/>
        <w:ind w:left="1080" w:hanging="532"/>
        <w:spacing w:after="0" w:line="245"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If the Term Loans are partially prepaid under this Agreement (other than under clause 7.1 (</w:t>
      </w:r>
      <w:r>
        <w:rPr>
          <w:rFonts w:ascii="Arial" w:cs="Arial" w:eastAsia="Arial" w:hAnsi="Arial"/>
          <w:sz w:val="18"/>
          <w:szCs w:val="18"/>
          <w:i w:val="1"/>
          <w:iCs w:val="1"/>
          <w:color w:val="auto"/>
        </w:rPr>
        <w:t>Illegality</w:t>
      </w:r>
      <w:r>
        <w:rPr>
          <w:rFonts w:ascii="Arial" w:cs="Arial" w:eastAsia="Arial" w:hAnsi="Arial"/>
          <w:sz w:val="18"/>
          <w:szCs w:val="18"/>
          <w:color w:val="auto"/>
        </w:rPr>
        <w:t>) and clause 7.5 (</w:t>
      </w:r>
      <w:r>
        <w:rPr>
          <w:rFonts w:ascii="Arial" w:cs="Arial" w:eastAsia="Arial" w:hAnsi="Arial"/>
          <w:sz w:val="18"/>
          <w:szCs w:val="18"/>
          <w:i w:val="1"/>
          <w:iCs w:val="1"/>
          <w:color w:val="auto"/>
        </w:rPr>
        <w:t>Right of</w:t>
      </w:r>
      <w:r>
        <w:rPr>
          <w:rFonts w:ascii="Arial" w:cs="Arial" w:eastAsia="Arial" w:hAnsi="Arial"/>
          <w:sz w:val="18"/>
          <w:szCs w:val="18"/>
          <w:color w:val="auto"/>
        </w:rPr>
        <w:t xml:space="preserve"> </w:t>
      </w:r>
      <w:r>
        <w:rPr>
          <w:rFonts w:ascii="Arial" w:cs="Arial" w:eastAsia="Arial" w:hAnsi="Arial"/>
          <w:sz w:val="18"/>
          <w:szCs w:val="18"/>
          <w:i w:val="1"/>
          <w:iCs w:val="1"/>
          <w:color w:val="auto"/>
        </w:rPr>
        <w:t>replacement or cancellation and prepayment in relation to a single Lender / right of cancellation in relation to a Defaulting Lender</w:t>
      </w:r>
      <w:r>
        <w:rPr>
          <w:rFonts w:ascii="Arial" w:cs="Arial" w:eastAsia="Arial" w:hAnsi="Arial"/>
          <w:sz w:val="18"/>
          <w:szCs w:val="18"/>
          <w:color w:val="auto"/>
        </w:rPr>
        <w:t>)), the amount prepaid shall reduce the participation of all the Lenders in the Term Loans rateably (except where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expressly specified in this Agreement).</w:t>
      </w:r>
    </w:p>
    <w:p>
      <w:pPr>
        <w:spacing w:after="0" w:line="167" w:lineRule="exact"/>
        <w:rPr>
          <w:rFonts w:ascii="Arial" w:cs="Arial" w:eastAsia="Arial" w:hAnsi="Arial"/>
          <w:sz w:val="18"/>
          <w:szCs w:val="18"/>
          <w:color w:val="auto"/>
        </w:rPr>
      </w:pPr>
    </w:p>
    <w:p>
      <w:pPr>
        <w:jc w:val="both"/>
        <w:ind w:left="1080" w:hanging="532"/>
        <w:spacing w:after="0" w:line="251"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If the Revolving Loans are partially prepaid under this Agreement (other than under clause 7.1 (</w:t>
      </w:r>
      <w:r>
        <w:rPr>
          <w:rFonts w:ascii="Arial" w:cs="Arial" w:eastAsia="Arial" w:hAnsi="Arial"/>
          <w:sz w:val="18"/>
          <w:szCs w:val="18"/>
          <w:i w:val="1"/>
          <w:iCs w:val="1"/>
          <w:color w:val="auto"/>
        </w:rPr>
        <w:t>Illegality</w:t>
      </w:r>
      <w:r>
        <w:rPr>
          <w:rFonts w:ascii="Arial" w:cs="Arial" w:eastAsia="Arial" w:hAnsi="Arial"/>
          <w:sz w:val="18"/>
          <w:szCs w:val="18"/>
          <w:color w:val="auto"/>
        </w:rPr>
        <w:t>) and clause 7.5 (</w:t>
      </w:r>
      <w:r>
        <w:rPr>
          <w:rFonts w:ascii="Arial" w:cs="Arial" w:eastAsia="Arial" w:hAnsi="Arial"/>
          <w:sz w:val="18"/>
          <w:szCs w:val="18"/>
          <w:i w:val="1"/>
          <w:iCs w:val="1"/>
          <w:color w:val="auto"/>
        </w:rPr>
        <w:t>Right of</w:t>
      </w:r>
      <w:r>
        <w:rPr>
          <w:rFonts w:ascii="Arial" w:cs="Arial" w:eastAsia="Arial" w:hAnsi="Arial"/>
          <w:sz w:val="18"/>
          <w:szCs w:val="18"/>
          <w:color w:val="auto"/>
        </w:rPr>
        <w:t xml:space="preserve"> </w:t>
      </w:r>
      <w:r>
        <w:rPr>
          <w:rFonts w:ascii="Arial" w:cs="Arial" w:eastAsia="Arial" w:hAnsi="Arial"/>
          <w:sz w:val="18"/>
          <w:szCs w:val="18"/>
          <w:i w:val="1"/>
          <w:iCs w:val="1"/>
          <w:color w:val="auto"/>
        </w:rPr>
        <w:t>replacement or cancellation and prepayment in relation to a single Lender / right of cancellation in relation to a Defaulting Lender</w:t>
      </w:r>
      <w:r>
        <w:rPr>
          <w:rFonts w:ascii="Arial" w:cs="Arial" w:eastAsia="Arial" w:hAnsi="Arial"/>
          <w:sz w:val="18"/>
          <w:szCs w:val="18"/>
          <w:color w:val="auto"/>
        </w:rPr>
        <w:t>)), the amount prepaid shall reduce the participation of all the Lenders in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92" w:name="page93"/>
    <w:bookmarkEnd w:id="92"/>
    <w:p>
      <w:pPr>
        <w:ind w:left="1080"/>
        <w:spacing w:after="0"/>
        <w:rPr>
          <w:sz w:val="20"/>
          <w:szCs w:val="20"/>
          <w:color w:val="auto"/>
        </w:rPr>
      </w:pPr>
      <w:r>
        <w:rPr>
          <w:rFonts w:ascii="Arial" w:cs="Arial" w:eastAsia="Arial" w:hAnsi="Arial"/>
          <w:sz w:val="18"/>
          <w:szCs w:val="18"/>
          <w:color w:val="auto"/>
        </w:rPr>
        <w:t>Revolving Loans rateably (except where otherwise expressly specified in this Agreement).</w:t>
      </w:r>
    </w:p>
    <w:p>
      <w:pPr>
        <w:spacing w:after="0" w:line="198" w:lineRule="exact"/>
        <w:rPr>
          <w:sz w:val="20"/>
          <w:szCs w:val="20"/>
          <w:color w:val="auto"/>
        </w:rPr>
      </w:pPr>
    </w:p>
    <w:p>
      <w:pPr>
        <w:jc w:val="both"/>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prepayment of the Term Loans for the account of all the Lenders shall be applied pro rata to each Lender’s participation in the Term Loans (other than a prepayment under clause 7.6 (</w:t>
      </w:r>
      <w:r>
        <w:rPr>
          <w:rFonts w:ascii="Arial" w:cs="Arial" w:eastAsia="Arial" w:hAnsi="Arial"/>
          <w:sz w:val="18"/>
          <w:szCs w:val="18"/>
          <w:i w:val="1"/>
          <w:iCs w:val="1"/>
          <w:color w:val="auto"/>
        </w:rPr>
        <w:t>Sale or Total Loss</w:t>
      </w:r>
      <w:r>
        <w:rPr>
          <w:rFonts w:ascii="Arial" w:cs="Arial" w:eastAsia="Arial" w:hAnsi="Arial"/>
          <w:sz w:val="18"/>
          <w:szCs w:val="18"/>
          <w:color w:val="auto"/>
        </w:rPr>
        <w:t>) or where the Borrowers have so selected under clause 7.4 (</w:t>
      </w:r>
      <w:r>
        <w:rPr>
          <w:rFonts w:ascii="Arial" w:cs="Arial" w:eastAsia="Arial" w:hAnsi="Arial"/>
          <w:sz w:val="18"/>
          <w:szCs w:val="18"/>
          <w:i w:val="1"/>
          <w:iCs w:val="1"/>
          <w:color w:val="auto"/>
        </w:rPr>
        <w:t>Voluntary prepayment</w:t>
      </w:r>
      <w:r>
        <w:rPr>
          <w:rFonts w:ascii="Arial" w:cs="Arial" w:eastAsia="Arial" w:hAnsi="Arial"/>
          <w:sz w:val="18"/>
          <w:szCs w:val="18"/>
          <w:color w:val="auto"/>
        </w:rPr>
        <w:t>), where such prepayment will be applied to the Term Loan in relation to the relevant Ship only).</w:t>
      </w:r>
    </w:p>
    <w:p>
      <w:pPr>
        <w:spacing w:after="0" w:line="189" w:lineRule="exact"/>
        <w:rPr>
          <w:rFonts w:ascii="Arial" w:cs="Arial" w:eastAsia="Arial" w:hAnsi="Arial"/>
          <w:sz w:val="18"/>
          <w:szCs w:val="18"/>
          <w:color w:val="auto"/>
        </w:rPr>
      </w:pPr>
    </w:p>
    <w:p>
      <w:pPr>
        <w:jc w:val="both"/>
        <w:ind w:left="1080" w:hanging="532"/>
        <w:spacing w:after="0" w:line="239"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prepayment of the Revolving Loans for the account of all the Lenders shall be applied pro rata to each Lender’s participation in the Revolving Loans (other than a prepayment under clause 7.6 (</w:t>
      </w:r>
      <w:r>
        <w:rPr>
          <w:rFonts w:ascii="Arial" w:cs="Arial" w:eastAsia="Arial" w:hAnsi="Arial"/>
          <w:sz w:val="18"/>
          <w:szCs w:val="18"/>
          <w:i w:val="1"/>
          <w:iCs w:val="1"/>
          <w:color w:val="auto"/>
        </w:rPr>
        <w:t>Sale or Total Loss</w:t>
      </w:r>
      <w:r>
        <w:rPr>
          <w:rFonts w:ascii="Arial" w:cs="Arial" w:eastAsia="Arial" w:hAnsi="Arial"/>
          <w:sz w:val="18"/>
          <w:szCs w:val="18"/>
          <w:color w:val="auto"/>
        </w:rPr>
        <w:t>) or where the Borrowers have so selected under clause 7.4 (</w:t>
      </w:r>
      <w:r>
        <w:rPr>
          <w:rFonts w:ascii="Arial" w:cs="Arial" w:eastAsia="Arial" w:hAnsi="Arial"/>
          <w:sz w:val="18"/>
          <w:szCs w:val="18"/>
          <w:i w:val="1"/>
          <w:iCs w:val="1"/>
          <w:color w:val="auto"/>
        </w:rPr>
        <w:t>Voluntary prepayment</w:t>
      </w:r>
      <w:r>
        <w:rPr>
          <w:rFonts w:ascii="Arial" w:cs="Arial" w:eastAsia="Arial" w:hAnsi="Arial"/>
          <w:sz w:val="18"/>
          <w:szCs w:val="18"/>
          <w:color w:val="auto"/>
        </w:rPr>
        <w:t>), where such prepayment will be applied to the Revolving Loans in relation to the relevant Ship only).</w:t>
      </w:r>
    </w:p>
    <w:p>
      <w:pPr>
        <w:spacing w:after="0" w:line="16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7.9</w:t>
        <w:tab/>
        <w:t>Mandatory prepayment and cancellation following non-compliance with Sanctions</w:t>
      </w:r>
    </w:p>
    <w:p>
      <w:pPr>
        <w:spacing w:after="0" w:line="202" w:lineRule="exact"/>
        <w:rPr>
          <w:sz w:val="20"/>
          <w:szCs w:val="20"/>
          <w:color w:val="auto"/>
        </w:rPr>
      </w:pPr>
    </w:p>
    <w:p>
      <w:pPr>
        <w:jc w:val="both"/>
        <w:ind w:left="540"/>
        <w:spacing w:after="0" w:line="242" w:lineRule="auto"/>
        <w:rPr>
          <w:sz w:val="20"/>
          <w:szCs w:val="20"/>
          <w:color w:val="auto"/>
        </w:rPr>
      </w:pPr>
      <w:r>
        <w:rPr>
          <w:rFonts w:ascii="Arial" w:cs="Arial" w:eastAsia="Arial" w:hAnsi="Arial"/>
          <w:sz w:val="18"/>
          <w:szCs w:val="18"/>
          <w:color w:val="auto"/>
        </w:rPr>
        <w:t>If the Borrowers or any Obligor is at any time not in compliance with the provisions of clause 21.11 (</w:t>
      </w:r>
      <w:r>
        <w:rPr>
          <w:rFonts w:ascii="Arial" w:cs="Arial" w:eastAsia="Arial" w:hAnsi="Arial"/>
          <w:sz w:val="18"/>
          <w:szCs w:val="18"/>
          <w:i w:val="1"/>
          <w:iCs w:val="1"/>
          <w:color w:val="auto"/>
        </w:rPr>
        <w:t>Sanctions</w:t>
      </w:r>
      <w:r>
        <w:rPr>
          <w:rFonts w:ascii="Arial" w:cs="Arial" w:eastAsia="Arial" w:hAnsi="Arial"/>
          <w:sz w:val="18"/>
          <w:szCs w:val="18"/>
          <w:color w:val="auto"/>
        </w:rPr>
        <w:t>) (but only insofar as they relate to Sanctions not imposed by Germany, the European Union or the United Nations) or at any time when a representation made or repeated under clause 18.32 (</w:t>
      </w:r>
      <w:r>
        <w:rPr>
          <w:rFonts w:ascii="Arial" w:cs="Arial" w:eastAsia="Arial" w:hAnsi="Arial"/>
          <w:sz w:val="18"/>
          <w:szCs w:val="18"/>
          <w:i w:val="1"/>
          <w:iCs w:val="1"/>
          <w:color w:val="auto"/>
        </w:rPr>
        <w:t>Sanctions</w:t>
      </w:r>
      <w:r>
        <w:rPr>
          <w:rFonts w:ascii="Arial" w:cs="Arial" w:eastAsia="Arial" w:hAnsi="Arial"/>
          <w:sz w:val="18"/>
          <w:szCs w:val="18"/>
          <w:color w:val="auto"/>
        </w:rPr>
        <w:t>) (but only insofar as they relate to Sanctions not imposed by Germany, the European Union or the United Nations) is not true, correct or accurate, then, without prejudice to any other rights of the Finance Parties under this Agreement and the other Finance Documents:</w:t>
      </w:r>
    </w:p>
    <w:p>
      <w:pPr>
        <w:spacing w:after="0" w:line="190" w:lineRule="exact"/>
        <w:rPr>
          <w:sz w:val="20"/>
          <w:szCs w:val="20"/>
          <w:color w:val="auto"/>
        </w:rPr>
      </w:pPr>
    </w:p>
    <w:p>
      <w:pPr>
        <w:ind w:left="1080" w:right="20" w:hanging="532"/>
        <w:spacing w:after="0" w:line="246"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Commitment of each Lender (excluding Lenders established under the laws of Germany and/or with a Facility Office in Germany) will be immediately cancelled; and</w:t>
      </w:r>
    </w:p>
    <w:p>
      <w:pPr>
        <w:spacing w:after="0" w:line="183" w:lineRule="exact"/>
        <w:rPr>
          <w:rFonts w:ascii="Arial" w:cs="Arial" w:eastAsia="Arial" w:hAnsi="Arial"/>
          <w:sz w:val="18"/>
          <w:szCs w:val="18"/>
          <w:color w:val="auto"/>
        </w:rPr>
      </w:pPr>
    </w:p>
    <w:p>
      <w:pPr>
        <w:jc w:val="both"/>
        <w:ind w:left="1080" w:hanging="532"/>
        <w:spacing w:after="0" w:line="239"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Borrowers shall repay each Lender’s participation in the Loans (excluding the participation of Lenders established under the laws of Germany and/or with a Facility Office in Germany) on the earlier of (i) the date falling 10 Business Days after the Agent notifies the Borrowers of such non-compliance and (ii) the date falling 10 Business Days after the Borrowers become aware of such non-compliance and (iii) the last day of the Interest Period falling after the said non-compliance has occurred.</w:t>
      </w:r>
    </w:p>
    <w:p>
      <w:pPr>
        <w:spacing w:after="0" w:line="166" w:lineRule="exact"/>
        <w:rPr>
          <w:sz w:val="20"/>
          <w:szCs w:val="20"/>
          <w:color w:val="auto"/>
        </w:rPr>
      </w:pPr>
    </w:p>
    <w:p>
      <w:pPr>
        <w:ind w:left="540" w:hanging="532"/>
        <w:spacing w:after="0"/>
        <w:tabs>
          <w:tab w:leader="none" w:pos="54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Interest</w:t>
      </w:r>
    </w:p>
    <w:p>
      <w:pPr>
        <w:spacing w:after="0" w:line="23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8.1</w:t>
        <w:tab/>
        <w:t>Calculation of interest</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rate of interest on each Loan for its Interest Period is the percentage rate per annum which is the aggregate of the applicable:</w:t>
      </w:r>
    </w:p>
    <w:p>
      <w:pPr>
        <w:spacing w:after="0" w:line="198" w:lineRule="exact"/>
        <w:rPr>
          <w:sz w:val="20"/>
          <w:szCs w:val="20"/>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Margin; and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LIBOR.</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8.2</w:t>
        <w:tab/>
        <w:t>Payment of interest</w:t>
      </w:r>
    </w:p>
    <w:p>
      <w:pPr>
        <w:spacing w:after="0" w:line="220" w:lineRule="exact"/>
        <w:rPr>
          <w:sz w:val="20"/>
          <w:szCs w:val="20"/>
          <w:color w:val="auto"/>
        </w:rPr>
      </w:pPr>
    </w:p>
    <w:p>
      <w:pPr>
        <w:ind w:left="540" w:right="20"/>
        <w:spacing w:after="0" w:line="246" w:lineRule="auto"/>
        <w:rPr>
          <w:sz w:val="20"/>
          <w:szCs w:val="20"/>
          <w:color w:val="auto"/>
        </w:rPr>
      </w:pPr>
      <w:r>
        <w:rPr>
          <w:rFonts w:ascii="Arial" w:cs="Arial" w:eastAsia="Arial" w:hAnsi="Arial"/>
          <w:sz w:val="18"/>
          <w:szCs w:val="18"/>
          <w:color w:val="auto"/>
        </w:rPr>
        <w:t>The Borrowers shall pay accrued interest on each Loan on the last day of each Interest Period for that Loan (and, if an Interest Period is longer than six months, on the dates falling at six monthly intervals after the first day of that Interest Period).</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8.3</w:t>
        <w:tab/>
        <w:t>Default interest</w:t>
      </w:r>
    </w:p>
    <w:p>
      <w:pPr>
        <w:spacing w:after="0" w:line="220" w:lineRule="exact"/>
        <w:rPr>
          <w:sz w:val="20"/>
          <w:szCs w:val="20"/>
          <w:color w:val="auto"/>
        </w:rPr>
      </w:pPr>
    </w:p>
    <w:p>
      <w:pPr>
        <w:jc w:val="both"/>
        <w:ind w:left="1080" w:hanging="532"/>
        <w:spacing w:after="0" w:line="238"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If an Obligor fails to pay any amount payable by it under a Finance Document on its due date, interest shall accrue on the overdue amount from the due date up to the date of actual payment (both before and after judgment) at a rate which, subject to clause 8.3(b) below, is 2 per cent. per annum higher than the rate which would have been payable if the overdue amount had, during the period of non-payment, constituted a Loan for successive Interest Periods, each of a duration selected by the Agent (acting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93" w:name="page94"/>
    <w:bookmarkEnd w:id="93"/>
    <w:p>
      <w:pPr>
        <w:ind w:left="1080"/>
        <w:spacing w:after="0"/>
        <w:rPr>
          <w:sz w:val="20"/>
          <w:szCs w:val="20"/>
          <w:color w:val="auto"/>
        </w:rPr>
      </w:pPr>
      <w:r>
        <w:rPr>
          <w:rFonts w:ascii="Arial" w:cs="Arial" w:eastAsia="Arial" w:hAnsi="Arial"/>
          <w:sz w:val="18"/>
          <w:szCs w:val="18"/>
          <w:color w:val="auto"/>
        </w:rPr>
        <w:t>reasonably). Any interest accruing under this clause 8.3 shall be immediately payable by the Obligors on demand by the Agent.</w:t>
      </w:r>
    </w:p>
    <w:p>
      <w:pPr>
        <w:spacing w:after="0" w:line="198" w:lineRule="exact"/>
        <w:rPr>
          <w:sz w:val="20"/>
          <w:szCs w:val="20"/>
          <w:color w:val="auto"/>
        </w:rPr>
      </w:pPr>
    </w:p>
    <w:p>
      <w:pPr>
        <w:ind w:left="1080" w:hanging="532"/>
        <w:spacing w:after="0" w:line="246"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If any overdue amount consists of all or part of a Loan which became due on a day which was not the last day of an Interest Period relating to that Loan or the relevant part of it:</w:t>
      </w:r>
    </w:p>
    <w:p>
      <w:pPr>
        <w:spacing w:after="0" w:line="183"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first Interest Period for that overdue amount shall have a duration equal to the unexpired portion of the current Interest Period relating to that Loan; and</w:t>
      </w:r>
    </w:p>
    <w:p>
      <w:pPr>
        <w:spacing w:after="0" w:line="183"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rate of interest applying to the overdue amount during that first Interest Period shall be 2 per cent. per annum higher than the rate which would have applied if the overdue amount had not become due.</w:t>
      </w:r>
    </w:p>
    <w:p>
      <w:pPr>
        <w:spacing w:after="0" w:line="183"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Default interest (if unpaid) arising on an overdue amount will be compounded with the overdue amount at the end of each Interest Period applicable to that overdue amount but will remain immediately due and payable.</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8.4</w:t>
        <w:tab/>
        <w:t>Notification of rates of interest</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Agent shall promptly notify the Lenders and the Borrowers of the determination of a rate of interest under this Agreement.</w:t>
      </w:r>
    </w:p>
    <w:p>
      <w:pPr>
        <w:spacing w:after="0" w:line="176" w:lineRule="exact"/>
        <w:rPr>
          <w:sz w:val="20"/>
          <w:szCs w:val="20"/>
          <w:color w:val="auto"/>
        </w:rPr>
      </w:pPr>
    </w:p>
    <w:p>
      <w:pPr>
        <w:ind w:left="540" w:hanging="532"/>
        <w:spacing w:after="0"/>
        <w:tabs>
          <w:tab w:leader="none" w:pos="54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Interest Periods</w:t>
      </w:r>
    </w:p>
    <w:p>
      <w:pPr>
        <w:spacing w:after="0" w:line="23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9.1</w:t>
        <w:tab/>
        <w:t>Selection of Interest Periods</w:t>
      </w:r>
    </w:p>
    <w:p>
      <w:pPr>
        <w:spacing w:after="0" w:line="220" w:lineRule="exact"/>
        <w:rPr>
          <w:sz w:val="20"/>
          <w:szCs w:val="20"/>
          <w:color w:val="auto"/>
        </w:rPr>
      </w:pPr>
    </w:p>
    <w:p>
      <w:pPr>
        <w:ind w:left="1080" w:hanging="532"/>
        <w:spacing w:after="0" w:line="246"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Borrowers may select an Interest Period for a Loan in the Utilisation Request for that Loan or (in relation to a Term Loan, if such Term Loan has already been borrowed) in a Selection Notice.</w:t>
      </w:r>
    </w:p>
    <w:p>
      <w:pPr>
        <w:spacing w:after="0" w:line="183"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Each Selection Notice is irrevocable and must be delivered to the Agent by the Borrowers not later than 11:00 a.m. three (3) Business Days before the last day of the then current Interest Period.</w:t>
      </w:r>
    </w:p>
    <w:p>
      <w:pPr>
        <w:spacing w:after="0" w:line="183" w:lineRule="exact"/>
        <w:rPr>
          <w:rFonts w:ascii="Arial" w:cs="Arial" w:eastAsia="Arial" w:hAnsi="Arial"/>
          <w:sz w:val="18"/>
          <w:szCs w:val="18"/>
          <w:color w:val="auto"/>
        </w:rPr>
      </w:pPr>
    </w:p>
    <w:p>
      <w:pPr>
        <w:jc w:val="both"/>
        <w:ind w:left="1080" w:hanging="532"/>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If the Borrowers fail to deliver a Selection Notice to the Agent in accordance with clause 9.1(b), the relevant Interest Period will, subject to clause 9.2 (</w:t>
      </w:r>
      <w:r>
        <w:rPr>
          <w:rFonts w:ascii="Arial" w:cs="Arial" w:eastAsia="Arial" w:hAnsi="Arial"/>
          <w:sz w:val="18"/>
          <w:szCs w:val="18"/>
          <w:i w:val="1"/>
          <w:iCs w:val="1"/>
          <w:color w:val="auto"/>
        </w:rPr>
        <w:t>Interest Periods overrunning Repayment Dates</w:t>
      </w:r>
      <w:r>
        <w:rPr>
          <w:rFonts w:ascii="Arial" w:cs="Arial" w:eastAsia="Arial" w:hAnsi="Arial"/>
          <w:sz w:val="18"/>
          <w:szCs w:val="18"/>
          <w:color w:val="auto"/>
        </w:rPr>
        <w:t>), be six (6) months and, in respect of a Revolving Loan, three (3) months.</w:t>
      </w:r>
    </w:p>
    <w:p>
      <w:pPr>
        <w:spacing w:after="0" w:line="189"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Subject to this clause 9, the Borrowers may select an Interest Period of three or six months or any other period not exceeding 12 months agreed between the Borrowers and the Agent on the instructions of all the Lenders.</w:t>
      </w:r>
    </w:p>
    <w:p>
      <w:pPr>
        <w:spacing w:after="0" w:line="183"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No Interest Period in respect of a Term Loan shall extend beyond the Final Repayment Date for that Term Loan. No Interest Period for any Loan shall extend beyond the Final Maturity Date.</w:t>
      </w:r>
    </w:p>
    <w:p>
      <w:pPr>
        <w:spacing w:after="0" w:line="183"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first Interest Period for a Term Loan shall start on the Utilisation Date of such Term Loan and each subsequent Interest Period for such Term Loan shall start on the last day of its preceding Interest Period.</w:t>
      </w:r>
    </w:p>
    <w:p>
      <w:pPr>
        <w:spacing w:after="0" w:line="183" w:lineRule="exact"/>
        <w:rPr>
          <w:rFonts w:ascii="Arial" w:cs="Arial" w:eastAsia="Arial" w:hAnsi="Arial"/>
          <w:sz w:val="18"/>
          <w:szCs w:val="18"/>
          <w:color w:val="auto"/>
        </w:rPr>
      </w:pPr>
    </w:p>
    <w:p>
      <w:pPr>
        <w:ind w:left="1080" w:hanging="532"/>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Interest Period for a Revolving Loan shall start on its Utilisation Date. A Revolving Loan has one Interest Period only.</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7"/>
          <w:szCs w:val="17"/>
          <w:b w:val="1"/>
          <w:bCs w:val="1"/>
          <w:color w:val="auto"/>
        </w:rPr>
        <w:t>Interest Periods overrunning Repayment Dates</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If the Borrowers select an Interest Period in respect of a Term Loan which would overrun any later Repayment Date for that Term Loan, the relevant Term Loan shall be divided into parts corresponding to the amounts by which the Total Term Loan Commitments for that Term Loan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94" w:name="page95"/>
    <w:bookmarkEnd w:id="94"/>
    <w:p>
      <w:pPr>
        <w:jc w:val="both"/>
        <w:ind w:left="540"/>
        <w:spacing w:after="0" w:line="251" w:lineRule="auto"/>
        <w:rPr>
          <w:sz w:val="20"/>
          <w:szCs w:val="20"/>
          <w:color w:val="auto"/>
        </w:rPr>
      </w:pPr>
      <w:r>
        <w:rPr>
          <w:rFonts w:ascii="Arial" w:cs="Arial" w:eastAsia="Arial" w:hAnsi="Arial"/>
          <w:sz w:val="18"/>
          <w:szCs w:val="18"/>
          <w:color w:val="auto"/>
        </w:rPr>
        <w:t>are scheduled to be reduced under clause 6.2 (</w:t>
      </w:r>
      <w:r>
        <w:rPr>
          <w:rFonts w:ascii="Arial" w:cs="Arial" w:eastAsia="Arial" w:hAnsi="Arial"/>
          <w:sz w:val="18"/>
          <w:szCs w:val="18"/>
          <w:i w:val="1"/>
          <w:iCs w:val="1"/>
          <w:color w:val="auto"/>
        </w:rPr>
        <w:t>Scheduled repayment of Term Loans</w:t>
      </w:r>
      <w:r>
        <w:rPr>
          <w:rFonts w:ascii="Arial" w:cs="Arial" w:eastAsia="Arial" w:hAnsi="Arial"/>
          <w:sz w:val="18"/>
          <w:szCs w:val="18"/>
          <w:color w:val="auto"/>
        </w:rPr>
        <w:t>) on each of the Repayment Dates for that Term Loan falling during such Interest Period (each of which shall have a separate Interest Period ending on the relevant Repayment Date for that Term Loan) and to the balance of that Term Loan (which shall have the Interest Period selected by the Borrowers).</w:t>
      </w:r>
    </w:p>
    <w:p>
      <w:pPr>
        <w:spacing w:after="0" w:line="15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9.3</w:t>
        <w:tab/>
        <w:t>Non-Business Days</w:t>
      </w:r>
    </w:p>
    <w:p>
      <w:pPr>
        <w:spacing w:after="0" w:line="220" w:lineRule="exact"/>
        <w:rPr>
          <w:sz w:val="20"/>
          <w:szCs w:val="20"/>
          <w:color w:val="auto"/>
        </w:rPr>
      </w:pPr>
    </w:p>
    <w:p>
      <w:pPr>
        <w:jc w:val="both"/>
        <w:ind w:left="540"/>
        <w:spacing w:after="0" w:line="246" w:lineRule="auto"/>
        <w:rPr>
          <w:sz w:val="20"/>
          <w:szCs w:val="20"/>
          <w:color w:val="auto"/>
        </w:rPr>
      </w:pPr>
      <w:r>
        <w:rPr>
          <w:rFonts w:ascii="Arial" w:cs="Arial" w:eastAsia="Arial" w:hAnsi="Arial"/>
          <w:sz w:val="18"/>
          <w:szCs w:val="18"/>
          <w:color w:val="auto"/>
        </w:rPr>
        <w:t>If an Interest Period would otherwise end on a day which is not a Business Day, that Interest Period will instead end on the next Business Day in that calendar month (if there is one) or the preceding Business Day (if there is not).</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Changes to the calculation of interest</w:t>
      </w:r>
    </w:p>
    <w:p>
      <w:pPr>
        <w:spacing w:after="0" w:line="23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10.1</w:t>
        <w:tab/>
        <w:t>Market Disruption Event</w:t>
      </w:r>
    </w:p>
    <w:p>
      <w:pPr>
        <w:spacing w:after="0" w:line="220" w:lineRule="exact"/>
        <w:rPr>
          <w:sz w:val="20"/>
          <w:szCs w:val="20"/>
          <w:color w:val="auto"/>
        </w:rPr>
      </w:pPr>
    </w:p>
    <w:p>
      <w:pPr>
        <w:ind w:left="1080" w:hanging="532"/>
        <w:spacing w:after="0" w:line="246"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If a Market Disruption Event occurs in relation to a Loan for any Interest Period, then the rate of interest on each Lender’s share of that Loan for the Interest Period shall be the percentage rate per annum which is the sum of:</w:t>
      </w:r>
    </w:p>
    <w:p>
      <w:pPr>
        <w:spacing w:after="0" w:line="183" w:lineRule="exact"/>
        <w:rPr>
          <w:rFonts w:ascii="Arial" w:cs="Arial" w:eastAsia="Arial" w:hAnsi="Arial"/>
          <w:sz w:val="18"/>
          <w:szCs w:val="18"/>
          <w:color w:val="auto"/>
        </w:rPr>
      </w:pPr>
    </w:p>
    <w:p>
      <w:pPr>
        <w:ind w:left="1620" w:hanging="532"/>
        <w:spacing w:after="0"/>
        <w:tabs>
          <w:tab w:leader="none" w:pos="162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applicable Margin; and</w:t>
      </w:r>
    </w:p>
    <w:p>
      <w:pPr>
        <w:spacing w:after="0" w:line="198" w:lineRule="exact"/>
        <w:rPr>
          <w:rFonts w:ascii="Arial" w:cs="Arial" w:eastAsia="Arial" w:hAnsi="Arial"/>
          <w:sz w:val="18"/>
          <w:szCs w:val="18"/>
          <w:color w:val="auto"/>
        </w:rPr>
      </w:pPr>
    </w:p>
    <w:p>
      <w:pPr>
        <w:jc w:val="both"/>
        <w:ind w:left="1620" w:right="20" w:hanging="532"/>
        <w:spacing w:after="0"/>
        <w:tabs>
          <w:tab w:leader="none" w:pos="162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rate notified to the Agent by that Lender as soon as practicable (and in any event before interest is due to be paid in respect of that Interest Period), to be that which expresses as a percentage rate per annum the cost to that Lender of funding its participation in that Loan from whatever source it may reasonably select.</w:t>
      </w:r>
    </w:p>
    <w:p>
      <w:pPr>
        <w:spacing w:after="0" w:line="167" w:lineRule="exact"/>
        <w:rPr>
          <w:rFonts w:ascii="Arial" w:cs="Arial" w:eastAsia="Arial" w:hAnsi="Arial"/>
          <w:sz w:val="18"/>
          <w:szCs w:val="18"/>
          <w:color w:val="auto"/>
        </w:rPr>
      </w:pPr>
    </w:p>
    <w:p>
      <w:pPr>
        <w:ind w:left="1080" w:hanging="532"/>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In this Agreement </w:t>
      </w:r>
      <w:r>
        <w:rPr>
          <w:rFonts w:ascii="Arial" w:cs="Arial" w:eastAsia="Arial" w:hAnsi="Arial"/>
          <w:sz w:val="18"/>
          <w:szCs w:val="18"/>
          <w:b w:val="1"/>
          <w:bCs w:val="1"/>
          <w:color w:val="auto"/>
        </w:rPr>
        <w:t>Market Disruption Event</w:t>
      </w:r>
      <w:r>
        <w:rPr>
          <w:rFonts w:ascii="Arial" w:cs="Arial" w:eastAsia="Arial" w:hAnsi="Arial"/>
          <w:sz w:val="18"/>
          <w:szCs w:val="18"/>
          <w:color w:val="auto"/>
        </w:rPr>
        <w:t xml:space="preserve"> means that:</w:t>
      </w:r>
    </w:p>
    <w:p>
      <w:pPr>
        <w:spacing w:after="0" w:line="220" w:lineRule="exact"/>
        <w:rPr>
          <w:rFonts w:ascii="Arial" w:cs="Arial" w:eastAsia="Arial" w:hAnsi="Arial"/>
          <w:sz w:val="18"/>
          <w:szCs w:val="18"/>
          <w:color w:val="auto"/>
        </w:rPr>
      </w:pPr>
    </w:p>
    <w:p>
      <w:pPr>
        <w:ind w:left="1620" w:hanging="532"/>
        <w:spacing w:after="0"/>
        <w:tabs>
          <w:tab w:leader="none" w:pos="162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at or about noon on the Quotation Date, the Screen Rate is not available for the relevant currency; or</w:t>
      </w:r>
    </w:p>
    <w:p>
      <w:pPr>
        <w:spacing w:after="0" w:line="198" w:lineRule="exact"/>
        <w:rPr>
          <w:rFonts w:ascii="Arial" w:cs="Arial" w:eastAsia="Arial" w:hAnsi="Arial"/>
          <w:sz w:val="18"/>
          <w:szCs w:val="18"/>
          <w:color w:val="auto"/>
        </w:rPr>
      </w:pPr>
    </w:p>
    <w:p>
      <w:pPr>
        <w:jc w:val="both"/>
        <w:ind w:left="1620" w:hanging="532"/>
        <w:spacing w:after="0" w:line="239" w:lineRule="auto"/>
        <w:tabs>
          <w:tab w:leader="none" w:pos="162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before close of business in London on the Quotation Day for the relevant Interest Period, the Agent receives notifications from a Lender or Lenders (whose participations in the Loans equal or exceed 50% of the Loans or, if prior to the first Utilisation, whose Commitments equal or exceed 50% of the Total Commitments) that the cost to it or them of funding its participation in the relevant Loan from whatever source it may reasonably select would be in excess of LIBOR.</w:t>
      </w:r>
    </w:p>
    <w:p>
      <w:pPr>
        <w:spacing w:after="0" w:line="188" w:lineRule="exact"/>
        <w:rPr>
          <w:rFonts w:ascii="Arial" w:cs="Arial" w:eastAsia="Arial" w:hAnsi="Arial"/>
          <w:sz w:val="18"/>
          <w:szCs w:val="18"/>
          <w:color w:val="auto"/>
        </w:rPr>
      </w:pPr>
    </w:p>
    <w:p>
      <w:pPr>
        <w:ind w:left="1080" w:hanging="532"/>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If a Market Disruption Event occurs the Agent shall, as soon as practicable, notify the Borrowers.</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7"/>
          <w:szCs w:val="17"/>
          <w:b w:val="1"/>
          <w:bCs w:val="1"/>
          <w:color w:val="auto"/>
        </w:rPr>
        <w:t>Alternative basis of interest or funding</w:t>
      </w:r>
    </w:p>
    <w:p>
      <w:pPr>
        <w:spacing w:after="0" w:line="220" w:lineRule="exact"/>
        <w:rPr>
          <w:sz w:val="20"/>
          <w:szCs w:val="20"/>
          <w:color w:val="auto"/>
        </w:rPr>
      </w:pPr>
    </w:p>
    <w:p>
      <w:pPr>
        <w:ind w:left="1080" w:hanging="532"/>
        <w:spacing w:after="0" w:line="246"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If a Market Disruption Event occurs and the Agent or the Borrowers so require, the Agent and the Borrowers shall enter into negotiations (for a period of not more than 30 days) with a view to agreeing a substitute basis for determining the rate of interest.</w:t>
      </w:r>
    </w:p>
    <w:p>
      <w:pPr>
        <w:spacing w:after="0" w:line="183"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alternative basis agreed pursuant to clause 10.2(a) above shall, with the prior consent of all the Lenders be binding on all Parties.</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10.3</w:t>
        <w:tab/>
        <w:t>Break Costs</w:t>
      </w:r>
    </w:p>
    <w:p>
      <w:pPr>
        <w:spacing w:after="0" w:line="220" w:lineRule="exact"/>
        <w:rPr>
          <w:sz w:val="20"/>
          <w:szCs w:val="20"/>
          <w:color w:val="auto"/>
        </w:rPr>
      </w:pPr>
    </w:p>
    <w:p>
      <w:pPr>
        <w:jc w:val="both"/>
        <w:ind w:left="1080" w:hanging="532"/>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Borrowers shall, within three Business Days of demand by a Finance Party, pay to that Finance Party its Break Costs attributable to all or any part of a Loan or Unpaid Sum being paid by the Borrowers on a day other than the last day of an Interest Period for that Loan or Unpaid Sum or relevant part of it.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95" w:name="page96"/>
    <w:bookmarkEnd w:id="95"/>
    <w:p>
      <w:pPr>
        <w:ind w:left="1080" w:hanging="532"/>
        <w:spacing w:after="0" w:line="246"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Each Lender shall, as soon as reasonably practicable after a demand by the Agent, provide a certificate confirming the amount of its Break Costs for any Interest Period in which they accrue.</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Fees</w:t>
      </w:r>
    </w:p>
    <w:p>
      <w:pPr>
        <w:spacing w:after="0" w:line="23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7"/>
          <w:szCs w:val="17"/>
          <w:b w:val="1"/>
          <w:bCs w:val="1"/>
          <w:color w:val="auto"/>
        </w:rPr>
        <w:t>Commitment commission</w:t>
      </w:r>
    </w:p>
    <w:p>
      <w:pPr>
        <w:spacing w:after="0" w:line="220" w:lineRule="exact"/>
        <w:rPr>
          <w:sz w:val="20"/>
          <w:szCs w:val="20"/>
          <w:color w:val="auto"/>
        </w:rPr>
      </w:pPr>
    </w:p>
    <w:p>
      <w:pPr>
        <w:jc w:val="both"/>
        <w:ind w:left="1080" w:hanging="532"/>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Borrowers shall pay to the Agent a fee in dollars computed at the rate of 0.40 multiplied by the Margin, on the undrawn and uncancelled portion of that Lender’s Commitments under each Facility, calculated on a daily basis from the date of this Agreement (</w:t>
      </w:r>
      <w:r>
        <w:rPr>
          <w:rFonts w:ascii="Arial" w:cs="Arial" w:eastAsia="Arial" w:hAnsi="Arial"/>
          <w:sz w:val="18"/>
          <w:szCs w:val="18"/>
          <w:b w:val="1"/>
          <w:bCs w:val="1"/>
          <w:color w:val="auto"/>
        </w:rPr>
        <w:t>start date</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left="1080" w:hanging="532"/>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Borrowers shall pay the accrued commitment fee referred to in paragraph (a) above in respect of each Facility on each 30 June and 31 December of each calendar year, on the Last Availability Date in respect of that Facility and, if cancelled in full, on the cancelled amount of the relevant Lender’s Commitments under the relevant Facility at the time the cancellation is effective.</w:t>
      </w:r>
    </w:p>
    <w:p>
      <w:pPr>
        <w:spacing w:after="0" w:line="189"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No commitment fee is payable to the Agent (for the account of a Lender) on any undrawn Commitments of that Lender for any day on which that Lender is a Defaulting Lender.</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7"/>
          <w:szCs w:val="17"/>
          <w:b w:val="1"/>
          <w:bCs w:val="1"/>
          <w:color w:val="auto"/>
        </w:rPr>
        <w:t>Agency fee</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Borrowers shall pay to the Agent (for its own account) an agency fee in the amount and at the times agreed in a Fee Letter.</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11.3</w:t>
        <w:tab/>
        <w:t>Other fees</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Borrowers shall pay any other fees set out in a Fee Letter in the amount and at the times agreed in the applicable Fee Letter.</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Tax gross-up and indemnities</w:t>
      </w:r>
    </w:p>
    <w:p>
      <w:pPr>
        <w:spacing w:after="0" w:line="23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12.1</w:t>
        <w:tab/>
        <w:t>Definitions</w:t>
      </w:r>
    </w:p>
    <w:p>
      <w:pPr>
        <w:spacing w:after="0" w:line="198" w:lineRule="exact"/>
        <w:rPr>
          <w:sz w:val="20"/>
          <w:szCs w:val="20"/>
          <w:color w:val="auto"/>
        </w:rPr>
      </w:pPr>
    </w:p>
    <w:p>
      <w:pPr>
        <w:ind w:left="1080" w:hanging="532"/>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In </w:t>
      </w:r>
      <w:r>
        <w:rPr>
          <w:rFonts w:ascii="Arial" w:cs="Arial" w:eastAsia="Arial" w:hAnsi="Arial"/>
          <w:sz w:val="18"/>
          <w:szCs w:val="18"/>
          <w:b w:val="1"/>
          <w:bCs w:val="1"/>
          <w:color w:val="auto"/>
        </w:rPr>
        <w:t>this Agreement</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left="1080"/>
        <w:spacing w:after="0" w:line="244" w:lineRule="auto"/>
        <w:rPr>
          <w:rFonts w:ascii="Arial" w:cs="Arial" w:eastAsia="Arial" w:hAnsi="Arial"/>
          <w:sz w:val="18"/>
          <w:szCs w:val="18"/>
          <w:color w:val="auto"/>
        </w:rPr>
      </w:pPr>
      <w:r>
        <w:rPr>
          <w:rFonts w:ascii="Arial" w:cs="Arial" w:eastAsia="Arial" w:hAnsi="Arial"/>
          <w:sz w:val="18"/>
          <w:szCs w:val="18"/>
          <w:b w:val="1"/>
          <w:bCs w:val="1"/>
          <w:color w:val="auto"/>
        </w:rPr>
        <w:t xml:space="preserve">Protected Party </w:t>
      </w:r>
      <w:r>
        <w:rPr>
          <w:rFonts w:ascii="Arial" w:cs="Arial" w:eastAsia="Arial" w:hAnsi="Arial"/>
          <w:sz w:val="18"/>
          <w:szCs w:val="18"/>
          <w:color w:val="auto"/>
        </w:rPr>
        <w:t>means a Finance Party or, in relation to clause 14.4</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(Indemnity concerning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and clause 14.7</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insofar as it relates to interest on any amount demanded by that Indemnified Person under clause 14.4 </w:t>
      </w:r>
      <w:r>
        <w:rPr>
          <w:rFonts w:ascii="Arial" w:cs="Arial" w:eastAsia="Arial" w:hAnsi="Arial"/>
          <w:sz w:val="18"/>
          <w:szCs w:val="18"/>
          <w:i w:val="1"/>
          <w:iCs w:val="1"/>
          <w:color w:val="auto"/>
        </w:rPr>
        <w:t>(Indemnity concerning</w:t>
      </w:r>
      <w:r>
        <w:rPr>
          <w:rFonts w:ascii="Arial" w:cs="Arial" w:eastAsia="Arial" w:hAnsi="Arial"/>
          <w:sz w:val="18"/>
          <w:szCs w:val="18"/>
          <w:color w:val="auto"/>
        </w:rPr>
        <w:t xml:space="preserve"> </w:t>
      </w:r>
      <w:r>
        <w:rPr>
          <w:rFonts w:ascii="Arial" w:cs="Arial" w:eastAsia="Arial" w:hAnsi="Arial"/>
          <w:sz w:val="18"/>
          <w:szCs w:val="18"/>
          <w:i w:val="1"/>
          <w:iCs w:val="1"/>
          <w:color w:val="auto"/>
        </w:rPr>
        <w:t>security)</w:t>
      </w:r>
      <w:r>
        <w:rPr>
          <w:rFonts w:ascii="Arial" w:cs="Arial" w:eastAsia="Arial" w:hAnsi="Arial"/>
          <w:sz w:val="18"/>
          <w:szCs w:val="18"/>
          <w:color w:val="auto"/>
        </w:rPr>
        <w:t>, any Indemnified Person, which is or will be subject to any liability, or required to make any payment, for or on account of</w:t>
      </w:r>
      <w:r>
        <w:rPr>
          <w:rFonts w:ascii="Arial" w:cs="Arial" w:eastAsia="Arial" w:hAnsi="Arial"/>
          <w:sz w:val="18"/>
          <w:szCs w:val="18"/>
          <w:i w:val="1"/>
          <w:iCs w:val="1"/>
          <w:color w:val="auto"/>
        </w:rPr>
        <w:t xml:space="preserve"> </w:t>
      </w:r>
      <w:r>
        <w:rPr>
          <w:rFonts w:ascii="Arial" w:cs="Arial" w:eastAsia="Arial" w:hAnsi="Arial"/>
          <w:sz w:val="18"/>
          <w:szCs w:val="18"/>
          <w:color w:val="auto"/>
        </w:rPr>
        <w:t>Tax in relation to a sum received or receivable (or any sum deemed for the purposes of Tax to be received or receivable) under a Finance Document.</w:t>
      </w:r>
    </w:p>
    <w:p>
      <w:pPr>
        <w:spacing w:after="0" w:line="16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b w:val="1"/>
          <w:bCs w:val="1"/>
          <w:color w:val="auto"/>
        </w:rPr>
        <w:t xml:space="preserve">Tax Credit </w:t>
      </w:r>
      <w:r>
        <w:rPr>
          <w:rFonts w:ascii="Arial" w:cs="Arial" w:eastAsia="Arial" w:hAnsi="Arial"/>
          <w:sz w:val="18"/>
          <w:szCs w:val="18"/>
          <w:color w:val="auto"/>
        </w:rPr>
        <w:t>means a credit against, relief or remission for, or repayment of any Tax.</w:t>
      </w:r>
    </w:p>
    <w:p>
      <w:pPr>
        <w:spacing w:after="0" w:line="198" w:lineRule="exact"/>
        <w:rPr>
          <w:rFonts w:ascii="Arial" w:cs="Arial" w:eastAsia="Arial" w:hAnsi="Arial"/>
          <w:sz w:val="18"/>
          <w:szCs w:val="18"/>
          <w:color w:val="auto"/>
        </w:rPr>
      </w:pPr>
    </w:p>
    <w:p>
      <w:pPr>
        <w:ind w:left="1080"/>
        <w:spacing w:after="0" w:line="271" w:lineRule="auto"/>
        <w:rPr>
          <w:rFonts w:ascii="Arial" w:cs="Arial" w:eastAsia="Arial" w:hAnsi="Arial"/>
          <w:sz w:val="18"/>
          <w:szCs w:val="18"/>
          <w:color w:val="auto"/>
        </w:rPr>
      </w:pPr>
      <w:r>
        <w:rPr>
          <w:rFonts w:ascii="Arial" w:cs="Arial" w:eastAsia="Arial" w:hAnsi="Arial"/>
          <w:sz w:val="18"/>
          <w:szCs w:val="18"/>
          <w:b w:val="1"/>
          <w:bCs w:val="1"/>
          <w:color w:val="auto"/>
        </w:rPr>
        <w:t xml:space="preserve">Tax Deduction </w:t>
      </w:r>
      <w:r>
        <w:rPr>
          <w:rFonts w:ascii="Arial" w:cs="Arial" w:eastAsia="Arial" w:hAnsi="Arial"/>
          <w:sz w:val="18"/>
          <w:szCs w:val="18"/>
          <w:color w:val="auto"/>
        </w:rPr>
        <w:t>means a deduction or withholding for or on account of Tax from a payment under a Finance Document, other than</w:t>
      </w:r>
      <w:r>
        <w:rPr>
          <w:rFonts w:ascii="Arial" w:cs="Arial" w:eastAsia="Arial" w:hAnsi="Arial"/>
          <w:sz w:val="18"/>
          <w:szCs w:val="18"/>
          <w:b w:val="1"/>
          <w:bCs w:val="1"/>
          <w:color w:val="auto"/>
        </w:rPr>
        <w:t xml:space="preserve"> </w:t>
      </w:r>
      <w:r>
        <w:rPr>
          <w:rFonts w:ascii="Arial" w:cs="Arial" w:eastAsia="Arial" w:hAnsi="Arial"/>
          <w:sz w:val="18"/>
          <w:szCs w:val="18"/>
          <w:color w:val="auto"/>
        </w:rPr>
        <w:t>a FATCA Deduction.</w:t>
      </w:r>
    </w:p>
    <w:p>
      <w:pPr>
        <w:spacing w:after="0" w:line="140" w:lineRule="exact"/>
        <w:rPr>
          <w:rFonts w:ascii="Arial" w:cs="Arial" w:eastAsia="Arial" w:hAnsi="Arial"/>
          <w:sz w:val="18"/>
          <w:szCs w:val="18"/>
          <w:color w:val="auto"/>
        </w:rPr>
      </w:pPr>
    </w:p>
    <w:p>
      <w:pPr>
        <w:ind w:left="1080"/>
        <w:spacing w:after="0" w:line="271" w:lineRule="auto"/>
        <w:rPr>
          <w:rFonts w:ascii="Arial" w:cs="Arial" w:eastAsia="Arial" w:hAnsi="Arial"/>
          <w:sz w:val="18"/>
          <w:szCs w:val="18"/>
          <w:color w:val="auto"/>
        </w:rPr>
      </w:pPr>
      <w:r>
        <w:rPr>
          <w:rFonts w:ascii="Arial" w:cs="Arial" w:eastAsia="Arial" w:hAnsi="Arial"/>
          <w:sz w:val="18"/>
          <w:szCs w:val="18"/>
          <w:b w:val="1"/>
          <w:bCs w:val="1"/>
          <w:color w:val="auto"/>
        </w:rPr>
        <w:t xml:space="preserve">Tax Payment </w:t>
      </w:r>
      <w:r>
        <w:rPr>
          <w:rFonts w:ascii="Arial" w:cs="Arial" w:eastAsia="Arial" w:hAnsi="Arial"/>
          <w:sz w:val="18"/>
          <w:szCs w:val="18"/>
          <w:color w:val="auto"/>
        </w:rPr>
        <w:t>means either the increase in a payment made by an Obligor to a Finance Party under clause 12.2 (</w:t>
      </w:r>
      <w:r>
        <w:rPr>
          <w:rFonts w:ascii="Arial" w:cs="Arial" w:eastAsia="Arial" w:hAnsi="Arial"/>
          <w:sz w:val="18"/>
          <w:szCs w:val="18"/>
          <w:i w:val="1"/>
          <w:iCs w:val="1"/>
          <w:color w:val="auto"/>
        </w:rPr>
        <w:t>Tax gross-up</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under clause 12.3 (</w:t>
      </w:r>
      <w:r>
        <w:rPr>
          <w:rFonts w:ascii="Arial" w:cs="Arial" w:eastAsia="Arial" w:hAnsi="Arial"/>
          <w:sz w:val="18"/>
          <w:szCs w:val="18"/>
          <w:i w:val="1"/>
          <w:iCs w:val="1"/>
          <w:color w:val="auto"/>
        </w:rPr>
        <w:t>Tax indemnity</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left="1080" w:hanging="532"/>
        <w:spacing w:after="0" w:line="271"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Unless a contrary indication appears, in this clause 12 a reference to </w:t>
      </w:r>
      <w:r>
        <w:rPr>
          <w:rFonts w:ascii="Arial" w:cs="Arial" w:eastAsia="Arial" w:hAnsi="Arial"/>
          <w:sz w:val="18"/>
          <w:szCs w:val="18"/>
          <w:b w:val="1"/>
          <w:bCs w:val="1"/>
          <w:color w:val="auto"/>
        </w:rPr>
        <w:t>determines</w:t>
      </w:r>
      <w:r>
        <w:rPr>
          <w:rFonts w:ascii="Arial" w:cs="Arial" w:eastAsia="Arial" w:hAnsi="Arial"/>
          <w:sz w:val="18"/>
          <w:szCs w:val="18"/>
          <w:color w:val="auto"/>
        </w:rPr>
        <w:t xml:space="preserve"> or </w:t>
      </w:r>
      <w:r>
        <w:rPr>
          <w:rFonts w:ascii="Arial" w:cs="Arial" w:eastAsia="Arial" w:hAnsi="Arial"/>
          <w:sz w:val="18"/>
          <w:szCs w:val="18"/>
          <w:b w:val="1"/>
          <w:bCs w:val="1"/>
          <w:color w:val="auto"/>
        </w:rPr>
        <w:t>determined</w:t>
      </w:r>
      <w:r>
        <w:rPr>
          <w:rFonts w:ascii="Arial" w:cs="Arial" w:eastAsia="Arial" w:hAnsi="Arial"/>
          <w:sz w:val="18"/>
          <w:szCs w:val="18"/>
          <w:color w:val="auto"/>
        </w:rPr>
        <w:t xml:space="preserve"> means a determination made in the absolute discretion of the person making the determination.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96" w:name="page97"/>
    <w:bookmarkEnd w:id="96"/>
    <w:p>
      <w:pPr>
        <w:spacing w:after="0"/>
        <w:tabs>
          <w:tab w:leader="none" w:pos="52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7"/>
          <w:szCs w:val="17"/>
          <w:b w:val="1"/>
          <w:bCs w:val="1"/>
          <w:color w:val="auto"/>
        </w:rPr>
        <w:t>Tax gross-up</w:t>
      </w:r>
    </w:p>
    <w:p>
      <w:pPr>
        <w:spacing w:after="0" w:line="220" w:lineRule="exact"/>
        <w:rPr>
          <w:sz w:val="20"/>
          <w:szCs w:val="20"/>
          <w:color w:val="auto"/>
        </w:rPr>
      </w:pPr>
    </w:p>
    <w:p>
      <w:pPr>
        <w:ind w:left="1080" w:hanging="532"/>
        <w:spacing w:after="0" w:line="246"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Each Obligor shall make all payments to be made by it under any Finance Document without any Tax Deduction, unless a Tax Deduction is required by law.</w:t>
      </w:r>
    </w:p>
    <w:p>
      <w:pPr>
        <w:spacing w:after="0" w:line="183" w:lineRule="exact"/>
        <w:rPr>
          <w:rFonts w:ascii="Arial" w:cs="Arial" w:eastAsia="Arial" w:hAnsi="Arial"/>
          <w:sz w:val="18"/>
          <w:szCs w:val="18"/>
          <w:color w:val="auto"/>
        </w:rPr>
      </w:pPr>
    </w:p>
    <w:p>
      <w:pPr>
        <w:jc w:val="both"/>
        <w:ind w:left="1080" w:hanging="532"/>
        <w:spacing w:after="0" w:line="239"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Borrowers shall, promptly upon any of them becoming aware that an Obligor must make a Tax Deduction (or that there is any change in the rate or the basis of a Tax Deduction), notify the Agent accordingly. Similarly, a Lender shall notify the Agent on becoming so aware in respect of a payment payable to that Lender. If the Agent receives such notification from a Lender it shall notify the Borrowers and that Obligor.</w:t>
      </w:r>
    </w:p>
    <w:p>
      <w:pPr>
        <w:spacing w:after="0" w:line="188" w:lineRule="exact"/>
        <w:rPr>
          <w:rFonts w:ascii="Arial" w:cs="Arial" w:eastAsia="Arial" w:hAnsi="Arial"/>
          <w:sz w:val="18"/>
          <w:szCs w:val="18"/>
          <w:color w:val="auto"/>
        </w:rPr>
      </w:pPr>
    </w:p>
    <w:p>
      <w:pPr>
        <w:jc w:val="both"/>
        <w:ind w:left="1080" w:hanging="532"/>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If a Tax Deduction is required by law to be made by an Obligor, the amount of the payment due from that Obligor under the relevant Finance Document shall be increased to an amount which (after making any Tax Deduction) leaves an amount equal to the payment which would have been due if no Tax Deduction had been required.</w:t>
      </w:r>
    </w:p>
    <w:p>
      <w:pPr>
        <w:spacing w:after="0" w:line="189"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If an Obligor is required to make a Tax Deduction, that Obligor shall make that Tax Deduction and any payment required in connection with that Tax Deduction within the time allowed and in the minimum amount required by law.</w:t>
      </w:r>
    </w:p>
    <w:p>
      <w:pPr>
        <w:spacing w:after="0" w:line="183" w:lineRule="exact"/>
        <w:rPr>
          <w:rFonts w:ascii="Arial" w:cs="Arial" w:eastAsia="Arial" w:hAnsi="Arial"/>
          <w:sz w:val="18"/>
          <w:szCs w:val="18"/>
          <w:color w:val="auto"/>
        </w:rPr>
      </w:pPr>
    </w:p>
    <w:p>
      <w:pPr>
        <w:jc w:val="both"/>
        <w:ind w:left="1080" w:hanging="532"/>
        <w:spacing w:after="0" w:line="239"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Within 30 days of making either a Tax Deduction or any payment required in connection with that Tax Deduction, the Obligor making that Tax Deduction shall deliver to the Agent for the Finance Party entitled to the payment evidence reasonably satisfactory to that Finance Party that the Tax Deduction has been made or (as applicable) any appropriate payment paid to the relevant taxing authority.</w:t>
      </w:r>
    </w:p>
    <w:p>
      <w:pPr>
        <w:spacing w:after="0" w:line="16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7"/>
          <w:szCs w:val="17"/>
          <w:b w:val="1"/>
          <w:bCs w:val="1"/>
          <w:color w:val="auto"/>
        </w:rPr>
        <w:t>Tax indemnity</w:t>
      </w:r>
    </w:p>
    <w:p>
      <w:pPr>
        <w:spacing w:after="0" w:line="220" w:lineRule="exact"/>
        <w:rPr>
          <w:sz w:val="20"/>
          <w:szCs w:val="20"/>
          <w:color w:val="auto"/>
        </w:rPr>
      </w:pPr>
    </w:p>
    <w:p>
      <w:pPr>
        <w:jc w:val="both"/>
        <w:ind w:left="1080" w:hanging="532"/>
        <w:spacing w:after="0"/>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Each Obligor shall (within three Business Days of demand by the Agent) pay to a Protected Party an amount equal to the loss, liability or cost which that Protected Party determines will be or has been (directly or indirectly) suffered for or on account of Tax by that Protected Party in respect of a Finance Document.</w:t>
      </w:r>
    </w:p>
    <w:p>
      <w:pPr>
        <w:spacing w:after="0" w:line="189" w:lineRule="exact"/>
        <w:rPr>
          <w:rFonts w:ascii="Arial" w:cs="Arial" w:eastAsia="Arial" w:hAnsi="Arial"/>
          <w:sz w:val="18"/>
          <w:szCs w:val="18"/>
          <w:color w:val="auto"/>
        </w:rPr>
      </w:pPr>
    </w:p>
    <w:p>
      <w:pPr>
        <w:ind w:left="1080" w:hanging="532"/>
        <w:spacing w:after="0"/>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Clause 12.3(a) above shall not apply:</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with respect to any Tax assessed on a Finance Party:</w:t>
      </w:r>
    </w:p>
    <w:p>
      <w:pPr>
        <w:spacing w:after="0" w:line="198" w:lineRule="exact"/>
        <w:rPr>
          <w:rFonts w:ascii="Arial" w:cs="Arial" w:eastAsia="Arial" w:hAnsi="Arial"/>
          <w:sz w:val="18"/>
          <w:szCs w:val="18"/>
          <w:color w:val="auto"/>
        </w:rPr>
      </w:pPr>
    </w:p>
    <w:p>
      <w:pPr>
        <w:ind w:left="2160" w:hanging="531"/>
        <w:spacing w:after="0" w:line="246" w:lineRule="auto"/>
        <w:tabs>
          <w:tab w:leader="none" w:pos="2160" w:val="left"/>
        </w:tabs>
        <w:numPr>
          <w:ilvl w:val="2"/>
          <w:numId w:val="154"/>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 is incorporated or, if different, the jurisdiction (or jurisdictions) in which that Finance Party is treated as resident for tax purposes; or</w:t>
      </w:r>
    </w:p>
    <w:p>
      <w:pPr>
        <w:spacing w:after="0" w:line="183" w:lineRule="exact"/>
        <w:rPr>
          <w:rFonts w:ascii="Arial" w:cs="Arial" w:eastAsia="Arial" w:hAnsi="Arial"/>
          <w:sz w:val="18"/>
          <w:szCs w:val="18"/>
          <w:color w:val="auto"/>
        </w:rPr>
      </w:pPr>
    </w:p>
    <w:p>
      <w:pPr>
        <w:ind w:left="2160" w:hanging="531"/>
        <w:spacing w:after="0" w:line="246" w:lineRule="auto"/>
        <w:tabs>
          <w:tab w:leader="none" w:pos="2160" w:val="left"/>
        </w:tabs>
        <w:numPr>
          <w:ilvl w:val="2"/>
          <w:numId w:val="154"/>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Party’s Facility Office is located in respect of amounts received or receivable in that jurisdiction,</w:t>
      </w:r>
    </w:p>
    <w:p>
      <w:pPr>
        <w:spacing w:after="0" w:line="183" w:lineRule="exact"/>
        <w:rPr>
          <w:sz w:val="20"/>
          <w:szCs w:val="20"/>
          <w:color w:val="auto"/>
        </w:rPr>
      </w:pPr>
    </w:p>
    <w:p>
      <w:pPr>
        <w:ind w:left="1620"/>
        <w:spacing w:after="0" w:line="246" w:lineRule="auto"/>
        <w:rPr>
          <w:sz w:val="20"/>
          <w:szCs w:val="20"/>
          <w:color w:val="auto"/>
        </w:rPr>
      </w:pPr>
      <w:r>
        <w:rPr>
          <w:rFonts w:ascii="Arial" w:cs="Arial" w:eastAsia="Arial" w:hAnsi="Arial"/>
          <w:sz w:val="18"/>
          <w:szCs w:val="18"/>
          <w:color w:val="auto"/>
        </w:rPr>
        <w:t>if that Tax is imposed on or calculated by reference to the overall net income received or receivable (but not any sum deemed to be received or receivable) by that Finance Party; or</w:t>
      </w:r>
    </w:p>
    <w:p>
      <w:pPr>
        <w:spacing w:after="0" w:line="165" w:lineRule="exact"/>
        <w:rPr>
          <w:sz w:val="20"/>
          <w:szCs w:val="20"/>
          <w:color w:val="auto"/>
        </w:rPr>
      </w:pPr>
    </w:p>
    <w:p>
      <w:pPr>
        <w:ind w:left="1620" w:hanging="532"/>
        <w:spacing w:after="0" w:line="267" w:lineRule="auto"/>
        <w:tabs>
          <w:tab w:leader="none" w:pos="16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to the extent a loss, liability or cost is compensated for by an increased payment under clause 12.2 </w:t>
      </w:r>
      <w:r>
        <w:rPr>
          <w:rFonts w:ascii="Arial" w:cs="Arial" w:eastAsia="Arial" w:hAnsi="Arial"/>
          <w:sz w:val="18"/>
          <w:szCs w:val="18"/>
          <w:i w:val="1"/>
          <w:iCs w:val="1"/>
          <w:color w:val="auto"/>
        </w:rPr>
        <w:t>(Tax gross-up</w:t>
      </w:r>
      <w:r>
        <w:rPr>
          <w:rFonts w:ascii="Arial" w:cs="Arial" w:eastAsia="Arial" w:hAnsi="Arial"/>
          <w:sz w:val="18"/>
          <w:szCs w:val="18"/>
          <w:color w:val="auto"/>
        </w:rPr>
        <w:t>), clause 12.7 (</w:t>
      </w:r>
      <w:r>
        <w:rPr>
          <w:rFonts w:ascii="Arial" w:cs="Arial" w:eastAsia="Arial" w:hAnsi="Arial"/>
          <w:sz w:val="18"/>
          <w:szCs w:val="18"/>
          <w:i w:val="1"/>
          <w:iCs w:val="1"/>
          <w:color w:val="auto"/>
        </w:rPr>
        <w:t>Stamp taxes</w:t>
      </w:r>
      <w:r>
        <w:rPr>
          <w:rFonts w:ascii="Arial" w:cs="Arial" w:eastAsia="Arial" w:hAnsi="Arial"/>
          <w:sz w:val="18"/>
          <w:szCs w:val="18"/>
          <w:color w:val="auto"/>
        </w:rPr>
        <w:t>) or clause 12.8 (</w:t>
      </w:r>
      <w:r>
        <w:rPr>
          <w:rFonts w:ascii="Arial" w:cs="Arial" w:eastAsia="Arial" w:hAnsi="Arial"/>
          <w:sz w:val="18"/>
          <w:szCs w:val="18"/>
          <w:i w:val="1"/>
          <w:iCs w:val="1"/>
          <w:color w:val="auto"/>
        </w:rPr>
        <w:t>Value added tax</w:t>
      </w:r>
      <w:r>
        <w:rPr>
          <w:rFonts w:ascii="Arial" w:cs="Arial" w:eastAsia="Arial" w:hAnsi="Arial"/>
          <w:sz w:val="18"/>
          <w:szCs w:val="18"/>
          <w:color w:val="auto"/>
        </w:rPr>
        <w:t>);</w:t>
      </w:r>
    </w:p>
    <w:p>
      <w:pPr>
        <w:spacing w:after="0" w:line="147" w:lineRule="exact"/>
        <w:rPr>
          <w:rFonts w:ascii="Arial" w:cs="Arial" w:eastAsia="Arial" w:hAnsi="Arial"/>
          <w:sz w:val="18"/>
          <w:szCs w:val="18"/>
          <w:color w:val="auto"/>
        </w:rPr>
      </w:pPr>
    </w:p>
    <w:p>
      <w:pPr>
        <w:ind w:left="1620" w:hanging="532"/>
        <w:spacing w:after="0"/>
        <w:tabs>
          <w:tab w:leader="none" w:pos="16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to the extent a loss, liability or cost is compensated for by a payment under clause 12.4 (</w:t>
      </w:r>
      <w:r>
        <w:rPr>
          <w:rFonts w:ascii="Arial" w:cs="Arial" w:eastAsia="Arial" w:hAnsi="Arial"/>
          <w:sz w:val="18"/>
          <w:szCs w:val="18"/>
          <w:i w:val="1"/>
          <w:iCs w:val="1"/>
          <w:color w:val="auto"/>
        </w:rPr>
        <w:t>Indemnities on after Tax basis</w:t>
      </w:r>
      <w:r>
        <w:rPr>
          <w:rFonts w:ascii="Arial" w:cs="Arial" w:eastAsia="Arial" w:hAnsi="Arial"/>
          <w:sz w:val="18"/>
          <w:szCs w:val="18"/>
          <w:color w:val="auto"/>
        </w:rPr>
        <w:t>); or</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to the extent a loss, liability or cost relates to a FATCA Deduction required to be made by a Party</w:t>
      </w:r>
      <w:r>
        <w:rPr>
          <w:rFonts w:ascii="Arial" w:cs="Arial" w:eastAsia="Arial" w:hAnsi="Arial"/>
          <w:sz w:val="18"/>
          <w:szCs w:val="18"/>
          <w:i w:val="1"/>
          <w:iCs w:val="1"/>
          <w:color w:val="auto"/>
        </w:rPr>
        <w: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97" w:name="page98"/>
    <w:bookmarkEnd w:id="97"/>
    <w:p>
      <w:pPr>
        <w:ind w:left="1080" w:hanging="532"/>
        <w:spacing w:after="0" w:line="246"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 Protected Party making, or intending to make a claim under clause 12.3(a) above shall promptly notify the Agent of the event which will give, or has given, rise to the claim, following which the Agent shall notify the Borrowers and the Guarantors.</w:t>
      </w:r>
    </w:p>
    <w:p>
      <w:pPr>
        <w:spacing w:after="0" w:line="183" w:lineRule="exact"/>
        <w:rPr>
          <w:rFonts w:ascii="Arial" w:cs="Arial" w:eastAsia="Arial" w:hAnsi="Arial"/>
          <w:sz w:val="18"/>
          <w:szCs w:val="18"/>
          <w:color w:val="auto"/>
        </w:rPr>
      </w:pPr>
    </w:p>
    <w:p>
      <w:pPr>
        <w:ind w:left="1080" w:hanging="532"/>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 Protected Party shall, on receiving a payment from an Obligor under this clause 12.3, notify the Agent.</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7"/>
          <w:szCs w:val="17"/>
          <w:b w:val="1"/>
          <w:bCs w:val="1"/>
          <w:color w:val="auto"/>
        </w:rPr>
        <w:t>Indemnities on after Tax basis</w:t>
      </w:r>
    </w:p>
    <w:p>
      <w:pPr>
        <w:spacing w:after="0" w:line="220" w:lineRule="exact"/>
        <w:rPr>
          <w:sz w:val="20"/>
          <w:szCs w:val="20"/>
          <w:color w:val="auto"/>
        </w:rPr>
      </w:pPr>
    </w:p>
    <w:p>
      <w:pPr>
        <w:jc w:val="both"/>
        <w:ind w:left="1080" w:hanging="532"/>
        <w:spacing w:after="0" w:line="238" w:lineRule="auto"/>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If and to the extent that any sum payable to any Protected Party by the Borrowers under any Finance Document by way of indemnity or reimbursement proves to be insufficient, by reason of any Tax suffered thereon, for that Protected Party to discharge the corresponding liability to a third party, or to reimburse that Protected Party for the cost incurred by it in discharging the corresponding liability to a third party, the Borrowers shall pay that Protected Party such additional sum as (after taking into account any Tax suffered by that Protected Party on such additional sum) shall be required to make up the relevant deficit.</w:t>
      </w:r>
    </w:p>
    <w:p>
      <w:pPr>
        <w:spacing w:after="0" w:line="167" w:lineRule="exact"/>
        <w:rPr>
          <w:rFonts w:ascii="Arial" w:cs="Arial" w:eastAsia="Arial" w:hAnsi="Arial"/>
          <w:sz w:val="18"/>
          <w:szCs w:val="18"/>
          <w:color w:val="auto"/>
        </w:rPr>
      </w:pPr>
    </w:p>
    <w:p>
      <w:pPr>
        <w:jc w:val="both"/>
        <w:ind w:left="1080" w:hanging="532"/>
        <w:spacing w:after="0" w:line="244" w:lineRule="auto"/>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If and to the extent that any sum (the </w:t>
      </w:r>
      <w:r>
        <w:rPr>
          <w:rFonts w:ascii="Arial" w:cs="Arial" w:eastAsia="Arial" w:hAnsi="Arial"/>
          <w:sz w:val="18"/>
          <w:szCs w:val="18"/>
          <w:b w:val="1"/>
          <w:bCs w:val="1"/>
          <w:color w:val="auto"/>
        </w:rPr>
        <w:t>Indemnity Sum</w:t>
      </w:r>
      <w:r>
        <w:rPr>
          <w:rFonts w:ascii="Arial" w:cs="Arial" w:eastAsia="Arial" w:hAnsi="Arial"/>
          <w:sz w:val="18"/>
          <w:szCs w:val="18"/>
          <w:color w:val="auto"/>
        </w:rPr>
        <w:t xml:space="preserve">) constituting (directly or indirectly) an indemnity to any Protected Party but paid by the Borrowers to any person other than that Protected Party, shall be treated as taxable in the hands of the Protected Party, the Borrowers shall pay to that Protected Party such sum (the </w:t>
      </w:r>
      <w:r>
        <w:rPr>
          <w:rFonts w:ascii="Arial" w:cs="Arial" w:eastAsia="Arial" w:hAnsi="Arial"/>
          <w:sz w:val="18"/>
          <w:szCs w:val="18"/>
          <w:b w:val="1"/>
          <w:bCs w:val="1"/>
          <w:color w:val="auto"/>
        </w:rPr>
        <w:t>Compensating Sum</w:t>
      </w:r>
      <w:r>
        <w:rPr>
          <w:rFonts w:ascii="Arial" w:cs="Arial" w:eastAsia="Arial" w:hAnsi="Arial"/>
          <w:sz w:val="18"/>
          <w:szCs w:val="18"/>
          <w:color w:val="auto"/>
        </w:rPr>
        <w:t>) as (after taking into account any Tax suffered by that Protected Party on the Compensating Sum) shall reimburse that Protected Party for any Tax suffered by it in respect of the Indemnity Sum.</w:t>
      </w:r>
    </w:p>
    <w:p>
      <w:pPr>
        <w:spacing w:after="0" w:line="16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7"/>
          <w:szCs w:val="17"/>
          <w:b w:val="1"/>
          <w:bCs w:val="1"/>
          <w:color w:val="auto"/>
        </w:rPr>
        <w:t>FATCA Information</w:t>
      </w:r>
    </w:p>
    <w:p>
      <w:pPr>
        <w:spacing w:after="0" w:line="220" w:lineRule="exact"/>
        <w:rPr>
          <w:sz w:val="20"/>
          <w:szCs w:val="20"/>
          <w:color w:val="auto"/>
        </w:rPr>
      </w:pPr>
    </w:p>
    <w:p>
      <w:pPr>
        <w:ind w:left="1080" w:hanging="532"/>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Subject to clause 12.5(c) below, each Party shall, within ten Business Days of a reasonable request by another Party:</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confirm to that other Party whether it is:</w:t>
      </w:r>
    </w:p>
    <w:p>
      <w:pPr>
        <w:spacing w:after="0" w:line="198" w:lineRule="exact"/>
        <w:rPr>
          <w:rFonts w:ascii="Arial" w:cs="Arial" w:eastAsia="Arial" w:hAnsi="Arial"/>
          <w:sz w:val="18"/>
          <w:szCs w:val="18"/>
          <w:color w:val="auto"/>
        </w:rPr>
      </w:pPr>
    </w:p>
    <w:p>
      <w:pPr>
        <w:ind w:left="2160" w:hanging="531"/>
        <w:spacing w:after="0"/>
        <w:tabs>
          <w:tab w:leader="none" w:pos="2160" w:val="left"/>
        </w:tabs>
        <w:numPr>
          <w:ilvl w:val="2"/>
          <w:numId w:val="158"/>
        </w:numPr>
        <w:rPr>
          <w:rFonts w:ascii="Arial" w:cs="Arial" w:eastAsia="Arial" w:hAnsi="Arial"/>
          <w:sz w:val="18"/>
          <w:szCs w:val="18"/>
          <w:color w:val="auto"/>
        </w:rPr>
      </w:pPr>
      <w:r>
        <w:rPr>
          <w:rFonts w:ascii="Arial" w:cs="Arial" w:eastAsia="Arial" w:hAnsi="Arial"/>
          <w:sz w:val="18"/>
          <w:szCs w:val="18"/>
          <w:color w:val="auto"/>
        </w:rPr>
        <w:t>a FATCA Exempt Party; or</w:t>
      </w:r>
    </w:p>
    <w:p>
      <w:pPr>
        <w:spacing w:after="0" w:line="198" w:lineRule="exact"/>
        <w:rPr>
          <w:rFonts w:ascii="Arial" w:cs="Arial" w:eastAsia="Arial" w:hAnsi="Arial"/>
          <w:sz w:val="18"/>
          <w:szCs w:val="18"/>
          <w:color w:val="auto"/>
        </w:rPr>
      </w:pPr>
    </w:p>
    <w:p>
      <w:pPr>
        <w:ind w:left="2160" w:hanging="531"/>
        <w:spacing w:after="0"/>
        <w:tabs>
          <w:tab w:leader="none" w:pos="2160" w:val="left"/>
        </w:tabs>
        <w:numPr>
          <w:ilvl w:val="2"/>
          <w:numId w:val="158"/>
        </w:numPr>
        <w:rPr>
          <w:rFonts w:ascii="Arial" w:cs="Arial" w:eastAsia="Arial" w:hAnsi="Arial"/>
          <w:sz w:val="18"/>
          <w:szCs w:val="18"/>
          <w:color w:val="auto"/>
        </w:rPr>
      </w:pPr>
      <w:r>
        <w:rPr>
          <w:rFonts w:ascii="Arial" w:cs="Arial" w:eastAsia="Arial" w:hAnsi="Arial"/>
          <w:sz w:val="18"/>
          <w:szCs w:val="18"/>
          <w:color w:val="auto"/>
        </w:rPr>
        <w:t>not a FATCA Exempt Party;</w:t>
      </w:r>
    </w:p>
    <w:p>
      <w:pPr>
        <w:spacing w:after="0" w:line="198"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supply to that other Party such forms, documentation and other information relating to its status under FATCA as that other Party reasonably requests for the purposes of that other Party’s compliance with FATCA; and</w:t>
      </w:r>
    </w:p>
    <w:p>
      <w:pPr>
        <w:spacing w:after="0" w:line="183" w:lineRule="exact"/>
        <w:rPr>
          <w:rFonts w:ascii="Arial" w:cs="Arial" w:eastAsia="Arial" w:hAnsi="Arial"/>
          <w:sz w:val="18"/>
          <w:szCs w:val="18"/>
          <w:color w:val="auto"/>
        </w:rPr>
      </w:pPr>
    </w:p>
    <w:p>
      <w:pPr>
        <w:jc w:val="both"/>
        <w:ind w:left="1620" w:hanging="532"/>
        <w:spacing w:after="0"/>
        <w:tabs>
          <w:tab w:leader="none" w:pos="16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189" w:lineRule="exact"/>
        <w:rPr>
          <w:rFonts w:ascii="Arial" w:cs="Arial" w:eastAsia="Arial" w:hAnsi="Arial"/>
          <w:sz w:val="18"/>
          <w:szCs w:val="18"/>
          <w:color w:val="auto"/>
        </w:rPr>
      </w:pPr>
    </w:p>
    <w:p>
      <w:pPr>
        <w:jc w:val="both"/>
        <w:ind w:left="1080" w:hanging="532"/>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a Party confirms to another Party pursuant to clause 12.5(a)(i) above that it is a FATCA Exempt Party and it subsequently becomes aware that it is not, or has ceased to be a FATCA Exempt Party, that Party shall notify that other Party reasonably promptly.</w:t>
      </w:r>
    </w:p>
    <w:p>
      <w:pPr>
        <w:spacing w:after="0" w:line="189"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Clause 12.5(a) above shall not oblige any Finance Party to do anything, and clause 12.5(a)(iii) above shall not oblige any other Party to do anything, which would or might in its reasonable opinion constitute a breach of:</w:t>
      </w:r>
    </w:p>
    <w:p>
      <w:pPr>
        <w:spacing w:after="0" w:line="183" w:lineRule="exact"/>
        <w:rPr>
          <w:rFonts w:ascii="Arial" w:cs="Arial" w:eastAsia="Arial" w:hAnsi="Arial"/>
          <w:sz w:val="18"/>
          <w:szCs w:val="18"/>
          <w:color w:val="auto"/>
        </w:rPr>
      </w:pPr>
    </w:p>
    <w:p>
      <w:pPr>
        <w:ind w:left="1620" w:hanging="532"/>
        <w:spacing w:after="0"/>
        <w:tabs>
          <w:tab w:leader="none" w:pos="16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any law or regulation;</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any fiduciary duty; or</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any duty of confidentiality.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98" w:name="page99"/>
    <w:bookmarkEnd w:id="98"/>
    <w:p>
      <w:pPr>
        <w:jc w:val="both"/>
        <w:ind w:left="1080" w:hanging="532"/>
        <w:spacing w:after="0" w:line="238" w:lineRule="auto"/>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If a Party fails to confirm whether or not it is a FATCA Exempt Party or to supply forms, documentation or other information requested in accordance with clause 12.5(a)(i) or clause 12.5(a)(ii) above (including, for the avoidance of doubt, where clause 12.5(c)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189"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If a Borrower is a US Tax Obligor, or the Agent reasonably believes that its obligations under FATCA or any other applicable law or regulation require it, each Lender shall, within ten Business Days of:</w:t>
      </w:r>
    </w:p>
    <w:p>
      <w:pPr>
        <w:spacing w:after="0" w:line="183" w:lineRule="exact"/>
        <w:rPr>
          <w:rFonts w:ascii="Arial" w:cs="Arial" w:eastAsia="Arial" w:hAnsi="Arial"/>
          <w:sz w:val="18"/>
          <w:szCs w:val="18"/>
          <w:color w:val="auto"/>
        </w:rPr>
      </w:pPr>
    </w:p>
    <w:p>
      <w:pPr>
        <w:ind w:left="1620" w:hanging="532"/>
        <w:spacing w:after="0"/>
        <w:tabs>
          <w:tab w:leader="none" w:pos="16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where a Borrower is a US Tax Obligor and the relevant Lender is an Original Lender, the date of this Agreement;</w:t>
      </w:r>
    </w:p>
    <w:p>
      <w:pPr>
        <w:spacing w:after="0" w:line="198"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where a Borrower is a US Tax Obligor on a Transfer Date and the relevant Lender is a New Lender, the relevant Transfer Date; or</w:t>
      </w:r>
    </w:p>
    <w:p>
      <w:pPr>
        <w:spacing w:after="0" w:line="183" w:lineRule="exact"/>
        <w:rPr>
          <w:rFonts w:ascii="Arial" w:cs="Arial" w:eastAsia="Arial" w:hAnsi="Arial"/>
          <w:sz w:val="18"/>
          <w:szCs w:val="18"/>
          <w:color w:val="auto"/>
        </w:rPr>
      </w:pPr>
    </w:p>
    <w:p>
      <w:pPr>
        <w:ind w:left="1620" w:hanging="532"/>
        <w:spacing w:after="0"/>
        <w:tabs>
          <w:tab w:leader="none" w:pos="16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date a new US Tax Obligor accedes as a Borrower; or</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where the Borrower is not a US Tax Obligor, the date of a request from the Agent,</w:t>
      </w:r>
    </w:p>
    <w:p>
      <w:pPr>
        <w:spacing w:after="0" w:line="19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supply to the Agent:</w:t>
      </w:r>
    </w:p>
    <w:p>
      <w:pPr>
        <w:spacing w:after="0" w:line="198" w:lineRule="exact"/>
        <w:rPr>
          <w:sz w:val="20"/>
          <w:szCs w:val="20"/>
          <w:color w:val="auto"/>
        </w:rPr>
      </w:pPr>
    </w:p>
    <w:p>
      <w:pPr>
        <w:ind w:left="2160" w:hanging="531"/>
        <w:spacing w:after="0"/>
        <w:tabs>
          <w:tab w:leader="none" w:pos="21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 withholding certificate on Form W-8 or Form W-9 or any other relevant form; or</w:t>
      </w:r>
    </w:p>
    <w:p>
      <w:pPr>
        <w:spacing w:after="0" w:line="198" w:lineRule="exact"/>
        <w:rPr>
          <w:rFonts w:ascii="Arial" w:cs="Arial" w:eastAsia="Arial" w:hAnsi="Arial"/>
          <w:sz w:val="18"/>
          <w:szCs w:val="18"/>
          <w:color w:val="auto"/>
        </w:rPr>
      </w:pPr>
    </w:p>
    <w:p>
      <w:pPr>
        <w:ind w:left="2160" w:hanging="531"/>
        <w:spacing w:after="0" w:line="246" w:lineRule="auto"/>
        <w:tabs>
          <w:tab w:leader="none" w:pos="21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any withholding statement and other documentation, authorisation or waiver as the Agent may require to certify or establish the status of such Lender under FATCA or that other law or regulation.</w:t>
      </w:r>
    </w:p>
    <w:p>
      <w:pPr>
        <w:spacing w:after="0" w:line="183"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Agent shall provide any withholding certificate, withholding statement, documentation, authorisation or waiver it receives from a Lender pursuant to this paragraph (e) to the Borrowers.</w:t>
      </w:r>
    </w:p>
    <w:p>
      <w:pPr>
        <w:spacing w:after="0" w:line="183" w:lineRule="exact"/>
        <w:rPr>
          <w:rFonts w:ascii="Arial" w:cs="Arial" w:eastAsia="Arial" w:hAnsi="Arial"/>
          <w:sz w:val="18"/>
          <w:szCs w:val="18"/>
          <w:color w:val="auto"/>
        </w:rPr>
      </w:pPr>
    </w:p>
    <w:p>
      <w:pPr>
        <w:jc w:val="both"/>
        <w:ind w:left="1080" w:hanging="532"/>
        <w:spacing w:after="0" w:line="238"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If any withholding certificate, withholding statement, document, authorisation or waiver provided to the Agent by a Lender pursuant to paragraph (e) above is or becomes materially inaccurate or incomplete, that Lender shall promptly update it and provide such updated withholding certificate, withholding statement, document, authorisation or waiver to the Agent unless it is unlawful for the Lender to do so (in which case the Lender shall promptly notify the Agent). The Agent shall provide any such updated withholding certificate, withholding statement, document, authorisation or waiver to the relevant Borrower.</w:t>
      </w:r>
    </w:p>
    <w:p>
      <w:pPr>
        <w:spacing w:after="0" w:line="189" w:lineRule="exact"/>
        <w:rPr>
          <w:rFonts w:ascii="Arial" w:cs="Arial" w:eastAsia="Arial" w:hAnsi="Arial"/>
          <w:sz w:val="18"/>
          <w:szCs w:val="18"/>
          <w:color w:val="auto"/>
        </w:rPr>
      </w:pPr>
    </w:p>
    <w:p>
      <w:pPr>
        <w:jc w:val="both"/>
        <w:ind w:left="1080" w:hanging="532"/>
        <w:spacing w:after="0"/>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Agent may rely on any withholding certificate, withholding statement, document, authorisation or waiver it receives from a Lender pursuant to paragraphs (e) or (g) above without further verification. The Agent shall not be liable for any action taken by it under or in connection with paragraphs (e), (f) or (g) above.</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7"/>
          <w:szCs w:val="17"/>
          <w:b w:val="1"/>
          <w:bCs w:val="1"/>
          <w:color w:val="auto"/>
        </w:rPr>
        <w:t>FATCA Deduction</w:t>
      </w:r>
    </w:p>
    <w:p>
      <w:pPr>
        <w:spacing w:after="0" w:line="220" w:lineRule="exact"/>
        <w:rPr>
          <w:sz w:val="20"/>
          <w:szCs w:val="20"/>
          <w:color w:val="auto"/>
        </w:rPr>
      </w:pPr>
    </w:p>
    <w:p>
      <w:pPr>
        <w:jc w:val="both"/>
        <w:ind w:left="1080" w:hanging="532"/>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Each Party may make any FATCA Deduction it is required by FATCA to make,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189" w:lineRule="exact"/>
        <w:rPr>
          <w:rFonts w:ascii="Arial" w:cs="Arial" w:eastAsia="Arial" w:hAnsi="Arial"/>
          <w:sz w:val="18"/>
          <w:szCs w:val="18"/>
          <w:color w:val="auto"/>
        </w:rPr>
      </w:pPr>
    </w:p>
    <w:p>
      <w:pPr>
        <w:jc w:val="both"/>
        <w:ind w:left="1080" w:hanging="532"/>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Each Party shall promptly, upon becoming aware that it must make a FATCA Deduction (or that there is any change in the rate or the basis of such FATCA Deduction), notify the Party to whom it is making the payment and, in addition, shall notify the Borrowers and the Agent and the Agent shall notify the other Finance Parties.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99" w:name="page100"/>
    <w:bookmarkEnd w:id="99"/>
    <w:p>
      <w:pPr>
        <w:spacing w:after="0"/>
        <w:tabs>
          <w:tab w:leader="none" w:pos="520" w:val="left"/>
        </w:tabs>
        <w:rPr>
          <w:sz w:val="20"/>
          <w:szCs w:val="20"/>
          <w:color w:val="auto"/>
        </w:rPr>
      </w:pPr>
      <w:r>
        <w:rPr>
          <w:rFonts w:ascii="Arial" w:cs="Arial" w:eastAsia="Arial" w:hAnsi="Arial"/>
          <w:sz w:val="18"/>
          <w:szCs w:val="18"/>
          <w:b w:val="1"/>
          <w:bCs w:val="1"/>
          <w:color w:val="auto"/>
        </w:rPr>
        <w:t>12.7</w:t>
      </w:r>
      <w:r>
        <w:rPr>
          <w:sz w:val="20"/>
          <w:szCs w:val="20"/>
          <w:color w:val="auto"/>
        </w:rPr>
        <w:tab/>
      </w:r>
      <w:r>
        <w:rPr>
          <w:rFonts w:ascii="Arial" w:cs="Arial" w:eastAsia="Arial" w:hAnsi="Arial"/>
          <w:sz w:val="17"/>
          <w:szCs w:val="17"/>
          <w:b w:val="1"/>
          <w:bCs w:val="1"/>
          <w:color w:val="auto"/>
        </w:rPr>
        <w:t>Stamp taxes</w:t>
      </w:r>
    </w:p>
    <w:p>
      <w:pPr>
        <w:spacing w:after="0" w:line="220" w:lineRule="exact"/>
        <w:rPr>
          <w:sz w:val="20"/>
          <w:szCs w:val="20"/>
          <w:color w:val="auto"/>
        </w:rPr>
      </w:pPr>
    </w:p>
    <w:p>
      <w:pPr>
        <w:jc w:val="both"/>
        <w:ind w:left="540"/>
        <w:spacing w:after="0" w:line="238" w:lineRule="auto"/>
        <w:rPr>
          <w:sz w:val="20"/>
          <w:szCs w:val="20"/>
          <w:color w:val="auto"/>
        </w:rPr>
      </w:pPr>
      <w:r>
        <w:rPr>
          <w:rFonts w:ascii="Arial" w:cs="Arial" w:eastAsia="Arial" w:hAnsi="Arial"/>
          <w:sz w:val="18"/>
          <w:szCs w:val="18"/>
          <w:color w:val="auto"/>
        </w:rPr>
        <w:t>The Borrowers shall pay and, within three Business Days of demand, indemnify each Finance Party against any cost, loss or liability that Finance Party incurs in relation to all stamp duty, registration and other similar Taxes payable in respect of any Finance Document provided that this clause 12.7 shall not apply in respect of any such stamp duty or Tax which is payable in respect of an assignment or transfer by a Finance Party of any of its rights and/or obligations under any Finance Document, except as such assignment or transfer is required by the terms of the Finance Documents, in terms of which this clause 12.7 shall apply in any event.</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7"/>
          <w:szCs w:val="17"/>
          <w:b w:val="1"/>
          <w:bCs w:val="1"/>
          <w:color w:val="auto"/>
        </w:rPr>
        <w:t>Value added tax</w:t>
      </w:r>
    </w:p>
    <w:p>
      <w:pPr>
        <w:spacing w:after="0" w:line="220" w:lineRule="exact"/>
        <w:rPr>
          <w:sz w:val="20"/>
          <w:szCs w:val="20"/>
          <w:color w:val="auto"/>
        </w:rPr>
      </w:pPr>
    </w:p>
    <w:p>
      <w:pPr>
        <w:jc w:val="both"/>
        <w:ind w:left="1080" w:hanging="532"/>
        <w:spacing w:after="0" w:line="237"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All amounts set out, or expressed in a Finance Document to be payable by any party to a Finance Party which (in whole or in part) constitute the consideration for any supply for supplies for VAT purposes shall be deemed to be exclusive of any VAT which is chargeable on such supply or supplies, and accordingly, subject to clause 12.8(b) below, if VAT is or becomes chargeable on any supply made by any Finance Party to any party under a Finance Document, that party shall pay to the Finance Party (in addition to and at the same time as paying any other consideration for such supply) an amount equal to the amount of such VAT (and such Finance Party shall promptly provide an appropriate VAT invoice to such party).</w:t>
      </w:r>
    </w:p>
    <w:p>
      <w:pPr>
        <w:spacing w:after="0" w:line="169" w:lineRule="exact"/>
        <w:rPr>
          <w:rFonts w:ascii="Arial" w:cs="Arial" w:eastAsia="Arial" w:hAnsi="Arial"/>
          <w:sz w:val="18"/>
          <w:szCs w:val="18"/>
          <w:color w:val="auto"/>
        </w:rPr>
      </w:pPr>
    </w:p>
    <w:p>
      <w:pPr>
        <w:jc w:val="both"/>
        <w:ind w:left="1080" w:hanging="532"/>
        <w:spacing w:after="0" w:line="247"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If VAT is or becomes chargeable on any supply made by any Finance Party (the </w:t>
      </w:r>
      <w:r>
        <w:rPr>
          <w:rFonts w:ascii="Arial" w:cs="Arial" w:eastAsia="Arial" w:hAnsi="Arial"/>
          <w:sz w:val="18"/>
          <w:szCs w:val="18"/>
          <w:b w:val="1"/>
          <w:bCs w:val="1"/>
          <w:color w:val="auto"/>
        </w:rPr>
        <w:t>Supplier</w:t>
      </w:r>
      <w:r>
        <w:rPr>
          <w:rFonts w:ascii="Arial" w:cs="Arial" w:eastAsia="Arial" w:hAnsi="Arial"/>
          <w:sz w:val="18"/>
          <w:szCs w:val="18"/>
          <w:color w:val="auto"/>
        </w:rPr>
        <w:t xml:space="preserve">) to any other Finance Party (the </w:t>
      </w:r>
      <w:r>
        <w:rPr>
          <w:rFonts w:ascii="Arial" w:cs="Arial" w:eastAsia="Arial" w:hAnsi="Arial"/>
          <w:sz w:val="18"/>
          <w:szCs w:val="18"/>
          <w:b w:val="1"/>
          <w:bCs w:val="1"/>
          <w:color w:val="auto"/>
        </w:rPr>
        <w:t>Recipient</w:t>
      </w:r>
      <w:r>
        <w:rPr>
          <w:rFonts w:ascii="Arial" w:cs="Arial" w:eastAsia="Arial" w:hAnsi="Arial"/>
          <w:sz w:val="18"/>
          <w:szCs w:val="18"/>
          <w:color w:val="auto"/>
        </w:rPr>
        <w:t>) under a Finance Document, and any party to a Finance Document other than the Recipient (the</w:t>
      </w:r>
      <w:r>
        <w:rPr>
          <w:rFonts w:ascii="Arial" w:cs="Arial" w:eastAsia="Arial" w:hAnsi="Arial"/>
          <w:sz w:val="18"/>
          <w:szCs w:val="18"/>
          <w:b w:val="1"/>
          <w:bCs w:val="1"/>
          <w:color w:val="auto"/>
        </w:rPr>
        <w:t xml:space="preserve"> Subject Party</w:t>
      </w:r>
      <w:r>
        <w:rPr>
          <w:rFonts w:ascii="Arial" w:cs="Arial" w:eastAsia="Arial" w:hAnsi="Arial"/>
          <w:sz w:val="18"/>
          <w:szCs w:val="18"/>
          <w:color w:val="auto"/>
        </w:rPr>
        <w:t>)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by the terms of any Finance Document to pay an amount equal to the consideration for such supply to the Supplier (rather than being required to reimburse or indemnify the Recipient in respect of that consideration):</w:t>
      </w:r>
    </w:p>
    <w:p>
      <w:pPr>
        <w:spacing w:after="0" w:line="182" w:lineRule="exact"/>
        <w:rPr>
          <w:rFonts w:ascii="Arial" w:cs="Arial" w:eastAsia="Arial" w:hAnsi="Arial"/>
          <w:sz w:val="18"/>
          <w:szCs w:val="18"/>
          <w:color w:val="auto"/>
        </w:rPr>
      </w:pPr>
    </w:p>
    <w:p>
      <w:pPr>
        <w:jc w:val="both"/>
        <w:ind w:left="1620" w:hanging="532"/>
        <w:spacing w:after="0" w:line="238" w:lineRule="auto"/>
        <w:tabs>
          <w:tab w:leader="none" w:pos="162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(where the Supplier is the person required to account to the relevant tax authority for the VAT) the Subject Party must also pay to the Supplier (at the same time as paying that amount) an additional amount equal to the amount of the VAT. The Recipient must (where this paragraph (a) applies) promptly pay to the Subject Party an amount equal to any credit or repayment the Recipient receives from the relevant tax authority which the Recipient reasonably determines relates to the VAT chargeable on that supply; and</w:t>
      </w:r>
    </w:p>
    <w:p>
      <w:pPr>
        <w:spacing w:after="0" w:line="189" w:lineRule="exact"/>
        <w:rPr>
          <w:rFonts w:ascii="Arial" w:cs="Arial" w:eastAsia="Arial" w:hAnsi="Arial"/>
          <w:sz w:val="18"/>
          <w:szCs w:val="18"/>
          <w:color w:val="auto"/>
        </w:rPr>
      </w:pPr>
    </w:p>
    <w:p>
      <w:pPr>
        <w:jc w:val="both"/>
        <w:ind w:left="1620" w:hanging="532"/>
        <w:spacing w:after="0" w:line="239" w:lineRule="auto"/>
        <w:tabs>
          <w:tab w:leader="none" w:pos="162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(where the Recipient is the person required to account to the relevant tax authority for the VAT) the Subject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188" w:lineRule="exact"/>
        <w:rPr>
          <w:rFonts w:ascii="Arial" w:cs="Arial" w:eastAsia="Arial" w:hAnsi="Arial"/>
          <w:sz w:val="18"/>
          <w:szCs w:val="18"/>
          <w:color w:val="auto"/>
        </w:rPr>
      </w:pPr>
    </w:p>
    <w:p>
      <w:pPr>
        <w:jc w:val="both"/>
        <w:ind w:left="1080" w:hanging="532"/>
        <w:spacing w:after="0" w:line="239"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Where a Finance Document requires any party to it to reimburse or indemnify a Finance Party for any cost or expense, that party shall reimburse or indemnify (as the case may be) such Finance Party for the full amount of such cost or expense, including such part thereof as represents VAT save to the extent that such Finance Party reasonably determines that it is entitled to credit or repayment of in respect of such VAT from the relevant tax authority.</w:t>
      </w:r>
    </w:p>
    <w:p>
      <w:pPr>
        <w:spacing w:after="0" w:line="188" w:lineRule="exact"/>
        <w:rPr>
          <w:rFonts w:ascii="Arial" w:cs="Arial" w:eastAsia="Arial" w:hAnsi="Arial"/>
          <w:sz w:val="18"/>
          <w:szCs w:val="18"/>
          <w:color w:val="auto"/>
        </w:rPr>
      </w:pPr>
    </w:p>
    <w:p>
      <w:pPr>
        <w:jc w:val="both"/>
        <w:ind w:left="1080" w:hanging="532"/>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reference in this clause 12.8 to any Party shall, at any time when such Party is treated as a member of a group for VAT purposes, include (where appropriate and unless the context otherwise requires) a reference to the representative member of such group at such time (the term “representative member” to have the same meaning as in the Value Added Tax Act 1994).</w:t>
      </w:r>
    </w:p>
    <w:p>
      <w:pPr>
        <w:spacing w:after="0" w:line="189"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 relation to any supply made by a Finance Party to any party under a Finance Document, if reasonably requested by such Finance Party, that party must promptly provide such Finance Party with details of that party’s VAT registration and such other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00" w:name="page101"/>
    <w:bookmarkEnd w:id="100"/>
    <w:p>
      <w:pPr>
        <w:ind w:left="1080"/>
        <w:spacing w:after="0" w:line="246" w:lineRule="auto"/>
        <w:rPr>
          <w:sz w:val="20"/>
          <w:szCs w:val="20"/>
          <w:color w:val="auto"/>
        </w:rPr>
      </w:pPr>
      <w:r>
        <w:rPr>
          <w:rFonts w:ascii="Arial" w:cs="Arial" w:eastAsia="Arial" w:hAnsi="Arial"/>
          <w:sz w:val="18"/>
          <w:szCs w:val="18"/>
          <w:color w:val="auto"/>
        </w:rPr>
        <w:t>information as is reasonably requested in connection with such Finance Party’s VAT reporting requirements in relation to such supply.</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12.9</w:t>
      </w:r>
      <w:r>
        <w:rPr>
          <w:sz w:val="20"/>
          <w:szCs w:val="20"/>
          <w:color w:val="auto"/>
        </w:rPr>
        <w:tab/>
      </w:r>
      <w:r>
        <w:rPr>
          <w:rFonts w:ascii="Arial" w:cs="Arial" w:eastAsia="Arial" w:hAnsi="Arial"/>
          <w:sz w:val="17"/>
          <w:szCs w:val="17"/>
          <w:b w:val="1"/>
          <w:bCs w:val="1"/>
          <w:color w:val="auto"/>
        </w:rPr>
        <w:t>Tax Credit</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an Obligor makes a Tax Payment and the relevant Finance Party determines that:</w:t>
      </w:r>
    </w:p>
    <w:p>
      <w:pPr>
        <w:spacing w:after="0" w:line="198" w:lineRule="exact"/>
        <w:rPr>
          <w:sz w:val="20"/>
          <w:szCs w:val="20"/>
          <w:color w:val="auto"/>
        </w:rPr>
      </w:pPr>
    </w:p>
    <w:p>
      <w:pPr>
        <w:ind w:left="1080" w:hanging="532"/>
        <w:spacing w:after="0" w:line="246"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 Tax Credit is attributable to an increased payment of which that Tax Payment forms part, to that Tax Payment or to a Tax Deduction in consequence of which that Tax Payment was required; and</w:t>
      </w:r>
    </w:p>
    <w:p>
      <w:pPr>
        <w:spacing w:after="0" w:line="183" w:lineRule="exact"/>
        <w:rPr>
          <w:rFonts w:ascii="Arial" w:cs="Arial" w:eastAsia="Arial" w:hAnsi="Arial"/>
          <w:sz w:val="18"/>
          <w:szCs w:val="18"/>
          <w:color w:val="auto"/>
        </w:rPr>
      </w:pPr>
    </w:p>
    <w:p>
      <w:pPr>
        <w:ind w:left="1080" w:hanging="532"/>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that Finance Party has obtained and utilised that Tax Credit in whole or in part,</w:t>
      </w:r>
    </w:p>
    <w:p>
      <w:pPr>
        <w:spacing w:after="0" w:line="198" w:lineRule="exact"/>
        <w:rPr>
          <w:sz w:val="20"/>
          <w:szCs w:val="20"/>
          <w:color w:val="auto"/>
        </w:rPr>
      </w:pPr>
    </w:p>
    <w:p>
      <w:pPr>
        <w:ind w:left="540" w:right="20"/>
        <w:spacing w:after="0" w:line="246" w:lineRule="auto"/>
        <w:rPr>
          <w:sz w:val="20"/>
          <w:szCs w:val="20"/>
          <w:color w:val="auto"/>
        </w:rPr>
      </w:pPr>
      <w:r>
        <w:rPr>
          <w:rFonts w:ascii="Arial" w:cs="Arial" w:eastAsia="Arial" w:hAnsi="Arial"/>
          <w:sz w:val="18"/>
          <w:szCs w:val="18"/>
          <w:color w:val="auto"/>
        </w:rPr>
        <w:t>the Finance Party shall pay an amount to the Obligor which that Finance Party determines will leave it (after that payment) in the same after-Tax position as it would have been in had the Tax Payment not been required to be made by the Obligor.</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Increased Costs</w:t>
      </w:r>
    </w:p>
    <w:p>
      <w:pPr>
        <w:spacing w:after="0" w:line="23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13.1</w:t>
        <w:tab/>
        <w:t>Increased Costs</w:t>
      </w:r>
    </w:p>
    <w:p>
      <w:pPr>
        <w:spacing w:after="0" w:line="202" w:lineRule="exact"/>
        <w:rPr>
          <w:sz w:val="20"/>
          <w:szCs w:val="20"/>
          <w:color w:val="auto"/>
        </w:rPr>
      </w:pPr>
    </w:p>
    <w:p>
      <w:pPr>
        <w:ind w:left="1080" w:hanging="532"/>
        <w:spacing w:after="0" w:line="267"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Subject to clause 13.3 (</w:t>
      </w:r>
      <w:r>
        <w:rPr>
          <w:rFonts w:ascii="Arial" w:cs="Arial" w:eastAsia="Arial" w:hAnsi="Arial"/>
          <w:sz w:val="18"/>
          <w:szCs w:val="18"/>
          <w:i w:val="1"/>
          <w:iCs w:val="1"/>
          <w:color w:val="auto"/>
        </w:rPr>
        <w:t>Exceptions</w:t>
      </w:r>
      <w:r>
        <w:rPr>
          <w:rFonts w:ascii="Arial" w:cs="Arial" w:eastAsia="Arial" w:hAnsi="Arial"/>
          <w:sz w:val="18"/>
          <w:szCs w:val="18"/>
          <w:color w:val="auto"/>
        </w:rPr>
        <w:t>), the Borrowers shall, within three Business Days of a demand by the Agent, pay for the account of a Finance Party the amount of any Increased Cost incurred by that Finance Party or any of its Affiliates which:</w:t>
      </w:r>
    </w:p>
    <w:p>
      <w:pPr>
        <w:spacing w:after="0" w:line="165"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arises as a result of (A) the introduction of or any change in (or in the interpretation, administration or application of) any law or regulation or (B) compliance with any law or regulation made after the date of this Agreement; and/or</w:t>
      </w:r>
    </w:p>
    <w:p>
      <w:pPr>
        <w:spacing w:after="0" w:line="183" w:lineRule="exact"/>
        <w:rPr>
          <w:rFonts w:ascii="Arial" w:cs="Arial" w:eastAsia="Arial" w:hAnsi="Arial"/>
          <w:sz w:val="18"/>
          <w:szCs w:val="18"/>
          <w:color w:val="auto"/>
        </w:rPr>
      </w:pPr>
    </w:p>
    <w:p>
      <w:pPr>
        <w:ind w:left="1620" w:hanging="532"/>
        <w:spacing w:after="0"/>
        <w:tabs>
          <w:tab w:leader="none" w:pos="16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is a Basel III Increased Cost and is generally ascribed to borrowers as a matter of market practice.</w:t>
      </w:r>
    </w:p>
    <w:p>
      <w:pPr>
        <w:spacing w:after="0" w:line="176" w:lineRule="exact"/>
        <w:rPr>
          <w:rFonts w:ascii="Arial" w:cs="Arial" w:eastAsia="Arial" w:hAnsi="Arial"/>
          <w:sz w:val="18"/>
          <w:szCs w:val="18"/>
          <w:color w:val="auto"/>
        </w:rPr>
      </w:pPr>
    </w:p>
    <w:p>
      <w:pPr>
        <w:ind w:left="1080" w:hanging="532"/>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In this Agreement </w:t>
      </w:r>
      <w:r>
        <w:rPr>
          <w:rFonts w:ascii="Arial" w:cs="Arial" w:eastAsia="Arial" w:hAnsi="Arial"/>
          <w:sz w:val="18"/>
          <w:szCs w:val="18"/>
          <w:b w:val="1"/>
          <w:bCs w:val="1"/>
          <w:color w:val="auto"/>
        </w:rPr>
        <w:t>Increased Costs</w:t>
      </w:r>
      <w:r>
        <w:rPr>
          <w:rFonts w:ascii="Arial" w:cs="Arial" w:eastAsia="Arial" w:hAnsi="Arial"/>
          <w:sz w:val="18"/>
          <w:szCs w:val="18"/>
          <w:color w:val="auto"/>
        </w:rPr>
        <w:t xml:space="preserve"> means:</w:t>
      </w:r>
    </w:p>
    <w:p>
      <w:pPr>
        <w:spacing w:after="0" w:line="220" w:lineRule="exact"/>
        <w:rPr>
          <w:rFonts w:ascii="Arial" w:cs="Arial" w:eastAsia="Arial" w:hAnsi="Arial"/>
          <w:sz w:val="18"/>
          <w:szCs w:val="18"/>
          <w:color w:val="auto"/>
        </w:rPr>
      </w:pPr>
    </w:p>
    <w:p>
      <w:pPr>
        <w:ind w:left="1620" w:hanging="532"/>
        <w:spacing w:after="0"/>
        <w:tabs>
          <w:tab w:leader="none" w:pos="16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 reduction in the rate of return from the Facilities or on a Finance Party’s (or its Affiliate’s) overall capital;</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an additional or increased cost; or</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 reduction of any amount due and payable under any Finance Document,</w:t>
      </w:r>
    </w:p>
    <w:p>
      <w:pPr>
        <w:spacing w:after="0" w:line="198" w:lineRule="exact"/>
        <w:rPr>
          <w:sz w:val="20"/>
          <w:szCs w:val="20"/>
          <w:color w:val="auto"/>
        </w:rPr>
      </w:pPr>
    </w:p>
    <w:p>
      <w:pPr>
        <w:ind w:left="540"/>
        <w:spacing w:after="0" w:line="246" w:lineRule="auto"/>
        <w:rPr>
          <w:sz w:val="20"/>
          <w:szCs w:val="20"/>
          <w:color w:val="auto"/>
        </w:rPr>
      </w:pPr>
      <w:r>
        <w:rPr>
          <w:rFonts w:ascii="Arial" w:cs="Arial" w:eastAsia="Arial" w:hAnsi="Arial"/>
          <w:sz w:val="18"/>
          <w:szCs w:val="18"/>
          <w:color w:val="auto"/>
        </w:rPr>
        <w:t>which is incurred or suffered by a Finance Party or any of its Affiliates to the extent that it is attributable to that Finance Party having entered into its Commitments or funding or performing its obligations under any Finance Document.</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7"/>
          <w:szCs w:val="17"/>
          <w:b w:val="1"/>
          <w:bCs w:val="1"/>
          <w:color w:val="auto"/>
        </w:rPr>
        <w:t>Increased Cost claims</w:t>
      </w:r>
    </w:p>
    <w:p>
      <w:pPr>
        <w:spacing w:after="0" w:line="202" w:lineRule="exact"/>
        <w:rPr>
          <w:sz w:val="20"/>
          <w:szCs w:val="20"/>
          <w:color w:val="auto"/>
        </w:rPr>
      </w:pPr>
    </w:p>
    <w:p>
      <w:pPr>
        <w:ind w:left="1080" w:right="20" w:hanging="532"/>
        <w:spacing w:after="0" w:line="267"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 Finance Party intending to make a claim pursuant to clause 13.1 (</w:t>
      </w:r>
      <w:r>
        <w:rPr>
          <w:rFonts w:ascii="Arial" w:cs="Arial" w:eastAsia="Arial" w:hAnsi="Arial"/>
          <w:sz w:val="18"/>
          <w:szCs w:val="18"/>
          <w:i w:val="1"/>
          <w:iCs w:val="1"/>
          <w:color w:val="auto"/>
        </w:rPr>
        <w:t>Increased Costs</w:t>
      </w:r>
      <w:r>
        <w:rPr>
          <w:rFonts w:ascii="Arial" w:cs="Arial" w:eastAsia="Arial" w:hAnsi="Arial"/>
          <w:sz w:val="18"/>
          <w:szCs w:val="18"/>
          <w:color w:val="auto"/>
        </w:rPr>
        <w:t>) shall notify the Agent of the event giving rise to the claim, following which the Agent shall promptly notify the Borrowers.</w:t>
      </w:r>
    </w:p>
    <w:p>
      <w:pPr>
        <w:spacing w:after="0" w:line="165"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Each Finance Party shall, as soon as practicable after a demand by the Agent, provide a certificate confirming the amount and basis of calculation of its Increased Costs.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01" w:name="page102"/>
    <w:bookmarkEnd w:id="101"/>
    <w:p>
      <w:pPr>
        <w:spacing w:after="0"/>
        <w:tabs>
          <w:tab w:leader="none" w:pos="52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7"/>
          <w:szCs w:val="17"/>
          <w:b w:val="1"/>
          <w:bCs w:val="1"/>
          <w:color w:val="auto"/>
        </w:rPr>
        <w:t>Exceptions</w:t>
      </w:r>
    </w:p>
    <w:p>
      <w:pPr>
        <w:spacing w:after="0" w:line="202" w:lineRule="exact"/>
        <w:rPr>
          <w:sz w:val="20"/>
          <w:szCs w:val="20"/>
          <w:color w:val="auto"/>
        </w:rPr>
      </w:pPr>
    </w:p>
    <w:p>
      <w:pPr>
        <w:ind w:left="1080" w:hanging="532"/>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Clause 13.1 (</w:t>
      </w:r>
      <w:r>
        <w:rPr>
          <w:rFonts w:ascii="Arial" w:cs="Arial" w:eastAsia="Arial" w:hAnsi="Arial"/>
          <w:sz w:val="18"/>
          <w:szCs w:val="18"/>
          <w:i w:val="1"/>
          <w:iCs w:val="1"/>
          <w:color w:val="auto"/>
        </w:rPr>
        <w:t>Increased Costs</w:t>
      </w:r>
      <w:r>
        <w:rPr>
          <w:rFonts w:ascii="Arial" w:cs="Arial" w:eastAsia="Arial" w:hAnsi="Arial"/>
          <w:sz w:val="18"/>
          <w:szCs w:val="18"/>
          <w:color w:val="auto"/>
        </w:rPr>
        <w:t>) does not apply to the extent any Increased Cost is:</w:t>
      </w:r>
    </w:p>
    <w:p>
      <w:pPr>
        <w:spacing w:after="0" w:line="216" w:lineRule="exact"/>
        <w:rPr>
          <w:rFonts w:ascii="Arial" w:cs="Arial" w:eastAsia="Arial" w:hAnsi="Arial"/>
          <w:sz w:val="18"/>
          <w:szCs w:val="18"/>
          <w:color w:val="auto"/>
        </w:rPr>
      </w:pPr>
    </w:p>
    <w:p>
      <w:pPr>
        <w:ind w:left="1620" w:hanging="532"/>
        <w:spacing w:after="0"/>
        <w:tabs>
          <w:tab w:leader="none" w:pos="162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attributable to a Tax Deduction required by law to be made by an Obligor;</w:t>
      </w:r>
    </w:p>
    <w:p>
      <w:pPr>
        <w:spacing w:after="0" w:line="180" w:lineRule="exact"/>
        <w:rPr>
          <w:rFonts w:ascii="Arial" w:cs="Arial" w:eastAsia="Arial" w:hAnsi="Arial"/>
          <w:sz w:val="18"/>
          <w:szCs w:val="18"/>
          <w:color w:val="auto"/>
        </w:rPr>
      </w:pPr>
    </w:p>
    <w:p>
      <w:pPr>
        <w:ind w:left="1620" w:hanging="532"/>
        <w:spacing w:after="0" w:line="267" w:lineRule="auto"/>
        <w:tabs>
          <w:tab w:leader="none" w:pos="162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compensated for by clause 12.3 (</w:t>
      </w:r>
      <w:r>
        <w:rPr>
          <w:rFonts w:ascii="Arial" w:cs="Arial" w:eastAsia="Arial" w:hAnsi="Arial"/>
          <w:sz w:val="18"/>
          <w:szCs w:val="18"/>
          <w:i w:val="1"/>
          <w:iCs w:val="1"/>
          <w:color w:val="auto"/>
        </w:rPr>
        <w:t>Tax indemnity</w:t>
      </w:r>
      <w:r>
        <w:rPr>
          <w:rFonts w:ascii="Arial" w:cs="Arial" w:eastAsia="Arial" w:hAnsi="Arial"/>
          <w:sz w:val="18"/>
          <w:szCs w:val="18"/>
          <w:color w:val="auto"/>
        </w:rPr>
        <w:t>) (or would have been compensated for under clause 12.3 (</w:t>
      </w:r>
      <w:r>
        <w:rPr>
          <w:rFonts w:ascii="Arial" w:cs="Arial" w:eastAsia="Arial" w:hAnsi="Arial"/>
          <w:sz w:val="18"/>
          <w:szCs w:val="18"/>
          <w:i w:val="1"/>
          <w:iCs w:val="1"/>
          <w:color w:val="auto"/>
        </w:rPr>
        <w:t>Tax indemnity</w:t>
      </w:r>
      <w:r>
        <w:rPr>
          <w:rFonts w:ascii="Arial" w:cs="Arial" w:eastAsia="Arial" w:hAnsi="Arial"/>
          <w:sz w:val="18"/>
          <w:szCs w:val="18"/>
          <w:color w:val="auto"/>
        </w:rPr>
        <w:t>) but was not so compensated solely because any of the exclusions in clause 12.3(b) applied);</w:t>
      </w:r>
    </w:p>
    <w:p>
      <w:pPr>
        <w:spacing w:after="0" w:line="165" w:lineRule="exact"/>
        <w:rPr>
          <w:rFonts w:ascii="Arial" w:cs="Arial" w:eastAsia="Arial" w:hAnsi="Arial"/>
          <w:sz w:val="18"/>
          <w:szCs w:val="18"/>
          <w:color w:val="auto"/>
        </w:rPr>
      </w:pPr>
    </w:p>
    <w:p>
      <w:pPr>
        <w:ind w:left="1620" w:hanging="532"/>
        <w:spacing w:after="0"/>
        <w:tabs>
          <w:tab w:leader="none" w:pos="162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attributable to a FATCA Deduction required to be made by a Party; or</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attributable to the wilful breach by the relevant Finance Party or its Affiliates of any law or regulation.</w:t>
      </w:r>
    </w:p>
    <w:p>
      <w:pPr>
        <w:spacing w:after="0" w:line="176" w:lineRule="exact"/>
        <w:rPr>
          <w:rFonts w:ascii="Arial" w:cs="Arial" w:eastAsia="Arial" w:hAnsi="Arial"/>
          <w:sz w:val="18"/>
          <w:szCs w:val="18"/>
          <w:color w:val="auto"/>
        </w:rPr>
      </w:pPr>
    </w:p>
    <w:p>
      <w:pPr>
        <w:ind w:left="1080" w:hanging="532"/>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In this clause 13.3, a reference to a </w:t>
      </w:r>
      <w:r>
        <w:rPr>
          <w:rFonts w:ascii="Arial" w:cs="Arial" w:eastAsia="Arial" w:hAnsi="Arial"/>
          <w:sz w:val="18"/>
          <w:szCs w:val="18"/>
          <w:b w:val="1"/>
          <w:bCs w:val="1"/>
          <w:color w:val="auto"/>
        </w:rPr>
        <w:t>Tax Deduction</w:t>
      </w:r>
      <w:r>
        <w:rPr>
          <w:rFonts w:ascii="Arial" w:cs="Arial" w:eastAsia="Arial" w:hAnsi="Arial"/>
          <w:sz w:val="18"/>
          <w:szCs w:val="18"/>
          <w:color w:val="auto"/>
        </w:rPr>
        <w:t xml:space="preserve"> has the same meaning given to the term in clause 12.1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9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Other indemnities</w:t>
      </w:r>
    </w:p>
    <w:p>
      <w:pPr>
        <w:spacing w:after="0" w:line="23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14.1</w:t>
        <w:tab/>
        <w:t>Currency indemnity</w:t>
      </w:r>
    </w:p>
    <w:p>
      <w:pPr>
        <w:spacing w:after="0" w:line="198" w:lineRule="exact"/>
        <w:rPr>
          <w:sz w:val="20"/>
          <w:szCs w:val="20"/>
          <w:color w:val="auto"/>
        </w:rPr>
      </w:pPr>
    </w:p>
    <w:p>
      <w:pPr>
        <w:jc w:val="both"/>
        <w:ind w:left="1080" w:hanging="532"/>
        <w:spacing w:after="0" w:line="253" w:lineRule="auto"/>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If any sum due from an Obligor under the Finance Documents (a </w:t>
      </w:r>
      <w:r>
        <w:rPr>
          <w:rFonts w:ascii="Arial" w:cs="Arial" w:eastAsia="Arial" w:hAnsi="Arial"/>
          <w:sz w:val="18"/>
          <w:szCs w:val="18"/>
          <w:b w:val="1"/>
          <w:bCs w:val="1"/>
          <w:color w:val="auto"/>
        </w:rPr>
        <w:t>Sum</w:t>
      </w:r>
      <w:r>
        <w:rPr>
          <w:rFonts w:ascii="Arial" w:cs="Arial" w:eastAsia="Arial" w:hAnsi="Arial"/>
          <w:sz w:val="18"/>
          <w:szCs w:val="18"/>
          <w:color w:val="auto"/>
        </w:rPr>
        <w:t xml:space="preserve">), or any order, judgment or award given or made in relation to a Sum, has to be converted from the currency (the </w:t>
      </w:r>
      <w:r>
        <w:rPr>
          <w:rFonts w:ascii="Arial" w:cs="Arial" w:eastAsia="Arial" w:hAnsi="Arial"/>
          <w:sz w:val="18"/>
          <w:szCs w:val="18"/>
          <w:b w:val="1"/>
          <w:bCs w:val="1"/>
          <w:color w:val="auto"/>
        </w:rPr>
        <w:t>First Currency</w:t>
      </w:r>
      <w:r>
        <w:rPr>
          <w:rFonts w:ascii="Arial" w:cs="Arial" w:eastAsia="Arial" w:hAnsi="Arial"/>
          <w:sz w:val="18"/>
          <w:szCs w:val="18"/>
          <w:color w:val="auto"/>
        </w:rPr>
        <w:t xml:space="preserve">) in which that Sum is payable into another currency (the </w:t>
      </w:r>
      <w:r>
        <w:rPr>
          <w:rFonts w:ascii="Arial" w:cs="Arial" w:eastAsia="Arial" w:hAnsi="Arial"/>
          <w:sz w:val="18"/>
          <w:szCs w:val="18"/>
          <w:b w:val="1"/>
          <w:bCs w:val="1"/>
          <w:color w:val="auto"/>
        </w:rPr>
        <w:t>Second Currency</w:t>
      </w:r>
      <w:r>
        <w:rPr>
          <w:rFonts w:ascii="Arial" w:cs="Arial" w:eastAsia="Arial" w:hAnsi="Arial"/>
          <w:sz w:val="18"/>
          <w:szCs w:val="18"/>
          <w:color w:val="auto"/>
        </w:rPr>
        <w:t>) for the purpose of:</w:t>
      </w:r>
    </w:p>
    <w:p>
      <w:pPr>
        <w:spacing w:after="0" w:line="177" w:lineRule="exact"/>
        <w:rPr>
          <w:rFonts w:ascii="Arial" w:cs="Arial" w:eastAsia="Arial" w:hAnsi="Arial"/>
          <w:sz w:val="18"/>
          <w:szCs w:val="18"/>
          <w:color w:val="auto"/>
        </w:rPr>
      </w:pPr>
    </w:p>
    <w:p>
      <w:pPr>
        <w:ind w:left="1620" w:hanging="532"/>
        <w:spacing w:after="0"/>
        <w:tabs>
          <w:tab w:leader="none" w:pos="16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making or filing a claim or proof against that Obligor; and/or</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obtaining or enforcing an order, judgment or award in relation to any litigation or arbitration proceedings,</w:t>
      </w:r>
    </w:p>
    <w:p>
      <w:pPr>
        <w:spacing w:after="0" w:line="198" w:lineRule="exact"/>
        <w:rPr>
          <w:sz w:val="20"/>
          <w:szCs w:val="20"/>
          <w:color w:val="auto"/>
        </w:rPr>
      </w:pPr>
    </w:p>
    <w:p>
      <w:pPr>
        <w:jc w:val="both"/>
        <w:ind w:left="1080"/>
        <w:spacing w:after="0" w:line="239" w:lineRule="auto"/>
        <w:rPr>
          <w:sz w:val="20"/>
          <w:szCs w:val="20"/>
          <w:color w:val="auto"/>
        </w:rPr>
      </w:pPr>
      <w:r>
        <w:rPr>
          <w:rFonts w:ascii="Arial" w:cs="Arial" w:eastAsia="Arial" w:hAnsi="Arial"/>
          <w:sz w:val="18"/>
          <w:szCs w:val="18"/>
          <w:color w:val="auto"/>
        </w:rPr>
        <w:t>that Obligor shall, as an independent obligation, within three (3) Business Days of demand by a Finance Party, indemnify each Finance Party to whom that Sum is due against any Losses arising out of or as a result of the conversion including any discrepancy between (i) the rate of exchange used to convert that Sum from the First Currency into the Second Currency and (ii) the rate or rates of exchange available to that person at the time of its receipt of that Sum.</w:t>
      </w:r>
    </w:p>
    <w:p>
      <w:pPr>
        <w:spacing w:after="0" w:line="188" w:lineRule="exact"/>
        <w:rPr>
          <w:sz w:val="20"/>
          <w:szCs w:val="20"/>
          <w:color w:val="auto"/>
        </w:rPr>
      </w:pPr>
    </w:p>
    <w:p>
      <w:pPr>
        <w:ind w:left="1080" w:hanging="532"/>
        <w:spacing w:after="0" w:line="246" w:lineRule="auto"/>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Each Obligor waives any right it may have in any jurisdiction to pay any amount under the Finance Documents in a currency or currency unit other than that in which it is expressed to be payable.</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14.2</w:t>
        <w:tab/>
        <w:t>Other indemnities</w:t>
      </w:r>
    </w:p>
    <w:p>
      <w:pPr>
        <w:spacing w:after="0" w:line="220" w:lineRule="exact"/>
        <w:rPr>
          <w:sz w:val="20"/>
          <w:szCs w:val="20"/>
          <w:color w:val="auto"/>
        </w:rPr>
      </w:pPr>
    </w:p>
    <w:p>
      <w:pPr>
        <w:ind w:left="1080" w:hanging="532"/>
        <w:spacing w:after="0" w:line="246" w:lineRule="auto"/>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Borrowers shall (or shall procure that another Obligor will), within three (3) Business Days of demand by a Finance Party, indemnify each Finance Party against any and all Losses incurred by that Finance Party (as the case may be) as a result of:</w:t>
      </w:r>
    </w:p>
    <w:p>
      <w:pPr>
        <w:spacing w:after="0" w:line="183" w:lineRule="exact"/>
        <w:rPr>
          <w:rFonts w:ascii="Arial" w:cs="Arial" w:eastAsia="Arial" w:hAnsi="Arial"/>
          <w:sz w:val="18"/>
          <w:szCs w:val="18"/>
          <w:color w:val="auto"/>
        </w:rPr>
      </w:pPr>
    </w:p>
    <w:p>
      <w:pPr>
        <w:ind w:left="1620" w:hanging="532"/>
        <w:spacing w:after="0"/>
        <w:tabs>
          <w:tab w:leader="none" w:pos="162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occurrence of any Event of Default;</w:t>
      </w:r>
    </w:p>
    <w:p>
      <w:pPr>
        <w:spacing w:after="0" w:line="198"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 failure by an Obligor to pay any amount due under a Finance Document on its due date, including without limitation, any and all Losses arising as a result of clause 34 (</w:t>
      </w:r>
      <w:r>
        <w:rPr>
          <w:rFonts w:ascii="Arial" w:cs="Arial" w:eastAsia="Arial" w:hAnsi="Arial"/>
          <w:sz w:val="18"/>
          <w:szCs w:val="18"/>
          <w:i w:val="1"/>
          <w:iCs w:val="1"/>
          <w:color w:val="auto"/>
        </w:rPr>
        <w:t>Sharing among the Finance Parties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funding, or making arrangements to fund, its participation in a Loan requested by the Borrowers in a Utilisation Request but not made by reason of the operation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02" w:name="page103"/>
    <w:bookmarkEnd w:id="102"/>
    <w:p>
      <w:pPr>
        <w:ind w:left="1620"/>
        <w:spacing w:after="0" w:line="246" w:lineRule="auto"/>
        <w:rPr>
          <w:sz w:val="20"/>
          <w:szCs w:val="20"/>
          <w:color w:val="auto"/>
        </w:rPr>
      </w:pPr>
      <w:r>
        <w:rPr>
          <w:rFonts w:ascii="Arial" w:cs="Arial" w:eastAsia="Arial" w:hAnsi="Arial"/>
          <w:sz w:val="18"/>
          <w:szCs w:val="18"/>
          <w:color w:val="auto"/>
        </w:rPr>
        <w:t>any one or more of the provisions of this Agreement (other than by reason of default or negligence by that Finance Party alone);</w:t>
      </w:r>
    </w:p>
    <w:p>
      <w:pPr>
        <w:spacing w:after="0" w:line="183" w:lineRule="exact"/>
        <w:rPr>
          <w:sz w:val="20"/>
          <w:szCs w:val="20"/>
          <w:color w:val="auto"/>
        </w:rPr>
      </w:pPr>
    </w:p>
    <w:p>
      <w:pPr>
        <w:ind w:left="1620" w:hanging="532"/>
        <w:spacing w:after="0"/>
        <w:tabs>
          <w:tab w:leader="none" w:pos="162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 Loan (or part of a Loan) not being prepaid in accordance with a notice of prepayment given by the Borrowers.</w:t>
      </w:r>
    </w:p>
    <w:p>
      <w:pPr>
        <w:spacing w:after="0" w:line="198" w:lineRule="exact"/>
        <w:rPr>
          <w:rFonts w:ascii="Arial" w:cs="Arial" w:eastAsia="Arial" w:hAnsi="Arial"/>
          <w:sz w:val="18"/>
          <w:szCs w:val="18"/>
          <w:color w:val="auto"/>
        </w:rPr>
      </w:pPr>
    </w:p>
    <w:p>
      <w:pPr>
        <w:jc w:val="both"/>
        <w:ind w:left="1080" w:hanging="532"/>
        <w:spacing w:after="0" w:line="236" w:lineRule="auto"/>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Borrowers shall (or shall procure that another Obligor will), within three Business Days of demand by an Indemnified Person, indemnify each Indemnified Person against any and all Losses, joint or several that may be incurred by or asserted or awarded against any Indemnified Person, in each case arising out of or in connection with or relating to any claim investigation, litigation or proceeding (or the preparation of any defence with respect thereto) commenced or threatened in relation to this Agreement (or the transactions contemplated hereby) or any use made or proposed to be made with the proceeds of any Facility (including an Environmental Claim made or asserted against such Indemnified Person if such Environmental Claim would not have been, or been capable of being, made or asserted against such Indemnified Person if the Finance Parties had not entered into any of the Finance Documents and/or exercised any of their rights, powers and discretions thereby conferred and/or performed any of their obligations thereunder and/or been involved in any of the transactions contemplated by the Finance Documents). This indemnity shall apply whether or not such claims, investigation, litigation or proceedings is brought by any Obligor, any other Group Member, any of their member(s) or (as the case may be) shareholders, their Affiliates, or creditors, or an Indemnified Person or any other person, or an Indemnified Person is otherwise a party thereto, except to the extent such Losses are found in a final non-appealable judgement by a court of competent jurisdiction to have resulted from such Indemnified Person’s gross negligence or wilful default. Each Indemnified Person may enforce and enjoy the benefit of this clause 14.2 under the Third Parties Act.</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7"/>
          <w:szCs w:val="17"/>
          <w:b w:val="1"/>
          <w:bCs w:val="1"/>
          <w:color w:val="auto"/>
        </w:rPr>
        <w:t>Indemnity to the Agent and Security Agent</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Borrowers shall promptly indemnify the Agent and Security Agent against:</w:t>
      </w:r>
    </w:p>
    <w:p>
      <w:pPr>
        <w:spacing w:after="0" w:line="198" w:lineRule="exact"/>
        <w:rPr>
          <w:sz w:val="20"/>
          <w:szCs w:val="20"/>
          <w:color w:val="auto"/>
        </w:rPr>
      </w:pPr>
    </w:p>
    <w:p>
      <w:pPr>
        <w:ind w:left="1080" w:hanging="532"/>
        <w:spacing w:after="0"/>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and all Losses incurred by the Agent or the Security Agent (acting reasonably) as a result of:</w:t>
      </w:r>
    </w:p>
    <w:p>
      <w:pPr>
        <w:spacing w:after="0" w:line="180" w:lineRule="exact"/>
        <w:rPr>
          <w:rFonts w:ascii="Arial" w:cs="Arial" w:eastAsia="Arial" w:hAnsi="Arial"/>
          <w:sz w:val="18"/>
          <w:szCs w:val="18"/>
          <w:color w:val="auto"/>
        </w:rPr>
      </w:pPr>
    </w:p>
    <w:p>
      <w:pPr>
        <w:ind w:left="1620" w:right="20" w:hanging="532"/>
        <w:spacing w:after="0" w:line="267" w:lineRule="auto"/>
        <w:tabs>
          <w:tab w:leader="none" w:pos="162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without prejudice to clause 32.7(b)(i) as extended to the Security Agent by clause 32.21 (</w:t>
      </w:r>
      <w:r>
        <w:rPr>
          <w:rFonts w:ascii="Arial" w:cs="Arial" w:eastAsia="Arial" w:hAnsi="Arial"/>
          <w:sz w:val="18"/>
          <w:szCs w:val="18"/>
          <w:i w:val="1"/>
          <w:iCs w:val="1"/>
          <w:color w:val="auto"/>
        </w:rPr>
        <w:t>Application of certain clauses to</w:t>
      </w:r>
      <w:r>
        <w:rPr>
          <w:rFonts w:ascii="Arial" w:cs="Arial" w:eastAsia="Arial" w:hAnsi="Arial"/>
          <w:sz w:val="18"/>
          <w:szCs w:val="18"/>
          <w:color w:val="auto"/>
        </w:rPr>
        <w:t xml:space="preserve"> </w:t>
      </w:r>
      <w:r>
        <w:rPr>
          <w:rFonts w:ascii="Arial" w:cs="Arial" w:eastAsia="Arial" w:hAnsi="Arial"/>
          <w:sz w:val="18"/>
          <w:szCs w:val="18"/>
          <w:i w:val="1"/>
          <w:iCs w:val="1"/>
          <w:color w:val="auto"/>
        </w:rPr>
        <w:t>Security Agent</w:t>
      </w:r>
      <w:r>
        <w:rPr>
          <w:rFonts w:ascii="Arial" w:cs="Arial" w:eastAsia="Arial" w:hAnsi="Arial"/>
          <w:sz w:val="18"/>
          <w:szCs w:val="18"/>
          <w:color w:val="auto"/>
        </w:rPr>
        <w:t>), investigating any event which it reasonably believes is a Default;</w:t>
      </w:r>
    </w:p>
    <w:p>
      <w:pPr>
        <w:spacing w:after="0" w:line="165"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acting or relying on any notice, request or instruction which it reasonably believes to be genuine, correct and appropriately authorised;</w:t>
      </w:r>
    </w:p>
    <w:p>
      <w:pPr>
        <w:spacing w:after="0" w:line="183"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instructing lawyers, accountants, tax advisers, surveyors or other professional advisers or experts as permitted under this Agreement; or</w:t>
      </w:r>
    </w:p>
    <w:p>
      <w:pPr>
        <w:spacing w:after="0" w:line="183" w:lineRule="exact"/>
        <w:rPr>
          <w:rFonts w:ascii="Arial" w:cs="Arial" w:eastAsia="Arial" w:hAnsi="Arial"/>
          <w:sz w:val="18"/>
          <w:szCs w:val="18"/>
          <w:color w:val="auto"/>
        </w:rPr>
      </w:pPr>
    </w:p>
    <w:p>
      <w:pPr>
        <w:jc w:val="both"/>
        <w:ind w:left="1620" w:hanging="532"/>
        <w:spacing w:after="0"/>
        <w:tabs>
          <w:tab w:leader="none" w:pos="162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any action taken by the Agent or the Security Agent or any of its or their representatives, agents or contractors in connection with any powers conferred by any Security Document to enforce any Security Interest thereunder or to remedy any breach of any Obligor’s obligations under the Finance Documents; and</w:t>
      </w:r>
    </w:p>
    <w:p>
      <w:pPr>
        <w:spacing w:after="0" w:line="189" w:lineRule="exact"/>
        <w:rPr>
          <w:rFonts w:ascii="Arial" w:cs="Arial" w:eastAsia="Arial" w:hAnsi="Arial"/>
          <w:sz w:val="18"/>
          <w:szCs w:val="18"/>
          <w:color w:val="auto"/>
        </w:rPr>
      </w:pPr>
    </w:p>
    <w:p>
      <w:pPr>
        <w:jc w:val="both"/>
        <w:ind w:left="1080" w:hanging="532"/>
        <w:spacing w:after="0" w:line="238" w:lineRule="auto"/>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cost, loss or liability (including, without limitation, for negligence or any other category of liability whatsoever) incurred by the Agent or the Security Agent (otherwise than by reason of the Agent’s or the Security Agent’s gross negligence or wilful default) (or, in the case of any cost, loss or liability pursuant to clause 35.11 (</w:t>
      </w:r>
      <w:r>
        <w:rPr>
          <w:rFonts w:ascii="Arial" w:cs="Arial" w:eastAsia="Arial" w:hAnsi="Arial"/>
          <w:sz w:val="18"/>
          <w:szCs w:val="18"/>
          <w:i w:val="1"/>
          <w:iCs w:val="1"/>
          <w:color w:val="auto"/>
        </w:rPr>
        <w:t>Disruption to Payment Systems etc.</w:t>
      </w:r>
      <w:r>
        <w:rPr>
          <w:rFonts w:ascii="Arial" w:cs="Arial" w:eastAsia="Arial" w:hAnsi="Arial"/>
          <w:sz w:val="18"/>
          <w:szCs w:val="18"/>
          <w:color w:val="auto"/>
        </w:rPr>
        <w:t>) notwithstanding the Agent’s or the Security Agent’s negligence, gross negligence or any other category of liability whatsoever but not including any claim based on the fraud of the Agent in acting as Agent or the Security Agent under the Finance Documents).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03" w:name="page104"/>
    <w:bookmarkEnd w:id="103"/>
    <w:p>
      <w:pPr>
        <w:spacing w:after="0"/>
        <w:tabs>
          <w:tab w:leader="none" w:pos="520" w:val="left"/>
        </w:tabs>
        <w:rPr>
          <w:sz w:val="20"/>
          <w:szCs w:val="20"/>
          <w:color w:val="auto"/>
        </w:rPr>
      </w:pPr>
      <w:r>
        <w:rPr>
          <w:rFonts w:ascii="Arial" w:cs="Arial" w:eastAsia="Arial" w:hAnsi="Arial"/>
          <w:sz w:val="18"/>
          <w:szCs w:val="18"/>
          <w:b w:val="1"/>
          <w:bCs w:val="1"/>
          <w:color w:val="auto"/>
        </w:rPr>
        <w:t>14.4</w:t>
        <w:tab/>
        <w:t>Indemnity concerning security</w:t>
      </w:r>
    </w:p>
    <w:p>
      <w:pPr>
        <w:spacing w:after="0" w:line="220" w:lineRule="exact"/>
        <w:rPr>
          <w:sz w:val="20"/>
          <w:szCs w:val="20"/>
          <w:color w:val="auto"/>
        </w:rPr>
      </w:pPr>
    </w:p>
    <w:p>
      <w:pPr>
        <w:ind w:left="1080" w:right="20" w:hanging="532"/>
        <w:spacing w:after="0" w:line="246" w:lineRule="auto"/>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Borrowers shall (or shall procure that another Obligor will) promptly indemnify each Indemnified Person against any and all Losses incurred by it in connection with:</w:t>
      </w:r>
    </w:p>
    <w:p>
      <w:pPr>
        <w:spacing w:after="0" w:line="165" w:lineRule="exact"/>
        <w:rPr>
          <w:rFonts w:ascii="Arial" w:cs="Arial" w:eastAsia="Arial" w:hAnsi="Arial"/>
          <w:sz w:val="18"/>
          <w:szCs w:val="18"/>
          <w:color w:val="auto"/>
        </w:rPr>
      </w:pPr>
    </w:p>
    <w:p>
      <w:pPr>
        <w:ind w:left="1620" w:hanging="532"/>
        <w:spacing w:after="0"/>
        <w:tabs>
          <w:tab w:leader="none" w:pos="16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any failure by the Borrowers to comply with clause 16 (</w:t>
      </w:r>
      <w:r>
        <w:rPr>
          <w:rFonts w:ascii="Arial" w:cs="Arial" w:eastAsia="Arial" w:hAnsi="Arial"/>
          <w:sz w:val="18"/>
          <w:szCs w:val="18"/>
          <w:i w:val="1"/>
          <w:iCs w:val="1"/>
          <w:color w:val="auto"/>
        </w:rPr>
        <w:t>Costs and expenses</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acting or relying on any notice, request or instruction which it reasonably believes to be genuine, correct and appropriately authorised;</w:t>
      </w:r>
    </w:p>
    <w:p>
      <w:pPr>
        <w:spacing w:after="0" w:line="183" w:lineRule="exact"/>
        <w:rPr>
          <w:rFonts w:ascii="Arial" w:cs="Arial" w:eastAsia="Arial" w:hAnsi="Arial"/>
          <w:sz w:val="18"/>
          <w:szCs w:val="18"/>
          <w:color w:val="auto"/>
        </w:rPr>
      </w:pPr>
    </w:p>
    <w:p>
      <w:pPr>
        <w:ind w:left="1620" w:hanging="532"/>
        <w:spacing w:after="0"/>
        <w:tabs>
          <w:tab w:leader="none" w:pos="16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taking, holding, protection or enforcement of the Security Documents;</w:t>
      </w:r>
    </w:p>
    <w:p>
      <w:pPr>
        <w:spacing w:after="0" w:line="198" w:lineRule="exact"/>
        <w:rPr>
          <w:rFonts w:ascii="Arial" w:cs="Arial" w:eastAsia="Arial" w:hAnsi="Arial"/>
          <w:sz w:val="18"/>
          <w:szCs w:val="18"/>
          <w:color w:val="auto"/>
        </w:rPr>
      </w:pPr>
    </w:p>
    <w:p>
      <w:pPr>
        <w:jc w:val="both"/>
        <w:ind w:left="1620" w:hanging="532"/>
        <w:spacing w:after="0"/>
        <w:tabs>
          <w:tab w:leader="none" w:pos="16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exercise or purported exercise of any of the rights, powers, discretions, authorities and remedies vested in the Security Agent and/or any other Finance Party and each Receiver and each Delegate by the Finance Documents or by law unless and to the extent that it was caused by its gross negligence or wilful default;</w:t>
      </w:r>
    </w:p>
    <w:p>
      <w:pPr>
        <w:spacing w:after="0" w:line="189" w:lineRule="exact"/>
        <w:rPr>
          <w:rFonts w:ascii="Arial" w:cs="Arial" w:eastAsia="Arial" w:hAnsi="Arial"/>
          <w:sz w:val="18"/>
          <w:szCs w:val="18"/>
          <w:color w:val="auto"/>
        </w:rPr>
      </w:pPr>
    </w:p>
    <w:p>
      <w:pPr>
        <w:jc w:val="both"/>
        <w:ind w:left="1620" w:hanging="532"/>
        <w:spacing w:after="0"/>
        <w:tabs>
          <w:tab w:leader="none" w:pos="16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any claim (whether relating to the environment or otherwise) made or asserted against the Indemnified Person which would not have arisen but for the execution or enforcement of one or more Finance Documents (unless and to the extent it is caused by the gross negligence or wilful default of that Indemnified Person); or</w:t>
      </w:r>
    </w:p>
    <w:p>
      <w:pPr>
        <w:spacing w:after="0" w:line="189" w:lineRule="exact"/>
        <w:rPr>
          <w:rFonts w:ascii="Arial" w:cs="Arial" w:eastAsia="Arial" w:hAnsi="Arial"/>
          <w:sz w:val="18"/>
          <w:szCs w:val="18"/>
          <w:color w:val="auto"/>
        </w:rPr>
      </w:pPr>
    </w:p>
    <w:p>
      <w:pPr>
        <w:ind w:left="1620" w:hanging="532"/>
        <w:spacing w:after="0"/>
        <w:tabs>
          <w:tab w:leader="none" w:pos="16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any breach by any Obligor of the Finance Documents.</w:t>
      </w:r>
    </w:p>
    <w:p>
      <w:pPr>
        <w:spacing w:after="0" w:line="198" w:lineRule="exact"/>
        <w:rPr>
          <w:rFonts w:ascii="Arial" w:cs="Arial" w:eastAsia="Arial" w:hAnsi="Arial"/>
          <w:sz w:val="18"/>
          <w:szCs w:val="18"/>
          <w:color w:val="auto"/>
        </w:rPr>
      </w:pPr>
    </w:p>
    <w:p>
      <w:pPr>
        <w:jc w:val="both"/>
        <w:ind w:left="1080" w:hanging="532"/>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Security Agent may, in priority to any payment to the other Finance Parties, indemnify itself out of the Trust Property in respect of, and pay and retain, all sums necessary to give effect to the indemnity in this clause 14.4 and shall have a lien on the Security Documents and the proceeds of the enforcement of those Security Documents for all moneys payable to it.</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14.5</w:t>
      </w:r>
      <w:r>
        <w:rPr>
          <w:sz w:val="20"/>
          <w:szCs w:val="20"/>
          <w:color w:val="auto"/>
        </w:rPr>
        <w:tab/>
      </w:r>
      <w:r>
        <w:rPr>
          <w:rFonts w:ascii="Arial" w:cs="Arial" w:eastAsia="Arial" w:hAnsi="Arial"/>
          <w:sz w:val="17"/>
          <w:szCs w:val="17"/>
          <w:b w:val="1"/>
          <w:bCs w:val="1"/>
          <w:color w:val="auto"/>
        </w:rPr>
        <w:t>Continuation of indemnities</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The indemnities by the Borrowers in favour of the Indemnified Persons contained in this Agreement shall continue in full force and effect notwithstanding any breach by any Finance Party or any of the Borrowers of the terms of this Agreement, the repayment or prepayment of the Loans, the cancellation of the Total Commitments or the repudiation by the Agent or any of the Borrowers of this Agreement.</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14.6</w:t>
      </w:r>
      <w:r>
        <w:rPr>
          <w:sz w:val="20"/>
          <w:szCs w:val="20"/>
          <w:color w:val="auto"/>
        </w:rPr>
        <w:tab/>
      </w:r>
      <w:r>
        <w:rPr>
          <w:rFonts w:ascii="Arial" w:cs="Arial" w:eastAsia="Arial" w:hAnsi="Arial"/>
          <w:sz w:val="17"/>
          <w:szCs w:val="17"/>
          <w:b w:val="1"/>
          <w:bCs w:val="1"/>
          <w:color w:val="auto"/>
        </w:rPr>
        <w:t>Third Parties Act</w:t>
      </w:r>
    </w:p>
    <w:p>
      <w:pPr>
        <w:spacing w:after="0" w:line="202" w:lineRule="exact"/>
        <w:rPr>
          <w:sz w:val="20"/>
          <w:szCs w:val="20"/>
          <w:color w:val="auto"/>
        </w:rPr>
      </w:pPr>
    </w:p>
    <w:p>
      <w:pPr>
        <w:jc w:val="both"/>
        <w:ind w:left="540"/>
        <w:spacing w:after="0" w:line="251" w:lineRule="auto"/>
        <w:rPr>
          <w:sz w:val="20"/>
          <w:szCs w:val="20"/>
          <w:color w:val="auto"/>
        </w:rPr>
      </w:pPr>
      <w:r>
        <w:rPr>
          <w:rFonts w:ascii="Arial" w:cs="Arial" w:eastAsia="Arial" w:hAnsi="Arial"/>
          <w:sz w:val="18"/>
          <w:szCs w:val="18"/>
          <w:color w:val="auto"/>
        </w:rPr>
        <w:t xml:space="preserve">Each Indemnified Person may rely on the terms of clause 14.4 </w:t>
      </w:r>
      <w:r>
        <w:rPr>
          <w:rFonts w:ascii="Arial" w:cs="Arial" w:eastAsia="Arial" w:hAnsi="Arial"/>
          <w:sz w:val="18"/>
          <w:szCs w:val="18"/>
          <w:i w:val="1"/>
          <w:iCs w:val="1"/>
          <w:color w:val="auto"/>
        </w:rPr>
        <w:t>(Indemnity concerning security)</w:t>
      </w:r>
      <w:r>
        <w:rPr>
          <w:rFonts w:ascii="Arial" w:cs="Arial" w:eastAsia="Arial" w:hAnsi="Arial"/>
          <w:sz w:val="18"/>
          <w:szCs w:val="18"/>
          <w:color w:val="auto"/>
        </w:rPr>
        <w:t xml:space="preserve"> and clauses 12 </w:t>
      </w:r>
      <w:r>
        <w:rPr>
          <w:rFonts w:ascii="Arial" w:cs="Arial" w:eastAsia="Arial" w:hAnsi="Arial"/>
          <w:sz w:val="18"/>
          <w:szCs w:val="18"/>
          <w:i w:val="1"/>
          <w:iCs w:val="1"/>
          <w:color w:val="auto"/>
        </w:rPr>
        <w:t>(Tax gross-up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indemnities) </w:t>
      </w:r>
      <w:r>
        <w:rPr>
          <w:rFonts w:ascii="Arial" w:cs="Arial" w:eastAsia="Arial" w:hAnsi="Arial"/>
          <w:sz w:val="18"/>
          <w:szCs w:val="18"/>
          <w:color w:val="auto"/>
        </w:rPr>
        <w:t>and 14.7</w:t>
      </w:r>
      <w:r>
        <w:rPr>
          <w:rFonts w:ascii="Arial" w:cs="Arial" w:eastAsia="Arial" w:hAnsi="Arial"/>
          <w:sz w:val="18"/>
          <w:szCs w:val="18"/>
          <w:i w:val="1"/>
          <w:iCs w:val="1"/>
          <w:color w:val="auto"/>
        </w:rPr>
        <w:t xml:space="preserve"> (Interest) </w:t>
      </w:r>
      <w:r>
        <w:rPr>
          <w:rFonts w:ascii="Arial" w:cs="Arial" w:eastAsia="Arial" w:hAnsi="Arial"/>
          <w:sz w:val="18"/>
          <w:szCs w:val="18"/>
          <w:color w:val="auto"/>
        </w:rPr>
        <w:t>insofar as it relates to interest on any amount demanded by that Indemnified Person under clause 14.4</w:t>
      </w:r>
      <w:r>
        <w:rPr>
          <w:rFonts w:ascii="Arial" w:cs="Arial" w:eastAsia="Arial" w:hAnsi="Arial"/>
          <w:sz w:val="18"/>
          <w:szCs w:val="18"/>
          <w:i w:val="1"/>
          <w:iCs w:val="1"/>
          <w:color w:val="auto"/>
        </w:rPr>
        <w:t xml:space="preserve"> (Indemnity concerning security)</w:t>
      </w:r>
      <w:r>
        <w:rPr>
          <w:rFonts w:ascii="Arial" w:cs="Arial" w:eastAsia="Arial" w:hAnsi="Arial"/>
          <w:sz w:val="18"/>
          <w:szCs w:val="18"/>
          <w:color w:val="auto"/>
        </w:rPr>
        <w:t>, subject to clause 1.3 (</w:t>
      </w:r>
      <w:r>
        <w:rPr>
          <w:rFonts w:ascii="Arial" w:cs="Arial" w:eastAsia="Arial" w:hAnsi="Arial"/>
          <w:sz w:val="18"/>
          <w:szCs w:val="18"/>
          <w:i w:val="1"/>
          <w:iCs w:val="1"/>
          <w:color w:val="auto"/>
        </w:rPr>
        <w:t>Third party rights</w:t>
      </w:r>
      <w:r>
        <w:rPr>
          <w:rFonts w:ascii="Arial" w:cs="Arial" w:eastAsia="Arial" w:hAnsi="Arial"/>
          <w:sz w:val="18"/>
          <w:szCs w:val="18"/>
          <w:color w:val="auto"/>
        </w:rPr>
        <w:t>) and the provisions of the Third Parties Act.</w:t>
      </w:r>
    </w:p>
    <w:p>
      <w:pPr>
        <w:spacing w:after="0" w:line="15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14.7</w:t>
        <w:tab/>
        <w:t>Interest</w:t>
      </w:r>
    </w:p>
    <w:p>
      <w:pPr>
        <w:spacing w:after="0" w:line="220" w:lineRule="exact"/>
        <w:rPr>
          <w:sz w:val="20"/>
          <w:szCs w:val="20"/>
          <w:color w:val="auto"/>
        </w:rPr>
      </w:pPr>
    </w:p>
    <w:p>
      <w:pPr>
        <w:jc w:val="both"/>
        <w:ind w:left="540"/>
        <w:spacing w:after="0" w:line="239" w:lineRule="auto"/>
        <w:rPr>
          <w:sz w:val="20"/>
          <w:szCs w:val="20"/>
          <w:color w:val="auto"/>
        </w:rPr>
      </w:pPr>
      <w:r>
        <w:rPr>
          <w:rFonts w:ascii="Arial" w:cs="Arial" w:eastAsia="Arial" w:hAnsi="Arial"/>
          <w:sz w:val="18"/>
          <w:szCs w:val="18"/>
          <w:color w:val="auto"/>
        </w:rPr>
        <w:t xml:space="preserve">Moneys becoming due by the Borrowers to any Indemnified Person under the indemnities contained in this clause 14 or elsewhere in this Agreement shall be paid on demand made by such Indemnified Person and shall be paid together with interest on the sum demanded from the date of demand therefor to the date of reimbursement by the Borrowers to such Indemnified Person (both before and after judgment) at the rate referred to in clause 8.3 </w:t>
      </w:r>
      <w:r>
        <w:rPr>
          <w:rFonts w:ascii="Arial" w:cs="Arial" w:eastAsia="Arial" w:hAnsi="Arial"/>
          <w:sz w:val="18"/>
          <w:szCs w:val="18"/>
          <w:i w:val="1"/>
          <w:iCs w:val="1"/>
          <w:color w:val="auto"/>
        </w:rPr>
        <w:t>(Default interest)</w:t>
      </w:r>
      <w:r>
        <w:rPr>
          <w:rFonts w:ascii="Arial" w:cs="Arial" w:eastAsia="Arial" w:hAnsi="Arial"/>
          <w:sz w:val="18"/>
          <w:szCs w:val="18"/>
          <w:color w:val="auto"/>
        </w:rPr>
        <w:t>.</w:t>
      </w:r>
    </w:p>
    <w:p>
      <w:pPr>
        <w:spacing w:after="0" w:line="16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14.8</w:t>
      </w:r>
      <w:r>
        <w:rPr>
          <w:sz w:val="20"/>
          <w:szCs w:val="20"/>
          <w:color w:val="auto"/>
        </w:rPr>
        <w:tab/>
      </w:r>
      <w:r>
        <w:rPr>
          <w:rFonts w:ascii="Arial" w:cs="Arial" w:eastAsia="Arial" w:hAnsi="Arial"/>
          <w:sz w:val="17"/>
          <w:szCs w:val="17"/>
          <w:b w:val="1"/>
          <w:bCs w:val="1"/>
          <w:color w:val="auto"/>
        </w:rPr>
        <w:t>Exclusion of liability</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Without prejudice to any other provision of the Finance Documents excluding or limiting the liability of any Indemnified Person, no Indemnified Person will be in any way liable or responsible to any Obligor (whether as mortgagee in possession or otherwise) who is a Party or is a party to a Finance Document to which this clause applies for any loss or liability arising from</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04" w:name="page105"/>
    <w:bookmarkEnd w:id="104"/>
    <w:p>
      <w:pPr>
        <w:jc w:val="both"/>
        <w:ind w:left="540"/>
        <w:spacing w:after="0"/>
        <w:rPr>
          <w:sz w:val="20"/>
          <w:szCs w:val="20"/>
          <w:color w:val="auto"/>
        </w:rPr>
      </w:pPr>
      <w:r>
        <w:rPr>
          <w:rFonts w:ascii="Arial" w:cs="Arial" w:eastAsia="Arial" w:hAnsi="Arial"/>
          <w:sz w:val="18"/>
          <w:szCs w:val="18"/>
          <w:color w:val="auto"/>
        </w:rPr>
        <w:t>any act, default, omission or misconduct of that Indemnified Person, except to the extent caused by its own gross negligence or wilful default. Any Indemnified Person may rely on this clause 14.8 subject to clause 1.3 (</w:t>
      </w:r>
      <w:r>
        <w:rPr>
          <w:rFonts w:ascii="Arial" w:cs="Arial" w:eastAsia="Arial" w:hAnsi="Arial"/>
          <w:sz w:val="18"/>
          <w:szCs w:val="18"/>
          <w:i w:val="1"/>
          <w:iCs w:val="1"/>
          <w:color w:val="auto"/>
        </w:rPr>
        <w:t>Third party rights</w:t>
      </w:r>
      <w:r>
        <w:rPr>
          <w:rFonts w:ascii="Arial" w:cs="Arial" w:eastAsia="Arial" w:hAnsi="Arial"/>
          <w:sz w:val="18"/>
          <w:szCs w:val="18"/>
          <w:color w:val="auto"/>
        </w:rPr>
        <w:t>) and the provisions of the Third Parties Act.</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14.9</w:t>
        <w:tab/>
        <w:t>Fax and email indemnity</w:t>
      </w:r>
    </w:p>
    <w:p>
      <w:pPr>
        <w:spacing w:after="0" w:line="220" w:lineRule="exact"/>
        <w:rPr>
          <w:sz w:val="20"/>
          <w:szCs w:val="20"/>
          <w:color w:val="auto"/>
        </w:rPr>
      </w:pPr>
    </w:p>
    <w:p>
      <w:pPr>
        <w:jc w:val="both"/>
        <w:ind w:left="540"/>
        <w:spacing w:after="0" w:line="239" w:lineRule="auto"/>
        <w:rPr>
          <w:sz w:val="20"/>
          <w:szCs w:val="20"/>
          <w:color w:val="auto"/>
        </w:rPr>
      </w:pPr>
      <w:r>
        <w:rPr>
          <w:rFonts w:ascii="Arial" w:cs="Arial" w:eastAsia="Arial" w:hAnsi="Arial"/>
          <w:sz w:val="18"/>
          <w:szCs w:val="18"/>
          <w:color w:val="auto"/>
        </w:rPr>
        <w:t>The Borrowers shall indemnify each Finance Party against any and all Losses together with any VAT thereon which any of the Finance Parties may sustain or incur as a consequence of any fax or email communication purporting to originate from the Borrowers to the Agent or the Security Agent being made or delivered fraudulently or without proper authorisation (unless such Losses are the direct result of the gross negligence or wilful default of the relevant Finance Party or the Agent or the Security Agent).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14.10 Waiver</w:t>
      </w:r>
    </w:p>
    <w:p>
      <w:pPr>
        <w:spacing w:after="0" w:line="220" w:lineRule="exact"/>
        <w:rPr>
          <w:sz w:val="20"/>
          <w:szCs w:val="20"/>
          <w:color w:val="auto"/>
        </w:rPr>
      </w:pPr>
    </w:p>
    <w:p>
      <w:pPr>
        <w:jc w:val="both"/>
        <w:ind w:left="540"/>
        <w:spacing w:after="0" w:line="239" w:lineRule="auto"/>
        <w:rPr>
          <w:sz w:val="20"/>
          <w:szCs w:val="20"/>
          <w:color w:val="auto"/>
        </w:rPr>
      </w:pPr>
      <w:r>
        <w:rPr>
          <w:rFonts w:ascii="Arial" w:cs="Arial" w:eastAsia="Arial" w:hAnsi="Arial"/>
          <w:sz w:val="18"/>
          <w:szCs w:val="18"/>
          <w:color w:val="auto"/>
        </w:rPr>
        <w:t>In no event shall any of the Finance Parties be liable on any theory of liability for any special, indirect, consequential or punitive damages and the Obligors hereby waive, release and agree (for and on behalf of themselves and on behalf of the other Group Members and their respective Affiliates and shareholders) not to sue upon any such claim for any such damages, whether or not accrued and whether or not known or suspected to exist in their favour.</w:t>
      </w:r>
    </w:p>
    <w:p>
      <w:pPr>
        <w:spacing w:after="0" w:line="16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color w:val="auto"/>
        </w:rPr>
        <w:t>Mitigation by the Lenders</w:t>
      </w:r>
    </w:p>
    <w:p>
      <w:pPr>
        <w:spacing w:after="0" w:line="23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15.1</w:t>
        <w:tab/>
        <w:t>Mitigation</w:t>
      </w:r>
    </w:p>
    <w:p>
      <w:pPr>
        <w:spacing w:after="0" w:line="220" w:lineRule="exact"/>
        <w:rPr>
          <w:sz w:val="20"/>
          <w:szCs w:val="20"/>
          <w:color w:val="auto"/>
        </w:rPr>
      </w:pPr>
    </w:p>
    <w:p>
      <w:pPr>
        <w:jc w:val="both"/>
        <w:ind w:left="1080" w:hanging="532"/>
        <w:spacing w:after="0" w:line="239"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Each Finance Party shall, in consultation with the Borrowers, take all reasonable steps to mitigate any circumstances which arise and which would result in any Facility ceasing to be available or any amount becoming payable under or pursuant to, or cancelled pursuant to, any of clause 7.1 (</w:t>
      </w:r>
      <w:r>
        <w:rPr>
          <w:rFonts w:ascii="Arial" w:cs="Arial" w:eastAsia="Arial" w:hAnsi="Arial"/>
          <w:sz w:val="18"/>
          <w:szCs w:val="18"/>
          <w:i w:val="1"/>
          <w:iCs w:val="1"/>
          <w:color w:val="auto"/>
        </w:rPr>
        <w:t>Illegality</w:t>
      </w:r>
      <w:r>
        <w:rPr>
          <w:rFonts w:ascii="Arial" w:cs="Arial" w:eastAsia="Arial" w:hAnsi="Arial"/>
          <w:sz w:val="18"/>
          <w:szCs w:val="18"/>
          <w:color w:val="auto"/>
        </w:rPr>
        <w:t>), clause 12 (</w:t>
      </w:r>
      <w:r>
        <w:rPr>
          <w:rFonts w:ascii="Arial" w:cs="Arial" w:eastAsia="Arial" w:hAnsi="Arial"/>
          <w:sz w:val="18"/>
          <w:szCs w:val="18"/>
          <w:i w:val="1"/>
          <w:iCs w:val="1"/>
          <w:color w:val="auto"/>
        </w:rPr>
        <w:t>Tax gross-up and indemnities</w:t>
      </w:r>
      <w:r>
        <w:rPr>
          <w:rFonts w:ascii="Arial" w:cs="Arial" w:eastAsia="Arial" w:hAnsi="Arial"/>
          <w:sz w:val="18"/>
          <w:szCs w:val="18"/>
          <w:color w:val="auto"/>
        </w:rPr>
        <w:t>), clause 13 (</w:t>
      </w:r>
      <w:r>
        <w:rPr>
          <w:rFonts w:ascii="Arial" w:cs="Arial" w:eastAsia="Arial" w:hAnsi="Arial"/>
          <w:sz w:val="18"/>
          <w:szCs w:val="18"/>
          <w:i w:val="1"/>
          <w:iCs w:val="1"/>
          <w:color w:val="auto"/>
        </w:rPr>
        <w:t>Increased Costs</w:t>
      </w:r>
      <w:r>
        <w:rPr>
          <w:rFonts w:ascii="Arial" w:cs="Arial" w:eastAsia="Arial" w:hAnsi="Arial"/>
          <w:sz w:val="18"/>
          <w:szCs w:val="18"/>
          <w:color w:val="auto"/>
        </w:rPr>
        <w:t>) including (but not limited to) assigning its rights under the Finance Documents to another Affiliate or Facility Office.</w:t>
      </w:r>
    </w:p>
    <w:p>
      <w:pPr>
        <w:spacing w:after="0" w:line="188" w:lineRule="exact"/>
        <w:rPr>
          <w:rFonts w:ascii="Arial" w:cs="Arial" w:eastAsia="Arial" w:hAnsi="Arial"/>
          <w:sz w:val="18"/>
          <w:szCs w:val="18"/>
          <w:color w:val="auto"/>
        </w:rPr>
      </w:pPr>
    </w:p>
    <w:p>
      <w:pPr>
        <w:ind w:left="1080" w:hanging="532"/>
        <w:spacing w:after="0"/>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Clause 15.1(a) does not in any way limit the obligations of any Obligor under the Finance Documents.</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15.2</w:t>
        <w:tab/>
        <w:t>Limitation of liability</w:t>
      </w:r>
    </w:p>
    <w:p>
      <w:pPr>
        <w:spacing w:after="0" w:line="220" w:lineRule="exact"/>
        <w:rPr>
          <w:sz w:val="20"/>
          <w:szCs w:val="20"/>
          <w:color w:val="auto"/>
        </w:rPr>
      </w:pPr>
    </w:p>
    <w:p>
      <w:pPr>
        <w:ind w:left="1080" w:right="20" w:hanging="532"/>
        <w:spacing w:after="0" w:line="246" w:lineRule="auto"/>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Borrowers shall promptly indemnify each Finance Party for all costs and expenses incurred by that Finance Party as a result of steps taken by it under clause 15.1 (</w:t>
      </w:r>
      <w:r>
        <w:rPr>
          <w:rFonts w:ascii="Arial" w:cs="Arial" w:eastAsia="Arial" w:hAnsi="Arial"/>
          <w:sz w:val="18"/>
          <w:szCs w:val="18"/>
          <w:i w:val="1"/>
          <w:iCs w:val="1"/>
          <w:color w:val="auto"/>
        </w:rPr>
        <w:t>Mitigation</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1080" w:right="20" w:hanging="532"/>
        <w:spacing w:after="0" w:line="267" w:lineRule="auto"/>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 Finance Party is not obliged to take any steps under clause 15.1 (</w:t>
      </w:r>
      <w:r>
        <w:rPr>
          <w:rFonts w:ascii="Arial" w:cs="Arial" w:eastAsia="Arial" w:hAnsi="Arial"/>
          <w:sz w:val="18"/>
          <w:szCs w:val="18"/>
          <w:i w:val="1"/>
          <w:iCs w:val="1"/>
          <w:color w:val="auto"/>
        </w:rPr>
        <w:t>Mitigation</w:t>
      </w:r>
      <w:r>
        <w:rPr>
          <w:rFonts w:ascii="Arial" w:cs="Arial" w:eastAsia="Arial" w:hAnsi="Arial"/>
          <w:sz w:val="18"/>
          <w:szCs w:val="18"/>
          <w:color w:val="auto"/>
        </w:rPr>
        <w:t>) if, in the opinion of that Finance Party (acting reasonably), to do so might be prejudicial to it.</w:t>
      </w:r>
    </w:p>
    <w:p>
      <w:pPr>
        <w:spacing w:after="0" w:line="14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b w:val="1"/>
          <w:bCs w:val="1"/>
          <w:color w:val="auto"/>
        </w:rPr>
        <w:t>Costs and expenses</w:t>
      </w:r>
    </w:p>
    <w:p>
      <w:pPr>
        <w:spacing w:after="0" w:line="23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7"/>
          <w:szCs w:val="17"/>
          <w:b w:val="1"/>
          <w:bCs w:val="1"/>
          <w:color w:val="auto"/>
        </w:rPr>
        <w:t>Transaction expenses</w:t>
      </w:r>
    </w:p>
    <w:p>
      <w:pPr>
        <w:spacing w:after="0" w:line="220" w:lineRule="exact"/>
        <w:rPr>
          <w:sz w:val="20"/>
          <w:szCs w:val="20"/>
          <w:color w:val="auto"/>
        </w:rPr>
      </w:pPr>
    </w:p>
    <w:p>
      <w:pPr>
        <w:jc w:val="both"/>
        <w:ind w:left="540"/>
        <w:spacing w:after="0" w:line="239" w:lineRule="auto"/>
        <w:rPr>
          <w:sz w:val="20"/>
          <w:szCs w:val="20"/>
          <w:color w:val="auto"/>
        </w:rPr>
      </w:pPr>
      <w:r>
        <w:rPr>
          <w:rFonts w:ascii="Arial" w:cs="Arial" w:eastAsia="Arial" w:hAnsi="Arial"/>
          <w:sz w:val="18"/>
          <w:szCs w:val="18"/>
          <w:color w:val="auto"/>
        </w:rPr>
        <w:t>The Borrowers shall promptly within five Business Days of demand pay the Agent, the Arrangers and the Security Agent the amount of all costs and expenses (including fees, costs and expenses of legal advisers and insurance and other consultants and advisers) reasonably incurred by any of them (and by any Receiver or Delegate) in connection with the negotiation, preparation, printing, execution, syndication, registration and perfection and any release, discharge or reassignment of:</w:t>
      </w:r>
    </w:p>
    <w:p>
      <w:pPr>
        <w:spacing w:after="0" w:line="188" w:lineRule="exact"/>
        <w:rPr>
          <w:sz w:val="20"/>
          <w:szCs w:val="20"/>
          <w:color w:val="auto"/>
        </w:rPr>
      </w:pPr>
    </w:p>
    <w:p>
      <w:pPr>
        <w:ind w:left="5620" w:right="1980" w:hanging="5072"/>
        <w:spacing w:after="0" w:line="465" w:lineRule="auto"/>
        <w:tabs>
          <w:tab w:leader="none" w:pos="109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this Agreement, any other documents referred to in this Agreement and the Original Security Documents;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05" w:name="page106"/>
    <w:bookmarkEnd w:id="105"/>
    <w:p>
      <w:pPr>
        <w:ind w:left="1080" w:hanging="532"/>
        <w:spacing w:after="0" w:line="246" w:lineRule="auto"/>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any other Finance Documents executed or proposed to be executed after the date of this Agreement including any document executed to provide additional security under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);or</w:t>
      </w:r>
    </w:p>
    <w:p>
      <w:pPr>
        <w:spacing w:after="0" w:line="183" w:lineRule="exact"/>
        <w:rPr>
          <w:rFonts w:ascii="Arial" w:cs="Arial" w:eastAsia="Arial" w:hAnsi="Arial"/>
          <w:sz w:val="18"/>
          <w:szCs w:val="18"/>
          <w:color w:val="auto"/>
        </w:rPr>
      </w:pPr>
    </w:p>
    <w:p>
      <w:pPr>
        <w:ind w:left="1080" w:hanging="532"/>
        <w:spacing w:after="0"/>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any Security Interest expressed or intended to be granted by a Finance Document,</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whether or not the transactions contemplated under the Finance Documents are consummated.</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7"/>
          <w:szCs w:val="17"/>
          <w:b w:val="1"/>
          <w:bCs w:val="1"/>
          <w:color w:val="auto"/>
        </w:rPr>
        <w:t>Amendment costs</w:t>
      </w:r>
    </w:p>
    <w:p>
      <w:pPr>
        <w:spacing w:after="0" w:line="220" w:lineRule="exact"/>
        <w:rPr>
          <w:sz w:val="20"/>
          <w:szCs w:val="20"/>
          <w:color w:val="auto"/>
        </w:rPr>
      </w:pPr>
    </w:p>
    <w:p>
      <w:pPr>
        <w:jc w:val="both"/>
        <w:ind w:left="540"/>
        <w:spacing w:after="0" w:line="239" w:lineRule="auto"/>
        <w:rPr>
          <w:sz w:val="20"/>
          <w:szCs w:val="20"/>
          <w:color w:val="auto"/>
        </w:rPr>
      </w:pPr>
      <w:r>
        <w:rPr>
          <w:rFonts w:ascii="Arial" w:cs="Arial" w:eastAsia="Arial" w:hAnsi="Arial"/>
          <w:sz w:val="18"/>
          <w:szCs w:val="18"/>
          <w:color w:val="auto"/>
        </w:rPr>
        <w:t>If an Obligor requests an amendment, waiver or consent, the Borrowers shall, within five Business Days of demand by the Agent, reimburse the Agent for the amount of all costs and expenses (including fees, costs and expenses of legal advisers and (subject to clause 24.17 (</w:t>
      </w:r>
      <w:r>
        <w:rPr>
          <w:rFonts w:ascii="Arial" w:cs="Arial" w:eastAsia="Arial" w:hAnsi="Arial"/>
          <w:sz w:val="18"/>
          <w:szCs w:val="18"/>
          <w:i w:val="1"/>
          <w:iCs w:val="1"/>
          <w:color w:val="auto"/>
        </w:rPr>
        <w:t>Independent report</w:t>
      </w:r>
      <w:r>
        <w:rPr>
          <w:rFonts w:ascii="Arial" w:cs="Arial" w:eastAsia="Arial" w:hAnsi="Arial"/>
          <w:sz w:val="18"/>
          <w:szCs w:val="18"/>
          <w:color w:val="auto"/>
        </w:rPr>
        <w:t>) insurance and other consultants and advisers) reasonably incurred by the Agent or the Security Agent (and by any Receiver or Delegate) in responding to, evaluating, negotiating or complying with that request or requirement.</w:t>
      </w:r>
    </w:p>
    <w:p>
      <w:pPr>
        <w:spacing w:after="0" w:line="16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16.3</w:t>
        <w:tab/>
        <w:t>Enforcement, preservation and other costs</w:t>
      </w:r>
    </w:p>
    <w:p>
      <w:pPr>
        <w:spacing w:after="0" w:line="220" w:lineRule="exact"/>
        <w:rPr>
          <w:sz w:val="20"/>
          <w:szCs w:val="20"/>
          <w:color w:val="auto"/>
        </w:rPr>
      </w:pPr>
    </w:p>
    <w:p>
      <w:pPr>
        <w:jc w:val="both"/>
        <w:ind w:left="540" w:right="20"/>
        <w:spacing w:after="0" w:line="239" w:lineRule="auto"/>
        <w:rPr>
          <w:sz w:val="20"/>
          <w:szCs w:val="20"/>
          <w:color w:val="auto"/>
        </w:rPr>
      </w:pPr>
      <w:r>
        <w:rPr>
          <w:rFonts w:ascii="Arial" w:cs="Arial" w:eastAsia="Arial" w:hAnsi="Arial"/>
          <w:sz w:val="18"/>
          <w:szCs w:val="18"/>
          <w:color w:val="auto"/>
        </w:rPr>
        <w:t>The Borrowers shall, on demand by a Finance Party, pay to each Finance Party (through the Agent, except where a payment is to be made to the Security Agent, in which case such payment shall be made directly to the Security Agent), the amount of all costs and expenses (including fees, costs and expenses of legal advisers and insurance and other consultants, brokers, surveyors and advisers) reasonably incurred by that Finance Party in connection with:</w:t>
      </w:r>
    </w:p>
    <w:p>
      <w:pPr>
        <w:spacing w:after="0" w:line="188" w:lineRule="exact"/>
        <w:rPr>
          <w:sz w:val="20"/>
          <w:szCs w:val="20"/>
          <w:color w:val="auto"/>
        </w:rPr>
      </w:pPr>
    </w:p>
    <w:p>
      <w:pPr>
        <w:jc w:val="both"/>
        <w:ind w:left="1080" w:hanging="532"/>
        <w:spacing w:after="0" w:line="239"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enforcement of, or the preservation of any rights under, any Finance Document and any proceedings initiated by or against any Indemnified Person and as a consequence of holding the Charged Property or enforcing those rights and any proceedings instituted by or against any Indemnified Person as a consequence of taking or holding the Security Documents or enforcing those rights;</w:t>
      </w:r>
    </w:p>
    <w:p>
      <w:pPr>
        <w:spacing w:after="0" w:line="170" w:lineRule="exact"/>
        <w:rPr>
          <w:rFonts w:ascii="Arial" w:cs="Arial" w:eastAsia="Arial" w:hAnsi="Arial"/>
          <w:sz w:val="18"/>
          <w:szCs w:val="18"/>
          <w:color w:val="auto"/>
        </w:rPr>
      </w:pPr>
    </w:p>
    <w:p>
      <w:pPr>
        <w:ind w:left="1080" w:hanging="532"/>
        <w:spacing w:after="0" w:line="267"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valuation carried out under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 at the times provided in such clauses that the relevant costs must be borne by the Borrowers; or</w:t>
      </w:r>
    </w:p>
    <w:p>
      <w:pPr>
        <w:spacing w:after="0" w:line="147" w:lineRule="exact"/>
        <w:rPr>
          <w:rFonts w:ascii="Arial" w:cs="Arial" w:eastAsia="Arial" w:hAnsi="Arial"/>
          <w:sz w:val="18"/>
          <w:szCs w:val="18"/>
          <w:color w:val="auto"/>
        </w:rPr>
      </w:pPr>
    </w:p>
    <w:p>
      <w:pPr>
        <w:ind w:left="1080" w:right="20" w:hanging="532"/>
        <w:spacing w:after="0" w:line="267"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inspection carried out under clause 23.8 (</w:t>
      </w:r>
      <w:r>
        <w:rPr>
          <w:rFonts w:ascii="Arial" w:cs="Arial" w:eastAsia="Arial" w:hAnsi="Arial"/>
          <w:sz w:val="18"/>
          <w:szCs w:val="18"/>
          <w:i w:val="1"/>
          <w:iCs w:val="1"/>
          <w:color w:val="auto"/>
        </w:rPr>
        <w:t>Inspection and notice of drydockings</w:t>
      </w:r>
      <w:r>
        <w:rPr>
          <w:rFonts w:ascii="Arial" w:cs="Arial" w:eastAsia="Arial" w:hAnsi="Arial"/>
          <w:sz w:val="18"/>
          <w:szCs w:val="18"/>
          <w:color w:val="auto"/>
        </w:rPr>
        <w:t>) or any survey carried out under clause 23.16 (</w:t>
      </w:r>
      <w:r>
        <w:rPr>
          <w:rFonts w:ascii="Arial" w:cs="Arial" w:eastAsia="Arial" w:hAnsi="Arial"/>
          <w:sz w:val="18"/>
          <w:szCs w:val="18"/>
          <w:i w:val="1"/>
          <w:iCs w:val="1"/>
          <w:color w:val="auto"/>
        </w:rPr>
        <w:t>Survey report</w:t>
      </w:r>
      <w:r>
        <w:rPr>
          <w:rFonts w:ascii="Arial" w:cs="Arial" w:eastAsia="Arial" w:hAnsi="Arial"/>
          <w:sz w:val="18"/>
          <w:szCs w:val="18"/>
          <w:color w:val="auto"/>
        </w:rPr>
        <w:t>).</w:t>
      </w:r>
    </w:p>
    <w:p>
      <w:pPr>
        <w:spacing w:after="0" w:line="14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b w:val="1"/>
          <w:bCs w:val="1"/>
          <w:color w:val="auto"/>
        </w:rPr>
        <w:t>Guarantee and indemnity</w:t>
      </w:r>
    </w:p>
    <w:p>
      <w:pPr>
        <w:spacing w:after="0" w:line="23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7"/>
          <w:szCs w:val="17"/>
          <w:b w:val="1"/>
          <w:bCs w:val="1"/>
          <w:color w:val="auto"/>
        </w:rPr>
        <w:t>Guarantee and indemnity</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Each Guarantor hereby irrevocably and unconditionally and jointly and severally with the other Guarantor:</w:t>
      </w:r>
    </w:p>
    <w:p>
      <w:pPr>
        <w:spacing w:after="0" w:line="198" w:lineRule="exact"/>
        <w:rPr>
          <w:sz w:val="20"/>
          <w:szCs w:val="20"/>
          <w:color w:val="auto"/>
        </w:rPr>
      </w:pPr>
    </w:p>
    <w:p>
      <w:pPr>
        <w:ind w:left="1080" w:hanging="532"/>
        <w:spacing w:after="0" w:line="246"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guarantees to the Security Agent (as trustee for the Finance Parties) and the other Finance Parties punctual performance by each other Obligor of all such Obligor’s obligations under the Finance Documents;</w:t>
      </w:r>
    </w:p>
    <w:p>
      <w:pPr>
        <w:spacing w:after="0" w:line="183" w:lineRule="exact"/>
        <w:rPr>
          <w:rFonts w:ascii="Arial" w:cs="Arial" w:eastAsia="Arial" w:hAnsi="Arial"/>
          <w:sz w:val="18"/>
          <w:szCs w:val="18"/>
          <w:color w:val="auto"/>
        </w:rPr>
      </w:pPr>
    </w:p>
    <w:p>
      <w:pPr>
        <w:jc w:val="both"/>
        <w:ind w:left="1080" w:hanging="532"/>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undertakes with the Security Agent (as trustee for the Finance Parties) and the other Finance Parties that whenever another Obligor does not pay any amount when due under or in connection with any Finance Document, it shall immediately on demand pay that amount as if it was the principal obligor; and</w:t>
      </w:r>
    </w:p>
    <w:p>
      <w:pPr>
        <w:spacing w:after="0" w:line="189"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agrees with the Security Agent (as trustee for the Finance Parties) and the other Finance Parties that it will, as an independent and primary obligation, indemnify each Finance Party immediately on demand against any cost, loss or liability it incurs:</w:t>
      </w:r>
    </w:p>
    <w:p>
      <w:pPr>
        <w:spacing w:after="0" w:line="183" w:lineRule="exact"/>
        <w:rPr>
          <w:sz w:val="20"/>
          <w:szCs w:val="20"/>
          <w:color w:val="auto"/>
        </w:rPr>
      </w:pPr>
    </w:p>
    <w:p>
      <w:pPr>
        <w:ind w:left="5620" w:right="2700" w:hanging="4532"/>
        <w:spacing w:after="0" w:line="352" w:lineRule="auto"/>
        <w:tabs>
          <w:tab w:leader="none" w:pos="163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 if any obligation guaranteed by it is or becomes unenforceable, invalid or illegal; or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24662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06" w:name="page107"/>
    <w:bookmarkEnd w:id="106"/>
    <w:p>
      <w:pPr>
        <w:ind w:left="2160" w:hanging="531"/>
        <w:spacing w:after="0"/>
        <w:tabs>
          <w:tab w:leader="none" w:pos="21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by operation of law,</w:t>
      </w:r>
    </w:p>
    <w:p>
      <w:pPr>
        <w:spacing w:after="0" w:line="198" w:lineRule="exact"/>
        <w:rPr>
          <w:sz w:val="20"/>
          <w:szCs w:val="20"/>
          <w:color w:val="auto"/>
        </w:rPr>
      </w:pPr>
    </w:p>
    <w:p>
      <w:pPr>
        <w:jc w:val="both"/>
        <w:ind w:left="1620"/>
        <w:spacing w:after="0"/>
        <w:rPr>
          <w:sz w:val="20"/>
          <w:szCs w:val="20"/>
          <w:color w:val="auto"/>
        </w:rPr>
      </w:pPr>
      <w:r>
        <w:rPr>
          <w:rFonts w:ascii="Arial" w:cs="Arial" w:eastAsia="Arial" w:hAnsi="Arial"/>
          <w:sz w:val="18"/>
          <w:szCs w:val="18"/>
          <w:color w:val="auto"/>
        </w:rPr>
        <w:t>and as a result of the same the Borrowers have not paid any amount which would, but for such unenforceability, invalidity, illegality or operation of law, have been payable by the Borrowers under any Finance Document on the date when it would have been due; or</w:t>
      </w:r>
    </w:p>
    <w:p>
      <w:pPr>
        <w:spacing w:after="0" w:line="189" w:lineRule="exact"/>
        <w:rPr>
          <w:sz w:val="20"/>
          <w:szCs w:val="20"/>
          <w:color w:val="auto"/>
        </w:rPr>
      </w:pPr>
    </w:p>
    <w:p>
      <w:pPr>
        <w:jc w:val="both"/>
        <w:ind w:left="1620" w:hanging="532"/>
        <w:spacing w:after="0" w:line="239" w:lineRule="auto"/>
        <w:tabs>
          <w:tab w:leader="none" w:pos="16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if as a result (directly or indirectly) of the introduction of or any change in (or the interpretation, administration or application of) any law or regulation, or compliance with any law, regulation or administrative procedure made after entry into this Agreement (a </w:t>
      </w:r>
      <w:r>
        <w:rPr>
          <w:rFonts w:ascii="Arial" w:cs="Arial" w:eastAsia="Arial" w:hAnsi="Arial"/>
          <w:sz w:val="18"/>
          <w:szCs w:val="18"/>
          <w:b w:val="1"/>
          <w:bCs w:val="1"/>
          <w:color w:val="auto"/>
        </w:rPr>
        <w:t>Change in Law</w:t>
      </w:r>
      <w:r>
        <w:rPr>
          <w:rFonts w:ascii="Arial" w:cs="Arial" w:eastAsia="Arial" w:hAnsi="Arial"/>
          <w:sz w:val="18"/>
          <w:szCs w:val="18"/>
          <w:color w:val="auto"/>
        </w:rPr>
        <w:t>), there is a change in the currency, the value of the currency or the timing, place or manner in which any obligation guaranteed by a Guarantor is payable.</w:t>
      </w:r>
    </w:p>
    <w:p>
      <w:pPr>
        <w:spacing w:after="0" w:line="188"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The amount payable by a Guarantor under this indemnity:</w:t>
      </w:r>
    </w:p>
    <w:p>
      <w:pPr>
        <w:spacing w:after="0" w:line="198" w:lineRule="exact"/>
        <w:rPr>
          <w:rFonts w:ascii="Arial" w:cs="Arial" w:eastAsia="Arial" w:hAnsi="Arial"/>
          <w:sz w:val="18"/>
          <w:szCs w:val="18"/>
          <w:color w:val="auto"/>
        </w:rPr>
      </w:pPr>
    </w:p>
    <w:p>
      <w:pPr>
        <w:jc w:val="both"/>
        <w:ind w:left="2700" w:hanging="531"/>
        <w:spacing w:after="0"/>
        <w:tabs>
          <w:tab w:leader="none" w:pos="270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in respect of paragraph (i) above, shall be the amount it would have had to pay under this clause 17.1 if the amount claimed had been recoverable on the basis of a guarantee but for any relevant unenforceability, invalidity or illegality, and</w:t>
      </w:r>
    </w:p>
    <w:p>
      <w:pPr>
        <w:spacing w:after="0" w:line="189" w:lineRule="exact"/>
        <w:rPr>
          <w:rFonts w:ascii="Arial" w:cs="Arial" w:eastAsia="Arial" w:hAnsi="Arial"/>
          <w:sz w:val="18"/>
          <w:szCs w:val="18"/>
          <w:color w:val="auto"/>
        </w:rPr>
      </w:pPr>
    </w:p>
    <w:p>
      <w:pPr>
        <w:jc w:val="both"/>
        <w:ind w:left="2700" w:hanging="531"/>
        <w:spacing w:after="0" w:line="237" w:lineRule="auto"/>
        <w:tabs>
          <w:tab w:leader="none" w:pos="270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 xml:space="preserve">in respect of paragraph (ii) above, shall include (aa) the difference between (x) the amount (if any) received by the Security Agent and the other Finance Parties from the Borrowers and (y) the amount that the Borrowers were obliged to pay under the original express terms of the Finance Documents in the currency specified in the Finance Documents, disregarding any Change in Law (the </w:t>
      </w:r>
      <w:r>
        <w:rPr>
          <w:rFonts w:ascii="Arial" w:cs="Arial" w:eastAsia="Arial" w:hAnsi="Arial"/>
          <w:sz w:val="18"/>
          <w:szCs w:val="18"/>
          <w:b w:val="1"/>
          <w:bCs w:val="1"/>
          <w:color w:val="auto"/>
        </w:rPr>
        <w:t>Original Currency</w:t>
      </w:r>
      <w:r>
        <w:rPr>
          <w:rFonts w:ascii="Arial" w:cs="Arial" w:eastAsia="Arial" w:hAnsi="Arial"/>
          <w:sz w:val="18"/>
          <w:szCs w:val="18"/>
          <w:color w:val="auto"/>
        </w:rPr>
        <w:t>), and (bb) all further costs, losses and liabilities suffered or incurred by the Security Agent and the other Finance Parties as a result of a Change in Law.</w:t>
      </w:r>
    </w:p>
    <w:p>
      <w:pPr>
        <w:spacing w:after="0" w:line="192" w:lineRule="exact"/>
        <w:rPr>
          <w:sz w:val="20"/>
          <w:szCs w:val="20"/>
          <w:color w:val="auto"/>
        </w:rPr>
      </w:pPr>
    </w:p>
    <w:p>
      <w:pPr>
        <w:jc w:val="both"/>
        <w:ind w:left="1160"/>
        <w:spacing w:after="0" w:line="237" w:lineRule="auto"/>
        <w:rPr>
          <w:sz w:val="20"/>
          <w:szCs w:val="20"/>
          <w:color w:val="auto"/>
        </w:rPr>
      </w:pPr>
      <w:r>
        <w:rPr>
          <w:rFonts w:ascii="Arial" w:cs="Arial" w:eastAsia="Arial" w:hAnsi="Arial"/>
          <w:sz w:val="18"/>
          <w:szCs w:val="18"/>
          <w:color w:val="auto"/>
        </w:rPr>
        <w:t>For the purposes of (aa)(x) above, if payment was not received by the Security Agent or the other Finance Parties in the Original Currency, the amount received by the Security Agent and the other Finance Parties shall be deemed to be that payment’s equivalent in the Original Currency converted, actually or notionally at the Security Agent’s discretion, on the day of receipt at the then prevailing spot rate of exchange of the Security Agent or if, in the Security Agent’s opinion, it could not reasonably or properly have made a conversion on the day of receipt of the equivalent of that payment in the Original Currency, that payment’s equivalent as soon as the Security Agent could, in its opinion, reasonably and properly have made a conversion of the Original Currency with the currency of payment.</w:t>
      </w:r>
    </w:p>
    <w:p>
      <w:pPr>
        <w:spacing w:after="0" w:line="190" w:lineRule="exact"/>
        <w:rPr>
          <w:sz w:val="20"/>
          <w:szCs w:val="20"/>
          <w:color w:val="auto"/>
        </w:rPr>
      </w:pPr>
    </w:p>
    <w:p>
      <w:pPr>
        <w:jc w:val="both"/>
        <w:ind w:left="1160"/>
        <w:spacing w:after="0" w:line="239" w:lineRule="auto"/>
        <w:rPr>
          <w:sz w:val="20"/>
          <w:szCs w:val="20"/>
          <w:color w:val="auto"/>
        </w:rPr>
      </w:pPr>
      <w:r>
        <w:rPr>
          <w:rFonts w:ascii="Arial" w:cs="Arial" w:eastAsia="Arial" w:hAnsi="Arial"/>
          <w:sz w:val="18"/>
          <w:szCs w:val="18"/>
          <w:color w:val="auto"/>
        </w:rPr>
        <w:t>If the Original Currency no longer exists, the Guarantor shall make such payment in such currency as is, in the reasonable opinion of the Security Agent, required, after taking into account any payments by the Borrowers, to place the Security Agent and the other Finance Parties in a position reasonably comparable to that it would have been in had the Original Currency continued to exist.</w:t>
      </w:r>
    </w:p>
    <w:p>
      <w:pPr>
        <w:spacing w:after="0" w:line="16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7"/>
          <w:szCs w:val="17"/>
          <w:b w:val="1"/>
          <w:bCs w:val="1"/>
          <w:color w:val="auto"/>
        </w:rPr>
        <w:t>Continuing guarantee</w:t>
      </w:r>
    </w:p>
    <w:p>
      <w:pPr>
        <w:spacing w:after="0" w:line="220" w:lineRule="exact"/>
        <w:rPr>
          <w:sz w:val="20"/>
          <w:szCs w:val="20"/>
          <w:color w:val="auto"/>
        </w:rPr>
      </w:pPr>
    </w:p>
    <w:p>
      <w:pPr>
        <w:jc w:val="both"/>
        <w:ind w:left="540"/>
        <w:spacing w:after="0" w:line="246" w:lineRule="auto"/>
        <w:rPr>
          <w:sz w:val="20"/>
          <w:szCs w:val="20"/>
          <w:color w:val="auto"/>
        </w:rPr>
      </w:pPr>
      <w:r>
        <w:rPr>
          <w:rFonts w:ascii="Arial" w:cs="Arial" w:eastAsia="Arial" w:hAnsi="Arial"/>
          <w:sz w:val="18"/>
          <w:szCs w:val="18"/>
          <w:color w:val="auto"/>
        </w:rPr>
        <w:t>This guarantee is a continuing guarantee and will extend to the ultimate balance of sums payable by any Obligor under the Finance Documents, regardless of any intermediate payment or discharge in whole or in part.</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7"/>
          <w:szCs w:val="17"/>
          <w:b w:val="1"/>
          <w:bCs w:val="1"/>
          <w:color w:val="auto"/>
        </w:rPr>
        <w:t>Reinstatement</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If any payment is made by an Obligor, or any discharge, release or arrangement is given by a Finance Party (whether in respect of the obligations of any Obligor or any security for those obligations or otherwise) in whole or in part on the basis of any payment, security or other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07" w:name="page108"/>
    <w:bookmarkEnd w:id="107"/>
    <w:p>
      <w:pPr>
        <w:ind w:left="540" w:right="20"/>
        <w:spacing w:after="0" w:line="246" w:lineRule="auto"/>
        <w:rPr>
          <w:sz w:val="20"/>
          <w:szCs w:val="20"/>
          <w:color w:val="auto"/>
        </w:rPr>
      </w:pPr>
      <w:r>
        <w:rPr>
          <w:rFonts w:ascii="Arial" w:cs="Arial" w:eastAsia="Arial" w:hAnsi="Arial"/>
          <w:sz w:val="18"/>
          <w:szCs w:val="18"/>
          <w:color w:val="auto"/>
        </w:rPr>
        <w:t>disposition, and the same is avoided or reduced or must be restored in, or as a result of, insolvency, liquidation, administration or any other similar event or otherwise, then:</w:t>
      </w:r>
    </w:p>
    <w:p>
      <w:pPr>
        <w:spacing w:after="0" w:line="183" w:lineRule="exact"/>
        <w:rPr>
          <w:sz w:val="20"/>
          <w:szCs w:val="20"/>
          <w:color w:val="auto"/>
        </w:rPr>
      </w:pPr>
    </w:p>
    <w:p>
      <w:pPr>
        <w:ind w:left="1080" w:right="20" w:hanging="532"/>
        <w:spacing w:after="0" w:line="246"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liability of each Guarantor under this clause 17 shall continue or be reinstated as if the payment, discharge, release, arrangement, avoidance or reduction had not occurred; and</w:t>
      </w:r>
    </w:p>
    <w:p>
      <w:pPr>
        <w:spacing w:after="0" w:line="183"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each Finance Party shall be entitled to recover the value or amount of that security or payment from each Obligor, as if the payment, discharge, release, arrangement, avoidance or reduction had not occurred.</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7"/>
          <w:szCs w:val="17"/>
          <w:b w:val="1"/>
          <w:bCs w:val="1"/>
          <w:color w:val="auto"/>
        </w:rPr>
        <w:t>Waiver of defences</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The obligations of each Guarantor under this clause 17 will not be affected by an act, omission, matter or thing (whether or not known to it or any Finance Party) which, but for this clause, would reduce, release or prejudice any of its obligations under this clause 17 including (without limitation):</w:t>
      </w:r>
    </w:p>
    <w:p>
      <w:pPr>
        <w:spacing w:after="0" w:line="189" w:lineRule="exact"/>
        <w:rPr>
          <w:sz w:val="20"/>
          <w:szCs w:val="20"/>
          <w:color w:val="auto"/>
        </w:rPr>
      </w:pPr>
    </w:p>
    <w:p>
      <w:pPr>
        <w:ind w:left="1620" w:hanging="532"/>
        <w:spacing w:after="0"/>
        <w:tabs>
          <w:tab w:leader="none" w:pos="16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time, waiver or consent granted to, or composition with, any Obligor or other person;</w:t>
      </w:r>
    </w:p>
    <w:p>
      <w:pPr>
        <w:spacing w:after="0" w:line="198" w:lineRule="exact"/>
        <w:rPr>
          <w:rFonts w:ascii="Arial" w:cs="Arial" w:eastAsia="Arial" w:hAnsi="Arial"/>
          <w:sz w:val="18"/>
          <w:szCs w:val="18"/>
          <w:color w:val="auto"/>
        </w:rPr>
      </w:pPr>
    </w:p>
    <w:p>
      <w:pPr>
        <w:ind w:left="1620" w:hanging="532"/>
        <w:spacing w:after="0" w:line="246" w:lineRule="auto"/>
        <w:tabs>
          <w:tab w:leader="none" w:pos="16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release of any other Obligor or any other person under the terms of any composition or arrangement with any creditor of any other Obligor;</w:t>
      </w:r>
    </w:p>
    <w:p>
      <w:pPr>
        <w:spacing w:after="0" w:line="183" w:lineRule="exact"/>
        <w:rPr>
          <w:rFonts w:ascii="Arial" w:cs="Arial" w:eastAsia="Arial" w:hAnsi="Arial"/>
          <w:sz w:val="18"/>
          <w:szCs w:val="18"/>
          <w:color w:val="auto"/>
        </w:rPr>
      </w:pPr>
    </w:p>
    <w:p>
      <w:pPr>
        <w:jc w:val="both"/>
        <w:ind w:left="1620" w:hanging="532"/>
        <w:spacing w:after="0"/>
        <w:tabs>
          <w:tab w:leader="none" w:pos="16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taking, variation, compromise, exchange, renewal or release of, or refusal or neglect to perfect, take up or enforce, any rights against, or security over assets of, any Obligor or other person or any non-presentation or non-observance of any formality or other requirement in respect of any instrument or any failure to realise the full value of any security;</w:t>
      </w:r>
    </w:p>
    <w:p>
      <w:pPr>
        <w:spacing w:after="0" w:line="189" w:lineRule="exact"/>
        <w:rPr>
          <w:rFonts w:ascii="Arial" w:cs="Arial" w:eastAsia="Arial" w:hAnsi="Arial"/>
          <w:sz w:val="18"/>
          <w:szCs w:val="18"/>
          <w:color w:val="auto"/>
        </w:rPr>
      </w:pPr>
    </w:p>
    <w:p>
      <w:pPr>
        <w:ind w:left="1620" w:hanging="532"/>
        <w:spacing w:after="0" w:line="246" w:lineRule="auto"/>
        <w:tabs>
          <w:tab w:leader="none" w:pos="16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incapacity or lack of power, authority or legal personality of or dissolution or change in the members or status of an Obligor or any other person;</w:t>
      </w:r>
    </w:p>
    <w:p>
      <w:pPr>
        <w:spacing w:after="0" w:line="183" w:lineRule="exact"/>
        <w:rPr>
          <w:rFonts w:ascii="Arial" w:cs="Arial" w:eastAsia="Arial" w:hAnsi="Arial"/>
          <w:sz w:val="18"/>
          <w:szCs w:val="18"/>
          <w:color w:val="auto"/>
        </w:rPr>
      </w:pPr>
    </w:p>
    <w:p>
      <w:pPr>
        <w:jc w:val="both"/>
        <w:ind w:left="1620" w:hanging="532"/>
        <w:spacing w:after="0" w:line="239" w:lineRule="auto"/>
        <w:tabs>
          <w:tab w:leader="none" w:pos="16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amendment, novation, supplement, extension, restatement (however fundamental and whether or not more onerous) or replacement of any Finance Document or any other document or security including without limitation any change in the purpose of, any extension of or any increase in any facility or the addition of any new facility under any Finance Document or other document or security;</w:t>
      </w:r>
    </w:p>
    <w:p>
      <w:pPr>
        <w:spacing w:after="0" w:line="188" w:lineRule="exact"/>
        <w:rPr>
          <w:rFonts w:ascii="Arial" w:cs="Arial" w:eastAsia="Arial" w:hAnsi="Arial"/>
          <w:sz w:val="18"/>
          <w:szCs w:val="18"/>
          <w:color w:val="auto"/>
        </w:rPr>
      </w:pPr>
    </w:p>
    <w:p>
      <w:pPr>
        <w:ind w:left="1620" w:hanging="532"/>
        <w:spacing w:after="0" w:line="246" w:lineRule="auto"/>
        <w:tabs>
          <w:tab w:leader="none" w:pos="16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unenforceability, illegality or invalidity of any obligation of any person under any Finance Document or any other document or security;</w:t>
      </w:r>
    </w:p>
    <w:p>
      <w:pPr>
        <w:spacing w:after="0" w:line="183" w:lineRule="exact"/>
        <w:rPr>
          <w:rFonts w:ascii="Arial" w:cs="Arial" w:eastAsia="Arial" w:hAnsi="Arial"/>
          <w:sz w:val="18"/>
          <w:szCs w:val="18"/>
          <w:color w:val="auto"/>
        </w:rPr>
      </w:pPr>
    </w:p>
    <w:p>
      <w:pPr>
        <w:ind w:left="1620" w:hanging="532"/>
        <w:spacing w:after="0"/>
        <w:tabs>
          <w:tab w:leader="none" w:pos="16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law of regulation of any jurisdiction or any other event affecting any term of the guaranteed obligations;</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other circumstance that might constitute a defense of the Guarantor; or</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insolvency or similar proceedings.</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17.5</w:t>
      </w:r>
      <w:r>
        <w:rPr>
          <w:sz w:val="20"/>
          <w:szCs w:val="20"/>
          <w:color w:val="auto"/>
        </w:rPr>
        <w:tab/>
      </w:r>
      <w:r>
        <w:rPr>
          <w:rFonts w:ascii="Arial" w:cs="Arial" w:eastAsia="Arial" w:hAnsi="Arial"/>
          <w:sz w:val="17"/>
          <w:szCs w:val="17"/>
          <w:b w:val="1"/>
          <w:bCs w:val="1"/>
          <w:color w:val="auto"/>
        </w:rPr>
        <w:t>Immediate recourse</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Each Guarantor waives any right it may have of first requiring any Finance Party (or any trustee or agent on its behalf) to proceed against or enforce any other rights or security or claim payment from any person before claiming from that Guarantor under this clause 17. This waiver applies irrespective of any law or any provision of a Finance Document to the contrary.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08" w:name="page109"/>
    <w:bookmarkEnd w:id="108"/>
    <w:p>
      <w:pPr>
        <w:spacing w:after="0"/>
        <w:tabs>
          <w:tab w:leader="none" w:pos="520" w:val="left"/>
        </w:tabs>
        <w:rPr>
          <w:sz w:val="20"/>
          <w:szCs w:val="20"/>
          <w:color w:val="auto"/>
        </w:rPr>
      </w:pPr>
      <w:r>
        <w:rPr>
          <w:rFonts w:ascii="Arial" w:cs="Arial" w:eastAsia="Arial" w:hAnsi="Arial"/>
          <w:sz w:val="18"/>
          <w:szCs w:val="18"/>
          <w:b w:val="1"/>
          <w:bCs w:val="1"/>
          <w:color w:val="auto"/>
        </w:rPr>
        <w:t>17.6</w:t>
        <w:tab/>
        <w:t>Appropriations</w:t>
      </w:r>
    </w:p>
    <w:p>
      <w:pPr>
        <w:spacing w:after="0" w:line="220" w:lineRule="exact"/>
        <w:rPr>
          <w:sz w:val="20"/>
          <w:szCs w:val="20"/>
          <w:color w:val="auto"/>
        </w:rPr>
      </w:pPr>
    </w:p>
    <w:p>
      <w:pPr>
        <w:ind w:left="540"/>
        <w:spacing w:after="0" w:line="246" w:lineRule="auto"/>
        <w:rPr>
          <w:sz w:val="20"/>
          <w:szCs w:val="20"/>
          <w:color w:val="auto"/>
        </w:rPr>
      </w:pPr>
      <w:r>
        <w:rPr>
          <w:rFonts w:ascii="Arial" w:cs="Arial" w:eastAsia="Arial" w:hAnsi="Arial"/>
          <w:sz w:val="18"/>
          <w:szCs w:val="18"/>
          <w:color w:val="auto"/>
        </w:rPr>
        <w:t>Until all amounts which may be or become payable by the Obligors under or in connection with the Finance Documents have been irrevocably paid in full, each Finance Party (or any trustee or agent on its behalf) may:</w:t>
      </w:r>
    </w:p>
    <w:p>
      <w:pPr>
        <w:spacing w:after="0" w:line="183" w:lineRule="exact"/>
        <w:rPr>
          <w:sz w:val="20"/>
          <w:szCs w:val="20"/>
          <w:color w:val="auto"/>
        </w:rPr>
      </w:pPr>
    </w:p>
    <w:p>
      <w:pPr>
        <w:jc w:val="both"/>
        <w:ind w:left="1080" w:hanging="532"/>
        <w:spacing w:after="0"/>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refrain from applying or enforcing any other moneys, security or rights held or received by that Finance Party (or any trustee or agent on its behalf) in respect of those amounts, or apply and enforce the same in such manner and order as it sees fit (whether against those amounts or otherwise) and no Guarantor shall be entitled to the benefit of the same; and</w:t>
      </w:r>
    </w:p>
    <w:p>
      <w:pPr>
        <w:spacing w:after="0" w:line="189"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hold in an interest-bearing suspense account any moneys received from any Guarantor or on account of a Guarantor’s liability under this clause 17.</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17.7</w:t>
      </w:r>
      <w:r>
        <w:rPr>
          <w:sz w:val="20"/>
          <w:szCs w:val="20"/>
          <w:color w:val="auto"/>
        </w:rPr>
        <w:tab/>
      </w:r>
      <w:r>
        <w:rPr>
          <w:rFonts w:ascii="Arial" w:cs="Arial" w:eastAsia="Arial" w:hAnsi="Arial"/>
          <w:sz w:val="17"/>
          <w:szCs w:val="17"/>
          <w:b w:val="1"/>
          <w:bCs w:val="1"/>
          <w:color w:val="auto"/>
        </w:rPr>
        <w:t>Deferral of Guarantors’ rights</w:t>
      </w:r>
    </w:p>
    <w:p>
      <w:pPr>
        <w:spacing w:after="0" w:line="220" w:lineRule="exact"/>
        <w:rPr>
          <w:sz w:val="20"/>
          <w:szCs w:val="20"/>
          <w:color w:val="auto"/>
        </w:rPr>
      </w:pPr>
    </w:p>
    <w:p>
      <w:pPr>
        <w:jc w:val="both"/>
        <w:ind w:left="540"/>
        <w:spacing w:after="0" w:line="239" w:lineRule="auto"/>
        <w:rPr>
          <w:sz w:val="20"/>
          <w:szCs w:val="20"/>
          <w:color w:val="auto"/>
        </w:rPr>
      </w:pPr>
      <w:r>
        <w:rPr>
          <w:rFonts w:ascii="Arial" w:cs="Arial" w:eastAsia="Arial" w:hAnsi="Arial"/>
          <w:sz w:val="18"/>
          <w:szCs w:val="18"/>
          <w:color w:val="auto"/>
        </w:rPr>
        <w:t>Until all amounts which may be or become payable by the Obligors under or in connection with the Finance Documents have been irrevocably paid in full and unless the Agent otherwise directs, no Guarantor will exercise any rights which it may have by reason of performance by it of its obligations under the Finance Documents or by reason of any amount being payable, or liability arising, under this clause 17:</w:t>
      </w:r>
    </w:p>
    <w:p>
      <w:pPr>
        <w:spacing w:after="0" w:line="188" w:lineRule="exact"/>
        <w:rPr>
          <w:sz w:val="20"/>
          <w:szCs w:val="20"/>
          <w:color w:val="auto"/>
        </w:rPr>
      </w:pPr>
    </w:p>
    <w:p>
      <w:pPr>
        <w:ind w:left="1080" w:hanging="532"/>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to be indemnified or reimbursed by another Obligor;</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to claim any contribution from any other guarantor of any Obligor’s obligations under the Finance Documents;</w:t>
      </w:r>
    </w:p>
    <w:p>
      <w:pPr>
        <w:spacing w:after="0" w:line="198" w:lineRule="exact"/>
        <w:rPr>
          <w:rFonts w:ascii="Arial" w:cs="Arial" w:eastAsia="Arial" w:hAnsi="Arial"/>
          <w:sz w:val="18"/>
          <w:szCs w:val="18"/>
          <w:color w:val="auto"/>
        </w:rPr>
      </w:pPr>
    </w:p>
    <w:p>
      <w:pPr>
        <w:jc w:val="both"/>
        <w:ind w:left="1080" w:hanging="532"/>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to take the benefit (in whole or in part and whether by way of subrogation or otherwise) of any rights of the Finance Parties under the Finance Documents or of any other guarantee or security taken pursuant to, or in connection with, the Finance Documents by any Finance Party;</w:t>
      </w:r>
    </w:p>
    <w:p>
      <w:pPr>
        <w:spacing w:after="0" w:line="189"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to bring legal or other proceedings for an order requiring any Obligor to make any payment, or perform any obligation, in respect of which that Guarantor has given a guarantee, undertaking or indemnity under clause 17 (</w:t>
      </w:r>
      <w:r>
        <w:rPr>
          <w:rFonts w:ascii="Arial" w:cs="Arial" w:eastAsia="Arial" w:hAnsi="Arial"/>
          <w:sz w:val="18"/>
          <w:szCs w:val="18"/>
          <w:i w:val="1"/>
          <w:iCs w:val="1"/>
          <w:color w:val="auto"/>
        </w:rPr>
        <w:t>Guarantee and indemnity</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080" w:hanging="532"/>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to exercise any right of set-off against any other Obligor; and/or</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to claim or prove as a creditor of any other Obligor in competition with any Finance Party.</w:t>
      </w:r>
    </w:p>
    <w:p>
      <w:pPr>
        <w:spacing w:after="0" w:line="198"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If a Guarantor receives any benefit, payment or distribution in relation to such rights it will promptly pay an equal amount to the Agent for application in accordance with clause 35 (</w:t>
      </w:r>
      <w:r>
        <w:rPr>
          <w:rFonts w:ascii="Arial" w:cs="Arial" w:eastAsia="Arial" w:hAnsi="Arial"/>
          <w:sz w:val="18"/>
          <w:szCs w:val="18"/>
          <w:i w:val="1"/>
          <w:iCs w:val="1"/>
          <w:color w:val="auto"/>
        </w:rPr>
        <w:t>Payment mechanics</w:t>
      </w:r>
      <w:r>
        <w:rPr>
          <w:rFonts w:ascii="Arial" w:cs="Arial" w:eastAsia="Arial" w:hAnsi="Arial"/>
          <w:sz w:val="18"/>
          <w:szCs w:val="18"/>
          <w:color w:val="auto"/>
        </w:rPr>
        <w:t>). This only applies until all amounts which may be or become payable by the Obligors under or in connection with the Finance Documents have been irrevocably paid in full.</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17.8</w:t>
      </w:r>
      <w:r>
        <w:rPr>
          <w:sz w:val="20"/>
          <w:szCs w:val="20"/>
          <w:color w:val="auto"/>
        </w:rPr>
        <w:tab/>
      </w:r>
      <w:r>
        <w:rPr>
          <w:rFonts w:ascii="Arial" w:cs="Arial" w:eastAsia="Arial" w:hAnsi="Arial"/>
          <w:sz w:val="17"/>
          <w:szCs w:val="17"/>
          <w:b w:val="1"/>
          <w:bCs w:val="1"/>
          <w:color w:val="auto"/>
        </w:rPr>
        <w:t>Additional security</w:t>
      </w:r>
    </w:p>
    <w:p>
      <w:pPr>
        <w:spacing w:after="0" w:line="220" w:lineRule="exact"/>
        <w:rPr>
          <w:sz w:val="20"/>
          <w:szCs w:val="20"/>
          <w:color w:val="auto"/>
        </w:rPr>
      </w:pPr>
    </w:p>
    <w:p>
      <w:pPr>
        <w:jc w:val="both"/>
        <w:ind w:left="540"/>
        <w:spacing w:after="0" w:line="246" w:lineRule="auto"/>
        <w:rPr>
          <w:sz w:val="20"/>
          <w:szCs w:val="20"/>
          <w:color w:val="auto"/>
        </w:rPr>
      </w:pPr>
      <w:r>
        <w:rPr>
          <w:rFonts w:ascii="Arial" w:cs="Arial" w:eastAsia="Arial" w:hAnsi="Arial"/>
          <w:sz w:val="18"/>
          <w:szCs w:val="18"/>
          <w:color w:val="auto"/>
        </w:rPr>
        <w:t>This guarantee is in addition to and is not in any way prejudiced by any other guarantee or security now or subsequently held by any Finance Party.</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17.9</w:t>
        <w:tab/>
        <w:t>Guarantors’ rights and obligations</w:t>
      </w:r>
    </w:p>
    <w:p>
      <w:pPr>
        <w:spacing w:after="0" w:line="220" w:lineRule="exact"/>
        <w:rPr>
          <w:sz w:val="20"/>
          <w:szCs w:val="20"/>
          <w:color w:val="auto"/>
        </w:rPr>
      </w:pPr>
    </w:p>
    <w:p>
      <w:pPr>
        <w:ind w:left="1080" w:hanging="532"/>
        <w:spacing w:after="0" w:line="246" w:lineRule="auto"/>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obligations of each Guarantor under the Guarantee and under this Agreement are joint and several. Failure by a Guarantor to perform its obligations under the Guarantee and/or this Agreement shall constitute a failure by all of the Guarantors.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09" w:name="page110"/>
    <w:bookmarkEnd w:id="109"/>
    <w:p>
      <w:pPr>
        <w:ind w:left="1060" w:hanging="512"/>
        <w:spacing w:after="0"/>
        <w:tabs>
          <w:tab w:leader="none" w:pos="10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Each Guarantor irrevocably and unconditionally jointly and severally with the other Guarantor:</w:t>
      </w:r>
    </w:p>
    <w:p>
      <w:pPr>
        <w:spacing w:after="0" w:line="198"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agrees that it is responsible for the performance of the obligations of the other Guarantor under the Guarantee and this Agreement;</w:t>
      </w:r>
    </w:p>
    <w:p>
      <w:pPr>
        <w:spacing w:after="0" w:line="183"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acknowledges and agrees that it is a principal and original debtor in respect of all amounts due from the Guarantors under the Guarantee and under this Agreement; and</w:t>
      </w:r>
    </w:p>
    <w:p>
      <w:pPr>
        <w:spacing w:after="0" w:line="183" w:lineRule="exact"/>
        <w:rPr>
          <w:rFonts w:ascii="Arial" w:cs="Arial" w:eastAsia="Arial" w:hAnsi="Arial"/>
          <w:sz w:val="18"/>
          <w:szCs w:val="18"/>
          <w:color w:val="auto"/>
        </w:rPr>
      </w:pPr>
    </w:p>
    <w:p>
      <w:pPr>
        <w:jc w:val="both"/>
        <w:ind w:left="1620" w:hanging="532"/>
        <w:spacing w:after="0" w:line="237" w:lineRule="auto"/>
        <w:tabs>
          <w:tab w:leader="none" w:pos="162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agrees with each Finance Party that, if any obligation of the other Guarantor under the Guarantee and this Agreement is or becomes unenforceable, invalid or illegal for any reason it will, as an independent and primary obligation, indemnify that Finance Party immediately on demand against any and all Losses it incurs as a result of the other Guarantor not paying any amount which would, but for such unenforceability, invalidity or illegality, have been payable by the other Guarantor under the Guarantee and/or this Agreement. The amount payable under this indemnity shall be equal to the amount which that Finance Party would otherwise have been entitled to recover.</w:t>
      </w:r>
    </w:p>
    <w:p>
      <w:pPr>
        <w:spacing w:after="0" w:line="191" w:lineRule="exact"/>
        <w:rPr>
          <w:rFonts w:ascii="Arial" w:cs="Arial" w:eastAsia="Arial" w:hAnsi="Arial"/>
          <w:sz w:val="18"/>
          <w:szCs w:val="18"/>
          <w:color w:val="auto"/>
        </w:rPr>
      </w:pPr>
    </w:p>
    <w:p>
      <w:pPr>
        <w:jc w:val="both"/>
        <w:ind w:left="1080" w:hanging="532"/>
        <w:spacing w:after="0"/>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obligations of each Guarantor under the Finance Documents shall continue until all amounts which may be or become payable by the Guarantors under or in connection with the Finance Documents have been irrevocably and unconditionally paid or discharged in full, regardless of any intermediate payment or discharge in whole or in part.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17.10 GasLog Carriers - Limited recourse</w:t>
      </w:r>
    </w:p>
    <w:p>
      <w:pPr>
        <w:spacing w:after="0" w:line="220" w:lineRule="exact"/>
        <w:rPr>
          <w:sz w:val="20"/>
          <w:szCs w:val="20"/>
          <w:color w:val="auto"/>
        </w:rPr>
      </w:pPr>
    </w:p>
    <w:p>
      <w:pPr>
        <w:ind w:left="1080" w:hanging="532"/>
        <w:spacing w:after="0" w:line="246" w:lineRule="auto"/>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Finance Parties hereby agree that the liability of GasLog Carriers under the Guarantee set out in this clause 17, shall be limited in the manner and subject to the terms and conditions set out in this clause 17.10.</w:t>
      </w:r>
    </w:p>
    <w:p>
      <w:pPr>
        <w:spacing w:after="0" w:line="183" w:lineRule="exact"/>
        <w:rPr>
          <w:rFonts w:ascii="Arial" w:cs="Arial" w:eastAsia="Arial" w:hAnsi="Arial"/>
          <w:sz w:val="18"/>
          <w:szCs w:val="18"/>
          <w:color w:val="auto"/>
        </w:rPr>
      </w:pPr>
    </w:p>
    <w:p>
      <w:pPr>
        <w:jc w:val="both"/>
        <w:ind w:left="1080" w:hanging="532"/>
        <w:spacing w:after="0"/>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At any relevant time, the Finance Parties acknowledge and agree that, following a Dropdown, notwithstanding anything to the contrary contained in clause 2.4(b) (</w:t>
      </w:r>
      <w:r>
        <w:rPr>
          <w:rFonts w:ascii="Arial" w:cs="Arial" w:eastAsia="Arial" w:hAnsi="Arial"/>
          <w:sz w:val="18"/>
          <w:szCs w:val="18"/>
          <w:i w:val="1"/>
          <w:iCs w:val="1"/>
          <w:color w:val="auto"/>
        </w:rPr>
        <w:t>Borrowers’ rights and obligations</w:t>
      </w:r>
      <w:r>
        <w:rPr>
          <w:rFonts w:ascii="Arial" w:cs="Arial" w:eastAsia="Arial" w:hAnsi="Arial"/>
          <w:sz w:val="18"/>
          <w:szCs w:val="18"/>
          <w:color w:val="auto"/>
        </w:rPr>
        <w:t>), GasLog Carriers shall not under any circumstances be liable to pay any amount under or in respect of the Guarantee set out in this clause 17 in excess of the aggregate of:</w:t>
      </w:r>
    </w:p>
    <w:p>
      <w:pPr>
        <w:spacing w:after="0" w:line="189" w:lineRule="exact"/>
        <w:rPr>
          <w:rFonts w:ascii="Arial" w:cs="Arial" w:eastAsia="Arial" w:hAnsi="Arial"/>
          <w:sz w:val="18"/>
          <w:szCs w:val="18"/>
          <w:color w:val="auto"/>
        </w:rPr>
      </w:pPr>
    </w:p>
    <w:p>
      <w:pPr>
        <w:jc w:val="both"/>
        <w:ind w:left="1620" w:hanging="532"/>
        <w:spacing w:after="0"/>
        <w:tabs>
          <w:tab w:leader="none" w:pos="162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the outstanding amount of the Term Loans and Revolving Loan Ship Tranches which relate to Ships owned by all Borrowers that are at the relevant time legally and beneficially wholly owned by GasLog Carriers (whether directly or indirectly) and all accrued interest thereon; and</w:t>
      </w:r>
    </w:p>
    <w:p>
      <w:pPr>
        <w:spacing w:after="0" w:line="189" w:lineRule="exact"/>
        <w:rPr>
          <w:rFonts w:ascii="Arial" w:cs="Arial" w:eastAsia="Arial" w:hAnsi="Arial"/>
          <w:sz w:val="18"/>
          <w:szCs w:val="18"/>
          <w:color w:val="auto"/>
        </w:rPr>
      </w:pPr>
    </w:p>
    <w:p>
      <w:pPr>
        <w:jc w:val="both"/>
        <w:ind w:left="1620" w:hanging="532"/>
        <w:spacing w:after="0" w:line="239" w:lineRule="auto"/>
        <w:tabs>
          <w:tab w:leader="none" w:pos="162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such proportion of any other amounts owing under this Agreement and the other Finance Documents (other than amounts of principal and interest in respect of the Loans) which are at the relevant time due and payable by the Obligors, as the Agent in its sole discretion determines shall be payable by the Borrowers then legally and beneficially owned by GasLog Carriers (whether directly or indirectly).</w:t>
      </w:r>
    </w:p>
    <w:p>
      <w:pPr>
        <w:spacing w:after="0" w:line="188" w:lineRule="exact"/>
        <w:rPr>
          <w:rFonts w:ascii="Arial" w:cs="Arial" w:eastAsia="Arial" w:hAnsi="Arial"/>
          <w:sz w:val="18"/>
          <w:szCs w:val="18"/>
          <w:color w:val="auto"/>
        </w:rPr>
      </w:pPr>
    </w:p>
    <w:p>
      <w:pPr>
        <w:jc w:val="both"/>
        <w:ind w:left="1080" w:hanging="532"/>
        <w:spacing w:after="0"/>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GasLog Carriers agrees that at any time and for any purpose the Agent and/or the Security Agent shall be entitled in its sole discretion (or following instructions by the Majority Lenders) to determine the quantum of GasLog Carrier’s liability under the Guarantee in accordance with this clause 17.10.</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b w:val="1"/>
          <w:bCs w:val="1"/>
          <w:color w:val="auto"/>
        </w:rPr>
        <w:t>Representations</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Each Obligor makes and repeats the representations and warranties set out in this clause 18 to each Finance Party at the times specified in clause 18.33 (</w:t>
      </w:r>
      <w:r>
        <w:rPr>
          <w:rFonts w:ascii="Arial" w:cs="Arial" w:eastAsia="Arial" w:hAnsi="Arial"/>
          <w:sz w:val="18"/>
          <w:szCs w:val="18"/>
          <w:i w:val="1"/>
          <w:iCs w:val="1"/>
          <w:color w:val="auto"/>
        </w:rPr>
        <w:t>Times when representations are made</w:t>
      </w:r>
      <w:r>
        <w:rPr>
          <w:rFonts w:ascii="Arial" w:cs="Arial" w:eastAsia="Arial" w:hAnsi="Arial"/>
          <w:sz w:val="18"/>
          <w:szCs w:val="18"/>
          <w:color w:val="auto"/>
        </w:rPr>
        <w:t>), except that (a) the representations and warranties of clause 18.32 (</w:t>
      </w:r>
      <w:r>
        <w:rPr>
          <w:rFonts w:ascii="Arial" w:cs="Arial" w:eastAsia="Arial" w:hAnsi="Arial"/>
          <w:sz w:val="18"/>
          <w:szCs w:val="18"/>
          <w:i w:val="1"/>
          <w:iCs w:val="1"/>
          <w:color w:val="auto"/>
        </w:rPr>
        <w:t>Sanctions</w:t>
      </w:r>
      <w:r>
        <w:rPr>
          <w:rFonts w:ascii="Arial" w:cs="Arial" w:eastAsia="Arial" w:hAnsi="Arial"/>
          <w:sz w:val="18"/>
          <w:szCs w:val="18"/>
          <w:color w:val="auto"/>
        </w:rPr>
        <w:t>) insofar as they relate to Sanctions not imposed by Germany, the European Union or the United Nations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10" w:name="page111"/>
    <w:bookmarkEnd w:id="110"/>
    <w:p>
      <w:pPr>
        <w:jc w:val="both"/>
        <w:ind w:left="540"/>
        <w:spacing w:after="0" w:line="239" w:lineRule="auto"/>
        <w:rPr>
          <w:sz w:val="20"/>
          <w:szCs w:val="20"/>
          <w:color w:val="auto"/>
        </w:rPr>
      </w:pPr>
      <w:r>
        <w:rPr>
          <w:rFonts w:ascii="Arial" w:cs="Arial" w:eastAsia="Arial" w:hAnsi="Arial"/>
          <w:sz w:val="18"/>
          <w:szCs w:val="18"/>
          <w:color w:val="auto"/>
        </w:rPr>
        <w:t>will not be so made and repeated to any Finance Party established under the laws of Germany and/or with a Facility Office in Germany and (b) where a representation or warranty is made in relation to a Manager, such representation or warranty shall not be so made in respect of the Shell Technical Manager and where the term “Manager” is used in this clause 18, it shall be interpreted so as to exclude the Shell Technical Manager.</w:t>
      </w:r>
    </w:p>
    <w:p>
      <w:pPr>
        <w:spacing w:after="0" w:line="16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18.1</w:t>
        <w:tab/>
        <w:t>Status</w:t>
      </w:r>
    </w:p>
    <w:p>
      <w:pPr>
        <w:spacing w:after="0" w:line="220" w:lineRule="exact"/>
        <w:rPr>
          <w:sz w:val="20"/>
          <w:szCs w:val="20"/>
          <w:color w:val="auto"/>
        </w:rPr>
      </w:pPr>
    </w:p>
    <w:p>
      <w:pPr>
        <w:jc w:val="both"/>
        <w:ind w:left="1080" w:hanging="532"/>
        <w:spacing w:after="0" w:line="239"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Each Obligor and each Manager is duly incorporated and validly existing or established under the laws of the jurisdiction of its incorporation or establishment as a limited liability company or corporation or limited partnership (as the case may be) and has no centre of main interests, permanent establishment or place of business outside the jurisdiction in which it is incorporated (save as notified to the Agent) and is in compliance with its Constitutional Documents.</w:t>
      </w:r>
    </w:p>
    <w:p>
      <w:pPr>
        <w:spacing w:after="0" w:line="18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Each Obligor and each Manager has power and authority to carry on its business as it is now being conducted and to own its property and other assets.</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7"/>
          <w:szCs w:val="17"/>
          <w:b w:val="1"/>
          <w:bCs w:val="1"/>
          <w:color w:val="auto"/>
        </w:rPr>
        <w:t>Binding obligations</w:t>
      </w:r>
    </w:p>
    <w:p>
      <w:pPr>
        <w:spacing w:after="0" w:line="220" w:lineRule="exact"/>
        <w:rPr>
          <w:sz w:val="20"/>
          <w:szCs w:val="20"/>
          <w:color w:val="auto"/>
        </w:rPr>
      </w:pPr>
    </w:p>
    <w:p>
      <w:pPr>
        <w:jc w:val="both"/>
        <w:ind w:left="540"/>
        <w:spacing w:after="0" w:line="239" w:lineRule="auto"/>
        <w:rPr>
          <w:sz w:val="20"/>
          <w:szCs w:val="20"/>
          <w:color w:val="auto"/>
        </w:rPr>
      </w:pPr>
      <w:r>
        <w:rPr>
          <w:rFonts w:ascii="Arial" w:cs="Arial" w:eastAsia="Arial" w:hAnsi="Arial"/>
          <w:sz w:val="18"/>
          <w:szCs w:val="18"/>
          <w:color w:val="auto"/>
        </w:rPr>
        <w:t>Subject to the Legal Reservations, the obligations expressed to be assumed by each Obligor in each Finance Document and any Charter Document to which it is, or is to be, a party are or, when entered into by it, will be legal, valid, binding and enforceable obligations and each Security Document to which an Obligor is, or will be, a party, creates or will create the Security Interests which that Security Document purports to create and those Security Interests are or will be valid and effective.</w:t>
      </w:r>
    </w:p>
    <w:p>
      <w:pPr>
        <w:spacing w:after="0" w:line="16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18.3</w:t>
        <w:tab/>
        <w:t>Power and authority</w:t>
      </w:r>
    </w:p>
    <w:p>
      <w:pPr>
        <w:spacing w:after="0" w:line="220" w:lineRule="exact"/>
        <w:rPr>
          <w:sz w:val="20"/>
          <w:szCs w:val="20"/>
          <w:color w:val="auto"/>
        </w:rPr>
      </w:pPr>
    </w:p>
    <w:p>
      <w:pPr>
        <w:jc w:val="both"/>
        <w:ind w:left="1080" w:hanging="532"/>
        <w:spacing w:after="0"/>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Each Obligor has, or will have when entered into by it, power to enter into, perform and deliver and comply with its obligations under, and has taken, or will take when entered into by it, all necessary action to authorise its entry into, each Finance Document and any Charter Document to which it is, or is to be a party and each of the transactions contemplated by those documents.</w:t>
      </w:r>
    </w:p>
    <w:p>
      <w:pPr>
        <w:spacing w:after="0" w:line="189"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 limitation on any Obligor’s powers to borrow, create security or give guarantees will be exceeded as a result of any transaction under, or the entry into of, any Finance Document or any Charter Document to which such Obligor is, or is to be, a party.</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18.4</w:t>
        <w:tab/>
        <w:t>Non-conflict</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The entry into and performance by each Obligor and any Manager of, and the transactions contemplated by the Finance Documents and the Charter Documents and the granting of the Security Interests purported to be created by the Security Documents do not and will not conflict with:</w:t>
      </w:r>
    </w:p>
    <w:p>
      <w:pPr>
        <w:spacing w:after="0" w:line="189" w:lineRule="exact"/>
        <w:rPr>
          <w:sz w:val="20"/>
          <w:szCs w:val="20"/>
          <w:color w:val="auto"/>
        </w:rPr>
      </w:pPr>
    </w:p>
    <w:p>
      <w:pPr>
        <w:ind w:left="1080" w:hanging="532"/>
        <w:spacing w:after="0"/>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any law or regulation applicable to any Obligor or any Manager;</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Constitutional Documents of any Obligor or any Manager; or</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any agreement or other instrument binding upon any Obligor or any Manager or its assets,</w:t>
      </w:r>
    </w:p>
    <w:p>
      <w:pPr>
        <w:spacing w:after="0" w:line="198"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or constitute a default or termination event (however described) under any such agreement or instrument or result in the creation of any Security Interest (save for a Permitted Maritime Lien or under a Security Document) on any such Obligor’s or such Manager’s assets, rights or revenues.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11" w:name="page112"/>
    <w:bookmarkEnd w:id="111"/>
    <w:p>
      <w:pPr>
        <w:spacing w:after="0"/>
        <w:tabs>
          <w:tab w:leader="none" w:pos="520" w:val="left"/>
        </w:tabs>
        <w:rPr>
          <w:sz w:val="20"/>
          <w:szCs w:val="20"/>
          <w:color w:val="auto"/>
        </w:rPr>
      </w:pPr>
      <w:r>
        <w:rPr>
          <w:rFonts w:ascii="Arial" w:cs="Arial" w:eastAsia="Arial" w:hAnsi="Arial"/>
          <w:sz w:val="18"/>
          <w:szCs w:val="18"/>
          <w:b w:val="1"/>
          <w:bCs w:val="1"/>
          <w:color w:val="auto"/>
        </w:rPr>
        <w:t>18.5</w:t>
      </w:r>
      <w:r>
        <w:rPr>
          <w:sz w:val="20"/>
          <w:szCs w:val="20"/>
          <w:color w:val="auto"/>
        </w:rPr>
        <w:tab/>
      </w:r>
      <w:r>
        <w:rPr>
          <w:rFonts w:ascii="Arial" w:cs="Arial" w:eastAsia="Arial" w:hAnsi="Arial"/>
          <w:sz w:val="17"/>
          <w:szCs w:val="17"/>
          <w:b w:val="1"/>
          <w:bCs w:val="1"/>
          <w:color w:val="auto"/>
        </w:rPr>
        <w:t>Validity and admissibility in evidence</w:t>
      </w:r>
    </w:p>
    <w:p>
      <w:pPr>
        <w:spacing w:after="0" w:line="220" w:lineRule="exact"/>
        <w:rPr>
          <w:sz w:val="20"/>
          <w:szCs w:val="20"/>
          <w:color w:val="auto"/>
        </w:rPr>
      </w:pPr>
    </w:p>
    <w:p>
      <w:pPr>
        <w:ind w:left="1080" w:hanging="532"/>
        <w:spacing w:after="0"/>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All authorisations required:</w:t>
      </w:r>
    </w:p>
    <w:p>
      <w:pPr>
        <w:spacing w:after="0" w:line="198" w:lineRule="exact"/>
        <w:rPr>
          <w:rFonts w:ascii="Arial" w:cs="Arial" w:eastAsia="Arial" w:hAnsi="Arial"/>
          <w:sz w:val="18"/>
          <w:szCs w:val="18"/>
          <w:color w:val="auto"/>
        </w:rPr>
      </w:pPr>
    </w:p>
    <w:p>
      <w:pPr>
        <w:ind w:left="1620" w:right="20" w:hanging="532"/>
        <w:spacing w:after="0" w:line="246" w:lineRule="auto"/>
        <w:tabs>
          <w:tab w:leader="none" w:pos="162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to enable each Obligor lawfully to enter into, exercise its rights and comply with its obligations under each Finance Document and any Charter Document to which it is a party;</w:t>
      </w:r>
    </w:p>
    <w:p>
      <w:pPr>
        <w:spacing w:after="0" w:line="183"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to make each Finance Document and any Charter Document to which it is a party admissible in evidence in its Relevant Jurisdiction; and</w:t>
      </w:r>
    </w:p>
    <w:p>
      <w:pPr>
        <w:spacing w:after="0" w:line="183"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to ensure that each of the Security Interests created under the Security Documents has the priority and ranking contemplated by them,</w:t>
      </w:r>
    </w:p>
    <w:p>
      <w:pPr>
        <w:spacing w:after="0" w:line="183" w:lineRule="exact"/>
        <w:rPr>
          <w:sz w:val="20"/>
          <w:szCs w:val="20"/>
          <w:color w:val="auto"/>
        </w:rPr>
      </w:pPr>
    </w:p>
    <w:p>
      <w:pPr>
        <w:jc w:val="both"/>
        <w:ind w:left="1080"/>
        <w:spacing w:after="0"/>
        <w:rPr>
          <w:sz w:val="20"/>
          <w:szCs w:val="20"/>
          <w:color w:val="auto"/>
        </w:rPr>
      </w:pPr>
      <w:r>
        <w:rPr>
          <w:rFonts w:ascii="Arial" w:cs="Arial" w:eastAsia="Arial" w:hAnsi="Arial"/>
          <w:sz w:val="18"/>
          <w:szCs w:val="18"/>
          <w:color w:val="auto"/>
        </w:rPr>
        <w:t>have been obtained or effected or (as the case may be) will be obtained or effected when entered into, and are, or (as the case may be) will be when entered into, in full force and effect except any authorisation or filing referred to in clause 18.12 (</w:t>
      </w:r>
      <w:r>
        <w:rPr>
          <w:rFonts w:ascii="Arial" w:cs="Arial" w:eastAsia="Arial" w:hAnsi="Arial"/>
          <w:sz w:val="18"/>
          <w:szCs w:val="18"/>
          <w:i w:val="1"/>
          <w:iCs w:val="1"/>
          <w:color w:val="auto"/>
        </w:rPr>
        <w:t>No filing or</w:t>
      </w:r>
      <w:r>
        <w:rPr>
          <w:rFonts w:ascii="Arial" w:cs="Arial" w:eastAsia="Arial" w:hAnsi="Arial"/>
          <w:sz w:val="18"/>
          <w:szCs w:val="18"/>
          <w:color w:val="auto"/>
        </w:rPr>
        <w:t xml:space="preserve"> </w:t>
      </w:r>
      <w:r>
        <w:rPr>
          <w:rFonts w:ascii="Arial" w:cs="Arial" w:eastAsia="Arial" w:hAnsi="Arial"/>
          <w:sz w:val="18"/>
          <w:szCs w:val="18"/>
          <w:i w:val="1"/>
          <w:iCs w:val="1"/>
          <w:color w:val="auto"/>
        </w:rPr>
        <w:t>stamp taxes</w:t>
      </w:r>
      <w:r>
        <w:rPr>
          <w:rFonts w:ascii="Arial" w:cs="Arial" w:eastAsia="Arial" w:hAnsi="Arial"/>
          <w:sz w:val="18"/>
          <w:szCs w:val="18"/>
          <w:color w:val="auto"/>
        </w:rPr>
        <w:t>), which authorisation or filing will be promptly obtained or effected within any applicable period.</w:t>
      </w:r>
    </w:p>
    <w:p>
      <w:pPr>
        <w:spacing w:after="0" w:line="189" w:lineRule="exact"/>
        <w:rPr>
          <w:sz w:val="20"/>
          <w:szCs w:val="20"/>
          <w:color w:val="auto"/>
        </w:rPr>
      </w:pPr>
    </w:p>
    <w:p>
      <w:pPr>
        <w:jc w:val="both"/>
        <w:ind w:left="1080" w:hanging="532"/>
        <w:spacing w:after="0"/>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All authorisations necessary for the conduct of the business, trade and ordinary activities of each Obligor and each Manager have been obtained or effected and are in full force and effect if failure to obtain or effect those authorisations might have a Material Adverse Effect.</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18.6</w:t>
      </w:r>
      <w:r>
        <w:rPr>
          <w:sz w:val="20"/>
          <w:szCs w:val="20"/>
          <w:color w:val="auto"/>
        </w:rPr>
        <w:tab/>
      </w:r>
      <w:r>
        <w:rPr>
          <w:rFonts w:ascii="Arial" w:cs="Arial" w:eastAsia="Arial" w:hAnsi="Arial"/>
          <w:sz w:val="17"/>
          <w:szCs w:val="17"/>
          <w:b w:val="1"/>
          <w:bCs w:val="1"/>
          <w:color w:val="auto"/>
        </w:rPr>
        <w:t>Governing law and enforcement</w:t>
      </w:r>
    </w:p>
    <w:p>
      <w:pPr>
        <w:spacing w:after="0" w:line="220" w:lineRule="exact"/>
        <w:rPr>
          <w:sz w:val="20"/>
          <w:szCs w:val="20"/>
          <w:color w:val="auto"/>
        </w:rPr>
      </w:pPr>
    </w:p>
    <w:p>
      <w:pPr>
        <w:ind w:left="1080" w:hanging="532"/>
        <w:spacing w:after="0" w:line="246" w:lineRule="auto"/>
        <w:tabs>
          <w:tab w:leader="none" w:pos="10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Subject to any relevant Legal Reservations, the choice of English law or any other applicable law as the governing law of any Finance Document and any Charter Document will be recognised and enforced in each Obligor’s Relevant Jurisdiction.</w:t>
      </w:r>
    </w:p>
    <w:p>
      <w:pPr>
        <w:spacing w:after="0" w:line="183"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Subject to any relevant Legal Reservations, any judgment obtained in England in relation to an Obligor will be recognised and enforced in each Obligor’s Relevant Jurisdictions.</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18.7</w:t>
        <w:tab/>
        <w:t>Information</w:t>
      </w:r>
    </w:p>
    <w:p>
      <w:pPr>
        <w:spacing w:after="0" w:line="220" w:lineRule="exact"/>
        <w:rPr>
          <w:sz w:val="20"/>
          <w:szCs w:val="20"/>
          <w:color w:val="auto"/>
        </w:rPr>
      </w:pPr>
    </w:p>
    <w:p>
      <w:pPr>
        <w:ind w:left="1080" w:hanging="532"/>
        <w:spacing w:after="0"/>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Any Information is true and accurate in all material respects at the time it was given or made.</w:t>
      </w:r>
    </w:p>
    <w:p>
      <w:pPr>
        <w:spacing w:after="0" w:line="198"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There are no facts or circumstances or any other information which could make the Information incomplete, untrue, inaccurate or misleading in any material respect.</w:t>
      </w:r>
    </w:p>
    <w:p>
      <w:pPr>
        <w:spacing w:after="0" w:line="183"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Information does not omit anything which could make the Information incomplete, untrue, inaccurate or misleading in any material respect.</w:t>
      </w:r>
    </w:p>
    <w:p>
      <w:pPr>
        <w:spacing w:after="0" w:line="183"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All opinions, projections, forecasts or expressions of intention contained in the Information and the assumptions on which they are based were believed to be fair by the person who provided that Information as at the date it was given or made.</w:t>
      </w:r>
    </w:p>
    <w:p>
      <w:pPr>
        <w:spacing w:after="0" w:line="161" w:lineRule="exact"/>
        <w:rPr>
          <w:rFonts w:ascii="Arial" w:cs="Arial" w:eastAsia="Arial" w:hAnsi="Arial"/>
          <w:sz w:val="18"/>
          <w:szCs w:val="18"/>
          <w:color w:val="auto"/>
        </w:rPr>
      </w:pPr>
    </w:p>
    <w:p>
      <w:pPr>
        <w:jc w:val="both"/>
        <w:ind w:left="1080" w:hanging="532"/>
        <w:spacing w:after="0" w:line="253" w:lineRule="auto"/>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For the purposes of this clause 18.7, </w:t>
      </w:r>
      <w:r>
        <w:rPr>
          <w:rFonts w:ascii="Arial" w:cs="Arial" w:eastAsia="Arial" w:hAnsi="Arial"/>
          <w:sz w:val="18"/>
          <w:szCs w:val="18"/>
          <w:b w:val="1"/>
          <w:bCs w:val="1"/>
          <w:color w:val="auto"/>
        </w:rPr>
        <w:t>Information</w:t>
      </w:r>
      <w:r>
        <w:rPr>
          <w:rFonts w:ascii="Arial" w:cs="Arial" w:eastAsia="Arial" w:hAnsi="Arial"/>
          <w:sz w:val="18"/>
          <w:szCs w:val="18"/>
          <w:color w:val="auto"/>
        </w:rPr>
        <w:t xml:space="preserve"> means: any material, factual information provided by or on behalf of any Obligor in writing to any of the Finance Parties in connection with the Finance Documents or the Charter Documents or the transactions referred to in them (including that contained in any information memorandum).</w:t>
      </w:r>
    </w:p>
    <w:p>
      <w:pPr>
        <w:spacing w:after="0" w:line="1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18.8</w:t>
        <w:tab/>
        <w:t>Original Financial Statements</w:t>
      </w:r>
    </w:p>
    <w:p>
      <w:pPr>
        <w:spacing w:after="0" w:line="220" w:lineRule="exact"/>
        <w:rPr>
          <w:sz w:val="20"/>
          <w:szCs w:val="20"/>
          <w:color w:val="auto"/>
        </w:rPr>
      </w:pPr>
    </w:p>
    <w:p>
      <w:pPr>
        <w:ind w:left="5620" w:right="2640" w:hanging="5072"/>
        <w:spacing w:after="0" w:line="465" w:lineRule="auto"/>
        <w:tabs>
          <w:tab w:leader="none" w:pos="109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Original Financial Statements were prepared in accordance with GAAP consistently applied.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12" w:name="page113"/>
    <w:bookmarkEnd w:id="112"/>
    <w:p>
      <w:pPr>
        <w:ind w:left="1080" w:hanging="532"/>
        <w:spacing w:after="0" w:line="246" w:lineRule="auto"/>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Original Financial Statements give a true and fair view of the financial condition and results of operations of the relevant Obligors and the Group (consolidated in the case of the Group and the Guarantors) during the relevant financial year.</w:t>
      </w:r>
    </w:p>
    <w:p>
      <w:pPr>
        <w:spacing w:after="0" w:line="183" w:lineRule="exact"/>
        <w:rPr>
          <w:rFonts w:ascii="Arial" w:cs="Arial" w:eastAsia="Arial" w:hAnsi="Arial"/>
          <w:sz w:val="18"/>
          <w:szCs w:val="18"/>
          <w:color w:val="auto"/>
        </w:rPr>
      </w:pPr>
    </w:p>
    <w:p>
      <w:pPr>
        <w:jc w:val="both"/>
        <w:ind w:left="1080" w:hanging="532"/>
        <w:spacing w:after="0"/>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There has been no change in the assets, business or financial condition or operations of any of the Obligors or the Group taken as a whole since the date of the latest Financial Statements delivered under this Agreement to the Finance Parties which has had or might reasonably be expected to have a Material Adverse Effect.</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18.9</w:t>
        <w:tab/>
        <w:t>Pari passu ranking</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Each Obligor’s payment obligations under the Finance Documents to which it is, or is to be, a party rank at least pari passu with all its other present and future unsecured and unsubordinated payment obligations, except for obligations mandatorily preferred by law applying to companies generally.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18.10 Ranking and effectiveness of security</w:t>
      </w:r>
    </w:p>
    <w:p>
      <w:pPr>
        <w:spacing w:after="0" w:line="220" w:lineRule="exact"/>
        <w:rPr>
          <w:sz w:val="20"/>
          <w:szCs w:val="20"/>
          <w:color w:val="auto"/>
        </w:rPr>
      </w:pPr>
    </w:p>
    <w:p>
      <w:pPr>
        <w:jc w:val="both"/>
        <w:ind w:left="540"/>
        <w:spacing w:after="0" w:line="238" w:lineRule="auto"/>
        <w:rPr>
          <w:sz w:val="20"/>
          <w:szCs w:val="20"/>
          <w:color w:val="auto"/>
        </w:rPr>
      </w:pPr>
      <w:r>
        <w:rPr>
          <w:rFonts w:ascii="Arial" w:cs="Arial" w:eastAsia="Arial" w:hAnsi="Arial"/>
          <w:sz w:val="18"/>
          <w:szCs w:val="18"/>
          <w:color w:val="auto"/>
        </w:rPr>
        <w:t>Subject to the Legal Reservations and any filing, registration or notice requirements which is referred to in any legal opinion delivered to the Security Agent and the Agent under clause 4.1 (</w:t>
      </w:r>
      <w:r>
        <w:rPr>
          <w:rFonts w:ascii="Arial" w:cs="Arial" w:eastAsia="Arial" w:hAnsi="Arial"/>
          <w:sz w:val="18"/>
          <w:szCs w:val="18"/>
          <w:i w:val="1"/>
          <w:iCs w:val="1"/>
          <w:color w:val="auto"/>
        </w:rPr>
        <w:t>Conditions precedent to delivering of a Utilisation Request</w:t>
      </w:r>
      <w:r>
        <w:rPr>
          <w:rFonts w:ascii="Arial" w:cs="Arial" w:eastAsia="Arial" w:hAnsi="Arial"/>
          <w:sz w:val="18"/>
          <w:szCs w:val="18"/>
          <w:color w:val="auto"/>
        </w:rPr>
        <w:t>), the security created by the Security Documents has (or will have when the Security Documents have been executed) the priority which it is expressed to have in the Security Documents, the Charged Property is not subject to any Security Interest other than Permitted Security Interests and such security will constitute perfected security on the assets described in the Security Documents.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18.11 No insolvency</w:t>
      </w:r>
    </w:p>
    <w:p>
      <w:pPr>
        <w:spacing w:after="0" w:line="202" w:lineRule="exact"/>
        <w:rPr>
          <w:sz w:val="20"/>
          <w:szCs w:val="20"/>
          <w:color w:val="auto"/>
        </w:rPr>
      </w:pPr>
    </w:p>
    <w:p>
      <w:pPr>
        <w:jc w:val="both"/>
        <w:ind w:left="540"/>
        <w:spacing w:after="0" w:line="245" w:lineRule="auto"/>
        <w:rPr>
          <w:sz w:val="20"/>
          <w:szCs w:val="20"/>
          <w:color w:val="auto"/>
        </w:rPr>
      </w:pPr>
      <w:r>
        <w:rPr>
          <w:rFonts w:ascii="Arial" w:cs="Arial" w:eastAsia="Arial" w:hAnsi="Arial"/>
          <w:sz w:val="18"/>
          <w:szCs w:val="18"/>
          <w:color w:val="auto"/>
        </w:rPr>
        <w:t>No corporate action, legal proceeding or other procedure or step described in clause 29.9 (</w:t>
      </w:r>
      <w:r>
        <w:rPr>
          <w:rFonts w:ascii="Arial" w:cs="Arial" w:eastAsia="Arial" w:hAnsi="Arial"/>
          <w:sz w:val="18"/>
          <w:szCs w:val="18"/>
          <w:i w:val="1"/>
          <w:iCs w:val="1"/>
          <w:color w:val="auto"/>
        </w:rPr>
        <w:t>Insolvency proceedings</w:t>
      </w:r>
      <w:r>
        <w:rPr>
          <w:rFonts w:ascii="Arial" w:cs="Arial" w:eastAsia="Arial" w:hAnsi="Arial"/>
          <w:sz w:val="18"/>
          <w:szCs w:val="18"/>
          <w:color w:val="auto"/>
        </w:rPr>
        <w:t>) or creditors’ process described in clause 29.10 (</w:t>
      </w:r>
      <w:r>
        <w:rPr>
          <w:rFonts w:ascii="Arial" w:cs="Arial" w:eastAsia="Arial" w:hAnsi="Arial"/>
          <w:sz w:val="18"/>
          <w:szCs w:val="18"/>
          <w:i w:val="1"/>
          <w:iCs w:val="1"/>
          <w:color w:val="auto"/>
        </w:rPr>
        <w:t>Creditors’ process</w:t>
      </w:r>
      <w:r>
        <w:rPr>
          <w:rFonts w:ascii="Arial" w:cs="Arial" w:eastAsia="Arial" w:hAnsi="Arial"/>
          <w:sz w:val="18"/>
          <w:szCs w:val="18"/>
          <w:color w:val="auto"/>
        </w:rPr>
        <w:t>) has been taken or, to the knowledge of any Obligor or any Manager threatened in relation to an Obligor or a Manager or a Subsidiary of an Obligor or a Manager and none of the circumstances described in clause 29.8 (</w:t>
      </w:r>
      <w:r>
        <w:rPr>
          <w:rFonts w:ascii="Arial" w:cs="Arial" w:eastAsia="Arial" w:hAnsi="Arial"/>
          <w:sz w:val="18"/>
          <w:szCs w:val="18"/>
          <w:i w:val="1"/>
          <w:iCs w:val="1"/>
          <w:color w:val="auto"/>
        </w:rPr>
        <w:t>Insolvency</w:t>
      </w:r>
      <w:r>
        <w:rPr>
          <w:rFonts w:ascii="Arial" w:cs="Arial" w:eastAsia="Arial" w:hAnsi="Arial"/>
          <w:sz w:val="18"/>
          <w:szCs w:val="18"/>
          <w:color w:val="auto"/>
        </w:rPr>
        <w:t>) applies to an Obligor or a Manager or a Subsidiary of an Obligor or a Manager.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18.12 No filing or stamp taxes</w:t>
      </w:r>
    </w:p>
    <w:p>
      <w:pPr>
        <w:spacing w:after="0" w:line="220" w:lineRule="exact"/>
        <w:rPr>
          <w:sz w:val="20"/>
          <w:szCs w:val="20"/>
          <w:color w:val="auto"/>
        </w:rPr>
      </w:pPr>
    </w:p>
    <w:p>
      <w:pPr>
        <w:jc w:val="both"/>
        <w:ind w:left="540"/>
        <w:spacing w:after="0" w:line="237" w:lineRule="auto"/>
        <w:rPr>
          <w:sz w:val="20"/>
          <w:szCs w:val="20"/>
          <w:color w:val="auto"/>
        </w:rPr>
      </w:pPr>
      <w:r>
        <w:rPr>
          <w:rFonts w:ascii="Arial" w:cs="Arial" w:eastAsia="Arial" w:hAnsi="Arial"/>
          <w:sz w:val="18"/>
          <w:szCs w:val="18"/>
          <w:color w:val="auto"/>
        </w:rPr>
        <w:t>Under the laws of each Obligor’s Relevant Jurisdictions it is not necessary that any Finance Document or any Charter Document to which it is, or is to be, party be filed, recorded or enrolled with any court or other authority in that jurisdiction or that any stamp, registration, notarial or similar Taxes or fees be paid on or in relation to any such Finance Document or any Charter Document or the transactions contemplated by the Finance Documents or the Charter Documents except any filing, recording or enrolling or any tax or fee payable in relation to any Finance Document or any Charter Document which is referred to in any Legal Opinion and which will be made or paid promptly after the date of the relevant Finance Document or Charter Document.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18.13 Tax</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No Obligor is required to make any deduction for or on account of Tax from any payment it may make under any Finance Document to which it is, or is to be, a party and no other party is required to make any such deduction from any payment it may make under any, Charter Document.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18.14 No Default</w:t>
      </w:r>
    </w:p>
    <w:p>
      <w:pPr>
        <w:spacing w:after="0" w:line="220" w:lineRule="exact"/>
        <w:rPr>
          <w:sz w:val="20"/>
          <w:szCs w:val="20"/>
          <w:color w:val="auto"/>
        </w:rPr>
      </w:pPr>
    </w:p>
    <w:p>
      <w:pPr>
        <w:ind w:left="1080" w:hanging="532"/>
        <w:spacing w:after="0" w:line="246" w:lineRule="auto"/>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No Default is continuing or is reasonably likely expected to result from the making of any Utilisation or the entry into, the performance of, or any transaction contemplated by, any Finance Document or any Charter Document.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13" w:name="page114"/>
    <w:bookmarkEnd w:id="113"/>
    <w:p>
      <w:pPr>
        <w:jc w:val="both"/>
        <w:ind w:left="1080" w:hanging="532"/>
        <w:spacing w:after="0" w:line="239" w:lineRule="auto"/>
        <w:tabs>
          <w:tab w:leader="none" w:pos="10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No other event or circumstance is outstanding which constitutes (or, with the expiry of a grace period, the giving of notice, the making of any determination or any combination of any of the foregoing, would constitute) a default or termination event (however described) under any other agreement or instrument which is binding on any Obligor or any Manager or to which any Obligor’s or any Manager’s assets are subject, which have had or might reasonably be expected to have a Material Adverse Effect.</w:t>
      </w:r>
    </w:p>
    <w:p>
      <w:pPr>
        <w:spacing w:after="0" w:line="18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No other events, conditions, facts or circumstances exist or have arisen or occurred since 31 December 2015, which have had or might reasonably be expected to have a Material Adverse Effect.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18.15 No proceedings pending or threatened</w:t>
      </w:r>
    </w:p>
    <w:p>
      <w:pPr>
        <w:spacing w:after="0" w:line="220" w:lineRule="exact"/>
        <w:rPr>
          <w:sz w:val="20"/>
          <w:szCs w:val="20"/>
          <w:color w:val="auto"/>
        </w:rPr>
      </w:pPr>
    </w:p>
    <w:p>
      <w:pPr>
        <w:jc w:val="both"/>
        <w:ind w:left="540"/>
        <w:spacing w:after="0" w:line="239" w:lineRule="auto"/>
        <w:rPr>
          <w:sz w:val="20"/>
          <w:szCs w:val="20"/>
          <w:color w:val="auto"/>
        </w:rPr>
      </w:pPr>
      <w:r>
        <w:rPr>
          <w:rFonts w:ascii="Arial" w:cs="Arial" w:eastAsia="Arial" w:hAnsi="Arial"/>
          <w:sz w:val="18"/>
          <w:szCs w:val="18"/>
          <w:color w:val="auto"/>
        </w:rPr>
        <w:t>No litigation, arbitration or administrative proceedings or investigations of, or before, any court, arbitral body or agency (including, without limitation, investigative proceedings) which, if adversely determined, might reasonably be expected to have a Material Adverse Effect have (to the best of any Obligor’s or Manager’s knowledge and belief) been started or threatened against any Obligor or any Manager or any Subsidiary of an Obligor.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18.16 No breach of laws</w:t>
      </w:r>
    </w:p>
    <w:p>
      <w:pPr>
        <w:spacing w:after="0" w:line="220" w:lineRule="exact"/>
        <w:rPr>
          <w:sz w:val="20"/>
          <w:szCs w:val="20"/>
          <w:color w:val="auto"/>
        </w:rPr>
      </w:pPr>
    </w:p>
    <w:p>
      <w:pPr>
        <w:ind w:left="1080" w:right="20" w:hanging="532"/>
        <w:spacing w:after="0" w:line="246" w:lineRule="auto"/>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No Obligor or Manager or Subsidiary or an Obligor or a Manager has breached any law or regulation, which breach might reasonably be expected to have a Material Adverse Effect.</w:t>
      </w:r>
    </w:p>
    <w:p>
      <w:pPr>
        <w:spacing w:after="0" w:line="183" w:lineRule="exact"/>
        <w:rPr>
          <w:rFonts w:ascii="Arial" w:cs="Arial" w:eastAsia="Arial" w:hAnsi="Arial"/>
          <w:sz w:val="18"/>
          <w:szCs w:val="18"/>
          <w:color w:val="auto"/>
        </w:rPr>
      </w:pPr>
    </w:p>
    <w:p>
      <w:pPr>
        <w:jc w:val="both"/>
        <w:ind w:left="1080" w:hanging="532"/>
        <w:spacing w:after="0"/>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No labour dispute is current or, to the best of any Obligor’s or any Manager’s knowledge and belief (having made due and careful enquiry), threatened against any Obligor or any Manager or any Subsidiary of an Obligor, which might reasonably be expected to have a Material Adverse Effect.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18.17 Environmental matters</w:t>
      </w:r>
    </w:p>
    <w:p>
      <w:pPr>
        <w:spacing w:after="0" w:line="220" w:lineRule="exact"/>
        <w:rPr>
          <w:sz w:val="20"/>
          <w:szCs w:val="20"/>
          <w:color w:val="auto"/>
        </w:rPr>
      </w:pPr>
    </w:p>
    <w:p>
      <w:pPr>
        <w:ind w:left="1080" w:hanging="532"/>
        <w:spacing w:after="0" w:line="246" w:lineRule="auto"/>
        <w:tabs>
          <w:tab w:leader="none" w:pos="10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No Environmental Law applicable to any Fleet Vessel and/or any Obligor or any Manager or any Subsidiary of an Obligor has been violated in a manner or circumstances which might reasonably be expected to have, a Material Adverse Effect.</w:t>
      </w:r>
    </w:p>
    <w:p>
      <w:pPr>
        <w:spacing w:after="0" w:line="183" w:lineRule="exact"/>
        <w:rPr>
          <w:rFonts w:ascii="Arial" w:cs="Arial" w:eastAsia="Arial" w:hAnsi="Arial"/>
          <w:sz w:val="18"/>
          <w:szCs w:val="18"/>
          <w:color w:val="auto"/>
        </w:rPr>
      </w:pPr>
    </w:p>
    <w:p>
      <w:pPr>
        <w:ind w:left="1080" w:hanging="532"/>
        <w:spacing w:after="0"/>
        <w:tabs>
          <w:tab w:leader="none" w:pos="10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All consents, licences and approvals required under such Environmental Laws have been obtained and are currently in force.</w:t>
      </w:r>
    </w:p>
    <w:p>
      <w:pPr>
        <w:spacing w:after="0" w:line="198" w:lineRule="exact"/>
        <w:rPr>
          <w:rFonts w:ascii="Arial" w:cs="Arial" w:eastAsia="Arial" w:hAnsi="Arial"/>
          <w:sz w:val="18"/>
          <w:szCs w:val="18"/>
          <w:color w:val="auto"/>
        </w:rPr>
      </w:pPr>
    </w:p>
    <w:p>
      <w:pPr>
        <w:jc w:val="both"/>
        <w:ind w:left="1080" w:hanging="532"/>
        <w:spacing w:after="0"/>
        <w:tabs>
          <w:tab w:leader="none" w:pos="10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No Environmental Claim has been made or is pending against any Obligor or any Manager or any Subsidiary of an Obligor or any Fleet Vessel where that claim might reasonably be expected to have a Material Adverse Effect and there has been no Environmental Incident which has given, or might give, rise to such a claim.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18.18 Tax compliance</w:t>
      </w:r>
    </w:p>
    <w:p>
      <w:pPr>
        <w:spacing w:after="0" w:line="220" w:lineRule="exact"/>
        <w:rPr>
          <w:sz w:val="20"/>
          <w:szCs w:val="20"/>
          <w:color w:val="auto"/>
        </w:rPr>
      </w:pPr>
    </w:p>
    <w:p>
      <w:pPr>
        <w:ind w:left="1080" w:hanging="532"/>
        <w:spacing w:after="0" w:line="246" w:lineRule="auto"/>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No Obligor or Manager or any Subsidiary of an Obligor is materially overdue in the filing of any Tax returns or overdue in the payment of any amount in respect of Tax.</w:t>
      </w:r>
    </w:p>
    <w:p>
      <w:pPr>
        <w:spacing w:after="0" w:line="183" w:lineRule="exact"/>
        <w:rPr>
          <w:rFonts w:ascii="Arial" w:cs="Arial" w:eastAsia="Arial" w:hAnsi="Arial"/>
          <w:sz w:val="18"/>
          <w:szCs w:val="18"/>
          <w:color w:val="auto"/>
        </w:rPr>
      </w:pPr>
    </w:p>
    <w:p>
      <w:pPr>
        <w:jc w:val="both"/>
        <w:ind w:left="1080" w:hanging="532"/>
        <w:spacing w:after="0" w:line="239" w:lineRule="auto"/>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No claims or investigations are being made or conducted against any Obligor or any Manager or any Subsidiary of an Obligor with respect to Taxes such that a liability of, or claim against, any Obligor or any Manager or any Subsidiary of an Obligor is reasonably likely to arise for an amount for which adequate reserves have not been provided in the Original Financial Statements and which might reasonably be expected to have a Material Adverse Effect.</w:t>
      </w:r>
    </w:p>
    <w:p>
      <w:pPr>
        <w:spacing w:after="0" w:line="188"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Except as advised in writing to the Agent prior to the date of this Agreement, each Obligor and each Manager is resident for Tax purposes only in the jurisdiction of its incorporation.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18.19 Anti-corruption law</w:t>
      </w:r>
    </w:p>
    <w:p>
      <w:pPr>
        <w:spacing w:after="0" w:line="220" w:lineRule="exact"/>
        <w:rPr>
          <w:sz w:val="20"/>
          <w:szCs w:val="20"/>
          <w:color w:val="auto"/>
        </w:rPr>
      </w:pPr>
    </w:p>
    <w:p>
      <w:pPr>
        <w:ind w:left="540"/>
        <w:spacing w:after="0" w:line="246" w:lineRule="auto"/>
        <w:rPr>
          <w:sz w:val="20"/>
          <w:szCs w:val="20"/>
          <w:color w:val="auto"/>
        </w:rPr>
      </w:pPr>
      <w:r>
        <w:rPr>
          <w:rFonts w:ascii="Arial" w:cs="Arial" w:eastAsia="Arial" w:hAnsi="Arial"/>
          <w:sz w:val="18"/>
          <w:szCs w:val="18"/>
          <w:color w:val="auto"/>
        </w:rPr>
        <w:t>Each Group Member has conducted its businesses in compliance with applicable anti-corruption and anti-bribery laws and has instituted and maintained policies and procedures designed to promote and achieve compliance with such laws.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18.20 Security and Financial Indebtedness</w:t>
      </w:r>
    </w:p>
    <w:p>
      <w:pPr>
        <w:spacing w:after="0" w:line="220" w:lineRule="exact"/>
        <w:rPr>
          <w:sz w:val="20"/>
          <w:szCs w:val="20"/>
          <w:color w:val="auto"/>
        </w:rPr>
      </w:pPr>
    </w:p>
    <w:p>
      <w:pPr>
        <w:ind w:left="1080" w:hanging="532"/>
        <w:spacing w:after="0" w:line="246" w:lineRule="auto"/>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No Security Interest exists over all or any of the present or future assets of any Borrower in breach of this Agreement, other than Permitted Security Interests.</w:t>
      </w:r>
    </w:p>
    <w:p>
      <w:pPr>
        <w:spacing w:after="0" w:line="183" w:lineRule="exact"/>
        <w:rPr>
          <w:rFonts w:ascii="Arial" w:cs="Arial" w:eastAsia="Arial" w:hAnsi="Arial"/>
          <w:sz w:val="18"/>
          <w:szCs w:val="18"/>
          <w:color w:val="auto"/>
        </w:rPr>
      </w:pPr>
    </w:p>
    <w:p>
      <w:pPr>
        <w:ind w:left="1080" w:hanging="532"/>
        <w:spacing w:after="0"/>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No Borrower has any Financial Indebtedness outstanding in breach of this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18.21 Legal and beneficial ownership</w:t>
      </w:r>
    </w:p>
    <w:p>
      <w:pPr>
        <w:spacing w:after="0" w:line="220" w:lineRule="exact"/>
        <w:rPr>
          <w:sz w:val="20"/>
          <w:szCs w:val="20"/>
          <w:color w:val="auto"/>
        </w:rPr>
      </w:pPr>
    </w:p>
    <w:p>
      <w:pPr>
        <w:ind w:left="1080" w:hanging="532"/>
        <w:spacing w:after="0"/>
        <w:tabs>
          <w:tab w:leader="none" w:pos="10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Ownership of assets</w:t>
      </w:r>
    </w:p>
    <w:p>
      <w:pPr>
        <w:spacing w:after="0" w:line="198" w:lineRule="exact"/>
        <w:rPr>
          <w:rFonts w:ascii="Arial" w:cs="Arial" w:eastAsia="Arial" w:hAnsi="Arial"/>
          <w:sz w:val="18"/>
          <w:szCs w:val="18"/>
          <w:color w:val="auto"/>
        </w:rPr>
      </w:pPr>
    </w:p>
    <w:p>
      <w:pPr>
        <w:jc w:val="both"/>
        <w:ind w:left="1080"/>
        <w:spacing w:after="0"/>
        <w:rPr>
          <w:rFonts w:ascii="Arial" w:cs="Arial" w:eastAsia="Arial" w:hAnsi="Arial"/>
          <w:sz w:val="18"/>
          <w:szCs w:val="18"/>
          <w:color w:val="auto"/>
        </w:rPr>
      </w:pPr>
      <w:r>
        <w:rPr>
          <w:rFonts w:ascii="Arial" w:cs="Arial" w:eastAsia="Arial" w:hAnsi="Arial"/>
          <w:sz w:val="18"/>
          <w:szCs w:val="18"/>
          <w:color w:val="auto"/>
        </w:rPr>
        <w:t>Each Obligor is or, on the date the Security Documents to which it is a party are entered into, will be, the sole legal and beneficial owner of the respective assets over which it purports to grant a Security Interest under the Security Documents, to which it is a party.</w:t>
      </w:r>
    </w:p>
    <w:p>
      <w:pPr>
        <w:spacing w:after="0" w:line="189" w:lineRule="exact"/>
        <w:rPr>
          <w:rFonts w:ascii="Arial" w:cs="Arial" w:eastAsia="Arial" w:hAnsi="Arial"/>
          <w:sz w:val="18"/>
          <w:szCs w:val="18"/>
          <w:color w:val="auto"/>
        </w:rPr>
      </w:pPr>
    </w:p>
    <w:p>
      <w:pPr>
        <w:ind w:left="1080" w:hanging="532"/>
        <w:spacing w:after="0"/>
        <w:tabs>
          <w:tab w:leader="none" w:pos="10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Ownership of shares</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Each Borrower is a wholly-owned direct Subsidiary of GasLog Carriers.</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GasLog Carriers is a wholly-owned direct Subsidiary of the Parent.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18.22 Shares</w:t>
      </w:r>
    </w:p>
    <w:p>
      <w:pPr>
        <w:spacing w:after="0" w:line="220" w:lineRule="exact"/>
        <w:rPr>
          <w:sz w:val="20"/>
          <w:szCs w:val="20"/>
          <w:color w:val="auto"/>
        </w:rPr>
      </w:pPr>
    </w:p>
    <w:p>
      <w:pPr>
        <w:jc w:val="both"/>
        <w:ind w:left="540"/>
        <w:spacing w:after="0" w:line="239" w:lineRule="auto"/>
        <w:rPr>
          <w:sz w:val="20"/>
          <w:szCs w:val="20"/>
          <w:color w:val="auto"/>
        </w:rPr>
      </w:pPr>
      <w:r>
        <w:rPr>
          <w:rFonts w:ascii="Arial" w:cs="Arial" w:eastAsia="Arial" w:hAnsi="Arial"/>
          <w:sz w:val="18"/>
          <w:szCs w:val="18"/>
          <w:color w:val="auto"/>
        </w:rPr>
        <w:t>The shares of each Owner are fully paid and not subject to any option to purchase or similar rights. The Constitutional Documents of each Owner do not and could not restrict or inhibit any transfer of those shares on creation or enforcement of the Security Documents. There are no agreements in force which provide for the issue or allotment of, or grant any person the right to call for the issue or allotment of, any share or loan capital of each Owner (including any option or right of pre-emption or conversion).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18.23 Accounting Reference Date</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financial year-end of each Obligor is the Accounting Reference 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18.24 No adverse consequences</w:t>
      </w:r>
    </w:p>
    <w:p>
      <w:pPr>
        <w:spacing w:after="0" w:line="220" w:lineRule="exact"/>
        <w:rPr>
          <w:sz w:val="20"/>
          <w:szCs w:val="20"/>
          <w:color w:val="auto"/>
        </w:rPr>
      </w:pPr>
    </w:p>
    <w:p>
      <w:pPr>
        <w:ind w:left="1080" w:hanging="532"/>
        <w:spacing w:after="0"/>
        <w:tabs>
          <w:tab w:leader="none" w:pos="10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It is not necessary under the laws of the Relevant Jurisdictions of any Obligor:</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in order to enable any Finance Party to enforce its rights under any Finance Document; or</w:t>
      </w:r>
    </w:p>
    <w:p>
      <w:pPr>
        <w:spacing w:after="0" w:line="198" w:lineRule="exact"/>
        <w:rPr>
          <w:rFonts w:ascii="Arial" w:cs="Arial" w:eastAsia="Arial" w:hAnsi="Arial"/>
          <w:sz w:val="18"/>
          <w:szCs w:val="18"/>
          <w:color w:val="auto"/>
        </w:rPr>
      </w:pPr>
    </w:p>
    <w:p>
      <w:pPr>
        <w:ind w:left="1620" w:right="20" w:hanging="532"/>
        <w:spacing w:after="0" w:line="246" w:lineRule="auto"/>
        <w:tabs>
          <w:tab w:leader="none" w:pos="162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by reason of the execution of any Finance Document or the performance by any Obligor of its obligations under any Finance Document to which it is, or is to be, a party,</w:t>
      </w:r>
    </w:p>
    <w:p>
      <w:pPr>
        <w:spacing w:after="0" w:line="183" w:lineRule="exact"/>
        <w:rPr>
          <w:sz w:val="20"/>
          <w:szCs w:val="20"/>
          <w:color w:val="auto"/>
        </w:rPr>
      </w:pPr>
    </w:p>
    <w:p>
      <w:pPr>
        <w:ind w:left="1080"/>
        <w:spacing w:after="0" w:line="246" w:lineRule="auto"/>
        <w:rPr>
          <w:sz w:val="20"/>
          <w:szCs w:val="20"/>
          <w:color w:val="auto"/>
        </w:rPr>
      </w:pPr>
      <w:r>
        <w:rPr>
          <w:rFonts w:ascii="Arial" w:cs="Arial" w:eastAsia="Arial" w:hAnsi="Arial"/>
          <w:sz w:val="18"/>
          <w:szCs w:val="18"/>
          <w:color w:val="auto"/>
        </w:rPr>
        <w:t>that any Finance Party should be licensed, qualified or otherwise entitled to carry on business in any of such Relevant Jurisdictions.</w:t>
      </w:r>
    </w:p>
    <w:p>
      <w:pPr>
        <w:spacing w:after="0" w:line="183" w:lineRule="exact"/>
        <w:rPr>
          <w:sz w:val="20"/>
          <w:szCs w:val="20"/>
          <w:color w:val="auto"/>
        </w:rPr>
      </w:pPr>
    </w:p>
    <w:p>
      <w:pPr>
        <w:ind w:left="1080" w:hanging="532"/>
        <w:spacing w:after="0" w:line="246" w:lineRule="auto"/>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No Finance Party is or will be deemed to be resident, domiciled or carrying on business in any Relevant Jurisdiction by reason only of the execution, performance and/or enforcement of any Finance Document.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18.25 Copies of documents</w:t>
      </w:r>
    </w:p>
    <w:p>
      <w:pPr>
        <w:spacing w:after="0" w:line="220" w:lineRule="exact"/>
        <w:rPr>
          <w:sz w:val="20"/>
          <w:szCs w:val="20"/>
          <w:color w:val="auto"/>
        </w:rPr>
      </w:pPr>
    </w:p>
    <w:p>
      <w:pPr>
        <w:jc w:val="both"/>
        <w:ind w:left="540"/>
        <w:spacing w:after="0" w:line="238" w:lineRule="auto"/>
        <w:rPr>
          <w:sz w:val="20"/>
          <w:szCs w:val="20"/>
          <w:color w:val="auto"/>
        </w:rPr>
      </w:pPr>
      <w:r>
        <w:rPr>
          <w:rFonts w:ascii="Arial" w:cs="Arial" w:eastAsia="Arial" w:hAnsi="Arial"/>
          <w:sz w:val="18"/>
          <w:szCs w:val="18"/>
          <w:color w:val="auto"/>
        </w:rPr>
        <w:t>The copies of the Charter Documents and the Constitutional Documents of the Obligors delivered to the Agent under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 will, as at their delivery dates, be true, complete and accurate copies of such documents and include all amendments and supplements to them as at the time of such delivery and no other agreements or arrangements exist between any of the parties to any Charter Document which would materially affect the transactions or arrangements contemplated by any Charter Document or modify or release the obligations of any party under that Charter Document.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18.26 No breach of any Charter Document</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No Obligor nor (so far as the Obligors are aware) any other person is in breach of any Charter Document to which it is a party nor has anything occurred which entitles or may entitle any party to any Charter Document to rescind or terminate it or decline to perform their obligations under it.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18.27 No immunity</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 Obligor or any of its assets is immune to any legal action or proceeding.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18.28 Ship status</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Each Ship will on the first day of the relevant Mortgage Period be:</w:t>
      </w:r>
    </w:p>
    <w:p>
      <w:pPr>
        <w:spacing w:after="0" w:line="198" w:lineRule="exact"/>
        <w:rPr>
          <w:sz w:val="20"/>
          <w:szCs w:val="20"/>
          <w:color w:val="auto"/>
        </w:rPr>
      </w:pPr>
    </w:p>
    <w:p>
      <w:pPr>
        <w:ind w:left="1080" w:right="20" w:hanging="532"/>
        <w:spacing w:after="0" w:line="246" w:lineRule="auto"/>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registered in the name of the relevant Owner through the relevant Registry as a registered ship under the laws and flag of the relevant Flag State;</w:t>
      </w:r>
    </w:p>
    <w:p>
      <w:pPr>
        <w:spacing w:after="0" w:line="183" w:lineRule="exact"/>
        <w:rPr>
          <w:rFonts w:ascii="Arial" w:cs="Arial" w:eastAsia="Arial" w:hAnsi="Arial"/>
          <w:sz w:val="18"/>
          <w:szCs w:val="18"/>
          <w:color w:val="auto"/>
        </w:rPr>
      </w:pPr>
    </w:p>
    <w:p>
      <w:pPr>
        <w:ind w:left="1080" w:hanging="532"/>
        <w:spacing w:after="0"/>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operationally seaworthy and in every way fit for service;</w:t>
      </w:r>
    </w:p>
    <w:p>
      <w:pPr>
        <w:spacing w:after="0" w:line="19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classed with the relevant Classification with the highest class free of all requirements and recommendations of the relevant Classification Society; and</w:t>
      </w:r>
    </w:p>
    <w:p>
      <w:pPr>
        <w:spacing w:after="0" w:line="183" w:lineRule="exact"/>
        <w:rPr>
          <w:rFonts w:ascii="Arial" w:cs="Arial" w:eastAsia="Arial" w:hAnsi="Arial"/>
          <w:sz w:val="18"/>
          <w:szCs w:val="18"/>
          <w:color w:val="auto"/>
        </w:rPr>
      </w:pPr>
    </w:p>
    <w:p>
      <w:pPr>
        <w:ind w:left="1080" w:hanging="532"/>
        <w:spacing w:after="0"/>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insured in the manner required by the Finance Documents.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18.29 Ship’s employment</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Each Ship, on the first day of its Mortgage Period:</w:t>
      </w:r>
    </w:p>
    <w:p>
      <w:pPr>
        <w:spacing w:after="0" w:line="198" w:lineRule="exact"/>
        <w:rPr>
          <w:sz w:val="20"/>
          <w:szCs w:val="20"/>
          <w:color w:val="auto"/>
        </w:rPr>
      </w:pPr>
    </w:p>
    <w:p>
      <w:pPr>
        <w:ind w:left="1080" w:hanging="532"/>
        <w:spacing w:after="0" w:line="246" w:lineRule="auto"/>
        <w:tabs>
          <w:tab w:leader="none" w:pos="10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has been delivered, and accepted for service, under its Charter (except in the case of Ship F, Ship G and Ship H which have been delivered for service under the Cool Pool Arrangements); and</w:t>
      </w:r>
    </w:p>
    <w:p>
      <w:pPr>
        <w:spacing w:after="0" w:line="183" w:lineRule="exact"/>
        <w:rPr>
          <w:rFonts w:ascii="Arial" w:cs="Arial" w:eastAsia="Arial" w:hAnsi="Arial"/>
          <w:sz w:val="18"/>
          <w:szCs w:val="18"/>
          <w:color w:val="auto"/>
        </w:rPr>
      </w:pPr>
    </w:p>
    <w:p>
      <w:pPr>
        <w:jc w:val="both"/>
        <w:ind w:left="1080" w:hanging="532"/>
        <w:spacing w:after="0"/>
        <w:tabs>
          <w:tab w:leader="none" w:pos="10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is free of any other charter commitment which, if entered into after that date, would require approval under the Finance Documents (except in the case of Ship F, Ship G and Ship H and only in respect of any Cool Pool Arrangements to which such Ships are subject and which are hereby approved).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18.30 Address commission</w:t>
      </w:r>
    </w:p>
    <w:p>
      <w:pPr>
        <w:spacing w:after="0" w:line="220" w:lineRule="exact"/>
        <w:rPr>
          <w:sz w:val="20"/>
          <w:szCs w:val="20"/>
          <w:color w:val="auto"/>
        </w:rPr>
      </w:pPr>
    </w:p>
    <w:p>
      <w:pPr>
        <w:jc w:val="both"/>
        <w:ind w:left="540"/>
        <w:spacing w:after="0" w:line="246" w:lineRule="auto"/>
        <w:rPr>
          <w:sz w:val="20"/>
          <w:szCs w:val="20"/>
          <w:color w:val="auto"/>
        </w:rPr>
      </w:pPr>
      <w:r>
        <w:rPr>
          <w:rFonts w:ascii="Arial" w:cs="Arial" w:eastAsia="Arial" w:hAnsi="Arial"/>
          <w:sz w:val="18"/>
          <w:szCs w:val="18"/>
          <w:color w:val="auto"/>
        </w:rPr>
        <w:t>Save for any brokerage fees paid to Poten &amp; Partners Inc., there are no rebates, commissions or other payments in connection with any Charter other than those referred to in it.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18.31 Money Laundering</w:t>
      </w:r>
    </w:p>
    <w:p>
      <w:pPr>
        <w:spacing w:after="0" w:line="220" w:lineRule="exact"/>
        <w:rPr>
          <w:sz w:val="20"/>
          <w:szCs w:val="20"/>
          <w:color w:val="auto"/>
        </w:rPr>
      </w:pPr>
    </w:p>
    <w:p>
      <w:pPr>
        <w:jc w:val="both"/>
        <w:ind w:left="540"/>
        <w:spacing w:after="0" w:line="238" w:lineRule="auto"/>
        <w:rPr>
          <w:sz w:val="20"/>
          <w:szCs w:val="20"/>
          <w:color w:val="auto"/>
        </w:rPr>
      </w:pPr>
      <w:r>
        <w:rPr>
          <w:rFonts w:ascii="Arial" w:cs="Arial" w:eastAsia="Arial" w:hAnsi="Arial"/>
          <w:sz w:val="18"/>
          <w:szCs w:val="18"/>
          <w:color w:val="auto"/>
        </w:rPr>
        <w:t>In relation to the borrowing by each Borrower of the Loans, the performance and discharge of its obligations and liabilities under the Finance Documents, and the transactions and other arrangements effected or contemplated by the Finance Documents to which each Borrower is a party, each Borrower confirms (i) that it is acting for its own account; (ii) that it will use the proceeds of the Loans for its own benefit, under its full responsibility and exclusively for the purposes specified in this Agreement; and (iii) that the foregoing will not involve or lead to a</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16" w:name="page117"/>
    <w:bookmarkEnd w:id="116"/>
    <w:p>
      <w:pPr>
        <w:ind w:left="540"/>
        <w:spacing w:after="0" w:line="246" w:lineRule="auto"/>
        <w:rPr>
          <w:sz w:val="20"/>
          <w:szCs w:val="20"/>
          <w:color w:val="auto"/>
        </w:rPr>
      </w:pPr>
      <w:r>
        <w:rPr>
          <w:rFonts w:ascii="Arial" w:cs="Arial" w:eastAsia="Arial" w:hAnsi="Arial"/>
          <w:sz w:val="18"/>
          <w:szCs w:val="18"/>
          <w:color w:val="auto"/>
        </w:rPr>
        <w:t>contravention of any law, official requirement or other regulatory measure or procedure which has been implemented to combat Money Laundering (as defined in clause 21.14 (</w:t>
      </w:r>
      <w:r>
        <w:rPr>
          <w:rFonts w:ascii="Arial" w:cs="Arial" w:eastAsia="Arial" w:hAnsi="Arial"/>
          <w:sz w:val="18"/>
          <w:szCs w:val="18"/>
          <w:i w:val="1"/>
          <w:iCs w:val="1"/>
          <w:color w:val="auto"/>
        </w:rPr>
        <w:t>Bribery and corruption</w:t>
      </w:r>
      <w:r>
        <w:rPr>
          <w:rFonts w:ascii="Arial" w:cs="Arial" w:eastAsia="Arial" w:hAnsi="Arial"/>
          <w:sz w:val="18"/>
          <w:szCs w:val="18"/>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18.32 Sanctions</w:t>
      </w:r>
    </w:p>
    <w:p>
      <w:pPr>
        <w:spacing w:after="0" w:line="220" w:lineRule="exact"/>
        <w:rPr>
          <w:sz w:val="20"/>
          <w:szCs w:val="20"/>
          <w:color w:val="auto"/>
        </w:rPr>
      </w:pPr>
    </w:p>
    <w:p>
      <w:pPr>
        <w:ind w:left="1080" w:hanging="532"/>
        <w:spacing w:after="0" w:line="246" w:lineRule="auto"/>
        <w:tabs>
          <w:tab w:leader="none" w:pos="10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No Ship is a vessel with which any individual, entity or any other person is prohibited or restricted from dealing with under any Sanctions;</w:t>
      </w:r>
    </w:p>
    <w:p>
      <w:pPr>
        <w:spacing w:after="0" w:line="183" w:lineRule="exact"/>
        <w:rPr>
          <w:rFonts w:ascii="Arial" w:cs="Arial" w:eastAsia="Arial" w:hAnsi="Arial"/>
          <w:sz w:val="18"/>
          <w:szCs w:val="18"/>
          <w:color w:val="auto"/>
        </w:rPr>
      </w:pPr>
    </w:p>
    <w:p>
      <w:pPr>
        <w:ind w:left="1080" w:hanging="532"/>
        <w:spacing w:after="0"/>
        <w:tabs>
          <w:tab w:leader="none" w:pos="10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No Obligor nor any other Group Member, nor any of their respective directors or officers:</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is a Prohibited Person;</w:t>
      </w:r>
    </w:p>
    <w:p>
      <w:pPr>
        <w:spacing w:after="0" w:line="198"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is subject to or the target of any action by any regulatory or enforcement authority or third party in relation to any Sanctions of any Sanctions Authority;</w:t>
      </w:r>
    </w:p>
    <w:p>
      <w:pPr>
        <w:spacing w:after="0" w:line="183" w:lineRule="exact"/>
        <w:rPr>
          <w:rFonts w:ascii="Arial" w:cs="Arial" w:eastAsia="Arial" w:hAnsi="Arial"/>
          <w:sz w:val="18"/>
          <w:szCs w:val="18"/>
          <w:color w:val="auto"/>
        </w:rPr>
      </w:pPr>
    </w:p>
    <w:p>
      <w:pPr>
        <w:ind w:left="1620" w:hanging="532"/>
        <w:spacing w:after="0"/>
        <w:tabs>
          <w:tab w:leader="none" w:pos="162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is owned or controlled by, or acting directly or indirectly on behalf of or for the benefit of, a Prohibited Person;</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owns or controls a Prohibited Person;</w:t>
      </w:r>
    </w:p>
    <w:p>
      <w:pPr>
        <w:spacing w:after="0" w:line="198"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is located or resident in, organised or incorporated under the laws of, a country or territory subject to country-wide or territory-wide Sanctions;</w:t>
      </w:r>
    </w:p>
    <w:p>
      <w:pPr>
        <w:spacing w:after="0" w:line="183" w:lineRule="exact"/>
        <w:rPr>
          <w:rFonts w:ascii="Arial" w:cs="Arial" w:eastAsia="Arial" w:hAnsi="Arial"/>
          <w:sz w:val="18"/>
          <w:szCs w:val="18"/>
          <w:color w:val="auto"/>
        </w:rPr>
      </w:pPr>
    </w:p>
    <w:p>
      <w:pPr>
        <w:ind w:left="1620" w:hanging="532"/>
        <w:spacing w:after="0"/>
        <w:tabs>
          <w:tab w:leader="none" w:pos="162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is in breach of Sanctions; or</w:t>
      </w:r>
    </w:p>
    <w:p>
      <w:pPr>
        <w:spacing w:after="0" w:line="198" w:lineRule="exact"/>
        <w:rPr>
          <w:rFonts w:ascii="Arial" w:cs="Arial" w:eastAsia="Arial" w:hAnsi="Arial"/>
          <w:sz w:val="18"/>
          <w:szCs w:val="18"/>
          <w:color w:val="auto"/>
        </w:rPr>
      </w:pPr>
    </w:p>
    <w:p>
      <w:pPr>
        <w:ind w:left="1620" w:right="20" w:hanging="532"/>
        <w:spacing w:after="0" w:line="246" w:lineRule="auto"/>
        <w:tabs>
          <w:tab w:leader="none" w:pos="162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has received notice of or is aware of any claim, action, suit, proceeding or investigation against it with respect to Sanctions by any Sanctions Authority.</w:t>
      </w:r>
    </w:p>
    <w:p>
      <w:pPr>
        <w:spacing w:after="0" w:line="183"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Any capitalised terms referred to in paragraphs (a) and (b) above shall have the meanings given to them in clause 21.11 (</w:t>
      </w:r>
      <w:r>
        <w:rPr>
          <w:rFonts w:ascii="Arial" w:cs="Arial" w:eastAsia="Arial" w:hAnsi="Arial"/>
          <w:sz w:val="18"/>
          <w:szCs w:val="18"/>
          <w:i w:val="1"/>
          <w:iCs w:val="1"/>
          <w:color w:val="auto"/>
        </w:rPr>
        <w:t>Sanctions</w:t>
      </w:r>
      <w:r>
        <w:rPr>
          <w:rFonts w:ascii="Arial" w:cs="Arial" w:eastAsia="Arial" w:hAnsi="Arial"/>
          <w:sz w:val="18"/>
          <w:szCs w:val="18"/>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18.33 Times when representations are made</w:t>
      </w:r>
    </w:p>
    <w:p>
      <w:pPr>
        <w:spacing w:after="0" w:line="220" w:lineRule="exact"/>
        <w:rPr>
          <w:sz w:val="20"/>
          <w:szCs w:val="20"/>
          <w:color w:val="auto"/>
        </w:rPr>
      </w:pPr>
    </w:p>
    <w:p>
      <w:pPr>
        <w:ind w:left="1080" w:right="20" w:hanging="532"/>
        <w:spacing w:after="0" w:line="246" w:lineRule="auto"/>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All of the representations and warranties set out in this clause 18 (other than Ship Representations) are deemed to be made on the date of this Agreement.</w:t>
      </w:r>
    </w:p>
    <w:p>
      <w:pPr>
        <w:spacing w:after="0" w:line="183" w:lineRule="exact"/>
        <w:rPr>
          <w:rFonts w:ascii="Arial" w:cs="Arial" w:eastAsia="Arial" w:hAnsi="Arial"/>
          <w:sz w:val="18"/>
          <w:szCs w:val="18"/>
          <w:color w:val="auto"/>
        </w:rPr>
      </w:pPr>
    </w:p>
    <w:p>
      <w:pPr>
        <w:jc w:val="both"/>
        <w:ind w:left="1080" w:hanging="532"/>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Repeating Representations are also deemed to be made and repeated on the dates of each Utilisation Request, each Utilisation Date, the date of issuance of each Compliance Certificate and the first day of each Interest Period and, in the case of the representation in clause 18.7 (</w:t>
      </w:r>
      <w:r>
        <w:rPr>
          <w:rFonts w:ascii="Arial" w:cs="Arial" w:eastAsia="Arial" w:hAnsi="Arial"/>
          <w:sz w:val="18"/>
          <w:szCs w:val="18"/>
          <w:i w:val="1"/>
          <w:iCs w:val="1"/>
          <w:color w:val="auto"/>
        </w:rPr>
        <w:t>Information</w:t>
      </w:r>
      <w:r>
        <w:rPr>
          <w:rFonts w:ascii="Arial" w:cs="Arial" w:eastAsia="Arial" w:hAnsi="Arial"/>
          <w:sz w:val="18"/>
          <w:szCs w:val="18"/>
          <w:color w:val="auto"/>
        </w:rPr>
        <w:t>), on the date of primary syndication of the Facilities.</w:t>
      </w:r>
    </w:p>
    <w:p>
      <w:pPr>
        <w:spacing w:after="0" w:line="189"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All of the Ship Representations are deemed to be made and repeated on the first day of the Mortgage Period for the relevant Ship.</w:t>
      </w:r>
    </w:p>
    <w:p>
      <w:pPr>
        <w:spacing w:after="0" w:line="183"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Each representation or warranty deemed to be made and repeated after the date of this Agreement shall be deemed to be made by reference to the facts and circumstances then existing at the date the representation or warranty is deemed to be made.</w:t>
      </w:r>
    </w:p>
    <w:p>
      <w:pPr>
        <w:spacing w:after="0" w:line="161" w:lineRule="exact"/>
        <w:rPr>
          <w:sz w:val="20"/>
          <w:szCs w:val="20"/>
          <w:color w:val="auto"/>
        </w:rPr>
      </w:pPr>
    </w:p>
    <w:p>
      <w:pPr>
        <w:ind w:left="540" w:hanging="532"/>
        <w:spacing w:after="0"/>
        <w:tabs>
          <w:tab w:leader="none" w:pos="54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undertakings</w:t>
      </w:r>
    </w:p>
    <w:p>
      <w:pPr>
        <w:spacing w:after="0" w:line="220" w:lineRule="exact"/>
        <w:rPr>
          <w:rFonts w:ascii="Arial" w:cs="Arial" w:eastAsia="Arial" w:hAnsi="Arial"/>
          <w:sz w:val="18"/>
          <w:szCs w:val="18"/>
          <w:b w:val="1"/>
          <w:bCs w:val="1"/>
          <w:color w:val="auto"/>
        </w:rPr>
      </w:pPr>
    </w:p>
    <w:p>
      <w:pPr>
        <w:ind w:left="540" w:right="3260"/>
        <w:spacing w:after="0" w:line="457" w:lineRule="auto"/>
        <w:rPr>
          <w:rFonts w:ascii="Arial" w:cs="Arial" w:eastAsia="Arial" w:hAnsi="Arial"/>
          <w:sz w:val="18"/>
          <w:szCs w:val="18"/>
          <w:b w:val="1"/>
          <w:bCs w:val="1"/>
          <w:color w:val="auto"/>
        </w:rPr>
      </w:pPr>
      <w:r>
        <w:rPr>
          <w:rFonts w:ascii="Arial" w:cs="Arial" w:eastAsia="Arial" w:hAnsi="Arial"/>
          <w:sz w:val="18"/>
          <w:szCs w:val="18"/>
          <w:color w:val="auto"/>
        </w:rPr>
        <w:t>Each Obligor undertakes that this clause 19 will be complied with throughout the Facility Period. In this clause 19:</w:t>
      </w:r>
    </w:p>
    <w:p>
      <w:pPr>
        <w:ind w:left="540"/>
        <w:spacing w:after="0" w:line="271" w:lineRule="auto"/>
        <w:rPr>
          <w:sz w:val="20"/>
          <w:szCs w:val="20"/>
          <w:color w:val="auto"/>
        </w:rPr>
      </w:pPr>
      <w:r>
        <w:rPr>
          <w:rFonts w:ascii="Arial" w:cs="Arial" w:eastAsia="Arial" w:hAnsi="Arial"/>
          <w:sz w:val="18"/>
          <w:szCs w:val="18"/>
          <w:b w:val="1"/>
          <w:bCs w:val="1"/>
          <w:color w:val="auto"/>
        </w:rPr>
        <w:t xml:space="preserve">Annual Financial Statements </w:t>
      </w:r>
      <w:r>
        <w:rPr>
          <w:rFonts w:ascii="Arial" w:cs="Arial" w:eastAsia="Arial" w:hAnsi="Arial"/>
          <w:sz w:val="18"/>
          <w:szCs w:val="18"/>
          <w:color w:val="auto"/>
        </w:rPr>
        <w:t>means each of the financial statements for a financial year of the Group, the Borrowers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Guarantors, respectively, delivered pursuant to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17" w:name="page118"/>
    <w:bookmarkEnd w:id="117"/>
    <w:p>
      <w:pPr>
        <w:ind w:left="540"/>
        <w:spacing w:after="0" w:line="271" w:lineRule="auto"/>
        <w:rPr>
          <w:sz w:val="20"/>
          <w:szCs w:val="20"/>
          <w:color w:val="auto"/>
        </w:rPr>
      </w:pPr>
      <w:r>
        <w:rPr>
          <w:rFonts w:ascii="Arial" w:cs="Arial" w:eastAsia="Arial" w:hAnsi="Arial"/>
          <w:sz w:val="18"/>
          <w:szCs w:val="18"/>
          <w:b w:val="1"/>
          <w:bCs w:val="1"/>
          <w:color w:val="auto"/>
        </w:rPr>
        <w:t xml:space="preserve">Semi-Annual Financial Statements </w:t>
      </w:r>
      <w:r>
        <w:rPr>
          <w:rFonts w:ascii="Arial" w:cs="Arial" w:eastAsia="Arial" w:hAnsi="Arial"/>
          <w:sz w:val="18"/>
          <w:szCs w:val="18"/>
          <w:color w:val="auto"/>
        </w:rPr>
        <w:t>means each of the financial statements for a financial half-year to 30 June of the relevant year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Guarantors, respectively, delivered pursuant to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4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19.1</w:t>
      </w:r>
      <w:r>
        <w:rPr>
          <w:sz w:val="20"/>
          <w:szCs w:val="20"/>
          <w:color w:val="auto"/>
        </w:rPr>
        <w:tab/>
      </w:r>
      <w:r>
        <w:rPr>
          <w:rFonts w:ascii="Arial" w:cs="Arial" w:eastAsia="Arial" w:hAnsi="Arial"/>
          <w:sz w:val="17"/>
          <w:szCs w:val="17"/>
          <w:b w:val="1"/>
          <w:bCs w:val="1"/>
          <w:color w:val="auto"/>
        </w:rPr>
        <w:t>Financial statements</w:t>
      </w:r>
    </w:p>
    <w:p>
      <w:pPr>
        <w:spacing w:after="0" w:line="220" w:lineRule="exact"/>
        <w:rPr>
          <w:sz w:val="20"/>
          <w:szCs w:val="20"/>
          <w:color w:val="auto"/>
        </w:rPr>
      </w:pPr>
    </w:p>
    <w:p>
      <w:pPr>
        <w:jc w:val="both"/>
        <w:ind w:left="1080" w:hanging="532"/>
        <w:spacing w:after="0"/>
        <w:tabs>
          <w:tab w:leader="none" w:pos="10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Obligors shall supply to the Agent or, as the case may be, shall procure that the Agent is supplied with (and the Agent shall supply to each Lender), as soon as the same become available, but in any event within 150 days after the end of the relevant financial years:</w:t>
      </w:r>
    </w:p>
    <w:p>
      <w:pPr>
        <w:spacing w:after="0" w:line="189" w:lineRule="exact"/>
        <w:rPr>
          <w:rFonts w:ascii="Arial" w:cs="Arial" w:eastAsia="Arial" w:hAnsi="Arial"/>
          <w:sz w:val="18"/>
          <w:szCs w:val="18"/>
          <w:color w:val="auto"/>
        </w:rPr>
      </w:pPr>
    </w:p>
    <w:p>
      <w:pPr>
        <w:ind w:left="1620" w:hanging="532"/>
        <w:spacing w:after="0"/>
        <w:tabs>
          <w:tab w:leader="none" w:pos="162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the audited consolidated financial statements of the Group for that financial year; and</w:t>
      </w:r>
    </w:p>
    <w:p>
      <w:pPr>
        <w:spacing w:after="0" w:line="198"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the unaudited financial statements (consolidated if appropriate) of each of the Borrowers and the Guarantors for that financial year.</w:t>
      </w:r>
    </w:p>
    <w:p>
      <w:pPr>
        <w:spacing w:after="0" w:line="183" w:lineRule="exact"/>
        <w:rPr>
          <w:rFonts w:ascii="Arial" w:cs="Arial" w:eastAsia="Arial" w:hAnsi="Arial"/>
          <w:sz w:val="18"/>
          <w:szCs w:val="18"/>
          <w:color w:val="auto"/>
        </w:rPr>
      </w:pPr>
    </w:p>
    <w:p>
      <w:pPr>
        <w:jc w:val="both"/>
        <w:ind w:left="1080" w:hanging="532"/>
        <w:spacing w:after="0"/>
        <w:tabs>
          <w:tab w:leader="none" w:pos="10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Obligors shall supply to the Agent or, as the case may be, shall procure that the Agent is supplied with, as soon as the same become available, but in any event within 120 days after the end of each half year to 30 June of the relevant financial year, the unaudited consolidated financial statements of the Guarantors for that financial half year.</w:t>
      </w:r>
    </w:p>
    <w:p>
      <w:pPr>
        <w:spacing w:after="0" w:line="189"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Borrowers shall also supply to the Agent prior to each financial year budget and cashflow projections for the Borrowers and the Guarantors for such financial year.</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7"/>
          <w:szCs w:val="17"/>
          <w:b w:val="1"/>
          <w:bCs w:val="1"/>
          <w:color w:val="auto"/>
        </w:rPr>
        <w:t>Provision and contents of Compliance Certificate and valuations</w:t>
      </w:r>
    </w:p>
    <w:p>
      <w:pPr>
        <w:spacing w:after="0" w:line="220" w:lineRule="exact"/>
        <w:rPr>
          <w:sz w:val="20"/>
          <w:szCs w:val="20"/>
          <w:color w:val="auto"/>
        </w:rPr>
      </w:pPr>
    </w:p>
    <w:p>
      <w:pPr>
        <w:ind w:left="1080" w:hanging="532"/>
        <w:spacing w:after="0"/>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Obligors shall supply to the Agent (and the Agent shall supply to each Lender):</w:t>
      </w:r>
    </w:p>
    <w:p>
      <w:pPr>
        <w:spacing w:after="0" w:line="198" w:lineRule="exact"/>
        <w:rPr>
          <w:rFonts w:ascii="Arial" w:cs="Arial" w:eastAsia="Arial" w:hAnsi="Arial"/>
          <w:sz w:val="18"/>
          <w:szCs w:val="18"/>
          <w:color w:val="auto"/>
        </w:rPr>
      </w:pPr>
    </w:p>
    <w:p>
      <w:pPr>
        <w:ind w:left="1620" w:right="20" w:hanging="532"/>
        <w:spacing w:after="0" w:line="246" w:lineRule="auto"/>
        <w:tabs>
          <w:tab w:leader="none" w:pos="162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with each set of audited Annual Financial Statements for the Group and unaudited Semi-Annual Financial Statements for the Group, a Compliance Certificate;</w:t>
      </w:r>
    </w:p>
    <w:p>
      <w:pPr>
        <w:spacing w:after="0" w:line="183" w:lineRule="exact"/>
        <w:rPr>
          <w:rFonts w:ascii="Arial" w:cs="Arial" w:eastAsia="Arial" w:hAnsi="Arial"/>
          <w:sz w:val="18"/>
          <w:szCs w:val="18"/>
          <w:color w:val="auto"/>
        </w:rPr>
      </w:pPr>
    </w:p>
    <w:p>
      <w:pPr>
        <w:jc w:val="both"/>
        <w:ind w:left="1620" w:hanging="532"/>
        <w:spacing w:after="0" w:line="238" w:lineRule="auto"/>
        <w:tabs>
          <w:tab w:leader="none" w:pos="162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with each set of audited Annual Financial Statements for the Group and unaudited Semi-Annual Financial Statements for the Group, valuations of each Fleet Vessel, each made in accordance with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 and showing the value of each such Fleet Vessel (and for such purposes, the provisions of such clause 25 (</w:t>
      </w:r>
      <w:r>
        <w:rPr>
          <w:rFonts w:ascii="Arial" w:cs="Arial" w:eastAsia="Arial" w:hAnsi="Arial"/>
          <w:sz w:val="18"/>
          <w:szCs w:val="18"/>
          <w:i w:val="1"/>
          <w:iCs w:val="1"/>
          <w:color w:val="auto"/>
        </w:rPr>
        <w:t>Minimum security</w:t>
      </w:r>
      <w:r>
        <w:rPr>
          <w:rFonts w:ascii="Arial" w:cs="Arial" w:eastAsia="Arial" w:hAnsi="Arial"/>
          <w:sz w:val="18"/>
          <w:szCs w:val="18"/>
          <w:color w:val="auto"/>
        </w:rPr>
        <w:t xml:space="preserve"> </w:t>
      </w:r>
      <w:r>
        <w:rPr>
          <w:rFonts w:ascii="Arial" w:cs="Arial" w:eastAsia="Arial" w:hAnsi="Arial"/>
          <w:sz w:val="18"/>
          <w:szCs w:val="18"/>
          <w:i w:val="1"/>
          <w:iCs w:val="1"/>
          <w:color w:val="auto"/>
        </w:rPr>
        <w:t>value</w:t>
      </w:r>
      <w:r>
        <w:rPr>
          <w:rFonts w:ascii="Arial" w:cs="Arial" w:eastAsia="Arial" w:hAnsi="Arial"/>
          <w:sz w:val="18"/>
          <w:szCs w:val="18"/>
          <w:color w:val="auto"/>
        </w:rPr>
        <w:t>) shall apply to each such Fleet Vessel and this paragraph 19.2(a)(ii) mutatis mutandis as if each such Fleet Vessel</w:t>
      </w:r>
      <w:r>
        <w:rPr>
          <w:rFonts w:ascii="Arial" w:cs="Arial" w:eastAsia="Arial" w:hAnsi="Arial"/>
          <w:sz w:val="18"/>
          <w:szCs w:val="18"/>
          <w:i w:val="1"/>
          <w:iCs w:val="1"/>
          <w:color w:val="auto"/>
        </w:rPr>
        <w:t xml:space="preserve"> </w:t>
      </w:r>
      <w:r>
        <w:rPr>
          <w:rFonts w:ascii="Arial" w:cs="Arial" w:eastAsia="Arial" w:hAnsi="Arial"/>
          <w:sz w:val="18"/>
          <w:szCs w:val="18"/>
          <w:color w:val="auto"/>
        </w:rPr>
        <w:t>was a Ship).</w:t>
      </w:r>
    </w:p>
    <w:p>
      <w:pPr>
        <w:spacing w:after="0" w:line="189"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Each Compliance Certificate shall, amongst other things, set out (in reasonable detail) computations as to compliance with clause 20.2 (</w:t>
      </w:r>
      <w:r>
        <w:rPr>
          <w:rFonts w:ascii="Arial" w:cs="Arial" w:eastAsia="Arial" w:hAnsi="Arial"/>
          <w:sz w:val="18"/>
          <w:szCs w:val="18"/>
          <w:i w:val="1"/>
          <w:iCs w:val="1"/>
          <w:color w:val="auto"/>
        </w:rPr>
        <w:t>Financial condition</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Each Compliance Certificate shall be signed by the chief financial officer of the Parent or, in his or her absence, by one director of the Parent.</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19.3</w:t>
        <w:tab/>
        <w:t>Requirements as to financial statements</w:t>
      </w:r>
    </w:p>
    <w:p>
      <w:pPr>
        <w:spacing w:after="0" w:line="202" w:lineRule="exact"/>
        <w:rPr>
          <w:sz w:val="20"/>
          <w:szCs w:val="20"/>
          <w:color w:val="auto"/>
        </w:rPr>
      </w:pPr>
    </w:p>
    <w:p>
      <w:pPr>
        <w:jc w:val="both"/>
        <w:ind w:left="1080" w:hanging="532"/>
        <w:spacing w:after="0" w:line="251" w:lineRule="auto"/>
        <w:tabs>
          <w:tab w:leader="none" w:pos="1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Borrowers shall procure that each set of financial statements delivered pursuant to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 includes a profit and loss account, a balance sheet and a cashflow statement and that, in addition, each set of Annual Financial Statements of the Group shall be audited by the Auditors.</w:t>
      </w:r>
    </w:p>
    <w:p>
      <w:pPr>
        <w:spacing w:after="0" w:line="160" w:lineRule="exact"/>
        <w:rPr>
          <w:rFonts w:ascii="Arial" w:cs="Arial" w:eastAsia="Arial" w:hAnsi="Arial"/>
          <w:sz w:val="18"/>
          <w:szCs w:val="18"/>
          <w:color w:val="auto"/>
        </w:rPr>
      </w:pPr>
    </w:p>
    <w:p>
      <w:pPr>
        <w:ind w:left="1080" w:hanging="532"/>
        <w:spacing w:after="0"/>
        <w:tabs>
          <w:tab w:leader="none" w:pos="1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Each set of financial statements delivered pursuant to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 shall:</w:t>
      </w:r>
    </w:p>
    <w:p>
      <w:pPr>
        <w:spacing w:after="0" w:line="216" w:lineRule="exact"/>
        <w:rPr>
          <w:rFonts w:ascii="Arial" w:cs="Arial" w:eastAsia="Arial" w:hAnsi="Arial"/>
          <w:sz w:val="18"/>
          <w:szCs w:val="18"/>
          <w:color w:val="auto"/>
        </w:rPr>
      </w:pPr>
    </w:p>
    <w:p>
      <w:pPr>
        <w:ind w:left="1620" w:hanging="532"/>
        <w:spacing w:after="0"/>
        <w:tabs>
          <w:tab w:leader="none" w:pos="162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be prepared in accordance with GAAP;</w:t>
      </w:r>
    </w:p>
    <w:p>
      <w:pPr>
        <w:spacing w:after="0" w:line="198"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give a true and fair view of (in the case of audited annual financial statements for any financial year), or fairly represent (in other cases), the financial condition and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18" w:name="page119"/>
    <w:bookmarkEnd w:id="118"/>
    <w:p>
      <w:pPr>
        <w:ind w:left="1620"/>
        <w:spacing w:after="0" w:line="246" w:lineRule="auto"/>
        <w:rPr>
          <w:sz w:val="20"/>
          <w:szCs w:val="20"/>
          <w:color w:val="auto"/>
        </w:rPr>
      </w:pPr>
      <w:r>
        <w:rPr>
          <w:rFonts w:ascii="Arial" w:cs="Arial" w:eastAsia="Arial" w:hAnsi="Arial"/>
          <w:sz w:val="18"/>
          <w:szCs w:val="18"/>
          <w:color w:val="auto"/>
        </w:rPr>
        <w:t>operations of the Group or (as the case may be) the relevant Obligor, as at the date as at which those financial statements were drawn up; and</w:t>
      </w:r>
    </w:p>
    <w:p>
      <w:pPr>
        <w:spacing w:after="0" w:line="183" w:lineRule="exact"/>
        <w:rPr>
          <w:sz w:val="20"/>
          <w:szCs w:val="20"/>
          <w:color w:val="auto"/>
        </w:rPr>
      </w:pPr>
    </w:p>
    <w:p>
      <w:pPr>
        <w:ind w:left="1620" w:hanging="532"/>
        <w:spacing w:after="0"/>
        <w:tabs>
          <w:tab w:leader="none" w:pos="162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in the case of audited annual financial statements, not be the subject of any qualification in the Auditors’ opinion.</w:t>
      </w:r>
    </w:p>
    <w:p>
      <w:pPr>
        <w:spacing w:after="0" w:line="180" w:lineRule="exact"/>
        <w:rPr>
          <w:rFonts w:ascii="Arial" w:cs="Arial" w:eastAsia="Arial" w:hAnsi="Arial"/>
          <w:sz w:val="18"/>
          <w:szCs w:val="18"/>
          <w:color w:val="auto"/>
        </w:rPr>
      </w:pPr>
    </w:p>
    <w:p>
      <w:pPr>
        <w:jc w:val="both"/>
        <w:ind w:left="1080" w:hanging="532"/>
        <w:spacing w:after="0" w:line="245" w:lineRule="auto"/>
        <w:tabs>
          <w:tab w:leader="none" w:pos="10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Borrowers shall procure that each set of financial statements delivered pursuant to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 shall be prepared using GAAP, accounting practices and financial reference periods consistent with those applied in the preparation of the Original Financial Statements, unless, in relation to any set of financial statements, the Borrowers notify the Agent that there has been a change in GAAP or the accounting practices and the Auditors deliver to the Agent:</w:t>
      </w:r>
    </w:p>
    <w:p>
      <w:pPr>
        <w:spacing w:after="0" w:line="185"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 description of any change necessary for those financial statements to reflect the GAAP or accounting practices and reference periods upon which corresponding Original Financial Statements were prepared; and</w:t>
      </w:r>
    </w:p>
    <w:p>
      <w:pPr>
        <w:spacing w:after="0" w:line="183" w:lineRule="exact"/>
        <w:rPr>
          <w:sz w:val="20"/>
          <w:szCs w:val="20"/>
          <w:color w:val="auto"/>
        </w:rPr>
      </w:pPr>
    </w:p>
    <w:p>
      <w:pPr>
        <w:jc w:val="both"/>
        <w:ind w:left="1620" w:hanging="532"/>
        <w:spacing w:after="0" w:line="239" w:lineRule="auto"/>
        <w:tabs>
          <w:tab w:leader="none" w:pos="16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sufficient information, in form and substance as may be reasonably required by the Agent, to enable the Lenders to determine whether clause 20 (</w:t>
      </w:r>
      <w:r>
        <w:rPr>
          <w:rFonts w:ascii="Arial" w:cs="Arial" w:eastAsia="Arial" w:hAnsi="Arial"/>
          <w:sz w:val="18"/>
          <w:szCs w:val="18"/>
          <w:i w:val="1"/>
          <w:iCs w:val="1"/>
          <w:color w:val="auto"/>
        </w:rPr>
        <w:t>Financial covenants</w:t>
      </w:r>
      <w:r>
        <w:rPr>
          <w:rFonts w:ascii="Arial" w:cs="Arial" w:eastAsia="Arial" w:hAnsi="Arial"/>
          <w:sz w:val="18"/>
          <w:szCs w:val="18"/>
          <w:color w:val="auto"/>
        </w:rPr>
        <w:t>) and any equivalent provision of the MLP Guarantee if this is executed pursuant to clause 29.22 (</w:t>
      </w:r>
      <w:r>
        <w:rPr>
          <w:rFonts w:ascii="Arial" w:cs="Arial" w:eastAsia="Arial" w:hAnsi="Arial"/>
          <w:sz w:val="18"/>
          <w:szCs w:val="18"/>
          <w:i w:val="1"/>
          <w:iCs w:val="1"/>
          <w:color w:val="auto"/>
        </w:rPr>
        <w:t>Legal and beneficial ownership</w:t>
      </w:r>
      <w:r>
        <w:rPr>
          <w:rFonts w:ascii="Arial" w:cs="Arial" w:eastAsia="Arial" w:hAnsi="Arial"/>
          <w:sz w:val="18"/>
          <w:szCs w:val="18"/>
          <w:color w:val="auto"/>
        </w:rPr>
        <w:t>) has been complied with and to make an accurate comparison between the financial position indicated in those financial statements and the Original Financial Statements.</w:t>
      </w:r>
    </w:p>
    <w:p>
      <w:pPr>
        <w:spacing w:after="0" w:line="188" w:lineRule="exact"/>
        <w:rPr>
          <w:sz w:val="20"/>
          <w:szCs w:val="20"/>
          <w:color w:val="auto"/>
        </w:rPr>
      </w:pPr>
    </w:p>
    <w:p>
      <w:pPr>
        <w:ind w:left="540" w:right="20"/>
        <w:spacing w:after="0" w:line="246" w:lineRule="auto"/>
        <w:rPr>
          <w:sz w:val="20"/>
          <w:szCs w:val="20"/>
          <w:color w:val="auto"/>
        </w:rPr>
      </w:pPr>
      <w:r>
        <w:rPr>
          <w:rFonts w:ascii="Arial" w:cs="Arial" w:eastAsia="Arial" w:hAnsi="Arial"/>
          <w:sz w:val="18"/>
          <w:szCs w:val="18"/>
          <w:color w:val="auto"/>
        </w:rPr>
        <w:t>Any reference in this Agreement to any financial statements shall be construed as a reference to those financial statements as adjusted to reflect the basis upon which the Original Financial Statements were prepared.</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19.4</w:t>
      </w:r>
      <w:r>
        <w:rPr>
          <w:sz w:val="20"/>
          <w:szCs w:val="20"/>
          <w:color w:val="auto"/>
        </w:rPr>
        <w:tab/>
      </w:r>
      <w:r>
        <w:rPr>
          <w:rFonts w:ascii="Arial" w:cs="Arial" w:eastAsia="Arial" w:hAnsi="Arial"/>
          <w:sz w:val="17"/>
          <w:szCs w:val="17"/>
          <w:b w:val="1"/>
          <w:bCs w:val="1"/>
          <w:color w:val="auto"/>
        </w:rPr>
        <w:t>Year-end</w:t>
      </w:r>
    </w:p>
    <w:p>
      <w:pPr>
        <w:spacing w:after="0" w:line="220" w:lineRule="exact"/>
        <w:rPr>
          <w:sz w:val="20"/>
          <w:szCs w:val="20"/>
          <w:color w:val="auto"/>
        </w:rPr>
      </w:pPr>
    </w:p>
    <w:p>
      <w:pPr>
        <w:ind w:left="1080" w:hanging="532"/>
        <w:spacing w:after="0"/>
        <w:tabs>
          <w:tab w:leader="none" w:pos="10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Borrowers shall procure that each financial year-end of each Obligor falls on the Accounting Reference Date.</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Borrowers shall procure that each accounting period ends on an accounting date.</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19.5</w:t>
      </w:r>
      <w:r>
        <w:rPr>
          <w:sz w:val="20"/>
          <w:szCs w:val="20"/>
          <w:color w:val="auto"/>
        </w:rPr>
        <w:tab/>
      </w:r>
      <w:r>
        <w:rPr>
          <w:rFonts w:ascii="Arial" w:cs="Arial" w:eastAsia="Arial" w:hAnsi="Arial"/>
          <w:sz w:val="17"/>
          <w:szCs w:val="17"/>
          <w:b w:val="1"/>
          <w:bCs w:val="1"/>
          <w:color w:val="auto"/>
        </w:rPr>
        <w:t>Information: miscellaneous</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Borrowers shall supply to the Agent (and the Agent shall supply to each Lender):</w:t>
      </w:r>
    </w:p>
    <w:p>
      <w:pPr>
        <w:spacing w:after="0" w:line="198" w:lineRule="exact"/>
        <w:rPr>
          <w:sz w:val="20"/>
          <w:szCs w:val="20"/>
          <w:color w:val="auto"/>
        </w:rPr>
      </w:pPr>
    </w:p>
    <w:p>
      <w:pPr>
        <w:ind w:left="1080" w:hanging="532"/>
        <w:spacing w:after="0" w:line="246"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at the same time as they are dispatched, copies of all material documents dispatched by any Obligor to its shareholders generally (or any class of them) or dispatched by any Obligor to its creditors generally (or any class of them);</w:t>
      </w:r>
    </w:p>
    <w:p>
      <w:pPr>
        <w:spacing w:after="0" w:line="183" w:lineRule="exact"/>
        <w:rPr>
          <w:rFonts w:ascii="Arial" w:cs="Arial" w:eastAsia="Arial" w:hAnsi="Arial"/>
          <w:sz w:val="18"/>
          <w:szCs w:val="18"/>
          <w:color w:val="auto"/>
        </w:rPr>
      </w:pPr>
    </w:p>
    <w:p>
      <w:pPr>
        <w:jc w:val="both"/>
        <w:ind w:left="1080" w:hanging="532"/>
        <w:spacing w:after="0"/>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promptly upon becoming aware of them, the details of any litigation, arbitration or administrative proceedings (including investigative proceedings) which are current, threatened or pending against any Obligor or any Manager, and which, if adversely determined, might reasonably be expected to have a Material Adverse Effect;</w:t>
      </w:r>
    </w:p>
    <w:p>
      <w:pPr>
        <w:spacing w:after="0" w:line="189"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promptly upon becoming aware of them, the details of any material claims, investigations or other proceedings relating to Sanctions which are pending against any Group Member;</w:t>
      </w:r>
    </w:p>
    <w:p>
      <w:pPr>
        <w:spacing w:after="0" w:line="183"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promptly, such information as the Agent may reasonably require about the Charged Property and compliance of the Obligors with the terms of any Security Documents; and</w:t>
      </w:r>
    </w:p>
    <w:p>
      <w:pPr>
        <w:spacing w:after="0" w:line="183"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promptly on request, such further information regarding the financial condition, assets and operations of the Obligors as any Finance Party through the Agent may reasonably request,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19" w:name="page120"/>
    <w:bookmarkEnd w:id="119"/>
    <w:p>
      <w:pPr>
        <w:jc w:val="both"/>
        <w:ind w:left="540"/>
        <w:spacing w:after="0" w:line="246" w:lineRule="auto"/>
        <w:rPr>
          <w:sz w:val="20"/>
          <w:szCs w:val="20"/>
          <w:color w:val="auto"/>
        </w:rPr>
      </w:pPr>
      <w:r>
        <w:rPr>
          <w:rFonts w:ascii="Arial" w:cs="Arial" w:eastAsia="Arial" w:hAnsi="Arial"/>
          <w:sz w:val="18"/>
          <w:szCs w:val="18"/>
          <w:color w:val="auto"/>
        </w:rPr>
        <w:t>provided that, in the case of (a) to (e) above, the supply of such information would not result in the breach of any confidentiality undertakings granted by the Obligors or Managers to third parties from time to time.</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19.6</w:t>
        <w:tab/>
        <w:t>Notification of Default</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The Borrowers shall notify the Agent (and the Agent shall notify each Lender) of any Default (and the steps, if any, being taken to remedy it) promptly upon any Obligor becoming aware of its occurrence (unless that Obligor is aware that a notification has already been provided by another Obligor).</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19.7</w:t>
      </w:r>
      <w:r>
        <w:rPr>
          <w:sz w:val="20"/>
          <w:szCs w:val="20"/>
          <w:color w:val="auto"/>
        </w:rPr>
        <w:tab/>
      </w:r>
      <w:r>
        <w:rPr>
          <w:rFonts w:ascii="Arial" w:cs="Arial" w:eastAsia="Arial" w:hAnsi="Arial"/>
          <w:sz w:val="17"/>
          <w:szCs w:val="17"/>
          <w:b w:val="1"/>
          <w:bCs w:val="1"/>
          <w:color w:val="auto"/>
        </w:rPr>
        <w:t>Sufficient copies</w:t>
      </w:r>
    </w:p>
    <w:p>
      <w:pPr>
        <w:spacing w:after="0" w:line="220" w:lineRule="exact"/>
        <w:rPr>
          <w:sz w:val="20"/>
          <w:szCs w:val="20"/>
          <w:color w:val="auto"/>
        </w:rPr>
      </w:pPr>
    </w:p>
    <w:p>
      <w:pPr>
        <w:jc w:val="both"/>
        <w:ind w:left="540"/>
        <w:spacing w:after="0" w:line="246" w:lineRule="auto"/>
        <w:rPr>
          <w:sz w:val="20"/>
          <w:szCs w:val="20"/>
          <w:color w:val="auto"/>
        </w:rPr>
      </w:pPr>
      <w:r>
        <w:rPr>
          <w:rFonts w:ascii="Arial" w:cs="Arial" w:eastAsia="Arial" w:hAnsi="Arial"/>
          <w:sz w:val="18"/>
          <w:szCs w:val="18"/>
          <w:color w:val="auto"/>
        </w:rPr>
        <w:t>The Borrowers, if so requested by the Agent, shall deliver sufficient copies of each document to be supplied under the Finance Documents to the Agent to distribute to each of the Lenders.</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19.8</w:t>
      </w:r>
      <w:r>
        <w:rPr>
          <w:sz w:val="20"/>
          <w:szCs w:val="20"/>
          <w:color w:val="auto"/>
        </w:rPr>
        <w:tab/>
      </w:r>
      <w:r>
        <w:rPr>
          <w:rFonts w:ascii="Arial" w:cs="Arial" w:eastAsia="Arial" w:hAnsi="Arial"/>
          <w:sz w:val="17"/>
          <w:szCs w:val="17"/>
          <w:b w:val="1"/>
          <w:bCs w:val="1"/>
          <w:color w:val="auto"/>
        </w:rPr>
        <w:t>Use of websites</w:t>
      </w:r>
    </w:p>
    <w:p>
      <w:pPr>
        <w:spacing w:after="0" w:line="220" w:lineRule="exact"/>
        <w:rPr>
          <w:sz w:val="20"/>
          <w:szCs w:val="20"/>
          <w:color w:val="auto"/>
        </w:rPr>
      </w:pPr>
    </w:p>
    <w:p>
      <w:pPr>
        <w:jc w:val="both"/>
        <w:ind w:left="1080" w:hanging="532"/>
        <w:spacing w:after="0"/>
        <w:tabs>
          <w:tab w:leader="none" w:pos="10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The Borrowers may satisfy their obligation under this Agreement to deliver any information in relation to those Lenders (the </w:t>
      </w:r>
      <w:r>
        <w:rPr>
          <w:rFonts w:ascii="Arial" w:cs="Arial" w:eastAsia="Arial" w:hAnsi="Arial"/>
          <w:sz w:val="18"/>
          <w:szCs w:val="18"/>
          <w:b w:val="1"/>
          <w:bCs w:val="1"/>
          <w:color w:val="auto"/>
        </w:rPr>
        <w:t>Website Lenders</w:t>
      </w:r>
      <w:r>
        <w:rPr>
          <w:rFonts w:ascii="Arial" w:cs="Arial" w:eastAsia="Arial" w:hAnsi="Arial"/>
          <w:sz w:val="18"/>
          <w:szCs w:val="18"/>
          <w:color w:val="auto"/>
        </w:rPr>
        <w:t>) who accept this method of communication by posting this information onto an electronic website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the Borrowers and the Agent (the </w:t>
      </w:r>
      <w:r>
        <w:rPr>
          <w:rFonts w:ascii="Arial" w:cs="Arial" w:eastAsia="Arial" w:hAnsi="Arial"/>
          <w:sz w:val="18"/>
          <w:szCs w:val="18"/>
          <w:b w:val="1"/>
          <w:bCs w:val="1"/>
          <w:color w:val="auto"/>
        </w:rPr>
        <w:t>Designated Website</w:t>
      </w:r>
      <w:r>
        <w:rPr>
          <w:rFonts w:ascii="Arial" w:cs="Arial" w:eastAsia="Arial" w:hAnsi="Arial"/>
          <w:sz w:val="18"/>
          <w:szCs w:val="18"/>
          <w:color w:val="auto"/>
        </w:rPr>
        <w:t>) if:</w:t>
      </w:r>
    </w:p>
    <w:p>
      <w:pPr>
        <w:spacing w:after="0" w:line="189"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the Agent expressly agrees (after consultation with each of the Lenders) that it will accept communication of the information by this method;</w:t>
      </w:r>
    </w:p>
    <w:p>
      <w:pPr>
        <w:spacing w:after="0" w:line="183"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both the Borrowers and the Agent are aware of the address of and any relevant password specifications for the Designated Website; and</w:t>
      </w:r>
    </w:p>
    <w:p>
      <w:pPr>
        <w:spacing w:after="0" w:line="183" w:lineRule="exact"/>
        <w:rPr>
          <w:rFonts w:ascii="Arial" w:cs="Arial" w:eastAsia="Arial" w:hAnsi="Arial"/>
          <w:sz w:val="18"/>
          <w:szCs w:val="18"/>
          <w:color w:val="auto"/>
        </w:rPr>
      </w:pPr>
    </w:p>
    <w:p>
      <w:pPr>
        <w:ind w:left="1620" w:hanging="532"/>
        <w:spacing w:after="0"/>
        <w:tabs>
          <w:tab w:leader="none" w:pos="162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the information is in a format previously agreed between the Borrowers and the Agent.</w:t>
      </w:r>
    </w:p>
    <w:p>
      <w:pPr>
        <w:spacing w:after="0" w:line="176" w:lineRule="exact"/>
        <w:rPr>
          <w:sz w:val="20"/>
          <w:szCs w:val="20"/>
          <w:color w:val="auto"/>
        </w:rPr>
      </w:pPr>
    </w:p>
    <w:p>
      <w:pPr>
        <w:jc w:val="both"/>
        <w:ind w:left="540"/>
        <w:spacing w:after="0" w:line="247" w:lineRule="auto"/>
        <w:rPr>
          <w:sz w:val="20"/>
          <w:szCs w:val="20"/>
          <w:color w:val="auto"/>
        </w:rPr>
      </w:pPr>
      <w:r>
        <w:rPr>
          <w:rFonts w:ascii="Arial" w:cs="Arial" w:eastAsia="Arial" w:hAnsi="Arial"/>
          <w:sz w:val="18"/>
          <w:szCs w:val="18"/>
          <w:color w:val="auto"/>
        </w:rPr>
        <w:t xml:space="preserve">If any Lender (a </w:t>
      </w:r>
      <w:r>
        <w:rPr>
          <w:rFonts w:ascii="Arial" w:cs="Arial" w:eastAsia="Arial" w:hAnsi="Arial"/>
          <w:sz w:val="18"/>
          <w:szCs w:val="18"/>
          <w:b w:val="1"/>
          <w:bCs w:val="1"/>
          <w:color w:val="auto"/>
        </w:rPr>
        <w:t>Paper Form Lender</w:t>
      </w:r>
      <w:r>
        <w:rPr>
          <w:rFonts w:ascii="Arial" w:cs="Arial" w:eastAsia="Arial" w:hAnsi="Arial"/>
          <w:sz w:val="18"/>
          <w:szCs w:val="18"/>
          <w:color w:val="auto"/>
        </w:rPr>
        <w:t>) does not agree to the delivery of information electronically then the Agent shall notify the Borrowers accordingly and the Borrowers shall supply the information to the Agent (in sufficient copies for each Paper Form Lender) in paper form. In any event the Borrowers shall supply the Agent with at least one copy in paper form of any information required to be provided by it.</w:t>
      </w:r>
    </w:p>
    <w:p>
      <w:pPr>
        <w:spacing w:after="0" w:line="183" w:lineRule="exact"/>
        <w:rPr>
          <w:sz w:val="20"/>
          <w:szCs w:val="20"/>
          <w:color w:val="auto"/>
        </w:rPr>
      </w:pPr>
    </w:p>
    <w:p>
      <w:pPr>
        <w:ind w:left="1080" w:right="20" w:hanging="532"/>
        <w:spacing w:after="0" w:line="246" w:lineRule="auto"/>
        <w:tabs>
          <w:tab w:leader="none" w:pos="10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Agent shall supply each Website Lender with the address of and any relevant password specifications for the Designated Website following designation of that website by the Borrowers and the Agent.</w:t>
      </w:r>
    </w:p>
    <w:p>
      <w:pPr>
        <w:spacing w:after="0" w:line="183"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Borrowers shall promptly upon any of them becoming aware of its occurrence notify the Agent (and the Agent shall notify each Lender) if:</w:t>
      </w:r>
    </w:p>
    <w:p>
      <w:pPr>
        <w:spacing w:after="0" w:line="183" w:lineRule="exact"/>
        <w:rPr>
          <w:rFonts w:ascii="Arial" w:cs="Arial" w:eastAsia="Arial" w:hAnsi="Arial"/>
          <w:sz w:val="18"/>
          <w:szCs w:val="18"/>
          <w:color w:val="auto"/>
        </w:rPr>
      </w:pPr>
    </w:p>
    <w:p>
      <w:pPr>
        <w:ind w:left="1620" w:hanging="532"/>
        <w:spacing w:after="0"/>
        <w:tabs>
          <w:tab w:leader="none" w:pos="162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the Designated Website cannot be accessed due to technical failure;</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the password specifications for the Designated Website change;</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any new information which is required to be provided under this Agreement is posted onto the Designated Website;</w:t>
      </w:r>
    </w:p>
    <w:p>
      <w:pPr>
        <w:spacing w:after="0" w:line="198"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any existing information which has been provided under this Agreement and posted onto the Designated Website is amended; or</w:t>
      </w:r>
    </w:p>
    <w:p>
      <w:pPr>
        <w:spacing w:after="0" w:line="183"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any Borrower becomes aware that the Designated Website or any information posted onto the Designated Website is or has been infected by any electronic virus or similar software.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20" w:name="page121"/>
    <w:bookmarkEnd w:id="120"/>
    <w:p>
      <w:pPr>
        <w:jc w:val="both"/>
        <w:ind w:left="1080"/>
        <w:spacing w:after="0"/>
        <w:rPr>
          <w:sz w:val="20"/>
          <w:szCs w:val="20"/>
          <w:color w:val="auto"/>
        </w:rPr>
      </w:pPr>
      <w:r>
        <w:rPr>
          <w:rFonts w:ascii="Arial" w:cs="Arial" w:eastAsia="Arial" w:hAnsi="Arial"/>
          <w:sz w:val="18"/>
          <w:szCs w:val="18"/>
          <w:color w:val="auto"/>
        </w:rPr>
        <w:t>If the Borrowers notify the Agent under paragraphs 19.8(c)(i) or (v) above, all information to be provided by the Borrowers under this Agreement after the date of that notice shall be supplied in paper form unless and until the Agent and each Website Lender is satisfied that the circumstances giving rise to the notification are no longer continuing.</w:t>
      </w:r>
    </w:p>
    <w:p>
      <w:pPr>
        <w:spacing w:after="0" w:line="189" w:lineRule="exact"/>
        <w:rPr>
          <w:sz w:val="20"/>
          <w:szCs w:val="20"/>
          <w:color w:val="auto"/>
        </w:rPr>
      </w:pPr>
    </w:p>
    <w:p>
      <w:pPr>
        <w:jc w:val="both"/>
        <w:ind w:left="1080" w:hanging="532"/>
        <w:spacing w:after="0"/>
        <w:tabs>
          <w:tab w:leader="none" w:pos="10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Any Website Lender may request, through the Agent, one paper copy of any information required to be provided under this Agreement which is posted onto the Designated Website. The Borrowers shall comply with any such request within ten Business Days.</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19.9</w:t>
        <w:tab/>
        <w:t>“Know your customer” checks</w:t>
      </w:r>
    </w:p>
    <w:p>
      <w:pPr>
        <w:spacing w:after="0" w:line="220" w:lineRule="exact"/>
        <w:rPr>
          <w:sz w:val="20"/>
          <w:szCs w:val="20"/>
          <w:color w:val="auto"/>
        </w:rPr>
      </w:pPr>
    </w:p>
    <w:p>
      <w:pPr>
        <w:ind w:left="1080" w:hanging="532"/>
        <w:spacing w:after="0"/>
        <w:tabs>
          <w:tab w:leader="none" w:pos="10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If:</w:t>
      </w:r>
    </w:p>
    <w:p>
      <w:pPr>
        <w:spacing w:after="0" w:line="198"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 made after the date of this Agreement;</w:t>
      </w:r>
    </w:p>
    <w:p>
      <w:pPr>
        <w:spacing w:after="0" w:line="183"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any change in the status of an Obligor or the composition of the shareholders of an Obligor after the date of this Agreement; or</w:t>
      </w:r>
    </w:p>
    <w:p>
      <w:pPr>
        <w:spacing w:after="0" w:line="183"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 proposed assignment by a Lender of any of its rights under this Agreement to a party that is not already a Lender prior to such assignment,</w:t>
      </w:r>
    </w:p>
    <w:p>
      <w:pPr>
        <w:spacing w:after="0" w:line="183" w:lineRule="exact"/>
        <w:rPr>
          <w:sz w:val="20"/>
          <w:szCs w:val="20"/>
          <w:color w:val="auto"/>
        </w:rPr>
      </w:pPr>
    </w:p>
    <w:p>
      <w:pPr>
        <w:jc w:val="both"/>
        <w:ind w:left="1080"/>
        <w:spacing w:after="0" w:line="236" w:lineRule="auto"/>
        <w:rPr>
          <w:sz w:val="20"/>
          <w:szCs w:val="20"/>
          <w:color w:val="auto"/>
        </w:rPr>
      </w:pPr>
      <w:r>
        <w:rPr>
          <w:rFonts w:ascii="Arial" w:cs="Arial" w:eastAsia="Arial" w:hAnsi="Arial"/>
          <w:sz w:val="18"/>
          <w:szCs w:val="18"/>
          <w:color w:val="auto"/>
        </w:rPr>
        <w:t>obliges the Agent, the Security Agent or any Lender (or, in the case of paragraph 19.9(a)(iii) above, any prospective new Lender or the Security Agent) to comply with “know your customer” or similar identification procedures in circumstances where the necessary information is not already available to it (or at any other time reasonably required by a Lender), each Obligor shall as soon as reasonably possible after the request of the Agent or the Security Agent or any Lender supply, or procure the supply of, such documentation and other evidence as is reasonably requested by the Agent (for itself or on behalf of any Lender or the Security Agent) or any Lender or the Security Agent (for itself or, in the case of the event described in paragraph 19.9(a)(iii) above, on behalf of any prospective new Lender or the Security Agent) in order for the Agent, the Security Agent or such Lender or, in the case of the event described in paragraph 19.9(a)(iii) above, any prospective new Lender to carry out and be satisfied with the results of all necessary “know your customer” or other similar checks under all applicable laws and regulations pursuant to the transactions contemplated in the Finance Documents.</w:t>
      </w:r>
    </w:p>
    <w:p>
      <w:pPr>
        <w:spacing w:after="0" w:line="193" w:lineRule="exact"/>
        <w:rPr>
          <w:sz w:val="20"/>
          <w:szCs w:val="20"/>
          <w:color w:val="auto"/>
        </w:rPr>
      </w:pPr>
    </w:p>
    <w:p>
      <w:pPr>
        <w:jc w:val="both"/>
        <w:ind w:left="1080" w:hanging="532"/>
        <w:spacing w:after="0" w:line="239" w:lineRule="auto"/>
        <w:tabs>
          <w:tab w:leader="none" w:pos="10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Each Finance Party shall promptly upon the request of the Agent or the Security Agent supply, or procure the supply of, such documentation and other evidence as is reasonably requested by the Agent or the Security Agent (for itself) in order for it to carry out and be satisfied with the results of all necessary “know your customer” or other similar checks under all applicable laws and regulations pursuant to the transactions contemplated in the Finance Documents.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19.10 Money Laundering</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Borrowers will:</w:t>
      </w:r>
    </w:p>
    <w:p>
      <w:pPr>
        <w:spacing w:after="0" w:line="198" w:lineRule="exact"/>
        <w:rPr>
          <w:sz w:val="20"/>
          <w:szCs w:val="20"/>
          <w:color w:val="auto"/>
        </w:rPr>
      </w:pPr>
    </w:p>
    <w:p>
      <w:pPr>
        <w:jc w:val="both"/>
        <w:ind w:left="1080" w:hanging="532"/>
        <w:spacing w:after="0" w:line="239" w:lineRule="auto"/>
        <w:tabs>
          <w:tab w:leader="none" w:pos="10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provide the Agent (and the Agent shall provide each Lender) with information, certificates and any documents required by the Agent or any other Finance Party to ensure compliance with any law official requirement or other regulatory measure or procedure implemented to combat Money Laundering (as defined in clause 21.14 (</w:t>
      </w:r>
      <w:r>
        <w:rPr>
          <w:rFonts w:ascii="Arial" w:cs="Arial" w:eastAsia="Arial" w:hAnsi="Arial"/>
          <w:sz w:val="18"/>
          <w:szCs w:val="18"/>
          <w:i w:val="1"/>
          <w:iCs w:val="1"/>
          <w:color w:val="auto"/>
        </w:rPr>
        <w:t>Bribery and corruption</w:t>
      </w:r>
      <w:r>
        <w:rPr>
          <w:rFonts w:ascii="Arial" w:cs="Arial" w:eastAsia="Arial" w:hAnsi="Arial"/>
          <w:sz w:val="18"/>
          <w:szCs w:val="18"/>
          <w:color w:val="auto"/>
        </w:rPr>
        <w:t>)) throughout the Facility Period; and</w:t>
      </w:r>
    </w:p>
    <w:p>
      <w:pPr>
        <w:spacing w:after="0" w:line="188" w:lineRule="exact"/>
        <w:rPr>
          <w:rFonts w:ascii="Arial" w:cs="Arial" w:eastAsia="Arial" w:hAnsi="Arial"/>
          <w:sz w:val="18"/>
          <w:szCs w:val="18"/>
          <w:color w:val="auto"/>
        </w:rPr>
      </w:pPr>
    </w:p>
    <w:p>
      <w:pPr>
        <w:jc w:val="both"/>
        <w:ind w:left="1080" w:hanging="532"/>
        <w:spacing w:after="0" w:line="239" w:lineRule="auto"/>
        <w:tabs>
          <w:tab w:leader="none" w:pos="10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notify the Agent (and the Agent shall notify each Lender) as soon as it becomes aware of any matters evidencing that a breach of any law official requirement or other regulatory measure or procedure implemented to combat Money Laundering (as defined in clause 21.14 (</w:t>
      </w:r>
      <w:r>
        <w:rPr>
          <w:rFonts w:ascii="Arial" w:cs="Arial" w:eastAsia="Arial" w:hAnsi="Arial"/>
          <w:sz w:val="18"/>
          <w:szCs w:val="18"/>
          <w:i w:val="1"/>
          <w:iCs w:val="1"/>
          <w:color w:val="auto"/>
        </w:rPr>
        <w:t>Bribery and corruption</w:t>
      </w:r>
      <w:r>
        <w:rPr>
          <w:rFonts w:ascii="Arial" w:cs="Arial" w:eastAsia="Arial" w:hAnsi="Arial"/>
          <w:sz w:val="18"/>
          <w:szCs w:val="18"/>
          <w:color w:val="auto"/>
        </w:rPr>
        <w:t>) may or is about to occur or that the person(s) who have or will receive the commercial benefit of this Agreement have changed from the date hereof.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19.11 Liquidity</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The Obligors shall procure that there are maintained, from the Utilisation of the Term Loan for a Ship and at all times thereafter throughout the Mortgage Period of such Ship, in the Earnings Account of the Owner of that Ship, minimum cash balances of no less than $1,500,000 (namely, at all times $1,500,000 per Mortgaged Ship).</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8"/>
          <w:szCs w:val="18"/>
          <w:b w:val="1"/>
          <w:bCs w:val="1"/>
          <w:color w:val="auto"/>
        </w:rPr>
        <w:t>Financial covenants</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Each Obligor undertakes that this clause 20 will be complied with throughout the Facility Period.</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20.1</w:t>
      </w:r>
      <w:r>
        <w:rPr>
          <w:sz w:val="20"/>
          <w:szCs w:val="20"/>
          <w:color w:val="auto"/>
        </w:rPr>
        <w:tab/>
      </w:r>
      <w:r>
        <w:rPr>
          <w:rFonts w:ascii="Arial" w:cs="Arial" w:eastAsia="Arial" w:hAnsi="Arial"/>
          <w:sz w:val="17"/>
          <w:szCs w:val="17"/>
          <w:b w:val="1"/>
          <w:bCs w:val="1"/>
          <w:color w:val="auto"/>
        </w:rPr>
        <w:t>Financial definitions</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this clause 20:</w:t>
      </w:r>
    </w:p>
    <w:p>
      <w:pPr>
        <w:spacing w:after="0" w:line="176" w:lineRule="exact"/>
        <w:rPr>
          <w:sz w:val="20"/>
          <w:szCs w:val="20"/>
          <w:color w:val="auto"/>
        </w:rPr>
      </w:pPr>
    </w:p>
    <w:p>
      <w:pPr>
        <w:jc w:val="both"/>
        <w:ind w:left="540"/>
        <w:spacing w:after="0" w:line="247"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means cash in hand, deposits with banks which are repayable on demand, short term, highly liquid</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which are readily convertible into known amounts of cash with original maturities of three months or less that are subject to an insignificant risk of change in value but exclude (a) any cash that is specifically blocked and charged and (b) cash standing to the credit of any blocked account and charged to the Security Agent and/or any other Finance Party pursuant to any Finance Document.</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Current Assets </w:t>
      </w:r>
      <w:r>
        <w:rPr>
          <w:rFonts w:ascii="Arial" w:cs="Arial" w:eastAsia="Arial" w:hAnsi="Arial"/>
          <w:sz w:val="18"/>
          <w:szCs w:val="18"/>
          <w:color w:val="auto"/>
        </w:rPr>
        <w:t>means, at any time, “Current Assets” of the Group as shown in the then most recent Financial Statements.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Current Liabilities </w:t>
      </w:r>
      <w:r>
        <w:rPr>
          <w:rFonts w:ascii="Arial" w:cs="Arial" w:eastAsia="Arial" w:hAnsi="Arial"/>
          <w:sz w:val="18"/>
          <w:szCs w:val="18"/>
          <w:color w:val="auto"/>
        </w:rPr>
        <w:t>means, at any time, the “Current Liabilities” of the Group as shown in the Financial Statements.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Current Portion of Loans </w:t>
      </w:r>
      <w:r>
        <w:rPr>
          <w:rFonts w:ascii="Arial" w:cs="Arial" w:eastAsia="Arial" w:hAnsi="Arial"/>
          <w:sz w:val="18"/>
          <w:szCs w:val="18"/>
          <w:color w:val="auto"/>
        </w:rPr>
        <w:t>means, at any time, the “Current Portion of Loans” as shown in the then most recent Financial Statements.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Debt Service </w:t>
      </w:r>
      <w:r>
        <w:rPr>
          <w:rFonts w:ascii="Arial" w:cs="Arial" w:eastAsia="Arial" w:hAnsi="Arial"/>
          <w:sz w:val="18"/>
          <w:szCs w:val="18"/>
          <w:color w:val="auto"/>
        </w:rPr>
        <w:t>means, in respect of any financial period, the sum to be the aggregate of:</w:t>
      </w:r>
    </w:p>
    <w:p>
      <w:pPr>
        <w:spacing w:after="0" w:line="220" w:lineRule="exact"/>
        <w:rPr>
          <w:sz w:val="20"/>
          <w:szCs w:val="20"/>
          <w:color w:val="auto"/>
        </w:rPr>
      </w:pPr>
    </w:p>
    <w:p>
      <w:pPr>
        <w:ind w:left="1080" w:hanging="532"/>
        <w:spacing w:after="0"/>
        <w:tabs>
          <w:tab w:leader="none" w:pos="10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scheduled amounts of principal; and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scheduled amounts of interest thereon; and</w:t>
      </w:r>
    </w:p>
    <w:p>
      <w:pPr>
        <w:spacing w:after="0" w:line="19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all other amounts in excess of $30,000,000 per financial year payable as non-recurring or upfront fees, cost and expenses in connection with the Group’s Financial Indebtedness,</w:t>
      </w:r>
    </w:p>
    <w:p>
      <w:pPr>
        <w:spacing w:after="0" w:line="183" w:lineRule="exact"/>
        <w:rPr>
          <w:sz w:val="20"/>
          <w:szCs w:val="20"/>
          <w:color w:val="auto"/>
        </w:rPr>
      </w:pPr>
    </w:p>
    <w:p>
      <w:pPr>
        <w:ind w:left="540" w:right="20"/>
        <w:spacing w:after="0" w:line="246" w:lineRule="auto"/>
        <w:rPr>
          <w:sz w:val="20"/>
          <w:szCs w:val="20"/>
          <w:color w:val="auto"/>
        </w:rPr>
      </w:pPr>
      <w:r>
        <w:rPr>
          <w:rFonts w:ascii="Arial" w:cs="Arial" w:eastAsia="Arial" w:hAnsi="Arial"/>
          <w:sz w:val="18"/>
          <w:szCs w:val="18"/>
          <w:color w:val="auto"/>
        </w:rPr>
        <w:t>which in each case fell due and was paid by the Parent and its Subsidiaries in such period in respect of Total Indebtedness, as shown in the then most recent Financial Statements relevant to such period.</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8"/>
          <w:szCs w:val="18"/>
          <w:color w:val="auto"/>
        </w:rPr>
        <w:t>means, in respect of any period, the consolidated profit on ordinary activities of the Group before taxation for such period, but:</w:t>
      </w:r>
    </w:p>
    <w:p>
      <w:pPr>
        <w:spacing w:after="0" w:line="220" w:lineRule="exact"/>
        <w:rPr>
          <w:sz w:val="20"/>
          <w:szCs w:val="20"/>
          <w:color w:val="auto"/>
        </w:rPr>
      </w:pPr>
    </w:p>
    <w:p>
      <w:pPr>
        <w:ind w:left="1080" w:hanging="532"/>
        <w:spacing w:after="0" w:line="243" w:lineRule="auto"/>
        <w:tabs>
          <w:tab w:leader="none" w:pos="10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adjusted to exclude Interest Receivable and Interest Payable and other similar income or costs to the extent not already excluded;</w:t>
      </w:r>
    </w:p>
    <w:p>
      <w:pPr>
        <w:spacing w:after="0" w:line="398" w:lineRule="exact"/>
        <w:rPr>
          <w:rFonts w:ascii="Arial" w:cs="Arial" w:eastAsia="Arial" w:hAnsi="Arial"/>
          <w:sz w:val="18"/>
          <w:szCs w:val="18"/>
          <w:color w:val="auto"/>
        </w:rPr>
      </w:pPr>
    </w:p>
    <w:p>
      <w:pPr>
        <w:ind w:left="1080" w:hanging="532"/>
        <w:spacing w:after="0"/>
        <w:tabs>
          <w:tab w:leader="none" w:pos="10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adjusted to exclude any gain or loss realised on the disposal of fixed assets (whether tangible or intangible);</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after adding back depreciation and amortisation charged which relates to such period;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adjusted to exclude any exceptional or extraordinary costs or income; and</w:t>
      </w:r>
    </w:p>
    <w:p>
      <w:pPr>
        <w:spacing w:after="0" w:line="19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after deducting any profit arising out of the release of any provisions against a liability or charge and adding back any provision relating to long term assets or contracts,</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shown in the then most recent Financial Statements relevant to such period.</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22" w:name="page123"/>
    <w:bookmarkEnd w:id="122"/>
    <w:p>
      <w:pPr>
        <w:ind w:right="20"/>
        <w:spacing w:after="0" w:line="271" w:lineRule="auto"/>
        <w:rPr>
          <w:sz w:val="20"/>
          <w:szCs w:val="20"/>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means any of the Annual Financial Statements and the Semi-Annual Financial Statements of the Group referred</w:t>
      </w:r>
      <w:r>
        <w:rPr>
          <w:rFonts w:ascii="Arial" w:cs="Arial" w:eastAsia="Arial" w:hAnsi="Arial"/>
          <w:sz w:val="18"/>
          <w:szCs w:val="18"/>
          <w:b w:val="1"/>
          <w:bCs w:val="1"/>
          <w:color w:val="auto"/>
        </w:rPr>
        <w:t xml:space="preserve"> </w:t>
      </w:r>
      <w:r>
        <w:rPr>
          <w:rFonts w:ascii="Arial" w:cs="Arial" w:eastAsia="Arial" w:hAnsi="Arial"/>
          <w:sz w:val="18"/>
          <w:szCs w:val="18"/>
          <w:color w:val="auto"/>
        </w:rPr>
        <w:t>to and defined as such in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means, in respect of any specified Financial Indebtedness, all continuing regular or periodic costs, charges and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incurred in effecting, servicing or maintaining such Financial Indebtedness including:</w:t>
      </w:r>
    </w:p>
    <w:p>
      <w:pPr>
        <w:spacing w:after="0" w:line="162" w:lineRule="exact"/>
        <w:rPr>
          <w:sz w:val="20"/>
          <w:szCs w:val="20"/>
          <w:color w:val="auto"/>
        </w:rPr>
      </w:pPr>
    </w:p>
    <w:p>
      <w:pPr>
        <w:ind w:left="540" w:hanging="532"/>
        <w:spacing w:after="0" w:line="246" w:lineRule="auto"/>
        <w:tabs>
          <w:tab w:leader="none" w:pos="5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gross interest, commitment fees, financing premia or other financial charges, discount and acceptance fees and administration and guarantee fees and fronting and ancillary facility fees payable or incurred on any form of such Financial Indebtedness; and</w:t>
      </w:r>
    </w:p>
    <w:p>
      <w:pPr>
        <w:spacing w:after="0" w:line="183" w:lineRule="exact"/>
        <w:rPr>
          <w:rFonts w:ascii="Arial" w:cs="Arial" w:eastAsia="Arial" w:hAnsi="Arial"/>
          <w:sz w:val="18"/>
          <w:szCs w:val="18"/>
          <w:color w:val="auto"/>
        </w:rPr>
      </w:pPr>
    </w:p>
    <w:p>
      <w:pPr>
        <w:ind w:left="540" w:hanging="532"/>
        <w:spacing w:after="0"/>
        <w:tabs>
          <w:tab w:leader="none" w:pos="5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arrangement fees or other up front fees.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Interest Payable </w:t>
      </w:r>
      <w:r>
        <w:rPr>
          <w:rFonts w:ascii="Arial" w:cs="Arial" w:eastAsia="Arial" w:hAnsi="Arial"/>
          <w:sz w:val="18"/>
          <w:szCs w:val="18"/>
          <w:color w:val="auto"/>
        </w:rPr>
        <w:t>means, in respect of any period, the aggregate (calculated on a consolidated basis) of:</w:t>
      </w:r>
    </w:p>
    <w:p>
      <w:pPr>
        <w:spacing w:after="0" w:line="220" w:lineRule="exact"/>
        <w:rPr>
          <w:sz w:val="20"/>
          <w:szCs w:val="20"/>
          <w:color w:val="auto"/>
        </w:rPr>
      </w:pPr>
    </w:p>
    <w:p>
      <w:pPr>
        <w:jc w:val="both"/>
        <w:ind w:left="540" w:hanging="532"/>
        <w:spacing w:after="0"/>
        <w:tabs>
          <w:tab w:leader="none" w:pos="5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amounts charged and posted (or estimated to be charged and posted) as a current accrual accrued during such period in respect of members of the Group by way of Interest, but excluding any amount accruing as interest in-kind (and not as cash pay) to the extent capitalised as principal during such period; and</w:t>
      </w:r>
    </w:p>
    <w:p>
      <w:pPr>
        <w:spacing w:after="0" w:line="189" w:lineRule="exact"/>
        <w:rPr>
          <w:rFonts w:ascii="Arial" w:cs="Arial" w:eastAsia="Arial" w:hAnsi="Arial"/>
          <w:sz w:val="18"/>
          <w:szCs w:val="18"/>
          <w:color w:val="auto"/>
        </w:rPr>
      </w:pPr>
    </w:p>
    <w:p>
      <w:pPr>
        <w:ind w:left="540" w:right="20" w:hanging="532"/>
        <w:spacing w:after="0" w:line="246" w:lineRule="auto"/>
        <w:tabs>
          <w:tab w:leader="none" w:pos="5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net payments in relation to interest rate or currency hedging arrangements in respect of Financial Indebtedness (after deducting net income in relation to such interest rate or currency hedging arrangements),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as shown in the then most recent Financial Statements relevant to such period.</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Interest Receivable </w:t>
      </w:r>
      <w:r>
        <w:rPr>
          <w:rFonts w:ascii="Arial" w:cs="Arial" w:eastAsia="Arial" w:hAnsi="Arial"/>
          <w:sz w:val="18"/>
          <w:szCs w:val="18"/>
          <w:color w:val="auto"/>
        </w:rPr>
        <w:t>means, in respect of any period, the amount of Interest accrued on cash balances of the Group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interest accrued on the Accounts, to the extent that the account holder is entitled to receive such interest) during such period, as shown in the then most recent Financial Statements relevant to such period.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Market Adjusted Net Worth </w:t>
      </w:r>
      <w:r>
        <w:rPr>
          <w:rFonts w:ascii="Arial" w:cs="Arial" w:eastAsia="Arial" w:hAnsi="Arial"/>
          <w:sz w:val="18"/>
          <w:szCs w:val="18"/>
          <w:color w:val="auto"/>
        </w:rPr>
        <w:t>means, at any time, Total Market Adjusted Assets less Total Indebtedness.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Maximum Leverage </w:t>
      </w:r>
      <w:r>
        <w:rPr>
          <w:rFonts w:ascii="Arial" w:cs="Arial" w:eastAsia="Arial" w:hAnsi="Arial"/>
          <w:sz w:val="18"/>
          <w:szCs w:val="18"/>
          <w:color w:val="auto"/>
        </w:rPr>
        <w:t>means, at any time, the figure calculated using the following formula:</w:t>
      </w:r>
    </w:p>
    <w:p>
      <w:pPr>
        <w:spacing w:after="0" w:line="198" w:lineRule="exact"/>
        <w:rPr>
          <w:sz w:val="20"/>
          <w:szCs w:val="20"/>
          <w:color w:val="auto"/>
        </w:rPr>
      </w:pPr>
    </w:p>
    <w:tbl>
      <w:tblPr>
        <w:tblLayout w:type="fixed"/>
        <w:tblInd w:w="2420" w:type="dxa"/>
        <w:tblCellMar>
          <w:top w:w="0" w:type="dxa"/>
          <w:left w:w="0" w:type="dxa"/>
          <w:bottom w:w="0" w:type="dxa"/>
          <w:right w:w="0" w:type="dxa"/>
        </w:tblCellMar>
      </w:tblPr>
      <w:tr>
        <w:trPr>
          <w:trHeight w:val="225"/>
        </w:trPr>
        <w:tc>
          <w:tcPr>
            <w:tcW w:w="1840" w:type="dxa"/>
            <w:vAlign w:val="bottom"/>
            <w:vMerge w:val="restart"/>
          </w:tcPr>
          <w:p>
            <w:pPr>
              <w:spacing w:after="0"/>
              <w:rPr>
                <w:sz w:val="20"/>
                <w:szCs w:val="20"/>
                <w:color w:val="auto"/>
              </w:rPr>
            </w:pPr>
            <w:r>
              <w:rPr>
                <w:rFonts w:ascii="Arial" w:cs="Arial" w:eastAsia="Arial" w:hAnsi="Arial"/>
                <w:sz w:val="18"/>
                <w:szCs w:val="18"/>
                <w:color w:val="auto"/>
              </w:rPr>
              <w:t>Maximum Leverage =</w:t>
            </w: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Total Indebtedness</w:t>
            </w:r>
          </w:p>
        </w:tc>
        <w:tc>
          <w:tcPr>
            <w:tcW w:w="0" w:type="dxa"/>
            <w:vAlign w:val="bottom"/>
          </w:tcPr>
          <w:p>
            <w:pPr>
              <w:spacing w:after="0"/>
              <w:rPr>
                <w:sz w:val="1"/>
                <w:szCs w:val="1"/>
                <w:color w:val="auto"/>
              </w:rPr>
            </w:pPr>
          </w:p>
        </w:tc>
      </w:tr>
      <w:tr>
        <w:trPr>
          <w:trHeight w:val="102"/>
        </w:trPr>
        <w:tc>
          <w:tcPr>
            <w:tcW w:w="1840" w:type="dxa"/>
            <w:vAlign w:val="bottom"/>
            <w:vMerge w:val="continue"/>
          </w:tcPr>
          <w:p>
            <w:pPr>
              <w:spacing w:after="0"/>
              <w:rPr>
                <w:sz w:val="8"/>
                <w:szCs w:val="8"/>
                <w:color w:val="auto"/>
              </w:rPr>
            </w:pPr>
          </w:p>
        </w:tc>
        <w:tc>
          <w:tcPr>
            <w:tcW w:w="3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Total Assets</w:t>
            </w:r>
          </w:p>
        </w:tc>
        <w:tc>
          <w:tcPr>
            <w:tcW w:w="0" w:type="dxa"/>
            <w:vAlign w:val="bottom"/>
          </w:tcPr>
          <w:p>
            <w:pPr>
              <w:spacing w:after="0"/>
              <w:rPr>
                <w:sz w:val="1"/>
                <w:szCs w:val="1"/>
                <w:color w:val="auto"/>
              </w:rPr>
            </w:pPr>
          </w:p>
        </w:tc>
      </w:tr>
      <w:tr>
        <w:trPr>
          <w:trHeight w:val="131"/>
        </w:trPr>
        <w:tc>
          <w:tcPr>
            <w:tcW w:w="1840" w:type="dxa"/>
            <w:vAlign w:val="bottom"/>
          </w:tcPr>
          <w:p>
            <w:pPr>
              <w:spacing w:after="0"/>
              <w:rPr>
                <w:sz w:val="11"/>
                <w:szCs w:val="11"/>
                <w:color w:val="auto"/>
              </w:rPr>
            </w:pPr>
          </w:p>
        </w:tc>
        <w:tc>
          <w:tcPr>
            <w:tcW w:w="3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Total Assets </w:t>
      </w:r>
      <w:r>
        <w:rPr>
          <w:rFonts w:ascii="Arial" w:cs="Arial" w:eastAsia="Arial" w:hAnsi="Arial"/>
          <w:sz w:val="18"/>
          <w:szCs w:val="18"/>
          <w:color w:val="auto"/>
        </w:rPr>
        <w:t>means, at any time, the amount of total assets of the Group on a consolidated basis as determined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GAAP and shown in the then most recent Financial Statements and calculated in the same manner as shown in the Original Financial Statements of the Group.</w:t>
      </w:r>
    </w:p>
    <w:p>
      <w:pPr>
        <w:spacing w:after="0" w:line="15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 xml:space="preserve">Total Indebtedness </w:t>
      </w:r>
      <w:r>
        <w:rPr>
          <w:rFonts w:ascii="Arial" w:cs="Arial" w:eastAsia="Arial" w:hAnsi="Arial"/>
          <w:sz w:val="18"/>
          <w:szCs w:val="18"/>
          <w:color w:val="auto"/>
        </w:rPr>
        <w:t>means, at any time, the aggregate Financial Indebtedness (on a consolidated basis) of the Group as shown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then most recent Financial Statements.</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Total Market Adjusted Assets </w:t>
      </w:r>
      <w:r>
        <w:rPr>
          <w:rFonts w:ascii="Arial" w:cs="Arial" w:eastAsia="Arial" w:hAnsi="Arial"/>
          <w:sz w:val="18"/>
          <w:szCs w:val="18"/>
          <w:color w:val="auto"/>
        </w:rPr>
        <w:t>means, at any time, the Total Assets adjusted upwards or downwards, as the case may be, to reflect any</w:t>
      </w:r>
      <w:r>
        <w:rPr>
          <w:rFonts w:ascii="Arial" w:cs="Arial" w:eastAsia="Arial" w:hAnsi="Arial"/>
          <w:sz w:val="18"/>
          <w:szCs w:val="18"/>
          <w:b w:val="1"/>
          <w:bCs w:val="1"/>
          <w:color w:val="auto"/>
        </w:rPr>
        <w:t xml:space="preserve"> </w:t>
      </w:r>
      <w:r>
        <w:rPr>
          <w:rFonts w:ascii="Arial" w:cs="Arial" w:eastAsia="Arial" w:hAnsi="Arial"/>
          <w:sz w:val="18"/>
          <w:szCs w:val="18"/>
          <w:color w:val="auto"/>
        </w:rPr>
        <w:t>difference between the book value of Fleet Vessels and mean valuations of such Fleet Vessels provided to the Agent under clause 19.2 (</w:t>
      </w:r>
      <w:r>
        <w:rPr>
          <w:rFonts w:ascii="Arial" w:cs="Arial" w:eastAsia="Arial" w:hAnsi="Arial"/>
          <w:sz w:val="18"/>
          <w:szCs w:val="18"/>
          <w:i w:val="1"/>
          <w:iCs w:val="1"/>
          <w:color w:val="auto"/>
        </w:rPr>
        <w:t>Provision and contents of Compliance Certificate and valuations</w:t>
      </w:r>
      <w:r>
        <w:rPr>
          <w:rFonts w:ascii="Arial" w:cs="Arial" w:eastAsia="Arial" w:hAnsi="Arial"/>
          <w:sz w:val="18"/>
          <w:szCs w:val="18"/>
          <w:color w:val="auto"/>
        </w:rPr>
        <w:t>) and made in accordance with the provisions of such clause.</w:t>
      </w:r>
    </w:p>
    <w:p>
      <w:pPr>
        <w:spacing w:after="0" w:line="16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135255</wp:posOffset>
            </wp:positionV>
            <wp:extent cx="724662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80"/>
          </w:cols>
          <w:pgMar w:left="780" w:top="400" w:right="239" w:bottom="1440" w:gutter="0" w:footer="0" w:header="0"/>
        </w:sectPr>
      </w:pPr>
    </w:p>
    <w:bookmarkStart w:id="123" w:name="page124"/>
    <w:bookmarkEnd w:id="123"/>
    <w:p>
      <w:pPr>
        <w:spacing w:after="0"/>
        <w:tabs>
          <w:tab w:leader="none" w:pos="52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7"/>
          <w:szCs w:val="17"/>
          <w:b w:val="1"/>
          <w:bCs w:val="1"/>
          <w:color w:val="auto"/>
        </w:rPr>
        <w:t>Financial condition</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Each Obligor shall ensure that at all times throughout the Facility Period:</w:t>
      </w:r>
    </w:p>
    <w:p>
      <w:pPr>
        <w:spacing w:after="0" w:line="176" w:lineRule="exact"/>
        <w:rPr>
          <w:sz w:val="20"/>
          <w:szCs w:val="20"/>
          <w:color w:val="auto"/>
        </w:rPr>
      </w:pPr>
    </w:p>
    <w:p>
      <w:pPr>
        <w:ind w:left="1080" w:hanging="532"/>
        <w:spacing w:after="0"/>
        <w:tabs>
          <w:tab w:leader="none" w:pos="1080" w:val="left"/>
        </w:tabs>
        <w:numPr>
          <w:ilvl w:val="0"/>
          <w:numId w:val="232"/>
        </w:numPr>
        <w:rPr>
          <w:rFonts w:ascii="Arial" w:cs="Arial" w:eastAsia="Arial" w:hAnsi="Arial"/>
          <w:sz w:val="18"/>
          <w:szCs w:val="18"/>
          <w:color w:val="auto"/>
        </w:rPr>
      </w:pPr>
      <w:r>
        <w:rPr>
          <w:rFonts w:ascii="Arial" w:cs="Arial" w:eastAsia="Arial" w:hAnsi="Arial"/>
          <w:sz w:val="18"/>
          <w:szCs w:val="18"/>
          <w:b w:val="1"/>
          <w:bCs w:val="1"/>
          <w:color w:val="auto"/>
        </w:rPr>
        <w:t xml:space="preserve">Net Worth: </w:t>
      </w:r>
      <w:r>
        <w:rPr>
          <w:rFonts w:ascii="Arial" w:cs="Arial" w:eastAsia="Arial" w:hAnsi="Arial"/>
          <w:sz w:val="18"/>
          <w:szCs w:val="18"/>
          <w:color w:val="auto"/>
        </w:rPr>
        <w:t>Market Adjusted Net Worth shall be not less than $350,000,000;</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32"/>
        </w:numPr>
        <w:rPr>
          <w:rFonts w:ascii="Arial" w:cs="Arial" w:eastAsia="Arial" w:hAnsi="Arial"/>
          <w:sz w:val="18"/>
          <w:szCs w:val="18"/>
          <w:color w:val="auto"/>
        </w:rPr>
      </w:pPr>
      <w:r>
        <w:rPr>
          <w:rFonts w:ascii="Arial" w:cs="Arial" w:eastAsia="Arial" w:hAnsi="Arial"/>
          <w:sz w:val="18"/>
          <w:szCs w:val="18"/>
          <w:b w:val="1"/>
          <w:bCs w:val="1"/>
          <w:color w:val="auto"/>
        </w:rPr>
        <w:t xml:space="preserve">Current ratio: </w:t>
      </w:r>
      <w:r>
        <w:rPr>
          <w:rFonts w:ascii="Arial" w:cs="Arial" w:eastAsia="Arial" w:hAnsi="Arial"/>
          <w:sz w:val="18"/>
          <w:szCs w:val="18"/>
          <w:color w:val="auto"/>
        </w:rPr>
        <w:t>Current Assets shall be greater than or equal to Current Liabilities (excluding the Current Portion of Loans);</w:t>
      </w:r>
    </w:p>
    <w:p>
      <w:pPr>
        <w:spacing w:after="0" w:line="198" w:lineRule="exact"/>
        <w:rPr>
          <w:rFonts w:ascii="Arial" w:cs="Arial" w:eastAsia="Arial" w:hAnsi="Arial"/>
          <w:sz w:val="18"/>
          <w:szCs w:val="18"/>
          <w:color w:val="auto"/>
        </w:rPr>
      </w:pPr>
    </w:p>
    <w:p>
      <w:pPr>
        <w:ind w:left="1080" w:hanging="532"/>
        <w:spacing w:after="0" w:line="271" w:lineRule="auto"/>
        <w:tabs>
          <w:tab w:leader="none" w:pos="1080" w:val="left"/>
        </w:tabs>
        <w:numPr>
          <w:ilvl w:val="0"/>
          <w:numId w:val="232"/>
        </w:numPr>
        <w:rPr>
          <w:rFonts w:ascii="Arial" w:cs="Arial" w:eastAsia="Arial" w:hAnsi="Arial"/>
          <w:sz w:val="18"/>
          <w:szCs w:val="18"/>
          <w:color w:val="auto"/>
        </w:rPr>
      </w:pPr>
      <w:r>
        <w:rPr>
          <w:rFonts w:ascii="Arial" w:cs="Arial" w:eastAsia="Arial" w:hAnsi="Arial"/>
          <w:sz w:val="18"/>
          <w:szCs w:val="18"/>
          <w:b w:val="1"/>
          <w:bCs w:val="1"/>
          <w:color w:val="auto"/>
        </w:rPr>
        <w:t xml:space="preserve">Debt service cover: </w:t>
      </w:r>
      <w:r>
        <w:rPr>
          <w:rFonts w:ascii="Arial" w:cs="Arial" w:eastAsia="Arial" w:hAnsi="Arial"/>
          <w:sz w:val="18"/>
          <w:szCs w:val="18"/>
          <w:color w:val="auto"/>
        </w:rPr>
        <w:t>in respect of any six month period, the ratio of EBITDA: Debt Service, on a trailing four quarter basis,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no less than 1.10:1;</w:t>
      </w:r>
    </w:p>
    <w:p>
      <w:pPr>
        <w:spacing w:after="0" w:line="140" w:lineRule="exact"/>
        <w:rPr>
          <w:rFonts w:ascii="Arial" w:cs="Arial" w:eastAsia="Arial" w:hAnsi="Arial"/>
          <w:sz w:val="18"/>
          <w:szCs w:val="18"/>
          <w:color w:val="auto"/>
        </w:rPr>
      </w:pPr>
    </w:p>
    <w:p>
      <w:pPr>
        <w:ind w:left="1080" w:hanging="532"/>
        <w:spacing w:after="0"/>
        <w:tabs>
          <w:tab w:leader="none" w:pos="1080" w:val="left"/>
        </w:tabs>
        <w:numPr>
          <w:ilvl w:val="0"/>
          <w:numId w:val="232"/>
        </w:numPr>
        <w:rPr>
          <w:rFonts w:ascii="Arial" w:cs="Arial" w:eastAsia="Arial" w:hAnsi="Arial"/>
          <w:sz w:val="18"/>
          <w:szCs w:val="18"/>
          <w:color w:val="auto"/>
        </w:rPr>
      </w:pPr>
      <w:r>
        <w:rPr>
          <w:rFonts w:ascii="Arial" w:cs="Arial" w:eastAsia="Arial" w:hAnsi="Arial"/>
          <w:sz w:val="18"/>
          <w:szCs w:val="18"/>
          <w:b w:val="1"/>
          <w:bCs w:val="1"/>
          <w:color w:val="auto"/>
        </w:rPr>
        <w:t xml:space="preserve">Leverage: </w:t>
      </w:r>
      <w:r>
        <w:rPr>
          <w:rFonts w:ascii="Arial" w:cs="Arial" w:eastAsia="Arial" w:hAnsi="Arial"/>
          <w:sz w:val="18"/>
          <w:szCs w:val="18"/>
          <w:color w:val="auto"/>
        </w:rPr>
        <w:t>Maximum Leverage shall be less than 75%; and</w:t>
      </w:r>
    </w:p>
    <w:p>
      <w:pPr>
        <w:spacing w:after="0" w:line="198" w:lineRule="exact"/>
        <w:rPr>
          <w:rFonts w:ascii="Arial" w:cs="Arial" w:eastAsia="Arial" w:hAnsi="Arial"/>
          <w:sz w:val="18"/>
          <w:szCs w:val="18"/>
          <w:color w:val="auto"/>
        </w:rPr>
      </w:pPr>
    </w:p>
    <w:p>
      <w:pPr>
        <w:ind w:left="1080" w:hanging="532"/>
        <w:spacing w:after="0" w:line="271" w:lineRule="auto"/>
        <w:tabs>
          <w:tab w:leader="none" w:pos="1080" w:val="left"/>
        </w:tabs>
        <w:numPr>
          <w:ilvl w:val="0"/>
          <w:numId w:val="232"/>
        </w:numPr>
        <w:rPr>
          <w:rFonts w:ascii="Arial" w:cs="Arial" w:eastAsia="Arial" w:hAnsi="Arial"/>
          <w:sz w:val="18"/>
          <w:szCs w:val="18"/>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and Cash Equivalents shall be at least the greater of (a) $50,000,000 and (b) three per cent</w:t>
      </w:r>
      <w:r>
        <w:rPr>
          <w:rFonts w:ascii="Arial" w:cs="Arial" w:eastAsia="Arial" w:hAnsi="Arial"/>
          <w:sz w:val="18"/>
          <w:szCs w:val="18"/>
          <w:b w:val="1"/>
          <w:bCs w:val="1"/>
          <w:color w:val="auto"/>
        </w:rPr>
        <w:t xml:space="preserve"> </w:t>
      </w:r>
      <w:r>
        <w:rPr>
          <w:rFonts w:ascii="Arial" w:cs="Arial" w:eastAsia="Arial" w:hAnsi="Arial"/>
          <w:sz w:val="18"/>
          <w:szCs w:val="18"/>
          <w:color w:val="auto"/>
        </w:rPr>
        <w:t>of Total Indebtedness.</w:t>
      </w:r>
    </w:p>
    <w:p>
      <w:pPr>
        <w:spacing w:after="0" w:line="14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7"/>
          <w:szCs w:val="17"/>
          <w:b w:val="1"/>
          <w:bCs w:val="1"/>
          <w:color w:val="auto"/>
        </w:rPr>
        <w:t>Financial testing</w:t>
      </w:r>
    </w:p>
    <w:p>
      <w:pPr>
        <w:spacing w:after="0" w:line="202" w:lineRule="exact"/>
        <w:rPr>
          <w:sz w:val="20"/>
          <w:szCs w:val="20"/>
          <w:color w:val="auto"/>
        </w:rPr>
      </w:pPr>
    </w:p>
    <w:p>
      <w:pPr>
        <w:jc w:val="both"/>
        <w:ind w:left="540"/>
        <w:spacing w:after="0" w:line="245" w:lineRule="auto"/>
        <w:rPr>
          <w:sz w:val="20"/>
          <w:szCs w:val="20"/>
          <w:color w:val="auto"/>
        </w:rPr>
      </w:pPr>
      <w:r>
        <w:rPr>
          <w:rFonts w:ascii="Arial" w:cs="Arial" w:eastAsia="Arial" w:hAnsi="Arial"/>
          <w:sz w:val="18"/>
          <w:szCs w:val="18"/>
          <w:color w:val="auto"/>
        </w:rPr>
        <w:t>The financial covenants set out in clause 20.2 (</w:t>
      </w:r>
      <w:r>
        <w:rPr>
          <w:rFonts w:ascii="Arial" w:cs="Arial" w:eastAsia="Arial" w:hAnsi="Arial"/>
          <w:sz w:val="18"/>
          <w:szCs w:val="18"/>
          <w:i w:val="1"/>
          <w:iCs w:val="1"/>
          <w:color w:val="auto"/>
        </w:rPr>
        <w:t>Financial condition</w:t>
      </w:r>
      <w:r>
        <w:rPr>
          <w:rFonts w:ascii="Arial" w:cs="Arial" w:eastAsia="Arial" w:hAnsi="Arial"/>
          <w:sz w:val="18"/>
          <w:szCs w:val="18"/>
          <w:color w:val="auto"/>
        </w:rPr>
        <w:t>) shall be calculated in accordance with GAAP on a consolidated basis and tested upon receipt of the Annual Financial Statements and Semi-Annual Financial Statements of the Group by reference to the same and to each Compliance Certificate delivered pursuant to clause 19.2 (</w:t>
      </w:r>
      <w:r>
        <w:rPr>
          <w:rFonts w:ascii="Arial" w:cs="Arial" w:eastAsia="Arial" w:hAnsi="Arial"/>
          <w:sz w:val="18"/>
          <w:szCs w:val="18"/>
          <w:i w:val="1"/>
          <w:iCs w:val="1"/>
          <w:color w:val="auto"/>
        </w:rPr>
        <w:t>Provision and contents of Compliance Certificate and</w:t>
      </w:r>
      <w:r>
        <w:rPr>
          <w:rFonts w:ascii="Arial" w:cs="Arial" w:eastAsia="Arial" w:hAnsi="Arial"/>
          <w:sz w:val="18"/>
          <w:szCs w:val="18"/>
          <w:color w:val="auto"/>
        </w:rPr>
        <w:t xml:space="preserve"> </w:t>
      </w:r>
      <w:r>
        <w:rPr>
          <w:rFonts w:ascii="Arial" w:cs="Arial" w:eastAsia="Arial" w:hAnsi="Arial"/>
          <w:sz w:val="18"/>
          <w:szCs w:val="18"/>
          <w:i w:val="1"/>
          <w:iCs w:val="1"/>
          <w:color w:val="auto"/>
        </w:rPr>
        <w:t>valuations</w:t>
      </w:r>
      <w:r>
        <w:rPr>
          <w:rFonts w:ascii="Arial" w:cs="Arial" w:eastAsia="Arial" w:hAnsi="Arial"/>
          <w:sz w:val="18"/>
          <w:szCs w:val="18"/>
          <w:color w:val="auto"/>
        </w:rPr>
        <w:t>) together with such statements.</w:t>
      </w:r>
    </w:p>
    <w:p>
      <w:pPr>
        <w:spacing w:after="0" w:line="16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General undertakings</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Each Obligor undertakes with each Finance Party that this clause 21 will be complied with throughout the Facility Period, except that the undertakings in clause 21.11 (</w:t>
      </w:r>
      <w:r>
        <w:rPr>
          <w:rFonts w:ascii="Arial" w:cs="Arial" w:eastAsia="Arial" w:hAnsi="Arial"/>
          <w:sz w:val="18"/>
          <w:szCs w:val="18"/>
          <w:i w:val="1"/>
          <w:iCs w:val="1"/>
          <w:color w:val="auto"/>
        </w:rPr>
        <w:t>Sanctions</w:t>
      </w:r>
      <w:r>
        <w:rPr>
          <w:rFonts w:ascii="Arial" w:cs="Arial" w:eastAsia="Arial" w:hAnsi="Arial"/>
          <w:sz w:val="18"/>
          <w:szCs w:val="18"/>
          <w:color w:val="auto"/>
        </w:rPr>
        <w:t>) insofar as they relate to Sanctions not imposed by Germany, the European Union or the United Nations are not given in favour of any Finance Party established under the laws of Germany and/or with a Facility Office in Germany.</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7"/>
          <w:szCs w:val="17"/>
          <w:b w:val="1"/>
          <w:bCs w:val="1"/>
          <w:color w:val="auto"/>
        </w:rPr>
        <w:t>Use of proceeds</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proceeds of Utilisations will be used exclusively for the purposes specified in clause 3 (</w:t>
      </w:r>
      <w:r>
        <w:rPr>
          <w:rFonts w:ascii="Arial" w:cs="Arial" w:eastAsia="Arial" w:hAnsi="Arial"/>
          <w:sz w:val="18"/>
          <w:szCs w:val="18"/>
          <w:i w:val="1"/>
          <w:iCs w:val="1"/>
          <w:color w:val="auto"/>
        </w:rPr>
        <w:t>Purpose</w:t>
      </w:r>
      <w:r>
        <w:rPr>
          <w:rFonts w:ascii="Arial" w:cs="Arial" w:eastAsia="Arial" w:hAnsi="Arial"/>
          <w:sz w:val="18"/>
          <w:szCs w:val="18"/>
          <w:color w:val="auto"/>
        </w:rPr>
        <w:t>).</w:t>
      </w:r>
    </w:p>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21.2</w:t>
        <w:tab/>
        <w:t>Authorisations</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Each Obligor will promptly (and in connection with any Finance Document, as soon as such Finance Document is entered into):</w:t>
      </w:r>
    </w:p>
    <w:p>
      <w:pPr>
        <w:spacing w:after="0" w:line="198" w:lineRule="exact"/>
        <w:rPr>
          <w:sz w:val="20"/>
          <w:szCs w:val="20"/>
          <w:color w:val="auto"/>
        </w:rPr>
      </w:pPr>
    </w:p>
    <w:p>
      <w:pPr>
        <w:ind w:left="1080" w:hanging="532"/>
        <w:spacing w:after="0"/>
        <w:tabs>
          <w:tab w:leader="none" w:pos="10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obtain, comply with and do all that is necessary to maintain in full force and effect; and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supply certified copies to the Agent of,</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any authorisation required under any law or regulation of a Relevant Jurisdiction to:</w:t>
      </w:r>
    </w:p>
    <w:p>
      <w:pPr>
        <w:spacing w:after="0" w:line="198" w:lineRule="exact"/>
        <w:rPr>
          <w:sz w:val="20"/>
          <w:szCs w:val="20"/>
          <w:color w:val="auto"/>
        </w:rPr>
      </w:pPr>
    </w:p>
    <w:p>
      <w:pPr>
        <w:ind w:left="1620" w:hanging="532"/>
        <w:spacing w:after="0"/>
        <w:tabs>
          <w:tab w:leader="none" w:pos="16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enable it to perform its obligations under the Finance Documents and the Charter Documents;</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ensure the legality, validity, enforceability or admissibility in evidence of any Finance Document, Charter Document; and</w:t>
      </w:r>
    </w:p>
    <w:p>
      <w:pPr>
        <w:spacing w:after="0" w:line="198" w:lineRule="exact"/>
        <w:rPr>
          <w:rFonts w:ascii="Arial" w:cs="Arial" w:eastAsia="Arial" w:hAnsi="Arial"/>
          <w:sz w:val="18"/>
          <w:szCs w:val="18"/>
          <w:color w:val="auto"/>
        </w:rPr>
      </w:pPr>
    </w:p>
    <w:p>
      <w:pPr>
        <w:ind w:left="5620" w:right="480" w:hanging="4532"/>
        <w:spacing w:after="0" w:line="465" w:lineRule="auto"/>
        <w:tabs>
          <w:tab w:leader="none" w:pos="1635" w:val="left"/>
        </w:tabs>
        <w:numPr>
          <w:ilvl w:val="0"/>
          <w:numId w:val="234"/>
        </w:numPr>
        <w:rPr>
          <w:rFonts w:ascii="Arial" w:cs="Arial" w:eastAsia="Arial" w:hAnsi="Arial"/>
          <w:sz w:val="18"/>
          <w:szCs w:val="18"/>
          <w:color w:val="auto"/>
        </w:rPr>
      </w:pPr>
      <w:r>
        <w:rPr>
          <w:rFonts w:ascii="Arial" w:cs="Arial" w:eastAsia="Arial" w:hAnsi="Arial"/>
          <w:sz w:val="18"/>
          <w:szCs w:val="18"/>
          <w:color w:val="auto"/>
        </w:rPr>
        <w:t>carry on its business, where failure to do so has, or might reasonably be expected to have, a Material Adverse Effect.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24" w:name="page125"/>
    <w:bookmarkEnd w:id="124"/>
    <w:p>
      <w:pPr>
        <w:spacing w:after="0"/>
        <w:tabs>
          <w:tab w:leader="none" w:pos="520" w:val="left"/>
        </w:tabs>
        <w:rPr>
          <w:sz w:val="20"/>
          <w:szCs w:val="20"/>
          <w:color w:val="auto"/>
        </w:rPr>
      </w:pPr>
      <w:r>
        <w:rPr>
          <w:rFonts w:ascii="Arial" w:cs="Arial" w:eastAsia="Arial" w:hAnsi="Arial"/>
          <w:sz w:val="18"/>
          <w:szCs w:val="18"/>
          <w:b w:val="1"/>
          <w:bCs w:val="1"/>
          <w:color w:val="auto"/>
        </w:rPr>
        <w:t>21.3</w:t>
        <w:tab/>
        <w:t>Compliance with laws</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Each Obligor and each Manager (other than the Shell Technical Manager) will comply in all respects with all laws and regulations (including Environmental Laws) to which it may be subject, where failure to do so has, or might reasonably be expected to have, a Material Adverse Effect.</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7"/>
          <w:szCs w:val="17"/>
          <w:b w:val="1"/>
          <w:bCs w:val="1"/>
          <w:color w:val="auto"/>
        </w:rPr>
        <w:t>Tax Compliance</w:t>
      </w:r>
    </w:p>
    <w:p>
      <w:pPr>
        <w:spacing w:after="0" w:line="220" w:lineRule="exact"/>
        <w:rPr>
          <w:sz w:val="20"/>
          <w:szCs w:val="20"/>
          <w:color w:val="auto"/>
        </w:rPr>
      </w:pPr>
    </w:p>
    <w:p>
      <w:pPr>
        <w:ind w:left="1080" w:hanging="532"/>
        <w:spacing w:after="0" w:line="246" w:lineRule="auto"/>
        <w:tabs>
          <w:tab w:leader="none" w:pos="10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Each Obligor and each Manager (other than the Shell Technical Manager) shall pay and discharge all Taxes imposed upon it or its assets within such time period as may be allowed by law without incurring penalties unless and only to the extent that:</w:t>
      </w:r>
    </w:p>
    <w:p>
      <w:pPr>
        <w:spacing w:after="0" w:line="183" w:lineRule="exact"/>
        <w:rPr>
          <w:rFonts w:ascii="Arial" w:cs="Arial" w:eastAsia="Arial" w:hAnsi="Arial"/>
          <w:sz w:val="18"/>
          <w:szCs w:val="18"/>
          <w:color w:val="auto"/>
        </w:rPr>
      </w:pPr>
    </w:p>
    <w:p>
      <w:pPr>
        <w:ind w:left="1620" w:hanging="532"/>
        <w:spacing w:after="0"/>
        <w:tabs>
          <w:tab w:leader="none" w:pos="162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such payment is being contested in good faith;</w:t>
      </w:r>
    </w:p>
    <w:p>
      <w:pPr>
        <w:spacing w:after="0" w:line="198"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adequate reserves are being maintained for those Taxes and the costs required to contest them which have been disclosed in its latest financial statements delivered to the Agent under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 and</w:t>
      </w:r>
    </w:p>
    <w:p>
      <w:pPr>
        <w:spacing w:after="0" w:line="183" w:lineRule="exact"/>
        <w:rPr>
          <w:rFonts w:ascii="Arial" w:cs="Arial" w:eastAsia="Arial" w:hAnsi="Arial"/>
          <w:sz w:val="18"/>
          <w:szCs w:val="18"/>
          <w:color w:val="auto"/>
        </w:rPr>
      </w:pPr>
    </w:p>
    <w:p>
      <w:pPr>
        <w:ind w:left="1620" w:hanging="532"/>
        <w:spacing w:after="0"/>
        <w:tabs>
          <w:tab w:leader="none" w:pos="162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such payment can be lawfully withheld.</w:t>
      </w:r>
    </w:p>
    <w:p>
      <w:pPr>
        <w:spacing w:after="0" w:line="19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Except as approved by the Majority Lenders, each Obligor shall maintain its residence for Tax purposes in the jurisdiction in which it is incorporated and ensure that it is not resident for Tax purposes in any other jurisdiction.</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21.5</w:t>
        <w:tab/>
        <w:t>Change of business</w:t>
      </w:r>
    </w:p>
    <w:p>
      <w:pPr>
        <w:spacing w:after="0" w:line="220" w:lineRule="exact"/>
        <w:rPr>
          <w:sz w:val="20"/>
          <w:szCs w:val="20"/>
          <w:color w:val="auto"/>
        </w:rPr>
      </w:pPr>
    </w:p>
    <w:p>
      <w:pPr>
        <w:jc w:val="both"/>
        <w:ind w:left="540"/>
        <w:spacing w:after="0" w:line="239" w:lineRule="auto"/>
        <w:rPr>
          <w:sz w:val="20"/>
          <w:szCs w:val="20"/>
          <w:color w:val="auto"/>
        </w:rPr>
      </w:pPr>
      <w:r>
        <w:rPr>
          <w:rFonts w:ascii="Arial" w:cs="Arial" w:eastAsia="Arial" w:hAnsi="Arial"/>
          <w:sz w:val="18"/>
          <w:szCs w:val="18"/>
          <w:color w:val="auto"/>
        </w:rPr>
        <w:t>Except as approved by the Majority Lenders, or otherwise permitted by the terms of this Agreement, no material change will be made to the general nature of the business of any of the Obligors or the Group taken as a whole from that carried on at the date of this Agreement, save that any activities involving or undertaken whatsoever within the maritime sector by any Group Member will not be considered a change in the general nature of the business of any of the Obligors or the Group taken as a whole.</w:t>
      </w:r>
    </w:p>
    <w:p>
      <w:pPr>
        <w:spacing w:after="0" w:line="16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7"/>
          <w:szCs w:val="17"/>
          <w:b w:val="1"/>
          <w:bCs w:val="1"/>
          <w:color w:val="auto"/>
        </w:rPr>
        <w:t>Merger and corporate reconstruction</w:t>
      </w:r>
    </w:p>
    <w:p>
      <w:pPr>
        <w:spacing w:after="0" w:line="220" w:lineRule="exact"/>
        <w:rPr>
          <w:sz w:val="20"/>
          <w:szCs w:val="20"/>
          <w:color w:val="auto"/>
        </w:rPr>
      </w:pPr>
    </w:p>
    <w:p>
      <w:pPr>
        <w:jc w:val="both"/>
        <w:ind w:left="540"/>
        <w:spacing w:after="0" w:line="239" w:lineRule="auto"/>
        <w:rPr>
          <w:sz w:val="20"/>
          <w:szCs w:val="20"/>
          <w:color w:val="auto"/>
        </w:rPr>
      </w:pPr>
      <w:r>
        <w:rPr>
          <w:rFonts w:ascii="Arial" w:cs="Arial" w:eastAsia="Arial" w:hAnsi="Arial"/>
          <w:sz w:val="18"/>
          <w:szCs w:val="18"/>
          <w:color w:val="auto"/>
        </w:rPr>
        <w:t>Except as approved by the Majority Lenders, no Obligor, will enter into any amalgamation, demerger, merger, consolidation, redomiciliation, legal migration or corporate reconstruction (other than an amalgamation, merger or consolidation of a Guarantor where such Guarantor is the surviving entity of the same). For the avoidance of doubt, the parties agree that a Dropdown will not constitute an amalgamation, demerger, merger, consolidation or corporate reconstruction within the meaning of this clause 21.6.</w:t>
      </w:r>
    </w:p>
    <w:p>
      <w:pPr>
        <w:spacing w:after="0" w:line="16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21.7</w:t>
        <w:tab/>
        <w:t>Further assurance</w:t>
      </w:r>
    </w:p>
    <w:p>
      <w:pPr>
        <w:spacing w:after="0" w:line="220" w:lineRule="exact"/>
        <w:rPr>
          <w:sz w:val="20"/>
          <w:szCs w:val="20"/>
          <w:color w:val="auto"/>
        </w:rPr>
      </w:pPr>
    </w:p>
    <w:p>
      <w:pPr>
        <w:jc w:val="both"/>
        <w:ind w:left="1080" w:hanging="532"/>
        <w:spacing w:after="0" w:line="239" w:lineRule="auto"/>
        <w:tabs>
          <w:tab w:leader="none" w:pos="10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Each Obligor shall promptly do all such acts or execute all such documents (including assignments, transfers, mortgages, charges, notices and instructions) as the Agent may reasonably specify (and in such form as the Agent may reasonably require acting on the instructions of the Majority Lenders) in favour of the Security Agent or its nominee(s) as provided under each Finance Document, as applicable:</w:t>
      </w:r>
    </w:p>
    <w:p>
      <w:pPr>
        <w:spacing w:after="0" w:line="188" w:lineRule="exact"/>
        <w:rPr>
          <w:rFonts w:ascii="Arial" w:cs="Arial" w:eastAsia="Arial" w:hAnsi="Arial"/>
          <w:sz w:val="18"/>
          <w:szCs w:val="18"/>
          <w:color w:val="auto"/>
        </w:rPr>
      </w:pPr>
    </w:p>
    <w:p>
      <w:pPr>
        <w:jc w:val="both"/>
        <w:ind w:left="1620" w:hanging="532"/>
        <w:spacing w:after="0" w:line="238" w:lineRule="auto"/>
        <w:tabs>
          <w:tab w:leader="none" w:pos="162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to perfect the Security Interests created or intended to be created by that Obligor under or evidenced by the Security Documents (which may include the execution of a mortgage, charge, assignment or other security over all or any of the assets which are, or are intended to be, the subject of the Security Documents) or to protect or ensure the priority of such Security Interests or for the exercise of any rights, powers and remedies of the Security Agent or any other Finance Party provided by or pursuant to the Finance Documents or by law;</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25" w:name="page126"/>
    <w:bookmarkEnd w:id="125"/>
    <w:p>
      <w:pPr>
        <w:jc w:val="both"/>
        <w:ind w:left="1620" w:hanging="532"/>
        <w:spacing w:after="0"/>
        <w:tabs>
          <w:tab w:leader="none" w:pos="162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to confer on the Security Agent and/or any other Finance Party Security Interests over any property and assets of that Obligor located in any jurisdiction equivalent or similar to the Security Interest intended to be conferred by or pursuant to the Security Documents;</w:t>
      </w:r>
    </w:p>
    <w:p>
      <w:pPr>
        <w:spacing w:after="0" w:line="189" w:lineRule="exact"/>
        <w:rPr>
          <w:rFonts w:ascii="Arial" w:cs="Arial" w:eastAsia="Arial" w:hAnsi="Arial"/>
          <w:sz w:val="18"/>
          <w:szCs w:val="18"/>
          <w:color w:val="auto"/>
        </w:rPr>
      </w:pPr>
    </w:p>
    <w:p>
      <w:pPr>
        <w:ind w:left="1620" w:hanging="532"/>
        <w:spacing w:after="0"/>
        <w:tabs>
          <w:tab w:leader="none" w:pos="162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to facilitate the realisation of the assets which are, or are intended to be, the subject of the Security Documents; and/or</w:t>
      </w:r>
    </w:p>
    <w:p>
      <w:pPr>
        <w:spacing w:after="0" w:line="198"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at the request of the New Lender, to facilitate the accession by a New Lender to any Security Document following an assignment in accordance with clause 30.1 (</w:t>
      </w:r>
      <w:r>
        <w:rPr>
          <w:rFonts w:ascii="Arial" w:cs="Arial" w:eastAsia="Arial" w:hAnsi="Arial"/>
          <w:sz w:val="18"/>
          <w:szCs w:val="18"/>
          <w:i w:val="1"/>
          <w:iCs w:val="1"/>
          <w:color w:val="auto"/>
        </w:rPr>
        <w:t>Assignments by the Lenders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1080" w:hanging="532"/>
        <w:spacing w:after="0" w:line="239" w:lineRule="auto"/>
        <w:tabs>
          <w:tab w:leader="none" w:pos="10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Each Obligor shall take all such action as is available to it (including making all filings and registrations) as may be necessary for the purpose of the creation, perfection, protection or maintenance of any Security Interest (or the priority of any Security Interest) conferred or intended to be conferred on the Security Agent and/or any other Finance Party by or pursuant to the Finance Documents.</w:t>
      </w:r>
    </w:p>
    <w:p>
      <w:pPr>
        <w:spacing w:after="0" w:line="16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21.8</w:t>
        <w:tab/>
        <w:t>Negative pledge in respect of Charged Property or Borrower’s shares</w:t>
      </w:r>
    </w:p>
    <w:p>
      <w:pPr>
        <w:spacing w:after="0" w:line="220" w:lineRule="exact"/>
        <w:rPr>
          <w:sz w:val="20"/>
          <w:szCs w:val="20"/>
          <w:color w:val="auto"/>
        </w:rPr>
      </w:pPr>
    </w:p>
    <w:p>
      <w:pPr>
        <w:ind w:left="1080" w:hanging="532"/>
        <w:spacing w:after="0"/>
        <w:tabs>
          <w:tab w:leader="none" w:pos="10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Except for Permitted Security Interests, no Obligor will grant or allow to exist any Security Interest over any Charged Property.</w:t>
      </w:r>
    </w:p>
    <w:p>
      <w:pPr>
        <w:spacing w:after="0" w:line="19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Except under the Share Security in respect of each Borrower, no Obligor will grant or allow to exist any Security Interest over any of the shares in any of the Borrowers or over any of the rights deriving from or related to such shares.</w:t>
      </w:r>
    </w:p>
    <w:p>
      <w:pPr>
        <w:spacing w:after="0" w:line="183"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Each Obligor will procure that all of the shares and membership interests of or in all of the Obligors will be in registered form (and not in bearer form) at all times.</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21.9</w:t>
        <w:tab/>
        <w:t>Environmental matters</w:t>
      </w:r>
    </w:p>
    <w:p>
      <w:pPr>
        <w:spacing w:after="0" w:line="220" w:lineRule="exact"/>
        <w:rPr>
          <w:sz w:val="20"/>
          <w:szCs w:val="20"/>
          <w:color w:val="auto"/>
        </w:rPr>
      </w:pPr>
    </w:p>
    <w:p>
      <w:pPr>
        <w:jc w:val="both"/>
        <w:ind w:left="1080" w:hanging="532"/>
        <w:spacing w:after="0" w:line="238" w:lineRule="auto"/>
        <w:tabs>
          <w:tab w:leader="none" w:pos="10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Obligors will notify the Agent as soon as reasonably practicable of any Environmental Claim being made against any Group Member or any Fleet Vessel or the owner of any Fleet Vessel or any Manager (other than the Shell Technical Manager) which, if successful to any extent, might reasonably be expected to have a Material Adverse Effect and of any Environmental Incident which may give rise to such a claim and will be kept regularly and promptly informed in reasonable detail of the nature of, and response to, any such Environmental Incident and the defence to any such claim.</w:t>
      </w:r>
    </w:p>
    <w:p>
      <w:pPr>
        <w:spacing w:after="0" w:line="189"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Obligors will procure that all Environmental Laws (and any consents, licences or approvals obtained under them) applicable to Fleet Vessels will not be violated in a way which might reasonably be expected to have a Material Adverse Effect.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21.10 Pari Passu</w:t>
      </w:r>
    </w:p>
    <w:p>
      <w:pPr>
        <w:spacing w:after="0" w:line="220" w:lineRule="exact"/>
        <w:rPr>
          <w:sz w:val="20"/>
          <w:szCs w:val="20"/>
          <w:color w:val="auto"/>
        </w:rPr>
      </w:pPr>
    </w:p>
    <w:p>
      <w:pPr>
        <w:jc w:val="both"/>
        <w:ind w:left="540"/>
        <w:spacing w:after="0" w:line="238" w:lineRule="auto"/>
        <w:rPr>
          <w:sz w:val="20"/>
          <w:szCs w:val="20"/>
          <w:color w:val="auto"/>
        </w:rPr>
      </w:pPr>
      <w:r>
        <w:rPr>
          <w:rFonts w:ascii="Arial" w:cs="Arial" w:eastAsia="Arial" w:hAnsi="Arial"/>
          <w:sz w:val="18"/>
          <w:szCs w:val="18"/>
          <w:color w:val="auto"/>
        </w:rPr>
        <w:t>Each Obligor will ensure that (a) its obligations under the Finance Documents shall, without prejudice to the Security Interests intended to be created by the Security Documents, at all times rank at least pari passu with all its other present and future unsecured and unsubordinated Indebtedness with the exception of any obligations which are mandatorily preferred by law and not by contract and (b) any Financial Indebtedness of any Obligor to any other Group Member or any of its shareholders or other Affiliates shall be in all respects subordinated in ranking and priority of payment to all amounts owing to the Finance Parties under the Finance Documents.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21.11 Sanctions</w:t>
      </w:r>
    </w:p>
    <w:p>
      <w:pPr>
        <w:spacing w:after="0" w:line="220" w:lineRule="exact"/>
        <w:rPr>
          <w:sz w:val="20"/>
          <w:szCs w:val="20"/>
          <w:color w:val="auto"/>
        </w:rPr>
      </w:pPr>
    </w:p>
    <w:p>
      <w:pPr>
        <w:ind w:left="1080" w:hanging="532"/>
        <w:spacing w:after="0" w:line="246" w:lineRule="auto"/>
        <w:tabs>
          <w:tab w:leader="none" w:pos="10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No Obligor nor any other Group Member will, directly or indirectly, make any proceeds of the Loans available to, or for the benefit of, a Prohibited Person or permit or authorise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26" w:name="page127"/>
    <w:bookmarkEnd w:id="126"/>
    <w:p>
      <w:pPr>
        <w:ind w:left="540"/>
        <w:spacing w:after="0" w:line="246" w:lineRule="auto"/>
        <w:rPr>
          <w:sz w:val="20"/>
          <w:szCs w:val="20"/>
          <w:color w:val="auto"/>
        </w:rPr>
      </w:pPr>
      <w:r>
        <w:rPr>
          <w:rFonts w:ascii="Arial" w:cs="Arial" w:eastAsia="Arial" w:hAnsi="Arial"/>
          <w:sz w:val="18"/>
          <w:szCs w:val="18"/>
          <w:color w:val="auto"/>
        </w:rPr>
        <w:t>any such proceeds to be applied in a manner or for a purpose prohibited by Sanctions or which would put any Finance Party in breach of any Sanctions.</w:t>
      </w:r>
    </w:p>
    <w:p>
      <w:pPr>
        <w:spacing w:after="0" w:line="183" w:lineRule="exact"/>
        <w:rPr>
          <w:sz w:val="20"/>
          <w:szCs w:val="20"/>
          <w:color w:val="auto"/>
        </w:rPr>
      </w:pPr>
    </w:p>
    <w:p>
      <w:pPr>
        <w:ind w:left="540" w:hanging="532"/>
        <w:spacing w:after="0"/>
        <w:tabs>
          <w:tab w:leader="none" w:pos="5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Obligors will procure that none of the Obligors nor any of the Group Members will:</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be a Prohibited Person;</w:t>
      </w:r>
    </w:p>
    <w:p>
      <w:pPr>
        <w:spacing w:after="0" w:line="198" w:lineRule="exact"/>
        <w:rPr>
          <w:rFonts w:ascii="Arial" w:cs="Arial" w:eastAsia="Arial" w:hAnsi="Arial"/>
          <w:sz w:val="18"/>
          <w:szCs w:val="18"/>
          <w:color w:val="auto"/>
        </w:rPr>
      </w:pPr>
    </w:p>
    <w:p>
      <w:pPr>
        <w:ind w:left="1080" w:hanging="532"/>
        <w:spacing w:after="0" w:line="246" w:lineRule="auto"/>
        <w:tabs>
          <w:tab w:leader="none" w:pos="108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be subject to or the target of any action by any regulatory or enforcement authority or third party in relation to any Sanctions of any Sanctions Authority;</w:t>
      </w:r>
    </w:p>
    <w:p>
      <w:pPr>
        <w:spacing w:after="0" w:line="183" w:lineRule="exact"/>
        <w:rPr>
          <w:rFonts w:ascii="Arial" w:cs="Arial" w:eastAsia="Arial" w:hAnsi="Arial"/>
          <w:sz w:val="18"/>
          <w:szCs w:val="18"/>
          <w:color w:val="auto"/>
        </w:rPr>
      </w:pPr>
    </w:p>
    <w:p>
      <w:pPr>
        <w:ind w:left="1080" w:hanging="532"/>
        <w:spacing w:after="0" w:line="246" w:lineRule="auto"/>
        <w:tabs>
          <w:tab w:leader="none" w:pos="108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be owned or controlled directly or indirectly by, or act directly or indirectly on behalf of or for the benefit of, a Prohibited Person;</w:t>
      </w:r>
    </w:p>
    <w:p>
      <w:pPr>
        <w:spacing w:after="0" w:line="183" w:lineRule="exact"/>
        <w:rPr>
          <w:rFonts w:ascii="Arial" w:cs="Arial" w:eastAsia="Arial" w:hAnsi="Arial"/>
          <w:sz w:val="18"/>
          <w:szCs w:val="18"/>
          <w:color w:val="auto"/>
        </w:rPr>
      </w:pPr>
    </w:p>
    <w:p>
      <w:pPr>
        <w:ind w:left="1080" w:hanging="532"/>
        <w:spacing w:after="0"/>
        <w:tabs>
          <w:tab w:leader="none" w:pos="108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own or control, directly or indirectly, a Prohibited Person;</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be in breach of Sanctions.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Borrowers will prevent any Mortgaged Ship from being used, directly or indirectly:</w:t>
      </w:r>
    </w:p>
    <w:p>
      <w:pPr>
        <w:spacing w:after="0" w:line="198" w:lineRule="exact"/>
        <w:rPr>
          <w:rFonts w:ascii="Arial" w:cs="Arial" w:eastAsia="Arial" w:hAnsi="Arial"/>
          <w:sz w:val="18"/>
          <w:szCs w:val="18"/>
          <w:color w:val="auto"/>
        </w:rPr>
      </w:pPr>
    </w:p>
    <w:p>
      <w:pPr>
        <w:ind w:left="1080" w:hanging="532"/>
        <w:spacing w:after="0" w:line="246" w:lineRule="auto"/>
        <w:tabs>
          <w:tab w:leader="none" w:pos="108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by, or for the benefit of, any Prohibited Person or any person owned or controlled by any Prohibited Person (including from being sold, chartered, leased or otherwise provided directly or indirectly to any Prohibited Person);</w:t>
      </w:r>
    </w:p>
    <w:p>
      <w:pPr>
        <w:spacing w:after="0" w:line="183" w:lineRule="exact"/>
        <w:rPr>
          <w:rFonts w:ascii="Arial" w:cs="Arial" w:eastAsia="Arial" w:hAnsi="Arial"/>
          <w:sz w:val="18"/>
          <w:szCs w:val="18"/>
          <w:color w:val="auto"/>
        </w:rPr>
      </w:pPr>
    </w:p>
    <w:p>
      <w:pPr>
        <w:ind w:left="1080" w:hanging="532"/>
        <w:spacing w:after="0" w:line="246" w:lineRule="auto"/>
        <w:tabs>
          <w:tab w:leader="none" w:pos="108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in any trade which could expose the relevant Ship, any Finance Party or any manager of the Ships to enforcement proceedings arising from Sanctions; and/or</w:t>
      </w:r>
    </w:p>
    <w:p>
      <w:pPr>
        <w:spacing w:after="0" w:line="183" w:lineRule="exact"/>
        <w:rPr>
          <w:rFonts w:ascii="Arial" w:cs="Arial" w:eastAsia="Arial" w:hAnsi="Arial"/>
          <w:sz w:val="18"/>
          <w:szCs w:val="18"/>
          <w:color w:val="auto"/>
        </w:rPr>
      </w:pPr>
    </w:p>
    <w:p>
      <w:pPr>
        <w:ind w:left="1080" w:hanging="532"/>
        <w:spacing w:after="0" w:line="246" w:lineRule="auto"/>
        <w:tabs>
          <w:tab w:leader="none" w:pos="108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in any transport of any goods that are prohibited to be sold, supplied, transferred, purchased, exported or imported under any Sanctions.</w:t>
      </w:r>
    </w:p>
    <w:p>
      <w:pPr>
        <w:spacing w:after="0" w:line="183" w:lineRule="exact"/>
        <w:rPr>
          <w:rFonts w:ascii="Arial" w:cs="Arial" w:eastAsia="Arial" w:hAnsi="Arial"/>
          <w:sz w:val="18"/>
          <w:szCs w:val="18"/>
          <w:color w:val="auto"/>
        </w:rPr>
      </w:pPr>
    </w:p>
    <w:p>
      <w:pPr>
        <w:jc w:val="both"/>
        <w:ind w:left="540" w:hanging="532"/>
        <w:spacing w:after="0" w:line="237" w:lineRule="auto"/>
        <w:tabs>
          <w:tab w:leader="none" w:pos="5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Without prejudice to the rights of the Finance Parties under any other provisions of this Agreement and the other Finance Documents, if an Owner finds out that its Ship, without its knowledge, has been sold, chartered, conferred, leased or otherwise provided directly or indirectly to any Prohibited Person in breach of applicable law, it shall terminate as soon as possible and in any case within thirty (30) days after the day it finds out that any of the events described in this clause has occurred the relationship with the Prohibited Person under the premise that the Finance Parties may commit a breach of law by this behaviour. In this case the Borrowers will also inform the Finance Parties immediately upon becoming so aware.</w:t>
      </w:r>
    </w:p>
    <w:p>
      <w:pPr>
        <w:spacing w:after="0" w:line="191" w:lineRule="exact"/>
        <w:rPr>
          <w:rFonts w:ascii="Arial" w:cs="Arial" w:eastAsia="Arial" w:hAnsi="Arial"/>
          <w:sz w:val="18"/>
          <w:szCs w:val="18"/>
          <w:color w:val="auto"/>
        </w:rPr>
      </w:pPr>
    </w:p>
    <w:p>
      <w:pPr>
        <w:jc w:val="both"/>
        <w:ind w:left="540" w:hanging="532"/>
        <w:spacing w:after="0"/>
        <w:tabs>
          <w:tab w:leader="none" w:pos="5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Each Owner will provide the Finance Parties upon their written request with all relevant documentation related to its Mortgaged Ship, and the transported goods which a Finance Party is required to disclose to a regulatory authority of any Sanctions Authority pursuant to any Sanctions.</w:t>
      </w:r>
    </w:p>
    <w:p>
      <w:pPr>
        <w:spacing w:after="0" w:line="189" w:lineRule="exact"/>
        <w:rPr>
          <w:rFonts w:ascii="Arial" w:cs="Arial" w:eastAsia="Arial" w:hAnsi="Arial"/>
          <w:sz w:val="18"/>
          <w:szCs w:val="18"/>
          <w:color w:val="auto"/>
        </w:rPr>
      </w:pPr>
    </w:p>
    <w:p>
      <w:pPr>
        <w:ind w:left="540" w:right="2620" w:hanging="532"/>
        <w:spacing w:after="0" w:line="469" w:lineRule="auto"/>
        <w:tabs>
          <w:tab w:leader="none" w:pos="5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For the purposes of this clause 21.11 the following words shall have the following meanings: </w:t>
      </w:r>
      <w:r>
        <w:rPr>
          <w:rFonts w:ascii="Arial" w:cs="Arial" w:eastAsia="Arial" w:hAnsi="Arial"/>
          <w:sz w:val="18"/>
          <w:szCs w:val="18"/>
          <w:b w:val="1"/>
          <w:bCs w:val="1"/>
          <w:color w:val="auto"/>
        </w:rPr>
        <w:t xml:space="preserve">Prohibited Person </w:t>
      </w:r>
      <w:r>
        <w:rPr>
          <w:rFonts w:ascii="Arial" w:cs="Arial" w:eastAsia="Arial" w:hAnsi="Arial"/>
          <w:sz w:val="18"/>
          <w:szCs w:val="18"/>
          <w:color w:val="auto"/>
        </w:rPr>
        <w:t>means any person with whom transactions are prohibited or restricted under:</w:t>
      </w:r>
    </w:p>
    <w:p>
      <w:pPr>
        <w:spacing w:after="0" w:line="1" w:lineRule="exact"/>
        <w:rPr>
          <w:sz w:val="20"/>
          <w:szCs w:val="20"/>
          <w:color w:val="auto"/>
        </w:rPr>
      </w:pPr>
    </w:p>
    <w:p>
      <w:pPr>
        <w:ind w:left="1080" w:hanging="532"/>
        <w:spacing w:after="0"/>
        <w:tabs>
          <w:tab w:leader="none" w:pos="10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OFAC; or</w:t>
      </w:r>
    </w:p>
    <w:p>
      <w:pPr>
        <w:spacing w:after="0" w:line="198" w:lineRule="exact"/>
        <w:rPr>
          <w:rFonts w:ascii="Arial" w:cs="Arial" w:eastAsia="Arial" w:hAnsi="Arial"/>
          <w:sz w:val="18"/>
          <w:szCs w:val="18"/>
          <w:color w:val="auto"/>
        </w:rPr>
      </w:pPr>
    </w:p>
    <w:p>
      <w:pPr>
        <w:jc w:val="both"/>
        <w:ind w:left="1080" w:hanging="532"/>
        <w:spacing w:after="0" w:line="239" w:lineRule="auto"/>
        <w:tabs>
          <w:tab w:leader="none" w:pos="10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any other United States of America government sanction, laws including, without limitation, persons or organisations on the United States of America Government’s List of Specially Designated Nationals and Blocked Persons, Denied Persons List, Entities List, Debarred Parties List, Excluded Parties List, Sectoral Sanctions Identifications List and Terrorism Exclusion List;</w:t>
      </w:r>
    </w:p>
    <w:p>
      <w:pPr>
        <w:spacing w:after="0" w:line="188"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European Union sanctions laws, including without limitation persons or organisations on the European Union Restricted Person Lists issued under Council</w:t>
      </w:r>
    </w:p>
    <w:p>
      <w:pPr>
        <w:spacing w:after="0" w:line="37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135255</wp:posOffset>
            </wp:positionV>
            <wp:extent cx="724662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80"/>
          </w:cols>
          <w:pgMar w:left="780" w:top="422" w:right="239" w:bottom="1440" w:gutter="0" w:footer="0" w:header="0"/>
        </w:sectPr>
      </w:pPr>
    </w:p>
    <w:bookmarkStart w:id="127" w:name="page128"/>
    <w:bookmarkEnd w:id="127"/>
    <w:p>
      <w:pPr>
        <w:jc w:val="both"/>
        <w:ind w:left="1620"/>
        <w:spacing w:after="0"/>
        <w:rPr>
          <w:sz w:val="20"/>
          <w:szCs w:val="20"/>
          <w:color w:val="auto"/>
        </w:rPr>
      </w:pPr>
      <w:r>
        <w:rPr>
          <w:rFonts w:ascii="Arial" w:cs="Arial" w:eastAsia="Arial" w:hAnsi="Arial"/>
          <w:sz w:val="18"/>
          <w:szCs w:val="18"/>
          <w:color w:val="auto"/>
        </w:rPr>
        <w:t>Regulation (EC) No. 881/2002 of 27 May 2002, Council Regulation (EC) No. 2580/2001 of 27 December 2001 and Council Common Position 2005/725/CFSP of 17 October 2005, Council Regulation (EU) No 833/2014 and Council Regulation (EU) No 692/2014;</w:t>
      </w:r>
    </w:p>
    <w:p>
      <w:pPr>
        <w:spacing w:after="0" w:line="189" w:lineRule="exact"/>
        <w:rPr>
          <w:sz w:val="20"/>
          <w:szCs w:val="20"/>
          <w:color w:val="auto"/>
        </w:rPr>
      </w:pPr>
    </w:p>
    <w:p>
      <w:pPr>
        <w:ind w:left="1620" w:hanging="532"/>
        <w:spacing w:after="0" w:line="246" w:lineRule="auto"/>
        <w:tabs>
          <w:tab w:leader="none" w:pos="162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United Kingdom government sanctions laws, including without limitation persons or organisations on Her Majesty’s Treasury’s Consolidated List of Financial Sanctions Targets and Investment Ban List;</w:t>
      </w:r>
    </w:p>
    <w:p>
      <w:pPr>
        <w:spacing w:after="0" w:line="183" w:lineRule="exact"/>
        <w:rPr>
          <w:rFonts w:ascii="Arial" w:cs="Arial" w:eastAsia="Arial" w:hAnsi="Arial"/>
          <w:sz w:val="18"/>
          <w:szCs w:val="18"/>
          <w:color w:val="auto"/>
        </w:rPr>
      </w:pPr>
    </w:p>
    <w:p>
      <w:pPr>
        <w:ind w:left="1620" w:right="20" w:hanging="532"/>
        <w:spacing w:after="0" w:line="246" w:lineRule="auto"/>
        <w:tabs>
          <w:tab w:leader="none" w:pos="162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United Nations sanctions laws, including without limitation persons or organisations on the United Nations Consolidated List established and maintained by the 1267 Committee; and</w:t>
      </w:r>
    </w:p>
    <w:p>
      <w:pPr>
        <w:spacing w:after="0" w:line="183" w:lineRule="exact"/>
        <w:rPr>
          <w:rFonts w:ascii="Arial" w:cs="Arial" w:eastAsia="Arial" w:hAnsi="Arial"/>
          <w:sz w:val="18"/>
          <w:szCs w:val="18"/>
          <w:color w:val="auto"/>
        </w:rPr>
      </w:pPr>
    </w:p>
    <w:p>
      <w:pPr>
        <w:ind w:left="1620" w:hanging="532"/>
        <w:spacing w:after="0" w:line="246" w:lineRule="auto"/>
        <w:tabs>
          <w:tab w:leader="none" w:pos="162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Swiss sanctions laws, including without limitation persons or organisations on the sanctions lists issued and administered by the State Secretariat for Economic Affairs of Switzerland,</w:t>
      </w:r>
    </w:p>
    <w:p>
      <w:pPr>
        <w:spacing w:after="0" w:line="18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each as amended from time to time and including any person controlled by or a Subsidiary of any such person.</w:t>
      </w:r>
    </w:p>
    <w:p>
      <w:pPr>
        <w:spacing w:after="0" w:line="176" w:lineRule="exact"/>
        <w:rPr>
          <w:sz w:val="20"/>
          <w:szCs w:val="20"/>
          <w:color w:val="auto"/>
        </w:rPr>
      </w:pPr>
    </w:p>
    <w:p>
      <w:pPr>
        <w:ind w:left="1080"/>
        <w:spacing w:after="0" w:line="271" w:lineRule="auto"/>
        <w:rPr>
          <w:sz w:val="20"/>
          <w:szCs w:val="20"/>
          <w:color w:val="auto"/>
        </w:rPr>
      </w:pPr>
      <w:r>
        <w:rPr>
          <w:rFonts w:ascii="Arial" w:cs="Arial" w:eastAsia="Arial" w:hAnsi="Arial"/>
          <w:sz w:val="18"/>
          <w:szCs w:val="18"/>
          <w:b w:val="1"/>
          <w:bCs w:val="1"/>
          <w:color w:val="auto"/>
        </w:rPr>
        <w:t xml:space="preserve">Sanctions </w:t>
      </w:r>
      <w:r>
        <w:rPr>
          <w:rFonts w:ascii="Arial" w:cs="Arial" w:eastAsia="Arial" w:hAnsi="Arial"/>
          <w:sz w:val="18"/>
          <w:szCs w:val="18"/>
          <w:color w:val="auto"/>
        </w:rPr>
        <w:t>means any economic or trade sanctions laws, regulations, orders or embargoes administered, enacted or enforced by</w:t>
      </w:r>
      <w:r>
        <w:rPr>
          <w:rFonts w:ascii="Arial" w:cs="Arial" w:eastAsia="Arial" w:hAnsi="Arial"/>
          <w:sz w:val="18"/>
          <w:szCs w:val="18"/>
          <w:b w:val="1"/>
          <w:bCs w:val="1"/>
          <w:color w:val="auto"/>
        </w:rPr>
        <w:t xml:space="preserve"> </w:t>
      </w:r>
      <w:r>
        <w:rPr>
          <w:rFonts w:ascii="Arial" w:cs="Arial" w:eastAsia="Arial" w:hAnsi="Arial"/>
          <w:sz w:val="18"/>
          <w:szCs w:val="18"/>
          <w:color w:val="auto"/>
        </w:rPr>
        <w:t>any Sanctions Authority.</w:t>
      </w:r>
    </w:p>
    <w:p>
      <w:pPr>
        <w:spacing w:after="0" w:line="14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 xml:space="preserve">Sanctions Authority </w:t>
      </w:r>
      <w:r>
        <w:rPr>
          <w:rFonts w:ascii="Arial" w:cs="Arial" w:eastAsia="Arial" w:hAnsi="Arial"/>
          <w:sz w:val="18"/>
          <w:szCs w:val="18"/>
          <w:color w:val="auto"/>
        </w:rPr>
        <w:t>means any of:</w:t>
      </w:r>
    </w:p>
    <w:p>
      <w:pPr>
        <w:spacing w:after="0" w:line="220" w:lineRule="exact"/>
        <w:rPr>
          <w:sz w:val="20"/>
          <w:szCs w:val="20"/>
          <w:color w:val="auto"/>
        </w:rPr>
      </w:pPr>
    </w:p>
    <w:p>
      <w:pPr>
        <w:ind w:left="1620" w:hanging="532"/>
        <w:spacing w:after="0"/>
        <w:tabs>
          <w:tab w:leader="none" w:pos="162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United States government;</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United Nations;</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United Kingdom;</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European Union (and/or any member state thereof); or</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Switzerland,</w:t>
      </w:r>
    </w:p>
    <w:p>
      <w:pPr>
        <w:spacing w:after="0" w:line="198" w:lineRule="exact"/>
        <w:rPr>
          <w:sz w:val="20"/>
          <w:szCs w:val="20"/>
          <w:color w:val="auto"/>
        </w:rPr>
      </w:pPr>
    </w:p>
    <w:p>
      <w:pPr>
        <w:jc w:val="both"/>
        <w:ind w:left="1080"/>
        <w:spacing w:after="0" w:line="239" w:lineRule="auto"/>
        <w:rPr>
          <w:sz w:val="20"/>
          <w:szCs w:val="20"/>
          <w:color w:val="auto"/>
        </w:rPr>
      </w:pPr>
      <w:r>
        <w:rPr>
          <w:rFonts w:ascii="Arial" w:cs="Arial" w:eastAsia="Arial" w:hAnsi="Arial"/>
          <w:sz w:val="18"/>
          <w:szCs w:val="18"/>
          <w:color w:val="auto"/>
        </w:rPr>
        <w:t>and includes any relevant government entity of any of the above, including, without limitation, the Office of Foreign Assets Control of the US Department of Treasury (</w:t>
      </w:r>
      <w:r>
        <w:rPr>
          <w:rFonts w:ascii="Arial" w:cs="Arial" w:eastAsia="Arial" w:hAnsi="Arial"/>
          <w:sz w:val="18"/>
          <w:szCs w:val="18"/>
          <w:b w:val="1"/>
          <w:bCs w:val="1"/>
          <w:color w:val="auto"/>
        </w:rPr>
        <w:t>OFAC</w:t>
      </w:r>
      <w:r>
        <w:rPr>
          <w:rFonts w:ascii="Arial" w:cs="Arial" w:eastAsia="Arial" w:hAnsi="Arial"/>
          <w:sz w:val="18"/>
          <w:szCs w:val="18"/>
          <w:color w:val="auto"/>
        </w:rPr>
        <w:t>), the United States Department of State, Her Majesty’s Treasury (</w:t>
      </w:r>
      <w:r>
        <w:rPr>
          <w:rFonts w:ascii="Arial" w:cs="Arial" w:eastAsia="Arial" w:hAnsi="Arial"/>
          <w:sz w:val="18"/>
          <w:szCs w:val="18"/>
          <w:b w:val="1"/>
          <w:bCs w:val="1"/>
          <w:color w:val="auto"/>
        </w:rPr>
        <w:t>HMT</w:t>
      </w:r>
      <w:r>
        <w:rPr>
          <w:rFonts w:ascii="Arial" w:cs="Arial" w:eastAsia="Arial" w:hAnsi="Arial"/>
          <w:sz w:val="18"/>
          <w:szCs w:val="18"/>
          <w:color w:val="auto"/>
        </w:rPr>
        <w:t>), The Office of Financial Sanctions Implementation (</w:t>
      </w:r>
      <w:r>
        <w:rPr>
          <w:rFonts w:ascii="Arial" w:cs="Arial" w:eastAsia="Arial" w:hAnsi="Arial"/>
          <w:sz w:val="18"/>
          <w:szCs w:val="18"/>
          <w:b w:val="1"/>
          <w:bCs w:val="1"/>
          <w:color w:val="auto"/>
        </w:rPr>
        <w:t>OFSI</w:t>
      </w:r>
      <w:r>
        <w:rPr>
          <w:rFonts w:ascii="Arial" w:cs="Arial" w:eastAsia="Arial" w:hAnsi="Arial"/>
          <w:sz w:val="18"/>
          <w:szCs w:val="18"/>
          <w:color w:val="auto"/>
        </w:rPr>
        <w:t>) and the State Secretariat for Economic Affairs of Switzerland (</w:t>
      </w:r>
      <w:r>
        <w:rPr>
          <w:rFonts w:ascii="Arial" w:cs="Arial" w:eastAsia="Arial" w:hAnsi="Arial"/>
          <w:sz w:val="18"/>
          <w:szCs w:val="18"/>
          <w:b w:val="1"/>
          <w:bCs w:val="1"/>
          <w:color w:val="auto"/>
        </w:rPr>
        <w:t>SECO</w:t>
      </w:r>
      <w:r>
        <w:rPr>
          <w:rFonts w:ascii="Arial" w:cs="Arial" w:eastAsia="Arial" w:hAnsi="Arial"/>
          <w:sz w:val="18"/>
          <w:szCs w:val="18"/>
          <w:color w:val="auto"/>
        </w:rPr>
        <w:t>) and the Swiss Directorate of International Law (</w:t>
      </w:r>
      <w:r>
        <w:rPr>
          <w:rFonts w:ascii="Arial" w:cs="Arial" w:eastAsia="Arial" w:hAnsi="Arial"/>
          <w:sz w:val="18"/>
          <w:szCs w:val="18"/>
          <w:b w:val="1"/>
          <w:bCs w:val="1"/>
          <w:color w:val="auto"/>
        </w:rPr>
        <w:t>DIL</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21.12 Borrowers’ own account</w:t>
      </w:r>
    </w:p>
    <w:p>
      <w:pPr>
        <w:spacing w:after="0" w:line="220" w:lineRule="exact"/>
        <w:rPr>
          <w:sz w:val="20"/>
          <w:szCs w:val="20"/>
          <w:color w:val="auto"/>
        </w:rPr>
      </w:pPr>
    </w:p>
    <w:p>
      <w:pPr>
        <w:jc w:val="both"/>
        <w:ind w:left="540"/>
        <w:spacing w:after="0" w:line="238" w:lineRule="auto"/>
        <w:rPr>
          <w:sz w:val="20"/>
          <w:szCs w:val="20"/>
          <w:color w:val="auto"/>
        </w:rPr>
      </w:pPr>
      <w:r>
        <w:rPr>
          <w:rFonts w:ascii="Arial" w:cs="Arial" w:eastAsia="Arial" w:hAnsi="Arial"/>
          <w:sz w:val="18"/>
          <w:szCs w:val="18"/>
          <w:color w:val="auto"/>
        </w:rPr>
        <w:t>Each Obligor will ensure that any borrowing by it and/or the performance of its obligations hereunder and under the other Finance Documents to which it is a party will be for its own account and will not involve any breach by it of any law, or regulatory measure relating to money laundering as defined in the provisions of the directive (2005/60/EC) of the European Parliament and of the Council (as this may be repealed or replaced by transposition of directive (EU) 2015/849) or any equivalent law or regulatory measure in any other jurisdiction.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21.13 Inspection</w:t>
      </w:r>
    </w:p>
    <w:p>
      <w:pPr>
        <w:spacing w:after="0" w:line="220" w:lineRule="exact"/>
        <w:rPr>
          <w:sz w:val="20"/>
          <w:szCs w:val="20"/>
          <w:color w:val="auto"/>
        </w:rPr>
      </w:pPr>
    </w:p>
    <w:p>
      <w:pPr>
        <w:jc w:val="both"/>
        <w:ind w:left="540"/>
        <w:spacing w:after="0" w:line="239" w:lineRule="auto"/>
        <w:rPr>
          <w:sz w:val="20"/>
          <w:szCs w:val="20"/>
          <w:color w:val="auto"/>
        </w:rPr>
      </w:pPr>
      <w:r>
        <w:rPr>
          <w:rFonts w:ascii="Arial" w:cs="Arial" w:eastAsia="Arial" w:hAnsi="Arial"/>
          <w:sz w:val="18"/>
          <w:szCs w:val="18"/>
          <w:color w:val="auto"/>
        </w:rPr>
        <w:t>Each Obligor undertakes with the Finance Parties that, from the date of this Agreement and so long as any moneys are owing under any of the Finance Documents, upon the request of the Agent, it shall provide the Agent or any of its representatives, professional advisors and contractors with access to, and permit inspection of, books and records of any Group Member, in each case at reasonable times and upon reasonable notice.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21.14 Bribery and corruption</w:t>
      </w:r>
    </w:p>
    <w:p>
      <w:pPr>
        <w:spacing w:after="0" w:line="220" w:lineRule="exact"/>
        <w:rPr>
          <w:sz w:val="20"/>
          <w:szCs w:val="20"/>
          <w:color w:val="auto"/>
        </w:rPr>
      </w:pPr>
    </w:p>
    <w:p>
      <w:pPr>
        <w:ind w:left="1080" w:hanging="532"/>
        <w:spacing w:after="0"/>
        <w:tabs>
          <w:tab w:leader="none" w:pos="10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No Obligor shall engage in:</w:t>
      </w:r>
    </w:p>
    <w:p>
      <w:pPr>
        <w:spacing w:after="0" w:line="198"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Corrupt Practices, Fraudulent Practices, Collusive Practices or Coercive Practices, including the procurement or the execution of any contract for goods or works relating to its functions in breach of any applicable law;</w:t>
      </w:r>
    </w:p>
    <w:p>
      <w:pPr>
        <w:spacing w:after="0" w:line="183" w:lineRule="exact"/>
        <w:rPr>
          <w:rFonts w:ascii="Arial" w:cs="Arial" w:eastAsia="Arial" w:hAnsi="Arial"/>
          <w:sz w:val="18"/>
          <w:szCs w:val="18"/>
          <w:color w:val="auto"/>
        </w:rPr>
      </w:pPr>
    </w:p>
    <w:p>
      <w:pPr>
        <w:ind w:left="1620" w:hanging="532"/>
        <w:spacing w:after="0"/>
        <w:tabs>
          <w:tab w:leader="none" w:pos="162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Money Laundering or act in breach of any applicable law relating to Money Laundering; or</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the Financing of Terrorism.</w:t>
      </w:r>
    </w:p>
    <w:p>
      <w:pPr>
        <w:spacing w:after="0" w:line="198" w:lineRule="exact"/>
        <w:rPr>
          <w:rFonts w:ascii="Arial" w:cs="Arial" w:eastAsia="Arial" w:hAnsi="Arial"/>
          <w:sz w:val="18"/>
          <w:szCs w:val="18"/>
          <w:color w:val="auto"/>
        </w:rPr>
      </w:pPr>
    </w:p>
    <w:p>
      <w:pPr>
        <w:jc w:val="both"/>
        <w:ind w:left="1080" w:hanging="532"/>
        <w:spacing w:after="0"/>
        <w:tabs>
          <w:tab w:leader="none" w:pos="10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Without prejudice to the generality of paragraph (a) above, no Obligor shall directly or indirectly use the proceeds of any Facility for any purpose which would breach the Bribery Act 2010 or the United States Foreign Corrupt Practices Act of 1977 or any other applicable anti-bribery law.</w:t>
      </w:r>
    </w:p>
    <w:p>
      <w:pPr>
        <w:spacing w:after="0" w:line="171" w:lineRule="exact"/>
        <w:rPr>
          <w:rFonts w:ascii="Arial" w:cs="Arial" w:eastAsia="Arial" w:hAnsi="Arial"/>
          <w:sz w:val="18"/>
          <w:szCs w:val="18"/>
          <w:color w:val="auto"/>
        </w:rPr>
      </w:pPr>
    </w:p>
    <w:p>
      <w:pPr>
        <w:ind w:left="1080" w:hanging="532"/>
        <w:spacing w:after="0"/>
        <w:tabs>
          <w:tab w:leader="none" w:pos="10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For the purposes of this clause 21.14 and clause 19.10 (</w:t>
      </w:r>
      <w:r>
        <w:rPr>
          <w:rFonts w:ascii="Arial" w:cs="Arial" w:eastAsia="Arial" w:hAnsi="Arial"/>
          <w:sz w:val="18"/>
          <w:szCs w:val="18"/>
          <w:i w:val="1"/>
          <w:iCs w:val="1"/>
          <w:color w:val="auto"/>
        </w:rPr>
        <w:t>Money Laundering</w:t>
      </w:r>
      <w:r>
        <w:rPr>
          <w:rFonts w:ascii="Arial" w:cs="Arial" w:eastAsia="Arial" w:hAnsi="Arial"/>
          <w:sz w:val="18"/>
          <w:szCs w:val="18"/>
          <w:color w:val="auto"/>
        </w:rPr>
        <w:t>), the following definitions shall apply:</w:t>
      </w:r>
    </w:p>
    <w:p>
      <w:pPr>
        <w:spacing w:after="0" w:line="194" w:lineRule="exact"/>
        <w:rPr>
          <w:rFonts w:ascii="Arial" w:cs="Arial" w:eastAsia="Arial" w:hAnsi="Arial"/>
          <w:sz w:val="18"/>
          <w:szCs w:val="18"/>
          <w:color w:val="auto"/>
        </w:rPr>
      </w:pPr>
    </w:p>
    <w:p>
      <w:pPr>
        <w:ind w:left="1080" w:right="20"/>
        <w:spacing w:after="0" w:line="271" w:lineRule="auto"/>
        <w:rPr>
          <w:rFonts w:ascii="Arial" w:cs="Arial" w:eastAsia="Arial" w:hAnsi="Arial"/>
          <w:sz w:val="18"/>
          <w:szCs w:val="18"/>
          <w:color w:val="auto"/>
        </w:rPr>
      </w:pPr>
      <w:r>
        <w:rPr>
          <w:rFonts w:ascii="Arial" w:cs="Arial" w:eastAsia="Arial" w:hAnsi="Arial"/>
          <w:sz w:val="18"/>
          <w:szCs w:val="18"/>
          <w:b w:val="1"/>
          <w:bCs w:val="1"/>
          <w:color w:val="auto"/>
        </w:rPr>
        <w:t xml:space="preserve">Collusive Practice </w:t>
      </w:r>
      <w:r>
        <w:rPr>
          <w:rFonts w:ascii="Arial" w:cs="Arial" w:eastAsia="Arial" w:hAnsi="Arial"/>
          <w:sz w:val="18"/>
          <w:szCs w:val="18"/>
          <w:color w:val="auto"/>
        </w:rPr>
        <w:t>means an arrangement between two or more parties without the knowledge, but designed to improperly</w:t>
      </w:r>
      <w:r>
        <w:rPr>
          <w:rFonts w:ascii="Arial" w:cs="Arial" w:eastAsia="Arial" w:hAnsi="Arial"/>
          <w:sz w:val="18"/>
          <w:szCs w:val="18"/>
          <w:b w:val="1"/>
          <w:bCs w:val="1"/>
          <w:color w:val="auto"/>
        </w:rPr>
        <w:t xml:space="preserve"> </w:t>
      </w:r>
      <w:r>
        <w:rPr>
          <w:rFonts w:ascii="Arial" w:cs="Arial" w:eastAsia="Arial" w:hAnsi="Arial"/>
          <w:sz w:val="18"/>
          <w:szCs w:val="18"/>
          <w:color w:val="auto"/>
        </w:rPr>
        <w:t>influence the actions, of another party.</w:t>
      </w:r>
    </w:p>
    <w:p>
      <w:pPr>
        <w:spacing w:after="0" w:line="140" w:lineRule="exact"/>
        <w:rPr>
          <w:rFonts w:ascii="Arial" w:cs="Arial" w:eastAsia="Arial" w:hAnsi="Arial"/>
          <w:sz w:val="18"/>
          <w:szCs w:val="18"/>
          <w:color w:val="auto"/>
        </w:rPr>
      </w:pPr>
    </w:p>
    <w:p>
      <w:pPr>
        <w:ind w:left="1080"/>
        <w:spacing w:after="0" w:line="271" w:lineRule="auto"/>
        <w:rPr>
          <w:rFonts w:ascii="Arial" w:cs="Arial" w:eastAsia="Arial" w:hAnsi="Arial"/>
          <w:sz w:val="18"/>
          <w:szCs w:val="18"/>
          <w:color w:val="auto"/>
        </w:rPr>
      </w:pPr>
      <w:r>
        <w:rPr>
          <w:rFonts w:ascii="Arial" w:cs="Arial" w:eastAsia="Arial" w:hAnsi="Arial"/>
          <w:sz w:val="18"/>
          <w:szCs w:val="18"/>
          <w:b w:val="1"/>
          <w:bCs w:val="1"/>
          <w:color w:val="auto"/>
        </w:rPr>
        <w:t xml:space="preserve">Corrupt Practice </w:t>
      </w:r>
      <w:r>
        <w:rPr>
          <w:rFonts w:ascii="Arial" w:cs="Arial" w:eastAsia="Arial" w:hAnsi="Arial"/>
          <w:sz w:val="18"/>
          <w:szCs w:val="18"/>
          <w:color w:val="auto"/>
        </w:rPr>
        <w:t>means the offering, giving, receiving, or soliciting, directly or indirectly, anything of value to improperly influence</w:t>
      </w:r>
      <w:r>
        <w:rPr>
          <w:rFonts w:ascii="Arial" w:cs="Arial" w:eastAsia="Arial" w:hAnsi="Arial"/>
          <w:sz w:val="18"/>
          <w:szCs w:val="18"/>
          <w:b w:val="1"/>
          <w:bCs w:val="1"/>
          <w:color w:val="auto"/>
        </w:rPr>
        <w:t xml:space="preserve"> </w:t>
      </w:r>
      <w:r>
        <w:rPr>
          <w:rFonts w:ascii="Arial" w:cs="Arial" w:eastAsia="Arial" w:hAnsi="Arial"/>
          <w:sz w:val="18"/>
          <w:szCs w:val="18"/>
          <w:color w:val="auto"/>
        </w:rPr>
        <w:t>the actions of another party.</w:t>
      </w:r>
    </w:p>
    <w:p>
      <w:pPr>
        <w:spacing w:after="0" w:line="140" w:lineRule="exact"/>
        <w:rPr>
          <w:rFonts w:ascii="Arial" w:cs="Arial" w:eastAsia="Arial" w:hAnsi="Arial"/>
          <w:sz w:val="18"/>
          <w:szCs w:val="18"/>
          <w:color w:val="auto"/>
        </w:rPr>
      </w:pPr>
    </w:p>
    <w:p>
      <w:pPr>
        <w:ind w:left="1080"/>
        <w:spacing w:after="0" w:line="271" w:lineRule="auto"/>
        <w:rPr>
          <w:rFonts w:ascii="Arial" w:cs="Arial" w:eastAsia="Arial" w:hAnsi="Arial"/>
          <w:sz w:val="18"/>
          <w:szCs w:val="18"/>
          <w:color w:val="auto"/>
        </w:rPr>
      </w:pPr>
      <w:r>
        <w:rPr>
          <w:rFonts w:ascii="Arial" w:cs="Arial" w:eastAsia="Arial" w:hAnsi="Arial"/>
          <w:sz w:val="18"/>
          <w:szCs w:val="18"/>
          <w:b w:val="1"/>
          <w:bCs w:val="1"/>
          <w:color w:val="auto"/>
        </w:rPr>
        <w:t xml:space="preserve">Coercive Practice </w:t>
      </w:r>
      <w:r>
        <w:rPr>
          <w:rFonts w:ascii="Arial" w:cs="Arial" w:eastAsia="Arial" w:hAnsi="Arial"/>
          <w:sz w:val="18"/>
          <w:szCs w:val="18"/>
          <w:color w:val="auto"/>
        </w:rPr>
        <w:t>means impairing or harming or threatening to impair or harm, directly or indirectly, any party or its property or</w:t>
      </w:r>
      <w:r>
        <w:rPr>
          <w:rFonts w:ascii="Arial" w:cs="Arial" w:eastAsia="Arial" w:hAnsi="Arial"/>
          <w:sz w:val="18"/>
          <w:szCs w:val="18"/>
          <w:b w:val="1"/>
          <w:bCs w:val="1"/>
          <w:color w:val="auto"/>
        </w:rPr>
        <w:t xml:space="preserve"> </w:t>
      </w:r>
      <w:r>
        <w:rPr>
          <w:rFonts w:ascii="Arial" w:cs="Arial" w:eastAsia="Arial" w:hAnsi="Arial"/>
          <w:sz w:val="18"/>
          <w:szCs w:val="18"/>
          <w:color w:val="auto"/>
        </w:rPr>
        <w:t>to improperly influence the actions of that party.</w:t>
      </w:r>
    </w:p>
    <w:p>
      <w:pPr>
        <w:spacing w:after="0" w:line="140" w:lineRule="exact"/>
        <w:rPr>
          <w:rFonts w:ascii="Arial" w:cs="Arial" w:eastAsia="Arial" w:hAnsi="Arial"/>
          <w:sz w:val="18"/>
          <w:szCs w:val="18"/>
          <w:color w:val="auto"/>
        </w:rPr>
      </w:pPr>
    </w:p>
    <w:p>
      <w:pPr>
        <w:ind w:left="1080"/>
        <w:spacing w:after="0" w:line="271" w:lineRule="auto"/>
        <w:rPr>
          <w:rFonts w:ascii="Arial" w:cs="Arial" w:eastAsia="Arial" w:hAnsi="Arial"/>
          <w:sz w:val="18"/>
          <w:szCs w:val="18"/>
          <w:color w:val="auto"/>
        </w:rPr>
      </w:pPr>
      <w:r>
        <w:rPr>
          <w:rFonts w:ascii="Arial" w:cs="Arial" w:eastAsia="Arial" w:hAnsi="Arial"/>
          <w:sz w:val="18"/>
          <w:szCs w:val="18"/>
          <w:b w:val="1"/>
          <w:bCs w:val="1"/>
          <w:color w:val="auto"/>
        </w:rPr>
        <w:t xml:space="preserve">Financing of Terrorism </w:t>
      </w:r>
      <w:r>
        <w:rPr>
          <w:rFonts w:ascii="Arial" w:cs="Arial" w:eastAsia="Arial" w:hAnsi="Arial"/>
          <w:sz w:val="18"/>
          <w:szCs w:val="18"/>
          <w:color w:val="auto"/>
        </w:rPr>
        <w:t>means the act of providing or collecting funds with the intention that they be used, or in the 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they are to be used, in order to carry out terrorist acts.</w:t>
      </w:r>
    </w:p>
    <w:p>
      <w:pPr>
        <w:spacing w:after="0" w:line="140" w:lineRule="exact"/>
        <w:rPr>
          <w:rFonts w:ascii="Arial" w:cs="Arial" w:eastAsia="Arial" w:hAnsi="Arial"/>
          <w:sz w:val="18"/>
          <w:szCs w:val="18"/>
          <w:color w:val="auto"/>
        </w:rPr>
      </w:pPr>
    </w:p>
    <w:p>
      <w:pPr>
        <w:ind w:left="1080"/>
        <w:spacing w:after="0" w:line="271" w:lineRule="auto"/>
        <w:rPr>
          <w:rFonts w:ascii="Arial" w:cs="Arial" w:eastAsia="Arial" w:hAnsi="Arial"/>
          <w:sz w:val="18"/>
          <w:szCs w:val="18"/>
          <w:color w:val="auto"/>
        </w:rPr>
      </w:pPr>
      <w:r>
        <w:rPr>
          <w:rFonts w:ascii="Arial" w:cs="Arial" w:eastAsia="Arial" w:hAnsi="Arial"/>
          <w:sz w:val="18"/>
          <w:szCs w:val="18"/>
          <w:b w:val="1"/>
          <w:bCs w:val="1"/>
          <w:color w:val="auto"/>
        </w:rPr>
        <w:t xml:space="preserve">Fraudulent Practice </w:t>
      </w:r>
      <w:r>
        <w:rPr>
          <w:rFonts w:ascii="Arial" w:cs="Arial" w:eastAsia="Arial" w:hAnsi="Arial"/>
          <w:sz w:val="18"/>
          <w:szCs w:val="18"/>
          <w:color w:val="auto"/>
        </w:rPr>
        <w:t>means any action, including misrepresentation, to obtain a financial or other benefit or avoid an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by deception.</w:t>
      </w:r>
    </w:p>
    <w:p>
      <w:pPr>
        <w:spacing w:after="0" w:line="140"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b w:val="1"/>
          <w:bCs w:val="1"/>
          <w:color w:val="auto"/>
        </w:rPr>
        <w:t xml:space="preserve">Money Laundering </w:t>
      </w:r>
      <w:r>
        <w:rPr>
          <w:rFonts w:ascii="Arial" w:cs="Arial" w:eastAsia="Arial" w:hAnsi="Arial"/>
          <w:sz w:val="18"/>
          <w:szCs w:val="18"/>
          <w:color w:val="auto"/>
        </w:rPr>
        <w:t>means:</w:t>
      </w:r>
    </w:p>
    <w:p>
      <w:pPr>
        <w:spacing w:after="0" w:line="220" w:lineRule="exact"/>
        <w:rPr>
          <w:sz w:val="20"/>
          <w:szCs w:val="20"/>
          <w:color w:val="auto"/>
        </w:rPr>
      </w:pPr>
    </w:p>
    <w:p>
      <w:pPr>
        <w:jc w:val="both"/>
        <w:ind w:left="1620" w:hanging="532"/>
        <w:spacing w:after="0"/>
        <w:tabs>
          <w:tab w:leader="none" w:pos="162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conversion or transfer of property, knowing it is derived from a criminal offence, for the purpose of concealing or disguising its illegal origin or of assisting any person who is involved in the commission of the crime to evade the legal consequences of its actions;</w:t>
      </w:r>
    </w:p>
    <w:p>
      <w:pPr>
        <w:spacing w:after="0" w:line="189" w:lineRule="exact"/>
        <w:rPr>
          <w:rFonts w:ascii="Arial" w:cs="Arial" w:eastAsia="Arial" w:hAnsi="Arial"/>
          <w:sz w:val="18"/>
          <w:szCs w:val="18"/>
          <w:color w:val="auto"/>
        </w:rPr>
      </w:pPr>
    </w:p>
    <w:p>
      <w:pPr>
        <w:ind w:left="1620" w:hanging="532"/>
        <w:spacing w:after="0" w:line="246" w:lineRule="auto"/>
        <w:tabs>
          <w:tab w:leader="none" w:pos="162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concealment or disguise of the true nature, source, location, disposition, movement, rights with respect to, or ownership of, property knowing that it is derived from a criminal offence; or</w:t>
      </w:r>
    </w:p>
    <w:p>
      <w:pPr>
        <w:spacing w:after="0" w:line="183" w:lineRule="exact"/>
        <w:rPr>
          <w:rFonts w:ascii="Arial" w:cs="Arial" w:eastAsia="Arial" w:hAnsi="Arial"/>
          <w:sz w:val="18"/>
          <w:szCs w:val="18"/>
          <w:color w:val="auto"/>
        </w:rPr>
      </w:pPr>
    </w:p>
    <w:p>
      <w:pPr>
        <w:ind w:left="1620" w:hanging="532"/>
        <w:spacing w:after="0"/>
        <w:tabs>
          <w:tab w:leader="none" w:pos="162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acquisition, possession or use of property knowing at the time of its receipt that it is derived from a criminal offence.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21.15 Guarantee limited recourse arrangements</w:t>
      </w:r>
    </w:p>
    <w:p>
      <w:pPr>
        <w:spacing w:after="0" w:line="202" w:lineRule="exact"/>
        <w:rPr>
          <w:sz w:val="20"/>
          <w:szCs w:val="20"/>
          <w:color w:val="auto"/>
        </w:rPr>
      </w:pPr>
    </w:p>
    <w:p>
      <w:pPr>
        <w:jc w:val="both"/>
        <w:ind w:left="540"/>
        <w:spacing w:after="0" w:line="242" w:lineRule="auto"/>
        <w:rPr>
          <w:sz w:val="20"/>
          <w:szCs w:val="20"/>
          <w:color w:val="auto"/>
        </w:rPr>
      </w:pPr>
      <w:r>
        <w:rPr>
          <w:rFonts w:ascii="Arial" w:cs="Arial" w:eastAsia="Arial" w:hAnsi="Arial"/>
          <w:sz w:val="18"/>
          <w:szCs w:val="18"/>
          <w:color w:val="auto"/>
        </w:rPr>
        <w:t>If at any time pursuant to clause 29.22 (</w:t>
      </w:r>
      <w:r>
        <w:rPr>
          <w:rFonts w:ascii="Arial" w:cs="Arial" w:eastAsia="Arial" w:hAnsi="Arial"/>
          <w:sz w:val="18"/>
          <w:szCs w:val="18"/>
          <w:i w:val="1"/>
          <w:iCs w:val="1"/>
          <w:color w:val="auto"/>
        </w:rPr>
        <w:t>Legal and beneficial ownership</w:t>
      </w:r>
      <w:r>
        <w:rPr>
          <w:rFonts w:ascii="Arial" w:cs="Arial" w:eastAsia="Arial" w:hAnsi="Arial"/>
          <w:sz w:val="18"/>
          <w:szCs w:val="18"/>
          <w:color w:val="auto"/>
        </w:rPr>
        <w:t xml:space="preserve">) the MLP Guarantee and the GPHL Guarantee are to be granted because the shares in one or more Borrowers are to become legally and beneficially owned by MLP (a </w:t>
      </w:r>
      <w:r>
        <w:rPr>
          <w:rFonts w:ascii="Arial" w:cs="Arial" w:eastAsia="Arial" w:hAnsi="Arial"/>
          <w:sz w:val="18"/>
          <w:szCs w:val="18"/>
          <w:b w:val="1"/>
          <w:bCs w:val="1"/>
          <w:color w:val="auto"/>
        </w:rPr>
        <w:t>Dropdown</w:t>
      </w:r>
      <w:r>
        <w:rPr>
          <w:rFonts w:ascii="Arial" w:cs="Arial" w:eastAsia="Arial" w:hAnsi="Arial"/>
          <w:sz w:val="18"/>
          <w:szCs w:val="18"/>
          <w:color w:val="auto"/>
        </w:rPr>
        <w:t>) (subject to and otherwise in accordance with such clause and the other provisions of this Agreement in this regard), the Parties hereby agree that the MLP Guarantee and the GPHL Guarantee will include a limited recourse clause, such that MLP and (if applicable) GPHL will not guarantee under such Guarantees those Term Loans and Revolving Loan Ship Tranches (and interest thereon) which</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29" w:name="page130"/>
    <w:bookmarkEnd w:id="129"/>
    <w:p>
      <w:pPr>
        <w:jc w:val="both"/>
        <w:ind w:left="500"/>
        <w:spacing w:after="0" w:line="239" w:lineRule="auto"/>
        <w:rPr>
          <w:sz w:val="20"/>
          <w:szCs w:val="20"/>
          <w:color w:val="auto"/>
        </w:rPr>
      </w:pPr>
      <w:r>
        <w:rPr>
          <w:rFonts w:ascii="Arial" w:cs="Arial" w:eastAsia="Arial" w:hAnsi="Arial"/>
          <w:sz w:val="18"/>
          <w:szCs w:val="18"/>
          <w:color w:val="auto"/>
        </w:rPr>
        <w:t>relate to Ships owned by Borrowers that, upon and following the relevant Dropdown, are not to be so legally and beneficially owned by (i) MLP (whether directly or indirectly through GasLog Carriers and/or GPHL), in the case of the MLP Guarantee or (ii) GPHL (whether directly or indirectly), in the case of the GPHL Guarantee, respectively and for that purpose the Parties agree that such limited recourse clause shall be similar in form to that of clause 17.10 (</w:t>
      </w:r>
      <w:r>
        <w:rPr>
          <w:rFonts w:ascii="Arial" w:cs="Arial" w:eastAsia="Arial" w:hAnsi="Arial"/>
          <w:sz w:val="18"/>
          <w:szCs w:val="18"/>
          <w:i w:val="1"/>
          <w:iCs w:val="1"/>
          <w:color w:val="auto"/>
        </w:rPr>
        <w:t>GasLog Carriers</w:t>
      </w:r>
      <w:r>
        <w:rPr>
          <w:rFonts w:ascii="Arial" w:cs="Arial" w:eastAsia="Arial" w:hAnsi="Arial"/>
          <w:sz w:val="18"/>
          <w:szCs w:val="18"/>
          <w:color w:val="auto"/>
        </w:rPr>
        <w:t xml:space="preserve"> - </w:t>
      </w:r>
      <w:r>
        <w:rPr>
          <w:rFonts w:ascii="Arial" w:cs="Arial" w:eastAsia="Arial" w:hAnsi="Arial"/>
          <w:sz w:val="18"/>
          <w:szCs w:val="18"/>
          <w:i w:val="1"/>
          <w:iCs w:val="1"/>
          <w:color w:val="auto"/>
        </w:rPr>
        <w:t>Limited recourse</w:t>
      </w:r>
      <w:r>
        <w:rPr>
          <w:rFonts w:ascii="Arial" w:cs="Arial" w:eastAsia="Arial" w:hAnsi="Arial"/>
          <w:sz w:val="18"/>
          <w:szCs w:val="18"/>
          <w:color w:val="auto"/>
        </w:rPr>
        <w:t xml:space="preserve">), interpreted for that purpose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66" w:lineRule="exact"/>
        <w:rPr>
          <w:sz w:val="20"/>
          <w:szCs w:val="20"/>
          <w:color w:val="auto"/>
        </w:rPr>
      </w:pPr>
    </w:p>
    <w:p>
      <w:pPr>
        <w:ind w:left="540" w:hanging="532"/>
        <w:spacing w:after="0"/>
        <w:tabs>
          <w:tab w:leader="none" w:pos="54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Dealings with Ship</w:t>
      </w:r>
    </w:p>
    <w:p>
      <w:pPr>
        <w:spacing w:after="0" w:line="220" w:lineRule="exact"/>
        <w:rPr>
          <w:rFonts w:ascii="Arial" w:cs="Arial" w:eastAsia="Arial" w:hAnsi="Arial"/>
          <w:sz w:val="18"/>
          <w:szCs w:val="18"/>
          <w:b w:val="1"/>
          <w:bCs w:val="1"/>
          <w:color w:val="auto"/>
        </w:rPr>
      </w:pPr>
    </w:p>
    <w:p>
      <w:pPr>
        <w:ind w:left="54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Each Borrower undertakes that this clause 22 will be complied with in relation to each Mortgaged Ship throughout the relevant Ship’s Mortgage Period.</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22.1</w:t>
        <w:tab/>
        <w:t>Ship’s name and registration</w:t>
      </w:r>
    </w:p>
    <w:p>
      <w:pPr>
        <w:spacing w:after="0" w:line="220" w:lineRule="exact"/>
        <w:rPr>
          <w:sz w:val="20"/>
          <w:szCs w:val="20"/>
          <w:color w:val="auto"/>
        </w:rPr>
      </w:pPr>
    </w:p>
    <w:p>
      <w:pPr>
        <w:ind w:left="1060" w:hanging="512"/>
        <w:spacing w:after="0" w:line="246" w:lineRule="auto"/>
        <w:tabs>
          <w:tab w:leader="none" w:pos="10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Ship’s name shall only be changed after prior notice to the Agent and, the relevant Owner shall promptly take all necessary steps to update all applicable insurance, class and registration documents with such change of name.</w:t>
      </w:r>
    </w:p>
    <w:p>
      <w:pPr>
        <w:spacing w:after="0" w:line="183" w:lineRule="exact"/>
        <w:rPr>
          <w:rFonts w:ascii="Arial" w:cs="Arial" w:eastAsia="Arial" w:hAnsi="Arial"/>
          <w:sz w:val="18"/>
          <w:szCs w:val="18"/>
          <w:color w:val="auto"/>
        </w:rPr>
      </w:pPr>
    </w:p>
    <w:p>
      <w:pPr>
        <w:jc w:val="both"/>
        <w:ind w:left="1060" w:hanging="512"/>
        <w:spacing w:after="0" w:line="236" w:lineRule="auto"/>
        <w:tabs>
          <w:tab w:leader="none" w:pos="10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Ship shall be permanently registered in the name of the relevant Owner with the relevant Registry under the laws of its Flag State. Except with approval of all the Lenders, the Ship shall not be registered under any other flag or at any other port or fly any other flag (other than that of its Flag State) provided that no such approval shall be required for the registration of the Ship under the flag of another Approved Flag State as long as replacement Security Interests are granted in respect of the Ship (which are equivalent to those in place prior to such registration) in favour of the Security Agent and the other Finance Parties immediately following the registration of the Ship under the flag of that Approved Flag State. If that registration is for a limited period, it shall be renewed at least 45 days before the date it is due to expire and the Agent shall be notified of that renewal at least 30 days before that date.</w:t>
      </w:r>
    </w:p>
    <w:p>
      <w:pPr>
        <w:spacing w:after="0" w:line="194" w:lineRule="exact"/>
        <w:rPr>
          <w:rFonts w:ascii="Arial" w:cs="Arial" w:eastAsia="Arial" w:hAnsi="Arial"/>
          <w:sz w:val="18"/>
          <w:szCs w:val="18"/>
          <w:color w:val="auto"/>
        </w:rPr>
      </w:pPr>
    </w:p>
    <w:p>
      <w:pPr>
        <w:ind w:left="1060" w:hanging="512"/>
        <w:spacing w:after="0" w:line="246" w:lineRule="auto"/>
        <w:tabs>
          <w:tab w:leader="none" w:pos="10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Nothing will be done and no action will be omitted if that might result in such registration being forfeited or imperilled or the Ship being required to be registered under the laws of another state of registry.</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7"/>
          <w:szCs w:val="17"/>
          <w:b w:val="1"/>
          <w:bCs w:val="1"/>
          <w:color w:val="auto"/>
        </w:rPr>
        <w:t>Sale or other disposal of Ship; refinancing</w:t>
      </w:r>
    </w:p>
    <w:p>
      <w:pPr>
        <w:spacing w:after="0" w:line="220" w:lineRule="exact"/>
        <w:rPr>
          <w:sz w:val="20"/>
          <w:szCs w:val="20"/>
          <w:color w:val="auto"/>
        </w:rPr>
      </w:pPr>
    </w:p>
    <w:p>
      <w:pPr>
        <w:jc w:val="both"/>
        <w:ind w:left="1060" w:hanging="512"/>
        <w:spacing w:after="0" w:line="236" w:lineRule="auto"/>
        <w:tabs>
          <w:tab w:leader="none" w:pos="10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Except for a sale of a Ship for a cash price payable on completion of the sale which is no less than the amount by which the Ship Aggregate Loans must be reduced and prepaid under clause 7.6 (</w:t>
      </w:r>
      <w:r>
        <w:rPr>
          <w:rFonts w:ascii="Arial" w:cs="Arial" w:eastAsia="Arial" w:hAnsi="Arial"/>
          <w:sz w:val="18"/>
          <w:szCs w:val="18"/>
          <w:i w:val="1"/>
          <w:iCs w:val="1"/>
          <w:color w:val="auto"/>
        </w:rPr>
        <w:t>Sale or Total Loss</w:t>
      </w:r>
      <w:r>
        <w:rPr>
          <w:rFonts w:ascii="Arial" w:cs="Arial" w:eastAsia="Arial" w:hAnsi="Arial"/>
          <w:sz w:val="18"/>
          <w:szCs w:val="18"/>
          <w:color w:val="auto"/>
        </w:rPr>
        <w:t>) on completion of the sale, the relevant Owner will not sell, or agree to sell, transfer, abandon or otherwise dispose of the relevant Ship or any share or interest in it. Provided that if the Owner agrees to sell or transfer its Ship and the relevant Owner and the other Borrowers are in compliance with this clause 22.2 and clause 7.6 (</w:t>
      </w:r>
      <w:r>
        <w:rPr>
          <w:rFonts w:ascii="Arial" w:cs="Arial" w:eastAsia="Arial" w:hAnsi="Arial"/>
          <w:sz w:val="18"/>
          <w:szCs w:val="18"/>
          <w:i w:val="1"/>
          <w:iCs w:val="1"/>
          <w:color w:val="auto"/>
        </w:rPr>
        <w:t>Sale or Total Loss</w:t>
      </w:r>
      <w:r>
        <w:rPr>
          <w:rFonts w:ascii="Arial" w:cs="Arial" w:eastAsia="Arial" w:hAnsi="Arial"/>
          <w:sz w:val="18"/>
          <w:szCs w:val="18"/>
          <w:color w:val="auto"/>
        </w:rPr>
        <w:t>) in respect of such sale or transfer and no Default has occurred and is continuing at the time, the Lenders will approve such sale or transfer and the Lenders will procure that upon the relevant cancellation and prepayment and the discharge of the other obligations of the Borrowers under this clause 22.2 and clause 7.6 (</w:t>
      </w:r>
      <w:r>
        <w:rPr>
          <w:rFonts w:ascii="Arial" w:cs="Arial" w:eastAsia="Arial" w:hAnsi="Arial"/>
          <w:sz w:val="18"/>
          <w:szCs w:val="18"/>
          <w:i w:val="1"/>
          <w:iCs w:val="1"/>
          <w:color w:val="auto"/>
        </w:rPr>
        <w:t>Sale or Total Loss</w:t>
      </w:r>
      <w:r>
        <w:rPr>
          <w:rFonts w:ascii="Arial" w:cs="Arial" w:eastAsia="Arial" w:hAnsi="Arial"/>
          <w:sz w:val="18"/>
          <w:szCs w:val="18"/>
          <w:color w:val="auto"/>
        </w:rPr>
        <w:t>), the Mortgage over that Ship will be discharged and the Deed of Covenant, the General Assignment, any Charter Assignment, the Share Security, the Account Security and the Manager’s Undertaking relating to that Ship will be released, and the relevant Owner will be released as Borrower under this Agreement, in each case pursuant to deeds of release in agreed form executed at the cost and expense of the Borrowers.</w:t>
      </w:r>
    </w:p>
    <w:p>
      <w:pPr>
        <w:spacing w:after="0" w:line="192" w:lineRule="exact"/>
        <w:rPr>
          <w:rFonts w:ascii="Arial" w:cs="Arial" w:eastAsia="Arial" w:hAnsi="Arial"/>
          <w:sz w:val="18"/>
          <w:szCs w:val="18"/>
          <w:color w:val="auto"/>
        </w:rPr>
      </w:pPr>
    </w:p>
    <w:p>
      <w:pPr>
        <w:jc w:val="both"/>
        <w:ind w:left="1060" w:hanging="512"/>
        <w:spacing w:after="0" w:line="238" w:lineRule="auto"/>
        <w:tabs>
          <w:tab w:leader="none" w:pos="10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In any event, if at any time the Borrowers (i) prepay the Ship Aggregate Loans relevant to a Ship in full, (ii) cancel the Ship Aggregate Commitments relevant to that Ship in full, (iii) pay all other amounts owing and payable under this Agreement and the other Finance Documents at the time of such prepayment and cancellation and (iv) no Default has occurred and is continuing at the time, upon such prepayment and cancellation the Lenders shall consent to the discharge of the Mortgage, the Deed of Covenant, the General Assignment, the Manager’s Undertaking, the Share Security, the Account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30" w:name="page131"/>
    <w:bookmarkEnd w:id="130"/>
    <w:p>
      <w:pPr>
        <w:ind w:left="1020"/>
        <w:spacing w:after="0" w:line="246" w:lineRule="auto"/>
        <w:rPr>
          <w:sz w:val="20"/>
          <w:szCs w:val="20"/>
          <w:color w:val="auto"/>
        </w:rPr>
      </w:pPr>
      <w:r>
        <w:rPr>
          <w:rFonts w:ascii="Arial" w:cs="Arial" w:eastAsia="Arial" w:hAnsi="Arial"/>
          <w:sz w:val="18"/>
          <w:szCs w:val="18"/>
          <w:color w:val="auto"/>
        </w:rPr>
        <w:t>Security and any Charter Assignment relating to the Ship, and the release of the Owner of that Ship under the Finance Documents, pursuant to deeds of release in agreed form executed at the cost and expense of the Borrowers.</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7"/>
          <w:szCs w:val="17"/>
          <w:b w:val="1"/>
          <w:bCs w:val="1"/>
          <w:color w:val="auto"/>
        </w:rPr>
        <w:t>Manager</w:t>
      </w:r>
    </w:p>
    <w:p>
      <w:pPr>
        <w:spacing w:after="0" w:line="220" w:lineRule="exact"/>
        <w:rPr>
          <w:sz w:val="20"/>
          <w:szCs w:val="20"/>
          <w:color w:val="auto"/>
        </w:rPr>
      </w:pPr>
    </w:p>
    <w:p>
      <w:pPr>
        <w:jc w:val="both"/>
        <w:ind w:left="540"/>
        <w:spacing w:after="0" w:line="238" w:lineRule="auto"/>
        <w:rPr>
          <w:sz w:val="20"/>
          <w:szCs w:val="20"/>
          <w:color w:val="auto"/>
        </w:rPr>
      </w:pPr>
      <w:r>
        <w:rPr>
          <w:rFonts w:ascii="Arial" w:cs="Arial" w:eastAsia="Arial" w:hAnsi="Arial"/>
          <w:sz w:val="18"/>
          <w:szCs w:val="18"/>
          <w:color w:val="auto"/>
        </w:rPr>
        <w:t>A manager of the Ship (other than the Managers) shall not be appointed unless that manager and the terms of its appointment are approved by the Majority Lenders (such approval not to be unreasonably withheld or delayed) and it has delivered a duly executed Manager’s Undertaking to the Security Agent. The relevant Owner shall not agree to any material change to the terms of appointment of a manager whose appointment has been approved unless such change is also approved by the Majority Lenders (such approval not to be unreasonably withheld or delayed).</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22.4</w:t>
        <w:tab/>
        <w:t>Copy of Mortgage on board</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A properly certified copy of the relevant Mortgage shall be kept on board the Ship with its papers and shown to anyone having business with the Ship which might create or imply any commitment or Security Interest over or in respect of the Ship (other than a lien for crew’s wages and salvage) and to any representative of the Agent or the Security Agent.</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22.5</w:t>
        <w:tab/>
        <w:t>Notice of Mortgage</w:t>
      </w:r>
    </w:p>
    <w:p>
      <w:pPr>
        <w:spacing w:after="0" w:line="2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framed printed notice of the Ship’s Mortgage shall be prominently displayed in the navigation room and in the Master’s cabin of the</w:t>
      </w:r>
    </w:p>
    <w:p>
      <w:pPr>
        <w:ind w:left="540"/>
        <w:spacing w:after="0"/>
        <w:rPr>
          <w:sz w:val="20"/>
          <w:szCs w:val="20"/>
          <w:color w:val="auto"/>
        </w:rPr>
      </w:pPr>
      <w:r>
        <w:rPr>
          <w:rFonts w:ascii="Arial" w:cs="Arial" w:eastAsia="Arial" w:hAnsi="Arial"/>
          <w:sz w:val="18"/>
          <w:szCs w:val="18"/>
          <w:color w:val="auto"/>
        </w:rPr>
        <w:t>Ship. The notice must be in plain type and read as follows:</w:t>
      </w:r>
    </w:p>
    <w:p>
      <w:pPr>
        <w:spacing w:after="0" w:line="176" w:lineRule="exact"/>
        <w:rPr>
          <w:sz w:val="20"/>
          <w:szCs w:val="20"/>
          <w:color w:val="auto"/>
        </w:rPr>
      </w:pPr>
    </w:p>
    <w:p>
      <w:pPr>
        <w:jc w:val="center"/>
        <w:ind w:left="540"/>
        <w:spacing w:after="0"/>
        <w:rPr>
          <w:sz w:val="20"/>
          <w:szCs w:val="20"/>
          <w:color w:val="auto"/>
        </w:rPr>
      </w:pPr>
      <w:r>
        <w:rPr>
          <w:rFonts w:ascii="Arial" w:cs="Arial" w:eastAsia="Arial" w:hAnsi="Arial"/>
          <w:sz w:val="18"/>
          <w:szCs w:val="18"/>
          <w:b w:val="1"/>
          <w:bCs w:val="1"/>
          <w:color w:val="auto"/>
        </w:rPr>
        <w:t>“NOTICE OF MORTGAGE</w:t>
      </w:r>
    </w:p>
    <w:p>
      <w:pPr>
        <w:spacing w:after="0" w:line="198" w:lineRule="exact"/>
        <w:rPr>
          <w:sz w:val="20"/>
          <w:szCs w:val="20"/>
          <w:color w:val="auto"/>
        </w:rPr>
      </w:pPr>
    </w:p>
    <w:p>
      <w:pPr>
        <w:jc w:val="both"/>
        <w:ind w:left="540"/>
        <w:spacing w:after="0" w:line="247" w:lineRule="auto"/>
        <w:rPr>
          <w:sz w:val="20"/>
          <w:szCs w:val="20"/>
          <w:color w:val="auto"/>
        </w:rPr>
      </w:pPr>
      <w:r>
        <w:rPr>
          <w:rFonts w:ascii="Arial" w:cs="Arial" w:eastAsia="Arial" w:hAnsi="Arial"/>
          <w:sz w:val="18"/>
          <w:szCs w:val="18"/>
          <w:color w:val="auto"/>
        </w:rPr>
        <w:t>This Ship is subject to a first mortgage in favour of [</w:t>
      </w:r>
      <w:r>
        <w:rPr>
          <w:rFonts w:ascii="Arial" w:cs="Arial" w:eastAsia="Arial" w:hAnsi="Arial"/>
          <w:sz w:val="18"/>
          <w:szCs w:val="18"/>
          <w:b w:val="1"/>
          <w:bCs w:val="1"/>
          <w:color w:val="auto"/>
        </w:rPr>
        <w:t>here insert name of mortgagee</w:t>
      </w:r>
      <w:r>
        <w:rPr>
          <w:rFonts w:ascii="Arial" w:cs="Arial" w:eastAsia="Arial" w:hAnsi="Arial"/>
          <w:sz w:val="18"/>
          <w:szCs w:val="18"/>
          <w:color w:val="auto"/>
        </w:rPr>
        <w:t>] of [</w:t>
      </w:r>
      <w:r>
        <w:rPr>
          <w:rFonts w:ascii="Arial" w:cs="Arial" w:eastAsia="Arial" w:hAnsi="Arial"/>
          <w:sz w:val="18"/>
          <w:szCs w:val="18"/>
          <w:b w:val="1"/>
          <w:bCs w:val="1"/>
          <w:color w:val="auto"/>
        </w:rPr>
        <w:t>here insert address of mortgagee</w:t>
      </w:r>
      <w:r>
        <w:rPr>
          <w:rFonts w:ascii="Arial" w:cs="Arial" w:eastAsia="Arial" w:hAnsi="Arial"/>
          <w:sz w:val="18"/>
          <w:szCs w:val="18"/>
          <w:color w:val="auto"/>
        </w:rPr>
        <w:t>]. Under the said mortgage and related documents, neither the Owner nor any charterer nor the Master of this Ship has any right, power or authority to create, incur or permit to be imposed upon this Ship any commitments or encumbrances whatsoever other than for crew’s wages and salvage”.</w:t>
      </w:r>
    </w:p>
    <w:p>
      <w:pPr>
        <w:spacing w:after="0" w:line="183" w:lineRule="exact"/>
        <w:rPr>
          <w:sz w:val="20"/>
          <w:szCs w:val="20"/>
          <w:color w:val="auto"/>
        </w:rPr>
      </w:pPr>
    </w:p>
    <w:p>
      <w:pPr>
        <w:jc w:val="both"/>
        <w:ind w:left="540"/>
        <w:spacing w:after="0" w:line="246" w:lineRule="auto"/>
        <w:rPr>
          <w:sz w:val="20"/>
          <w:szCs w:val="20"/>
          <w:color w:val="auto"/>
        </w:rPr>
      </w:pPr>
      <w:r>
        <w:rPr>
          <w:rFonts w:ascii="Arial" w:cs="Arial" w:eastAsia="Arial" w:hAnsi="Arial"/>
          <w:sz w:val="18"/>
          <w:szCs w:val="18"/>
          <w:color w:val="auto"/>
        </w:rPr>
        <w:t>No-one will have any right, power or authority to create, incur or permit to be imposed upon the Ship any lien whatsoever other than for crew’s wages and salvage.</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22.6</w:t>
        <w:tab/>
        <w:t>Conveyance on default</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Where the Ship is (or is to be) sold in exercise of any power conferred by the Security Documents, the relevant Owner shall, upon the Agent’s (acting on the instructions of the Majority Lenders) request, immediately execute such form of transfer of title to the Ship as the Agent may require.</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22.7</w:t>
        <w:tab/>
        <w:t>Chartering</w:t>
      </w:r>
    </w:p>
    <w:p>
      <w:pPr>
        <w:spacing w:after="0" w:line="220" w:lineRule="exact"/>
        <w:rPr>
          <w:sz w:val="20"/>
          <w:szCs w:val="20"/>
          <w:color w:val="auto"/>
        </w:rPr>
      </w:pPr>
    </w:p>
    <w:p>
      <w:pPr>
        <w:ind w:left="1060" w:hanging="512"/>
        <w:spacing w:after="0" w:line="246" w:lineRule="auto"/>
        <w:tabs>
          <w:tab w:leader="none" w:pos="10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Except with approval of the Majority Lenders, the relevant Owner shall not enter into any charter commitment for a Ship (except for the Charter for each Ship, where applicable), which is:</w:t>
      </w:r>
    </w:p>
    <w:p>
      <w:pPr>
        <w:spacing w:after="0" w:line="183" w:lineRule="exact"/>
        <w:rPr>
          <w:rFonts w:ascii="Arial" w:cs="Arial" w:eastAsia="Arial" w:hAnsi="Arial"/>
          <w:sz w:val="18"/>
          <w:szCs w:val="18"/>
          <w:color w:val="auto"/>
        </w:rPr>
      </w:pPr>
    </w:p>
    <w:p>
      <w:pPr>
        <w:ind w:left="1560" w:hanging="539"/>
        <w:spacing w:after="0"/>
        <w:tabs>
          <w:tab w:leader="none" w:pos="156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a bareboat or demise charter or passes possession and operational control of the Ship to another person;</w:t>
      </w:r>
    </w:p>
    <w:p>
      <w:pPr>
        <w:spacing w:after="0" w:line="198" w:lineRule="exact"/>
        <w:rPr>
          <w:rFonts w:ascii="Arial" w:cs="Arial" w:eastAsia="Arial" w:hAnsi="Arial"/>
          <w:sz w:val="18"/>
          <w:szCs w:val="18"/>
          <w:color w:val="auto"/>
        </w:rPr>
      </w:pPr>
    </w:p>
    <w:p>
      <w:pPr>
        <w:ind w:left="1560" w:hanging="539"/>
        <w:spacing w:after="0"/>
        <w:tabs>
          <w:tab w:leader="none" w:pos="156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capable of lasting more than 24 calendar months (excluding any optional additional period not exceeding 30 days);</w:t>
      </w:r>
    </w:p>
    <w:p>
      <w:pPr>
        <w:spacing w:after="0" w:line="198" w:lineRule="exact"/>
        <w:rPr>
          <w:rFonts w:ascii="Arial" w:cs="Arial" w:eastAsia="Arial" w:hAnsi="Arial"/>
          <w:sz w:val="18"/>
          <w:szCs w:val="18"/>
          <w:color w:val="auto"/>
        </w:rPr>
      </w:pPr>
    </w:p>
    <w:p>
      <w:pPr>
        <w:ind w:left="1560" w:hanging="539"/>
        <w:spacing w:after="0" w:line="246" w:lineRule="auto"/>
        <w:tabs>
          <w:tab w:leader="none" w:pos="156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on terms as to payment or amount of hire which are materially less beneficial to it than the terms which at that time could reasonably be expected to be obtained 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31" w:name="page132"/>
    <w:bookmarkEnd w:id="131"/>
    <w:p>
      <w:pPr>
        <w:ind w:left="1540"/>
        <w:spacing w:after="0"/>
        <w:rPr>
          <w:sz w:val="20"/>
          <w:szCs w:val="20"/>
          <w:color w:val="auto"/>
        </w:rPr>
      </w:pPr>
      <w:r>
        <w:rPr>
          <w:rFonts w:ascii="Arial" w:cs="Arial" w:eastAsia="Arial" w:hAnsi="Arial"/>
          <w:sz w:val="18"/>
          <w:szCs w:val="18"/>
          <w:color w:val="auto"/>
        </w:rPr>
        <w:t>the open market for vessels of the same age and type as the Ship under charter commitments of a similar type and period;</w:t>
      </w:r>
    </w:p>
    <w:p>
      <w:pPr>
        <w:spacing w:after="0" w:line="198" w:lineRule="exact"/>
        <w:rPr>
          <w:sz w:val="20"/>
          <w:szCs w:val="20"/>
          <w:color w:val="auto"/>
        </w:rPr>
      </w:pPr>
    </w:p>
    <w:p>
      <w:pPr>
        <w:ind w:left="1560" w:hanging="539"/>
        <w:spacing w:after="0"/>
        <w:tabs>
          <w:tab w:leader="none" w:pos="156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to another Group Member; or</w:t>
      </w:r>
    </w:p>
    <w:p>
      <w:pPr>
        <w:spacing w:after="0" w:line="198" w:lineRule="exact"/>
        <w:rPr>
          <w:rFonts w:ascii="Arial" w:cs="Arial" w:eastAsia="Arial" w:hAnsi="Arial"/>
          <w:sz w:val="18"/>
          <w:szCs w:val="18"/>
          <w:color w:val="auto"/>
        </w:rPr>
      </w:pPr>
    </w:p>
    <w:p>
      <w:pPr>
        <w:ind w:left="1560" w:hanging="539"/>
        <w:spacing w:after="0"/>
        <w:tabs>
          <w:tab w:leader="none" w:pos="156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part of the Cool Pool Arrangements (except in relation to Ship F, Ship G and Ship H).</w:t>
      </w:r>
    </w:p>
    <w:p>
      <w:pPr>
        <w:spacing w:after="0" w:line="198" w:lineRule="exact"/>
        <w:rPr>
          <w:rFonts w:ascii="Arial" w:cs="Arial" w:eastAsia="Arial" w:hAnsi="Arial"/>
          <w:sz w:val="18"/>
          <w:szCs w:val="18"/>
          <w:color w:val="auto"/>
        </w:rPr>
      </w:pPr>
    </w:p>
    <w:p>
      <w:pPr>
        <w:jc w:val="both"/>
        <w:ind w:left="1060" w:hanging="512"/>
        <w:spacing w:after="0" w:line="238" w:lineRule="auto"/>
        <w:tabs>
          <w:tab w:leader="none" w:pos="10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Further, without prejudice to the rights of the Finance Parties under the provisions of paragraph (a) above and any other provisions of the Finance Documents, the relevant Owner shall advise the Agent promptly of any charter commitment in respect of its Ship (other than the relevant Charter or the Cool Pool Arrangements in relation to Ship F, Ship G and Ship H) which has an original term in excess of 12 calendar months (without taking into account any option to extend or renew contained therein), and the relevant Owner shall:</w:t>
      </w:r>
    </w:p>
    <w:p>
      <w:pPr>
        <w:spacing w:after="0" w:line="189" w:lineRule="exact"/>
        <w:rPr>
          <w:rFonts w:ascii="Arial" w:cs="Arial" w:eastAsia="Arial" w:hAnsi="Arial"/>
          <w:sz w:val="18"/>
          <w:szCs w:val="18"/>
          <w:color w:val="auto"/>
        </w:rPr>
      </w:pPr>
    </w:p>
    <w:p>
      <w:pPr>
        <w:ind w:left="1560" w:hanging="539"/>
        <w:spacing w:after="0"/>
        <w:tabs>
          <w:tab w:leader="none" w:pos="156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deliver a copy of each such charter commitment to the Agent forthwith;</w:t>
      </w:r>
    </w:p>
    <w:p>
      <w:pPr>
        <w:spacing w:after="0" w:line="198" w:lineRule="exact"/>
        <w:rPr>
          <w:rFonts w:ascii="Arial" w:cs="Arial" w:eastAsia="Arial" w:hAnsi="Arial"/>
          <w:sz w:val="18"/>
          <w:szCs w:val="18"/>
          <w:color w:val="auto"/>
        </w:rPr>
      </w:pPr>
    </w:p>
    <w:p>
      <w:pPr>
        <w:ind w:left="1560" w:hanging="539"/>
        <w:spacing w:after="0"/>
        <w:tabs>
          <w:tab w:leader="none" w:pos="156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forthwith following a demand made by the Agent (acting on the instructions of the Majority Lenders):</w:t>
      </w:r>
    </w:p>
    <w:p>
      <w:pPr>
        <w:spacing w:after="0" w:line="198" w:lineRule="exact"/>
        <w:rPr>
          <w:rFonts w:ascii="Arial" w:cs="Arial" w:eastAsia="Arial" w:hAnsi="Arial"/>
          <w:sz w:val="18"/>
          <w:szCs w:val="18"/>
          <w:color w:val="auto"/>
        </w:rPr>
      </w:pPr>
    </w:p>
    <w:p>
      <w:pPr>
        <w:ind w:left="2080" w:hanging="546"/>
        <w:spacing w:after="0" w:line="246" w:lineRule="auto"/>
        <w:tabs>
          <w:tab w:leader="none" w:pos="2080" w:val="left"/>
        </w:tabs>
        <w:numPr>
          <w:ilvl w:val="2"/>
          <w:numId w:val="253"/>
        </w:numPr>
        <w:rPr>
          <w:rFonts w:ascii="Arial" w:cs="Arial" w:eastAsia="Arial" w:hAnsi="Arial"/>
          <w:sz w:val="18"/>
          <w:szCs w:val="18"/>
          <w:color w:val="auto"/>
        </w:rPr>
      </w:pPr>
      <w:r>
        <w:rPr>
          <w:rFonts w:ascii="Arial" w:cs="Arial" w:eastAsia="Arial" w:hAnsi="Arial"/>
          <w:sz w:val="18"/>
          <w:szCs w:val="18"/>
          <w:color w:val="auto"/>
        </w:rPr>
        <w:t>execute an assignment of any such charter commitment in favour of the Security Agent (in the same form as a Charter Assignment) and any notice of assignment required in connection therewith; and</w:t>
      </w:r>
    </w:p>
    <w:p>
      <w:pPr>
        <w:spacing w:after="0" w:line="183" w:lineRule="exact"/>
        <w:rPr>
          <w:rFonts w:ascii="Arial" w:cs="Arial" w:eastAsia="Arial" w:hAnsi="Arial"/>
          <w:sz w:val="18"/>
          <w:szCs w:val="18"/>
          <w:color w:val="auto"/>
        </w:rPr>
      </w:pPr>
    </w:p>
    <w:p>
      <w:pPr>
        <w:ind w:left="2080" w:hanging="546"/>
        <w:spacing w:after="0" w:line="246" w:lineRule="auto"/>
        <w:tabs>
          <w:tab w:leader="none" w:pos="2080" w:val="left"/>
        </w:tabs>
        <w:numPr>
          <w:ilvl w:val="2"/>
          <w:numId w:val="253"/>
        </w:numPr>
        <w:rPr>
          <w:rFonts w:ascii="Arial" w:cs="Arial" w:eastAsia="Arial" w:hAnsi="Arial"/>
          <w:sz w:val="18"/>
          <w:szCs w:val="18"/>
          <w:color w:val="auto"/>
        </w:rPr>
      </w:pPr>
      <w:r>
        <w:rPr>
          <w:rFonts w:ascii="Arial" w:cs="Arial" w:eastAsia="Arial" w:hAnsi="Arial"/>
          <w:sz w:val="18"/>
          <w:szCs w:val="18"/>
          <w:color w:val="auto"/>
        </w:rPr>
        <w:t>procure the service of any such notice of assignment on the relevant counterparty of the Owner under such charter commitment, and the acknowledgement (if received) of such notice by such counterparty;</w:t>
      </w:r>
    </w:p>
    <w:p>
      <w:pPr>
        <w:spacing w:after="0" w:line="165" w:lineRule="exact"/>
        <w:rPr>
          <w:rFonts w:ascii="Arial" w:cs="Arial" w:eastAsia="Arial" w:hAnsi="Arial"/>
          <w:sz w:val="18"/>
          <w:szCs w:val="18"/>
          <w:color w:val="auto"/>
        </w:rPr>
      </w:pPr>
    </w:p>
    <w:p>
      <w:pPr>
        <w:jc w:val="both"/>
        <w:ind w:left="1560" w:hanging="539"/>
        <w:spacing w:after="0" w:line="251" w:lineRule="auto"/>
        <w:tabs>
          <w:tab w:leader="none" w:pos="156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deliver to the Agent such documents and evidence of the type referred to in Schedule 3 (</w:t>
      </w:r>
      <w:r>
        <w:rPr>
          <w:rFonts w:ascii="Arial" w:cs="Arial" w:eastAsia="Arial" w:hAnsi="Arial"/>
          <w:sz w:val="18"/>
          <w:szCs w:val="18"/>
          <w:i w:val="1"/>
          <w:iCs w:val="1"/>
          <w:color w:val="auto"/>
        </w:rPr>
        <w:t>Conditions precedent</w:t>
      </w:r>
      <w:r>
        <w:rPr>
          <w:rFonts w:ascii="Arial" w:cs="Arial" w:eastAsia="Arial" w:hAnsi="Arial"/>
          <w:sz w:val="18"/>
          <w:szCs w:val="18"/>
          <w:color w:val="auto"/>
        </w:rPr>
        <w:t>), in relation to any such charter assignment or any other related matter referred to in this clause 22.7(b), as the Agent (acting on the instructions of the Majority Lenders in their sole discretion) shall require; and</w:t>
      </w:r>
    </w:p>
    <w:p>
      <w:pPr>
        <w:spacing w:after="0" w:line="178" w:lineRule="exact"/>
        <w:rPr>
          <w:rFonts w:ascii="Arial" w:cs="Arial" w:eastAsia="Arial" w:hAnsi="Arial"/>
          <w:sz w:val="18"/>
          <w:szCs w:val="18"/>
          <w:color w:val="auto"/>
        </w:rPr>
      </w:pPr>
    </w:p>
    <w:p>
      <w:pPr>
        <w:jc w:val="both"/>
        <w:ind w:left="1560" w:hanging="539"/>
        <w:spacing w:after="0"/>
        <w:tabs>
          <w:tab w:leader="none" w:pos="156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pay on the Agent’s demand all reasonable legal costs and other costs incurred by the Agent and/or the Lenders and/or the Security Agent in connection with or in relation to any such charter assignment or any other related matter referred to in this clause 22.7(b).</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22.8</w:t>
      </w:r>
      <w:r>
        <w:rPr>
          <w:sz w:val="20"/>
          <w:szCs w:val="20"/>
          <w:color w:val="auto"/>
        </w:rPr>
        <w:tab/>
      </w:r>
      <w:r>
        <w:rPr>
          <w:rFonts w:ascii="Arial" w:cs="Arial" w:eastAsia="Arial" w:hAnsi="Arial"/>
          <w:sz w:val="17"/>
          <w:szCs w:val="17"/>
          <w:b w:val="1"/>
          <w:bCs w:val="1"/>
          <w:color w:val="auto"/>
        </w:rPr>
        <w:t>Merchant use</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relevant Owner shall use the Ship only as a civil merchant trading ship.</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22.9</w:t>
        <w:tab/>
        <w:t>Sharing of Earnings</w:t>
      </w:r>
    </w:p>
    <w:p>
      <w:pPr>
        <w:spacing w:after="0" w:line="220" w:lineRule="exact"/>
        <w:rPr>
          <w:sz w:val="20"/>
          <w:szCs w:val="20"/>
          <w:color w:val="auto"/>
        </w:rPr>
      </w:pPr>
    </w:p>
    <w:p>
      <w:pPr>
        <w:ind w:left="540"/>
        <w:spacing w:after="0" w:line="246" w:lineRule="auto"/>
        <w:rPr>
          <w:sz w:val="20"/>
          <w:szCs w:val="20"/>
          <w:color w:val="auto"/>
        </w:rPr>
      </w:pPr>
      <w:r>
        <w:rPr>
          <w:rFonts w:ascii="Arial" w:cs="Arial" w:eastAsia="Arial" w:hAnsi="Arial"/>
          <w:sz w:val="18"/>
          <w:szCs w:val="18"/>
          <w:color w:val="auto"/>
        </w:rPr>
        <w:t>The relevant Owner shall not enter into any arrangement under which its Earnings from the Ship may be shared with anyone else except:</w:t>
      </w:r>
    </w:p>
    <w:p>
      <w:pPr>
        <w:spacing w:after="0" w:line="183" w:lineRule="exact"/>
        <w:rPr>
          <w:sz w:val="20"/>
          <w:szCs w:val="20"/>
          <w:color w:val="auto"/>
        </w:rPr>
      </w:pPr>
    </w:p>
    <w:p>
      <w:pPr>
        <w:jc w:val="both"/>
        <w:ind w:left="1060" w:hanging="512"/>
        <w:spacing w:after="0"/>
        <w:tabs>
          <w:tab w:leader="none" w:pos="10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for Ship F, Ship G and Ship H which on the date of this Agreement already participate in the operations of the Cool Pool Ltd, as those have been described in more detail by the Obligors to the Lenders in the negotiation of this Agreement (the </w:t>
      </w:r>
      <w:r>
        <w:rPr>
          <w:rFonts w:ascii="Arial" w:cs="Arial" w:eastAsia="Arial" w:hAnsi="Arial"/>
          <w:sz w:val="18"/>
          <w:szCs w:val="18"/>
          <w:b w:val="1"/>
          <w:bCs w:val="1"/>
          <w:color w:val="auto"/>
        </w:rPr>
        <w:t>Cool Pool</w:t>
      </w:r>
      <w:r>
        <w:rPr>
          <w:rFonts w:ascii="Arial" w:cs="Arial" w:eastAsia="Arial" w:hAnsi="Arial"/>
          <w:sz w:val="18"/>
          <w:szCs w:val="18"/>
          <w:color w:val="auto"/>
        </w:rPr>
        <w:t xml:space="preserve"> </w:t>
      </w:r>
      <w:r>
        <w:rPr>
          <w:rFonts w:ascii="Arial" w:cs="Arial" w:eastAsia="Arial" w:hAnsi="Arial"/>
          <w:sz w:val="18"/>
          <w:szCs w:val="18"/>
          <w:b w:val="1"/>
          <w:bCs w:val="1"/>
          <w:color w:val="auto"/>
        </w:rPr>
        <w:t>Arrangements</w:t>
      </w:r>
      <w:r>
        <w:rPr>
          <w:rFonts w:ascii="Arial" w:cs="Arial" w:eastAsia="Arial" w:hAnsi="Arial"/>
          <w:sz w:val="18"/>
          <w:szCs w:val="18"/>
          <w:color w:val="auto"/>
        </w:rPr>
        <w:t>); or</w:t>
      </w:r>
    </w:p>
    <w:p>
      <w:pPr>
        <w:spacing w:after="0" w:line="189" w:lineRule="exact"/>
        <w:rPr>
          <w:rFonts w:ascii="Arial" w:cs="Arial" w:eastAsia="Arial" w:hAnsi="Arial"/>
          <w:sz w:val="18"/>
          <w:szCs w:val="18"/>
          <w:color w:val="auto"/>
        </w:rPr>
      </w:pPr>
    </w:p>
    <w:p>
      <w:pPr>
        <w:ind w:left="1060" w:hanging="512"/>
        <w:spacing w:after="0"/>
        <w:tabs>
          <w:tab w:leader="none" w:pos="10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with the approval of the Majority Lenders.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22.10 Payment of Earnings</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The relevant Owner’s Earnings from the Ship shall be paid in the way required by the Ship’s General Assignment, Deed of Covenant or any Charter Assignment. If any Earnings are held by brokers or other agents, they shall be paid to the Security Agent or the Agent (as the case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32" w:name="page133"/>
    <w:bookmarkEnd w:id="132"/>
    <w:p>
      <w:pPr>
        <w:ind w:left="540"/>
        <w:spacing w:after="0" w:line="246" w:lineRule="auto"/>
        <w:rPr>
          <w:sz w:val="20"/>
          <w:szCs w:val="20"/>
          <w:color w:val="auto"/>
        </w:rPr>
      </w:pPr>
      <w:r>
        <w:rPr>
          <w:rFonts w:ascii="Arial" w:cs="Arial" w:eastAsia="Arial" w:hAnsi="Arial"/>
          <w:sz w:val="18"/>
          <w:szCs w:val="18"/>
          <w:color w:val="auto"/>
        </w:rPr>
        <w:t>may be), if it requires this after the Earnings have become payable to it under the Ship’s General Assignment, Deed of Covenant or any Charter Assignment.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22.11 Lay up</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Except with approval by the Majority Lenders (such approval not to be unreasonably withheld), no Ship shall be laid up or deactivated.</w:t>
      </w:r>
    </w:p>
    <w:p>
      <w:pPr>
        <w:spacing w:after="0" w:line="176" w:lineRule="exact"/>
        <w:rPr>
          <w:sz w:val="20"/>
          <w:szCs w:val="20"/>
          <w:color w:val="auto"/>
        </w:rPr>
      </w:pPr>
    </w:p>
    <w:p>
      <w:pPr>
        <w:ind w:left="540" w:hanging="532"/>
        <w:spacing w:after="0"/>
        <w:tabs>
          <w:tab w:leader="none" w:pos="54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Condition and operation of Ship</w:t>
      </w:r>
    </w:p>
    <w:p>
      <w:pPr>
        <w:spacing w:after="0" w:line="220" w:lineRule="exact"/>
        <w:rPr>
          <w:rFonts w:ascii="Arial" w:cs="Arial" w:eastAsia="Arial" w:hAnsi="Arial"/>
          <w:sz w:val="18"/>
          <w:szCs w:val="18"/>
          <w:b w:val="1"/>
          <w:bCs w:val="1"/>
          <w:color w:val="auto"/>
        </w:rPr>
      </w:pPr>
    </w:p>
    <w:p>
      <w:pPr>
        <w:ind w:left="54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Each Borrower undertakes that this clause 23 will be complied with in relation to each Mortgaged Ship throughout the relevant Ship’s Mortgage Period.</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7"/>
          <w:szCs w:val="17"/>
          <w:b w:val="1"/>
          <w:bCs w:val="1"/>
          <w:color w:val="auto"/>
        </w:rPr>
        <w:t>Defined terms</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this clause 23.1 and in Schedule 3 (</w:t>
      </w:r>
      <w:r>
        <w:rPr>
          <w:rFonts w:ascii="Arial" w:cs="Arial" w:eastAsia="Arial" w:hAnsi="Arial"/>
          <w:sz w:val="18"/>
          <w:szCs w:val="18"/>
          <w:i w:val="1"/>
          <w:iCs w:val="1"/>
          <w:color w:val="auto"/>
        </w:rPr>
        <w:t>Conditions precedent</w:t>
      </w:r>
      <w:r>
        <w:rPr>
          <w:rFonts w:ascii="Arial" w:cs="Arial" w:eastAsia="Arial" w:hAnsi="Arial"/>
          <w:sz w:val="18"/>
          <w:szCs w:val="18"/>
          <w:color w:val="auto"/>
        </w:rPr>
        <w:t>):</w:t>
      </w:r>
    </w:p>
    <w:p>
      <w:pPr>
        <w:spacing w:after="0" w:line="194" w:lineRule="exact"/>
        <w:rPr>
          <w:sz w:val="20"/>
          <w:szCs w:val="20"/>
          <w:color w:val="auto"/>
        </w:rPr>
      </w:pPr>
    </w:p>
    <w:p>
      <w:pPr>
        <w:jc w:val="both"/>
        <w:ind w:left="540"/>
        <w:spacing w:after="0" w:line="271" w:lineRule="auto"/>
        <w:rPr>
          <w:sz w:val="20"/>
          <w:szCs w:val="20"/>
          <w:color w:val="auto"/>
        </w:rPr>
      </w:pPr>
      <w:r>
        <w:rPr>
          <w:rFonts w:ascii="Arial" w:cs="Arial" w:eastAsia="Arial" w:hAnsi="Arial"/>
          <w:sz w:val="18"/>
          <w:szCs w:val="18"/>
          <w:b w:val="1"/>
          <w:bCs w:val="1"/>
          <w:color w:val="auto"/>
        </w:rPr>
        <w:t xml:space="preserve">applicable code </w:t>
      </w:r>
      <w:r>
        <w:rPr>
          <w:rFonts w:ascii="Arial" w:cs="Arial" w:eastAsia="Arial" w:hAnsi="Arial"/>
          <w:sz w:val="18"/>
          <w:szCs w:val="18"/>
          <w:color w:val="auto"/>
        </w:rPr>
        <w:t>means any code or prescribed procedures required to be observed by the Ship or the persons responsible for its</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 under any applicable law (including but not limited to those currently known as the ISM Code and the ISPS Code).</w:t>
      </w:r>
    </w:p>
    <w:p>
      <w:pPr>
        <w:spacing w:after="0" w:line="140" w:lineRule="exact"/>
        <w:rPr>
          <w:sz w:val="20"/>
          <w:szCs w:val="20"/>
          <w:color w:val="auto"/>
        </w:rPr>
      </w:pPr>
    </w:p>
    <w:p>
      <w:pPr>
        <w:jc w:val="both"/>
        <w:ind w:left="540"/>
        <w:spacing w:after="0" w:line="271" w:lineRule="auto"/>
        <w:rPr>
          <w:sz w:val="20"/>
          <w:szCs w:val="20"/>
          <w:color w:val="auto"/>
        </w:rPr>
      </w:pPr>
      <w:r>
        <w:rPr>
          <w:rFonts w:ascii="Arial" w:cs="Arial" w:eastAsia="Arial" w:hAnsi="Arial"/>
          <w:sz w:val="18"/>
          <w:szCs w:val="18"/>
          <w:b w:val="1"/>
          <w:bCs w:val="1"/>
          <w:color w:val="auto"/>
        </w:rPr>
        <w:t xml:space="preserve">applicable law </w:t>
      </w:r>
      <w:r>
        <w:rPr>
          <w:rFonts w:ascii="Arial" w:cs="Arial" w:eastAsia="Arial" w:hAnsi="Arial"/>
          <w:sz w:val="18"/>
          <w:szCs w:val="18"/>
          <w:color w:val="auto"/>
        </w:rPr>
        <w:t>means all laws and regulations applicable to vessels registered in the Ship’s Flag State or which for any other reason</w:t>
      </w:r>
      <w:r>
        <w:rPr>
          <w:rFonts w:ascii="Arial" w:cs="Arial" w:eastAsia="Arial" w:hAnsi="Arial"/>
          <w:sz w:val="18"/>
          <w:szCs w:val="18"/>
          <w:b w:val="1"/>
          <w:bCs w:val="1"/>
          <w:color w:val="auto"/>
        </w:rPr>
        <w:t xml:space="preserve"> </w:t>
      </w:r>
      <w:r>
        <w:rPr>
          <w:rFonts w:ascii="Arial" w:cs="Arial" w:eastAsia="Arial" w:hAnsi="Arial"/>
          <w:sz w:val="18"/>
          <w:szCs w:val="18"/>
          <w:color w:val="auto"/>
        </w:rPr>
        <w:t>apply to the Ship or to its condition or operation at any relevant time.</w:t>
      </w:r>
    </w:p>
    <w:p>
      <w:pPr>
        <w:spacing w:after="0" w:line="140" w:lineRule="exact"/>
        <w:rPr>
          <w:sz w:val="20"/>
          <w:szCs w:val="20"/>
          <w:color w:val="auto"/>
        </w:rPr>
      </w:pPr>
    </w:p>
    <w:p>
      <w:pPr>
        <w:jc w:val="both"/>
        <w:ind w:left="540" w:right="20"/>
        <w:spacing w:after="0" w:line="271" w:lineRule="auto"/>
        <w:rPr>
          <w:sz w:val="20"/>
          <w:szCs w:val="20"/>
          <w:color w:val="auto"/>
        </w:rPr>
      </w:pPr>
      <w:r>
        <w:rPr>
          <w:rFonts w:ascii="Arial" w:cs="Arial" w:eastAsia="Arial" w:hAnsi="Arial"/>
          <w:sz w:val="18"/>
          <w:szCs w:val="18"/>
          <w:b w:val="1"/>
          <w:bCs w:val="1"/>
          <w:color w:val="auto"/>
        </w:rPr>
        <w:t xml:space="preserve">applicable operating certificate </w:t>
      </w:r>
      <w:r>
        <w:rPr>
          <w:rFonts w:ascii="Arial" w:cs="Arial" w:eastAsia="Arial" w:hAnsi="Arial"/>
          <w:sz w:val="18"/>
          <w:szCs w:val="18"/>
          <w:color w:val="auto"/>
        </w:rPr>
        <w:t>means any certificates or other document relating to the Ship or its condition or operation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in force under any applicable law or any applicable code.</w:t>
      </w:r>
    </w:p>
    <w:p>
      <w:pPr>
        <w:spacing w:after="0" w:line="14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7"/>
          <w:szCs w:val="17"/>
          <w:b w:val="1"/>
          <w:bCs w:val="1"/>
          <w:color w:val="auto"/>
        </w:rPr>
        <w:t>Repair</w:t>
      </w:r>
    </w:p>
    <w:p>
      <w:pPr>
        <w:spacing w:after="0" w:line="220" w:lineRule="exact"/>
        <w:rPr>
          <w:sz w:val="20"/>
          <w:szCs w:val="20"/>
          <w:color w:val="auto"/>
        </w:rPr>
      </w:pPr>
    </w:p>
    <w:p>
      <w:pPr>
        <w:jc w:val="both"/>
        <w:ind w:left="540"/>
        <w:spacing w:after="0" w:line="246" w:lineRule="auto"/>
        <w:rPr>
          <w:sz w:val="20"/>
          <w:szCs w:val="20"/>
          <w:color w:val="auto"/>
        </w:rPr>
      </w:pPr>
      <w:r>
        <w:rPr>
          <w:rFonts w:ascii="Arial" w:cs="Arial" w:eastAsia="Arial" w:hAnsi="Arial"/>
          <w:sz w:val="18"/>
          <w:szCs w:val="18"/>
          <w:color w:val="auto"/>
        </w:rPr>
        <w:t>The Ship shall be kept in a good, safe and efficient state of repair. The quality of workmanship and materials used to repair the Ship or replace any damaged, worn or lost parts or equipment shall be sufficient to ensure that the Ship’s value is not materially reduced.</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7"/>
          <w:szCs w:val="17"/>
          <w:b w:val="1"/>
          <w:bCs w:val="1"/>
          <w:color w:val="auto"/>
        </w:rPr>
        <w:t>Modification</w:t>
      </w:r>
    </w:p>
    <w:p>
      <w:pPr>
        <w:spacing w:after="0" w:line="220" w:lineRule="exact"/>
        <w:rPr>
          <w:sz w:val="20"/>
          <w:szCs w:val="20"/>
          <w:color w:val="auto"/>
        </w:rPr>
      </w:pPr>
    </w:p>
    <w:p>
      <w:pPr>
        <w:jc w:val="both"/>
        <w:ind w:left="540" w:right="20"/>
        <w:spacing w:after="0" w:line="246" w:lineRule="auto"/>
        <w:rPr>
          <w:sz w:val="20"/>
          <w:szCs w:val="20"/>
          <w:color w:val="auto"/>
        </w:rPr>
      </w:pPr>
      <w:r>
        <w:rPr>
          <w:rFonts w:ascii="Arial" w:cs="Arial" w:eastAsia="Arial" w:hAnsi="Arial"/>
          <w:sz w:val="18"/>
          <w:szCs w:val="18"/>
          <w:color w:val="auto"/>
        </w:rPr>
        <w:t>Except with approval, the structure, type or performance characteristics of the Ship shall not be modified in a way which could or might materially alter the Ship or materially reduce its value.</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23.4</w:t>
      </w:r>
      <w:r>
        <w:rPr>
          <w:sz w:val="20"/>
          <w:szCs w:val="20"/>
          <w:color w:val="auto"/>
        </w:rPr>
        <w:tab/>
      </w:r>
      <w:r>
        <w:rPr>
          <w:rFonts w:ascii="Arial" w:cs="Arial" w:eastAsia="Arial" w:hAnsi="Arial"/>
          <w:sz w:val="17"/>
          <w:szCs w:val="17"/>
          <w:b w:val="1"/>
          <w:bCs w:val="1"/>
          <w:color w:val="auto"/>
        </w:rPr>
        <w:t>Removal of parts</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Except with approval, no material part of the Ship or any equipment shall be removed from the Ship if to do so would materially reduce its value (unless at the same time it is replaced with equivalent parts or equipment owned by the relevant Owner free of any Security Interest except under the Security Documents).</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7"/>
          <w:szCs w:val="17"/>
          <w:b w:val="1"/>
          <w:bCs w:val="1"/>
          <w:color w:val="auto"/>
        </w:rPr>
        <w:t>Third party owned equipment</w:t>
      </w:r>
    </w:p>
    <w:p>
      <w:pPr>
        <w:spacing w:after="0" w:line="220" w:lineRule="exact"/>
        <w:rPr>
          <w:sz w:val="20"/>
          <w:szCs w:val="20"/>
          <w:color w:val="auto"/>
        </w:rPr>
      </w:pPr>
    </w:p>
    <w:p>
      <w:pPr>
        <w:jc w:val="both"/>
        <w:ind w:left="540"/>
        <w:spacing w:after="0" w:line="246" w:lineRule="auto"/>
        <w:rPr>
          <w:sz w:val="20"/>
          <w:szCs w:val="20"/>
          <w:color w:val="auto"/>
        </w:rPr>
      </w:pPr>
      <w:r>
        <w:rPr>
          <w:rFonts w:ascii="Arial" w:cs="Arial" w:eastAsia="Arial" w:hAnsi="Arial"/>
          <w:sz w:val="18"/>
          <w:szCs w:val="18"/>
          <w:color w:val="auto"/>
        </w:rPr>
        <w:t>Except with approval, equipment owned by a third party shall not be installed on the Ship if it cannot be removed without risk of causing damage to the structure or fabric of the Ship or incurring significant expense.</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23.6</w:t>
      </w:r>
      <w:r>
        <w:rPr>
          <w:sz w:val="20"/>
          <w:szCs w:val="20"/>
          <w:color w:val="auto"/>
        </w:rPr>
        <w:tab/>
      </w:r>
      <w:r>
        <w:rPr>
          <w:rFonts w:ascii="Arial" w:cs="Arial" w:eastAsia="Arial" w:hAnsi="Arial"/>
          <w:sz w:val="17"/>
          <w:szCs w:val="17"/>
          <w:b w:val="1"/>
          <w:bCs w:val="1"/>
          <w:color w:val="auto"/>
        </w:rPr>
        <w:t>Maintenance of class; compliance with laws and codes</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The Ship’s class shall be the relevant Classification with the relevant Classification Society and neither the Classification nor the Classification Society of the Ship shall be changed without approval of the Agent (acting on the instructions of the Majority Lenders) (such approval not to be unreasonably withheld). The Ship and every person who owns, operates or manages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33" w:name="page134"/>
    <w:bookmarkEnd w:id="133"/>
    <w:p>
      <w:pPr>
        <w:jc w:val="both"/>
        <w:ind w:left="540"/>
        <w:spacing w:after="0"/>
        <w:rPr>
          <w:sz w:val="20"/>
          <w:szCs w:val="20"/>
          <w:color w:val="auto"/>
        </w:rPr>
      </w:pPr>
      <w:r>
        <w:rPr>
          <w:rFonts w:ascii="Arial" w:cs="Arial" w:eastAsia="Arial" w:hAnsi="Arial"/>
          <w:sz w:val="18"/>
          <w:szCs w:val="18"/>
          <w:color w:val="auto"/>
        </w:rPr>
        <w:t>Ship shall comply with all applicable laws and the requirements of all applicable codes. There shall be kept in force and on board the Ship or in such person’s custody any applicable operating certificates which are required by applicable laws or applicable codes to be carried on board the Ship or to be in such person’s custody.</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23.7</w:t>
      </w:r>
      <w:r>
        <w:rPr>
          <w:sz w:val="20"/>
          <w:szCs w:val="20"/>
          <w:color w:val="auto"/>
        </w:rPr>
        <w:tab/>
      </w:r>
      <w:r>
        <w:rPr>
          <w:rFonts w:ascii="Arial" w:cs="Arial" w:eastAsia="Arial" w:hAnsi="Arial"/>
          <w:sz w:val="17"/>
          <w:szCs w:val="17"/>
          <w:b w:val="1"/>
          <w:bCs w:val="1"/>
          <w:color w:val="auto"/>
        </w:rPr>
        <w:t>Surveys</w:t>
      </w:r>
    </w:p>
    <w:p>
      <w:pPr>
        <w:spacing w:after="0" w:line="220" w:lineRule="exact"/>
        <w:rPr>
          <w:sz w:val="20"/>
          <w:szCs w:val="20"/>
          <w:color w:val="auto"/>
        </w:rPr>
      </w:pPr>
    </w:p>
    <w:p>
      <w:pPr>
        <w:jc w:val="both"/>
        <w:ind w:left="540" w:right="20"/>
        <w:spacing w:after="0" w:line="246" w:lineRule="auto"/>
        <w:rPr>
          <w:sz w:val="20"/>
          <w:szCs w:val="20"/>
          <w:color w:val="auto"/>
        </w:rPr>
      </w:pPr>
      <w:r>
        <w:rPr>
          <w:rFonts w:ascii="Arial" w:cs="Arial" w:eastAsia="Arial" w:hAnsi="Arial"/>
          <w:sz w:val="18"/>
          <w:szCs w:val="18"/>
          <w:color w:val="auto"/>
        </w:rPr>
        <w:t>The Ship shall be submitted to continuous surveys and any other surveys which are required for it to maintain the Classification as its class. Copies of reports of those surveys shall be provided promptly to the Agent if it so requests.</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23.8</w:t>
        <w:tab/>
        <w:t>Inspection and notice of drydockings</w:t>
      </w:r>
    </w:p>
    <w:p>
      <w:pPr>
        <w:spacing w:after="0" w:line="220" w:lineRule="exact"/>
        <w:rPr>
          <w:sz w:val="20"/>
          <w:szCs w:val="20"/>
          <w:color w:val="auto"/>
        </w:rPr>
      </w:pPr>
    </w:p>
    <w:p>
      <w:pPr>
        <w:jc w:val="both"/>
        <w:ind w:left="540"/>
        <w:spacing w:after="0" w:line="238" w:lineRule="auto"/>
        <w:rPr>
          <w:sz w:val="20"/>
          <w:szCs w:val="20"/>
          <w:color w:val="auto"/>
        </w:rPr>
      </w:pPr>
      <w:r>
        <w:rPr>
          <w:rFonts w:ascii="Arial" w:cs="Arial" w:eastAsia="Arial" w:hAnsi="Arial"/>
          <w:sz w:val="18"/>
          <w:szCs w:val="18"/>
          <w:color w:val="auto"/>
        </w:rPr>
        <w:t>The Agent and/or surveyors appointed by it for such purpose shall be allowed to board the Ship at all reasonable times, subject to prior notice to the relevant Owner and without hindering the Ship’s operations, to inspect it and given all proper facilities needed for that purpose. The Agent shall be given reasonable advance notice of any intended drydocking of the Ship (whatever the purpose of that drydocking). The Borrowers shall bear the cost of only one such inspection of the Ship per calendar year unless there is an Event of Default.</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23.9</w:t>
      </w:r>
      <w:r>
        <w:rPr>
          <w:sz w:val="20"/>
          <w:szCs w:val="20"/>
          <w:color w:val="auto"/>
        </w:rPr>
        <w:tab/>
      </w:r>
      <w:r>
        <w:rPr>
          <w:rFonts w:ascii="Arial" w:cs="Arial" w:eastAsia="Arial" w:hAnsi="Arial"/>
          <w:sz w:val="17"/>
          <w:szCs w:val="17"/>
          <w:b w:val="1"/>
          <w:bCs w:val="1"/>
          <w:color w:val="auto"/>
        </w:rPr>
        <w:t>Prevention of arrest</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All debts, damages, liabilities and outgoings (due and payable and not contested by the relevant Owner in good faith) which have given, or may reasonably give, rise to maritime, statutory or possessory liens on, or claims enforceable against, the Ship, its Earnings or Insurances shall be promptly paid and discharged.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23.10 Release from arrest</w:t>
      </w:r>
    </w:p>
    <w:p>
      <w:pPr>
        <w:spacing w:after="0" w:line="220" w:lineRule="exact"/>
        <w:rPr>
          <w:sz w:val="20"/>
          <w:szCs w:val="20"/>
          <w:color w:val="auto"/>
        </w:rPr>
      </w:pPr>
    </w:p>
    <w:p>
      <w:pPr>
        <w:jc w:val="both"/>
        <w:ind w:left="540" w:right="20"/>
        <w:spacing w:after="0"/>
        <w:rPr>
          <w:sz w:val="20"/>
          <w:szCs w:val="20"/>
          <w:color w:val="auto"/>
        </w:rPr>
      </w:pPr>
      <w:r>
        <w:rPr>
          <w:rFonts w:ascii="Arial" w:cs="Arial" w:eastAsia="Arial" w:hAnsi="Arial"/>
          <w:sz w:val="18"/>
          <w:szCs w:val="18"/>
          <w:color w:val="auto"/>
        </w:rPr>
        <w:t>The Ship, its Earnings and Insurances shall be released within 15 days (or such longer period as may be approved) from any arrest, detention, attachment or levy, and any legal process against the Ship shall be discharged within 15 days (or such longer period as may be approved), by whatever action is required to achieve that release or discharge.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23.11 Information about the Ship</w:t>
      </w:r>
    </w:p>
    <w:p>
      <w:pPr>
        <w:spacing w:after="0" w:line="220" w:lineRule="exact"/>
        <w:rPr>
          <w:sz w:val="20"/>
          <w:szCs w:val="20"/>
          <w:color w:val="auto"/>
        </w:rPr>
      </w:pPr>
    </w:p>
    <w:p>
      <w:pPr>
        <w:jc w:val="both"/>
        <w:ind w:left="540"/>
        <w:spacing w:after="0" w:line="239" w:lineRule="auto"/>
        <w:rPr>
          <w:sz w:val="20"/>
          <w:szCs w:val="20"/>
          <w:color w:val="auto"/>
        </w:rPr>
      </w:pPr>
      <w:r>
        <w:rPr>
          <w:rFonts w:ascii="Arial" w:cs="Arial" w:eastAsia="Arial" w:hAnsi="Arial"/>
          <w:sz w:val="18"/>
          <w:szCs w:val="18"/>
          <w:color w:val="auto"/>
        </w:rPr>
        <w:t>The Agent shall promptly be given any information which it may reasonably require about the Ship or its employment, position, use or operation, including details of towages and salvages, and copies of all its charter commitments (other than any Confidential Information in respect of the Cool Pool Arrangements) entered into by or on behalf of any Obligor or any Manager (other than the Shell Technical Manager) and copies of any applicable operating certificates.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23.12 Notification of certain events</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Agent shall promptly be notified of:</w:t>
      </w:r>
    </w:p>
    <w:p>
      <w:pPr>
        <w:spacing w:after="0" w:line="198" w:lineRule="exact"/>
        <w:rPr>
          <w:sz w:val="20"/>
          <w:szCs w:val="20"/>
          <w:color w:val="auto"/>
        </w:rPr>
      </w:pPr>
    </w:p>
    <w:p>
      <w:pPr>
        <w:ind w:left="1060" w:hanging="512"/>
        <w:spacing w:after="0"/>
        <w:tabs>
          <w:tab w:leader="none" w:pos="10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any damage to the Ship where the cost of the resulting repairs may exceed the Major Casualty Amount for such Ship;</w:t>
      </w:r>
    </w:p>
    <w:p>
      <w:pPr>
        <w:spacing w:after="0" w:line="198" w:lineRule="exact"/>
        <w:rPr>
          <w:rFonts w:ascii="Arial" w:cs="Arial" w:eastAsia="Arial" w:hAnsi="Arial"/>
          <w:sz w:val="18"/>
          <w:szCs w:val="18"/>
          <w:color w:val="auto"/>
        </w:rPr>
      </w:pPr>
    </w:p>
    <w:p>
      <w:pPr>
        <w:ind w:left="1060" w:hanging="512"/>
        <w:spacing w:after="0"/>
        <w:tabs>
          <w:tab w:leader="none" w:pos="10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any occurrence which may result in the Ship becoming a Total Loss;</w:t>
      </w:r>
    </w:p>
    <w:p>
      <w:pPr>
        <w:spacing w:after="0" w:line="198" w:lineRule="exact"/>
        <w:rPr>
          <w:rFonts w:ascii="Arial" w:cs="Arial" w:eastAsia="Arial" w:hAnsi="Arial"/>
          <w:sz w:val="18"/>
          <w:szCs w:val="18"/>
          <w:color w:val="auto"/>
        </w:rPr>
      </w:pPr>
    </w:p>
    <w:p>
      <w:pPr>
        <w:ind w:left="1060" w:hanging="512"/>
        <w:spacing w:after="0"/>
        <w:tabs>
          <w:tab w:leader="none" w:pos="10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any requisition of the Ship for hire;</w:t>
      </w:r>
    </w:p>
    <w:p>
      <w:pPr>
        <w:spacing w:after="0" w:line="198" w:lineRule="exact"/>
        <w:rPr>
          <w:rFonts w:ascii="Arial" w:cs="Arial" w:eastAsia="Arial" w:hAnsi="Arial"/>
          <w:sz w:val="18"/>
          <w:szCs w:val="18"/>
          <w:color w:val="auto"/>
        </w:rPr>
      </w:pPr>
    </w:p>
    <w:p>
      <w:pPr>
        <w:ind w:left="1060" w:hanging="512"/>
        <w:spacing w:after="0"/>
        <w:tabs>
          <w:tab w:leader="none" w:pos="10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any Environmental Incident involving the Ship and Environmental Claim being made in relation to such an incident;</w:t>
      </w:r>
    </w:p>
    <w:p>
      <w:pPr>
        <w:spacing w:after="0" w:line="198" w:lineRule="exact"/>
        <w:rPr>
          <w:rFonts w:ascii="Arial" w:cs="Arial" w:eastAsia="Arial" w:hAnsi="Arial"/>
          <w:sz w:val="18"/>
          <w:szCs w:val="18"/>
          <w:color w:val="auto"/>
        </w:rPr>
      </w:pPr>
    </w:p>
    <w:p>
      <w:pPr>
        <w:ind w:left="1060" w:hanging="512"/>
        <w:spacing w:after="0"/>
        <w:tabs>
          <w:tab w:leader="none" w:pos="10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any withdrawal of any applicable operating certificate;</w:t>
      </w:r>
    </w:p>
    <w:p>
      <w:pPr>
        <w:spacing w:after="0" w:line="198" w:lineRule="exact"/>
        <w:rPr>
          <w:rFonts w:ascii="Arial" w:cs="Arial" w:eastAsia="Arial" w:hAnsi="Arial"/>
          <w:sz w:val="18"/>
          <w:szCs w:val="18"/>
          <w:color w:val="auto"/>
        </w:rPr>
      </w:pPr>
    </w:p>
    <w:p>
      <w:pPr>
        <w:ind w:left="1060" w:hanging="512"/>
        <w:spacing w:after="0"/>
        <w:tabs>
          <w:tab w:leader="none" w:pos="10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receipt of notification that any application for such a certificate has been refused;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34" w:name="page135"/>
    <w:bookmarkEnd w:id="134"/>
    <w:p>
      <w:pPr>
        <w:ind w:left="1060" w:hanging="512"/>
        <w:spacing w:after="0" w:line="246" w:lineRule="auto"/>
        <w:tabs>
          <w:tab w:leader="none" w:pos="10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any requirement or recommendation made in relation to the Ship by any insurer or the Ship’s Classification Society or by any competent authority which is not, or cannot be, complied with in the manner or time required or recommended; and</w:t>
      </w:r>
    </w:p>
    <w:p>
      <w:pPr>
        <w:spacing w:after="0" w:line="183" w:lineRule="exact"/>
        <w:rPr>
          <w:rFonts w:ascii="Arial" w:cs="Arial" w:eastAsia="Arial" w:hAnsi="Arial"/>
          <w:sz w:val="18"/>
          <w:szCs w:val="18"/>
          <w:color w:val="auto"/>
        </w:rPr>
      </w:pPr>
    </w:p>
    <w:p>
      <w:pPr>
        <w:ind w:left="1060" w:hanging="512"/>
        <w:spacing w:after="0" w:line="246" w:lineRule="auto"/>
        <w:tabs>
          <w:tab w:leader="none" w:pos="10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any arrest, hijacking or detention of the Ship or any exercise or purported exercise of a lien or other claim on the Ship or its Earnings or Insurances.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23.13 Payment of outgoings</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All tolls, dues and other outgoings whatsoever in respect of the Ship and its Earnings and Insurances shall be paid promptly to the extent such payment is not being contested in good faith and with adequate reserves. Proper accounting records shall be kept of the Ship and its Earnings.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23.14 Evidence of payments</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The Agent shall be allowed proper and reasonable access, subject to prior written notice and provided that the operations of the relevant Owner are not in any way hindered, to those accounting records when it reasonably requests it and, when it reasonably requires it, shall be given satisfactory evidence that:</w:t>
      </w:r>
    </w:p>
    <w:p>
      <w:pPr>
        <w:spacing w:after="0" w:line="189" w:lineRule="exact"/>
        <w:rPr>
          <w:sz w:val="20"/>
          <w:szCs w:val="20"/>
          <w:color w:val="auto"/>
        </w:rPr>
      </w:pPr>
    </w:p>
    <w:p>
      <w:pPr>
        <w:ind w:left="1060" w:hanging="512"/>
        <w:spacing w:after="0"/>
        <w:tabs>
          <w:tab w:leader="none" w:pos="10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wages and allotments and the insurance and pension contributions of the Ship’s crew are being promptly and regularly paid;</w:t>
      </w:r>
    </w:p>
    <w:p>
      <w:pPr>
        <w:spacing w:after="0" w:line="198" w:lineRule="exact"/>
        <w:rPr>
          <w:rFonts w:ascii="Arial" w:cs="Arial" w:eastAsia="Arial" w:hAnsi="Arial"/>
          <w:sz w:val="18"/>
          <w:szCs w:val="18"/>
          <w:color w:val="auto"/>
        </w:rPr>
      </w:pPr>
    </w:p>
    <w:p>
      <w:pPr>
        <w:ind w:left="1060" w:hanging="512"/>
        <w:spacing w:after="0"/>
        <w:tabs>
          <w:tab w:leader="none" w:pos="10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all deductions from its crew’s wages in respect of any applicable Tax liability are being properly accounted for; and</w:t>
      </w:r>
    </w:p>
    <w:p>
      <w:pPr>
        <w:spacing w:after="0" w:line="198" w:lineRule="exact"/>
        <w:rPr>
          <w:rFonts w:ascii="Arial" w:cs="Arial" w:eastAsia="Arial" w:hAnsi="Arial"/>
          <w:sz w:val="18"/>
          <w:szCs w:val="18"/>
          <w:color w:val="auto"/>
        </w:rPr>
      </w:pPr>
    </w:p>
    <w:p>
      <w:pPr>
        <w:ind w:left="1060" w:hanging="512"/>
        <w:spacing w:after="0" w:line="246" w:lineRule="auto"/>
        <w:tabs>
          <w:tab w:leader="none" w:pos="10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Ship’s master has no claim for disbursements other than those incurred by him in the ordinary course of trading on the voyage then in progress.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23.15 Repairers’ liens</w:t>
      </w:r>
    </w:p>
    <w:p>
      <w:pPr>
        <w:spacing w:after="0" w:line="220" w:lineRule="exact"/>
        <w:rPr>
          <w:sz w:val="20"/>
          <w:szCs w:val="20"/>
          <w:color w:val="auto"/>
        </w:rPr>
      </w:pPr>
    </w:p>
    <w:p>
      <w:pPr>
        <w:jc w:val="both"/>
        <w:ind w:left="540"/>
        <w:spacing w:after="0" w:line="238" w:lineRule="auto"/>
        <w:rPr>
          <w:sz w:val="20"/>
          <w:szCs w:val="20"/>
          <w:color w:val="auto"/>
        </w:rPr>
      </w:pPr>
      <w:r>
        <w:rPr>
          <w:rFonts w:ascii="Arial" w:cs="Arial" w:eastAsia="Arial" w:hAnsi="Arial"/>
          <w:sz w:val="18"/>
          <w:szCs w:val="18"/>
          <w:color w:val="auto"/>
        </w:rPr>
        <w:t>Except with approval by the Majority Lenders, the Ship shall not be put into any other person’s possession for work to be done on the Ship if the cost of that work will exceed or is likely to exceed the Major Casualty Amount for such Ship unless the relevant Owner has established to the reasonable satisfaction of the Agent that it has sufficient reserves with the Account Bank to pay for such works or that person gives the Security Agent a written undertaking in approved terms not to exercise any lien on the Ship or its Earnings for any of the cost of such work.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23.16 Survey report</w:t>
      </w:r>
    </w:p>
    <w:p>
      <w:pPr>
        <w:spacing w:after="0" w:line="220" w:lineRule="exact"/>
        <w:rPr>
          <w:sz w:val="20"/>
          <w:szCs w:val="20"/>
          <w:color w:val="auto"/>
        </w:rPr>
      </w:pPr>
    </w:p>
    <w:p>
      <w:pPr>
        <w:jc w:val="both"/>
        <w:ind w:left="540" w:right="20"/>
        <w:spacing w:after="0" w:line="239" w:lineRule="auto"/>
        <w:rPr>
          <w:sz w:val="20"/>
          <w:szCs w:val="20"/>
          <w:color w:val="auto"/>
        </w:rPr>
      </w:pPr>
      <w:r>
        <w:rPr>
          <w:rFonts w:ascii="Arial" w:cs="Arial" w:eastAsia="Arial" w:hAnsi="Arial"/>
          <w:sz w:val="18"/>
          <w:szCs w:val="18"/>
          <w:color w:val="auto"/>
        </w:rPr>
        <w:t>As soon as reasonably practicable after the Agent requests it and promptly after each inspection made pursuant to clause 23.8 (</w:t>
      </w:r>
      <w:r>
        <w:rPr>
          <w:rFonts w:ascii="Arial" w:cs="Arial" w:eastAsia="Arial" w:hAnsi="Arial"/>
          <w:sz w:val="18"/>
          <w:szCs w:val="18"/>
          <w:i w:val="1"/>
          <w:iCs w:val="1"/>
          <w:color w:val="auto"/>
        </w:rPr>
        <w:t>Inspection and notice of dry-dockings</w:t>
      </w:r>
      <w:r>
        <w:rPr>
          <w:rFonts w:ascii="Arial" w:cs="Arial" w:eastAsia="Arial" w:hAnsi="Arial"/>
          <w:sz w:val="18"/>
          <w:szCs w:val="18"/>
          <w:color w:val="auto"/>
        </w:rPr>
        <w:t>), the Agent shall be given a report on the seaworthiness and/or safe operation of the Ship, from surveyors or inspectors approved by the Majority Lenders. If any recommendations are made in such a report they shall be complied with in the way and by the time recommended in the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23.17 Lawful use</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Ship shall not be employed:</w:t>
      </w:r>
    </w:p>
    <w:p>
      <w:pPr>
        <w:spacing w:after="0" w:line="198" w:lineRule="exact"/>
        <w:rPr>
          <w:sz w:val="20"/>
          <w:szCs w:val="20"/>
          <w:color w:val="auto"/>
        </w:rPr>
      </w:pPr>
    </w:p>
    <w:p>
      <w:pPr>
        <w:ind w:left="1060" w:hanging="512"/>
        <w:spacing w:after="0"/>
        <w:tabs>
          <w:tab w:leader="none" w:pos="10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in any way or in any activity which is unlawful under international law or the domestic laws of any relevant country;</w:t>
      </w:r>
    </w:p>
    <w:p>
      <w:pPr>
        <w:spacing w:after="0" w:line="198" w:lineRule="exact"/>
        <w:rPr>
          <w:rFonts w:ascii="Arial" w:cs="Arial" w:eastAsia="Arial" w:hAnsi="Arial"/>
          <w:sz w:val="18"/>
          <w:szCs w:val="18"/>
          <w:color w:val="auto"/>
        </w:rPr>
      </w:pPr>
    </w:p>
    <w:p>
      <w:pPr>
        <w:ind w:left="1060" w:hanging="512"/>
        <w:spacing w:after="0"/>
        <w:tabs>
          <w:tab w:leader="none" w:pos="10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in carrying illicit or prohibited goods;</w:t>
      </w:r>
    </w:p>
    <w:p>
      <w:pPr>
        <w:spacing w:after="0" w:line="198" w:lineRule="exact"/>
        <w:rPr>
          <w:rFonts w:ascii="Arial" w:cs="Arial" w:eastAsia="Arial" w:hAnsi="Arial"/>
          <w:sz w:val="18"/>
          <w:szCs w:val="18"/>
          <w:color w:val="auto"/>
        </w:rPr>
      </w:pPr>
    </w:p>
    <w:p>
      <w:pPr>
        <w:ind w:left="1060" w:hanging="512"/>
        <w:spacing w:after="0"/>
        <w:tabs>
          <w:tab w:leader="none" w:pos="10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in a way which may make it liable to be condemned by a prize court or destroyed, seized or confiscated; 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35" w:name="page136"/>
    <w:bookmarkEnd w:id="135"/>
    <w:p>
      <w:pPr>
        <w:ind w:left="1060" w:hanging="512"/>
        <w:spacing w:after="0"/>
        <w:tabs>
          <w:tab w:leader="none" w:pos="10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if there are hostilities in any part of the world (whether war has been declared or not), in carrying contraband goods,</w:t>
      </w:r>
    </w:p>
    <w:p>
      <w:pPr>
        <w:spacing w:after="0" w:line="198"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and the persons responsible for the operation of the Ship shall take all necessary and proper precautions to ensure that this does not happen, including participation in industry or other voluntary schemes available to the Ship and in which leading operators of ships operating under the same flag or engaged in similar trades generally participate at the relevant time.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23.18 War zones</w:t>
      </w:r>
    </w:p>
    <w:p>
      <w:pPr>
        <w:spacing w:after="0" w:line="220" w:lineRule="exact"/>
        <w:rPr>
          <w:sz w:val="20"/>
          <w:szCs w:val="20"/>
          <w:color w:val="auto"/>
        </w:rPr>
      </w:pPr>
    </w:p>
    <w:p>
      <w:pPr>
        <w:jc w:val="both"/>
        <w:ind w:left="540"/>
        <w:spacing w:after="0" w:line="239" w:lineRule="auto"/>
        <w:rPr>
          <w:sz w:val="20"/>
          <w:szCs w:val="20"/>
          <w:color w:val="auto"/>
        </w:rPr>
      </w:pPr>
      <w:r>
        <w:rPr>
          <w:rFonts w:ascii="Arial" w:cs="Arial" w:eastAsia="Arial" w:hAnsi="Arial"/>
          <w:sz w:val="18"/>
          <w:szCs w:val="18"/>
          <w:color w:val="auto"/>
        </w:rPr>
        <w:t>No Ship shall enter or remain in any zone which has been declared a war zone by any government entity or that Ship’s war risk insurers except with prior written notification to the Agent and provided that the Borrowers have delivered to the Agent written evidence satisfactory to it that any requirements of that Ship’s insurers necessary to ensure that such Ship remains properly insured in accordance with the Finance Documents (including any requirement for the payment of extra insurance premiums) are complied with.</w:t>
      </w:r>
    </w:p>
    <w:p>
      <w:pPr>
        <w:spacing w:after="0" w:line="166" w:lineRule="exact"/>
        <w:rPr>
          <w:sz w:val="20"/>
          <w:szCs w:val="20"/>
          <w:color w:val="auto"/>
        </w:rPr>
      </w:pPr>
    </w:p>
    <w:p>
      <w:pPr>
        <w:ind w:left="540" w:hanging="532"/>
        <w:spacing w:after="0"/>
        <w:tabs>
          <w:tab w:leader="none" w:pos="54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220" w:lineRule="exact"/>
        <w:rPr>
          <w:rFonts w:ascii="Arial" w:cs="Arial" w:eastAsia="Arial" w:hAnsi="Arial"/>
          <w:sz w:val="18"/>
          <w:szCs w:val="18"/>
          <w:b w:val="1"/>
          <w:bCs w:val="1"/>
          <w:color w:val="auto"/>
        </w:rPr>
      </w:pPr>
    </w:p>
    <w:p>
      <w:pPr>
        <w:ind w:left="540" w:right="2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Each Borrower undertakes that this clause 24 shall be complied with in relation to each Mortgaged Ship and its Insurances throughout the relevant Ship’s Mortgage Period.</w:t>
      </w:r>
    </w:p>
    <w:p>
      <w:pPr>
        <w:spacing w:after="0" w:line="161" w:lineRule="exact"/>
        <w:rPr>
          <w:sz w:val="20"/>
          <w:szCs w:val="20"/>
          <w:color w:val="auto"/>
        </w:rPr>
      </w:pPr>
    </w:p>
    <w:p>
      <w:pPr>
        <w:jc w:val="right"/>
        <w:ind w:right="9480"/>
        <w:spacing w:after="0"/>
        <w:tabs>
          <w:tab w:leader="none" w:pos="10860" w:val="left"/>
        </w:tabs>
        <w:rPr>
          <w:sz w:val="20"/>
          <w:szCs w:val="20"/>
          <w:color w:val="auto"/>
        </w:rPr>
      </w:pPr>
      <w:r>
        <w:rPr>
          <w:rFonts w:ascii="Arial" w:cs="Arial" w:eastAsia="Arial" w:hAnsi="Arial"/>
          <w:sz w:val="18"/>
          <w:szCs w:val="18"/>
          <w:b w:val="1"/>
          <w:bCs w:val="1"/>
          <w:color w:val="auto"/>
        </w:rPr>
        <w:t>24.1</w:t>
        <w:tab/>
        <w:t>Insurance terms</w:t>
      </w:r>
    </w:p>
    <w:p>
      <w:pPr>
        <w:spacing w:after="0" w:line="220" w:lineRule="exact"/>
        <w:rPr>
          <w:sz w:val="20"/>
          <w:szCs w:val="20"/>
          <w:color w:val="auto"/>
        </w:rPr>
      </w:pPr>
    </w:p>
    <w:p>
      <w:pPr>
        <w:jc w:val="right"/>
        <w:ind w:right="9520"/>
        <w:spacing w:after="0"/>
        <w:rPr>
          <w:sz w:val="20"/>
          <w:szCs w:val="20"/>
          <w:color w:val="auto"/>
        </w:rPr>
      </w:pPr>
      <w:r>
        <w:rPr>
          <w:rFonts w:ascii="Arial" w:cs="Arial" w:eastAsia="Arial" w:hAnsi="Arial"/>
          <w:sz w:val="18"/>
          <w:szCs w:val="18"/>
          <w:color w:val="auto"/>
        </w:rPr>
        <w:t>In this clause 24:</w:t>
      </w:r>
    </w:p>
    <w:p>
      <w:pPr>
        <w:spacing w:after="0" w:line="176" w:lineRule="exact"/>
        <w:rPr>
          <w:sz w:val="20"/>
          <w:szCs w:val="20"/>
          <w:color w:val="auto"/>
        </w:rPr>
      </w:pPr>
    </w:p>
    <w:p>
      <w:pPr>
        <w:jc w:val="both"/>
        <w:ind w:left="540"/>
        <w:spacing w:after="0" w:line="253" w:lineRule="auto"/>
        <w:rPr>
          <w:sz w:val="20"/>
          <w:szCs w:val="20"/>
          <w:color w:val="auto"/>
        </w:rPr>
      </w:pPr>
      <w:r>
        <w:rPr>
          <w:rFonts w:ascii="Arial" w:cs="Arial" w:eastAsia="Arial" w:hAnsi="Arial"/>
          <w:sz w:val="18"/>
          <w:szCs w:val="18"/>
          <w:b w:val="1"/>
          <w:bCs w:val="1"/>
          <w:color w:val="auto"/>
        </w:rPr>
        <w:t xml:space="preserve">excess risks </w:t>
      </w:r>
      <w:r>
        <w:rPr>
          <w:rFonts w:ascii="Arial" w:cs="Arial" w:eastAsia="Arial" w:hAnsi="Arial"/>
          <w:sz w:val="18"/>
          <w:szCs w:val="18"/>
          <w:color w:val="auto"/>
        </w:rPr>
        <w:t>means the proportion (if any) of claims for general average, collision liability, salvage and salvage charges not recoverable</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hull and machinery insurances of a vessel in consequence of the value at which the vessel is assessed for the purpose of such claims exceeding its insured value.</w:t>
      </w:r>
    </w:p>
    <w:p>
      <w:pPr>
        <w:spacing w:after="0" w:line="156" w:lineRule="exact"/>
        <w:rPr>
          <w:sz w:val="20"/>
          <w:szCs w:val="20"/>
          <w:color w:val="auto"/>
        </w:rPr>
      </w:pPr>
    </w:p>
    <w:p>
      <w:pPr>
        <w:jc w:val="both"/>
        <w:ind w:left="540"/>
        <w:spacing w:after="0" w:line="271" w:lineRule="auto"/>
        <w:rPr>
          <w:sz w:val="20"/>
          <w:szCs w:val="20"/>
          <w:color w:val="auto"/>
        </w:rPr>
      </w:pPr>
      <w:r>
        <w:rPr>
          <w:rFonts w:ascii="Arial" w:cs="Arial" w:eastAsia="Arial" w:hAnsi="Arial"/>
          <w:sz w:val="18"/>
          <w:szCs w:val="18"/>
          <w:b w:val="1"/>
          <w:bCs w:val="1"/>
          <w:color w:val="auto"/>
        </w:rPr>
        <w:t xml:space="preserve">excess war risk P&amp;I cover </w:t>
      </w:r>
      <w:r>
        <w:rPr>
          <w:rFonts w:ascii="Arial" w:cs="Arial" w:eastAsia="Arial" w:hAnsi="Arial"/>
          <w:sz w:val="18"/>
          <w:szCs w:val="18"/>
          <w:color w:val="auto"/>
        </w:rPr>
        <w:t>means cover for claims in excess of amounts recoverable under the usual war risk cover including (but not</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to) hull and machinery, crew and protection and indemnity risks.</w:t>
      </w:r>
    </w:p>
    <w:p>
      <w:pPr>
        <w:spacing w:after="0" w:line="14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hull cover </w:t>
      </w:r>
      <w:r>
        <w:rPr>
          <w:rFonts w:ascii="Arial" w:cs="Arial" w:eastAsia="Arial" w:hAnsi="Arial"/>
          <w:sz w:val="18"/>
          <w:szCs w:val="18"/>
          <w:color w:val="auto"/>
        </w:rPr>
        <w:t>means insurance cover against the risks identified in clause 24.2(a).</w:t>
      </w:r>
    </w:p>
    <w:p>
      <w:pPr>
        <w:spacing w:after="0" w:line="198" w:lineRule="exact"/>
        <w:rPr>
          <w:sz w:val="20"/>
          <w:szCs w:val="20"/>
          <w:color w:val="auto"/>
        </w:rPr>
      </w:pPr>
    </w:p>
    <w:p>
      <w:pPr>
        <w:jc w:val="both"/>
        <w:ind w:left="540"/>
        <w:spacing w:after="0" w:line="253" w:lineRule="auto"/>
        <w:rPr>
          <w:sz w:val="20"/>
          <w:szCs w:val="20"/>
          <w:color w:val="auto"/>
        </w:rPr>
      </w:pPr>
      <w:r>
        <w:rPr>
          <w:rFonts w:ascii="Arial" w:cs="Arial" w:eastAsia="Arial" w:hAnsi="Arial"/>
          <w:sz w:val="18"/>
          <w:szCs w:val="18"/>
          <w:b w:val="1"/>
          <w:bCs w:val="1"/>
          <w:color w:val="auto"/>
        </w:rPr>
        <w:t xml:space="preserve">minimum hull cover </w:t>
      </w:r>
      <w:r>
        <w:rPr>
          <w:rFonts w:ascii="Arial" w:cs="Arial" w:eastAsia="Arial" w:hAnsi="Arial"/>
          <w:sz w:val="18"/>
          <w:szCs w:val="18"/>
          <w:color w:val="auto"/>
        </w:rPr>
        <w:t>means, in relation to a Mortgaged Ship, an amount equal at the relevant time to 120% of such proportion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Facility at such time as is equal to the proportion which the market value of such Mortgaged Ship bears to the aggregate of the market values of all of the Mortgaged Ships at the relevant time.</w:t>
      </w:r>
    </w:p>
    <w:p>
      <w:pPr>
        <w:spacing w:after="0" w:line="156" w:lineRule="exact"/>
        <w:rPr>
          <w:sz w:val="20"/>
          <w:szCs w:val="20"/>
          <w:color w:val="auto"/>
        </w:rPr>
      </w:pPr>
    </w:p>
    <w:p>
      <w:pPr>
        <w:jc w:val="both"/>
        <w:ind w:left="540"/>
        <w:spacing w:after="0" w:line="247" w:lineRule="auto"/>
        <w:rPr>
          <w:sz w:val="20"/>
          <w:szCs w:val="20"/>
          <w:color w:val="auto"/>
        </w:rPr>
      </w:pPr>
      <w:r>
        <w:rPr>
          <w:rFonts w:ascii="Arial" w:cs="Arial" w:eastAsia="Arial" w:hAnsi="Arial"/>
          <w:sz w:val="18"/>
          <w:szCs w:val="18"/>
          <w:b w:val="1"/>
          <w:bCs w:val="1"/>
          <w:color w:val="auto"/>
        </w:rPr>
        <w:t xml:space="preserve">P&amp;I risks </w:t>
      </w:r>
      <w:r>
        <w:rPr>
          <w:rFonts w:ascii="Arial" w:cs="Arial" w:eastAsia="Arial" w:hAnsi="Arial"/>
          <w:sz w:val="18"/>
          <w:szCs w:val="18"/>
          <w:color w:val="auto"/>
        </w:rPr>
        <w:t>means the usual risks (including liability for oil pollution, excess war risk P&amp;I cover) covered by a protection and indemnity</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association which is a member of the International Group of protection and indemnity associations (or, if the International Group ceases to exist, any other leading protection and indemnity association or other leading provider of protection and indemnity insurance) (including, without limitation, the proportion (if any) of any collision liability not covered under the terms of the hull cover).</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24.2</w:t>
        <w:tab/>
        <w:t>Coverage required</w:t>
      </w:r>
    </w:p>
    <w:p>
      <w:pPr>
        <w:spacing w:after="0" w:line="220" w:lineRule="exact"/>
        <w:rPr>
          <w:sz w:val="20"/>
          <w:szCs w:val="20"/>
          <w:color w:val="auto"/>
        </w:rPr>
      </w:pPr>
    </w:p>
    <w:p>
      <w:pPr>
        <w:jc w:val="both"/>
        <w:ind w:left="540" w:right="20"/>
        <w:spacing w:after="0" w:line="246" w:lineRule="auto"/>
        <w:rPr>
          <w:sz w:val="20"/>
          <w:szCs w:val="20"/>
          <w:color w:val="auto"/>
        </w:rPr>
      </w:pPr>
      <w:r>
        <w:rPr>
          <w:rFonts w:ascii="Arial" w:cs="Arial" w:eastAsia="Arial" w:hAnsi="Arial"/>
          <w:sz w:val="18"/>
          <w:szCs w:val="18"/>
          <w:color w:val="auto"/>
        </w:rPr>
        <w:t>The Ship (including its hull and machinery, hull interest, freight interest, disbursements and/or increased value) shall at all times be insured at the Ship’s Owner’s cost:</w:t>
      </w:r>
    </w:p>
    <w:p>
      <w:pPr>
        <w:spacing w:after="0" w:line="183" w:lineRule="exact"/>
        <w:rPr>
          <w:sz w:val="20"/>
          <w:szCs w:val="20"/>
          <w:color w:val="auto"/>
        </w:rPr>
      </w:pPr>
    </w:p>
    <w:p>
      <w:pPr>
        <w:jc w:val="both"/>
        <w:ind w:left="1060" w:hanging="512"/>
        <w:spacing w:after="0" w:line="239" w:lineRule="auto"/>
        <w:tabs>
          <w:tab w:leader="none" w:pos="10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against fire and usual marine risks (including excess risks) and war risks (including war protection and indemnity risks (including crew) and terrorism risks, piracy and confiscation risks) on an agreed value basis, for the higher of its minimum hull cover and its market value (and provided that (i) the insured value under the hull and machinery policy shall be for no less than 80% of the agreed value referred to above and (ii) the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36" w:name="page137"/>
    <w:bookmarkEnd w:id="136"/>
    <w:p>
      <w:pPr>
        <w:ind w:left="1020"/>
        <w:spacing w:after="0" w:line="246" w:lineRule="auto"/>
        <w:rPr>
          <w:sz w:val="20"/>
          <w:szCs w:val="20"/>
          <w:color w:val="auto"/>
        </w:rPr>
      </w:pPr>
      <w:r>
        <w:rPr>
          <w:rFonts w:ascii="Arial" w:cs="Arial" w:eastAsia="Arial" w:hAnsi="Arial"/>
          <w:sz w:val="18"/>
          <w:szCs w:val="18"/>
          <w:color w:val="auto"/>
        </w:rPr>
        <w:t>balance of such agreed value may be covered by increased value insurance of which up to 33.33% may be represented by hull interest and freight interest);</w:t>
      </w:r>
    </w:p>
    <w:p>
      <w:pPr>
        <w:spacing w:after="0" w:line="183" w:lineRule="exact"/>
        <w:rPr>
          <w:sz w:val="20"/>
          <w:szCs w:val="20"/>
          <w:color w:val="auto"/>
        </w:rPr>
      </w:pPr>
    </w:p>
    <w:p>
      <w:pPr>
        <w:jc w:val="both"/>
        <w:ind w:left="1060" w:right="20" w:hanging="512"/>
        <w:spacing w:after="0"/>
        <w:tabs>
          <w:tab w:leader="none" w:pos="10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against P&amp;I risks for the highest amount then available in the insurance market for vessels of similar age, size and type as the Ship (but, in relation to liability for oil pollution, for an amount of not less than $1,000,000,000 or, if lower, the maximum amount available in the relevant insurance market) and a freight, demurrage and defence cover;</w:t>
      </w:r>
    </w:p>
    <w:p>
      <w:pPr>
        <w:spacing w:after="0" w:line="189" w:lineRule="exact"/>
        <w:rPr>
          <w:rFonts w:ascii="Arial" w:cs="Arial" w:eastAsia="Arial" w:hAnsi="Arial"/>
          <w:sz w:val="18"/>
          <w:szCs w:val="18"/>
          <w:color w:val="auto"/>
        </w:rPr>
      </w:pPr>
    </w:p>
    <w:p>
      <w:pPr>
        <w:jc w:val="both"/>
        <w:ind w:left="1060" w:right="20" w:hanging="512"/>
        <w:spacing w:after="0" w:line="239" w:lineRule="auto"/>
        <w:tabs>
          <w:tab w:leader="none" w:pos="10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against such other risks and matters which the Agent notifies it that it considers reasonable for a prudent shipowner or operator to insure against at the time of that notice (and in any event and for so long as the Ship operates in the Gulf of Mexico, risks from “named windstorms” for operations in the Gulf of Mexico shall always be insured under the Insurances of the Ship to the extent normally subscribed to by the industry for similar units operating there); and</w:t>
      </w:r>
    </w:p>
    <w:p>
      <w:pPr>
        <w:spacing w:after="0" w:line="188" w:lineRule="exact"/>
        <w:rPr>
          <w:rFonts w:ascii="Arial" w:cs="Arial" w:eastAsia="Arial" w:hAnsi="Arial"/>
          <w:sz w:val="18"/>
          <w:szCs w:val="18"/>
          <w:color w:val="auto"/>
        </w:rPr>
      </w:pPr>
    </w:p>
    <w:p>
      <w:pPr>
        <w:ind w:left="1060" w:hanging="512"/>
        <w:spacing w:after="0"/>
        <w:tabs>
          <w:tab w:leader="none" w:pos="10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on terms which comply with the other provisions of this clause 24.</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24.3</w:t>
        <w:tab/>
        <w:t>Placing of cover</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insurance coverage required by clause 24.2 (</w:t>
      </w:r>
      <w:r>
        <w:rPr>
          <w:rFonts w:ascii="Arial" w:cs="Arial" w:eastAsia="Arial" w:hAnsi="Arial"/>
          <w:sz w:val="18"/>
          <w:szCs w:val="18"/>
          <w:i w:val="1"/>
          <w:iCs w:val="1"/>
          <w:color w:val="auto"/>
        </w:rPr>
        <w:t>Coverage required</w:t>
      </w:r>
      <w:r>
        <w:rPr>
          <w:rFonts w:ascii="Arial" w:cs="Arial" w:eastAsia="Arial" w:hAnsi="Arial"/>
          <w:sz w:val="18"/>
          <w:szCs w:val="18"/>
          <w:color w:val="auto"/>
        </w:rPr>
        <w:t>) shall be:</w:t>
      </w:r>
    </w:p>
    <w:p>
      <w:pPr>
        <w:spacing w:after="0" w:line="216" w:lineRule="exact"/>
        <w:rPr>
          <w:sz w:val="20"/>
          <w:szCs w:val="20"/>
          <w:color w:val="auto"/>
        </w:rPr>
      </w:pPr>
    </w:p>
    <w:p>
      <w:pPr>
        <w:jc w:val="both"/>
        <w:ind w:left="1060" w:hanging="512"/>
        <w:spacing w:after="0" w:line="237" w:lineRule="auto"/>
        <w:tabs>
          <w:tab w:leader="none" w:pos="10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in the name of the Ship’s Owner and (in the case of the Ship’s hull cover) no other person (other than the Security Agent and any other Finance Party if required by the Majority Lenders, in which case, to the extent reasonably practicable in the insurance market, without liability on the part of the Security Agent or any such other Finance Party for premiums or calls) (unless such other person is approved and, if so required by the Agent (acting on the instructions of the Majority Lenders), has duly executed and delivered a first priority assignment of its interest in the Ship’s Insurances to the Security Agent or the other Finance Parties in an approved form and provided such supporting documents and opinions in relation to that assignment as the Agent requires);</w:t>
      </w:r>
    </w:p>
    <w:p>
      <w:pPr>
        <w:spacing w:after="0" w:line="191" w:lineRule="exact"/>
        <w:rPr>
          <w:rFonts w:ascii="Arial" w:cs="Arial" w:eastAsia="Arial" w:hAnsi="Arial"/>
          <w:sz w:val="18"/>
          <w:szCs w:val="18"/>
          <w:color w:val="auto"/>
        </w:rPr>
      </w:pPr>
    </w:p>
    <w:p>
      <w:pPr>
        <w:ind w:left="1060" w:hanging="512"/>
        <w:spacing w:after="0"/>
        <w:tabs>
          <w:tab w:leader="none" w:pos="10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in dollars or another approved currency;</w:t>
      </w:r>
    </w:p>
    <w:p>
      <w:pPr>
        <w:spacing w:after="0" w:line="198" w:lineRule="exact"/>
        <w:rPr>
          <w:rFonts w:ascii="Arial" w:cs="Arial" w:eastAsia="Arial" w:hAnsi="Arial"/>
          <w:sz w:val="18"/>
          <w:szCs w:val="18"/>
          <w:color w:val="auto"/>
        </w:rPr>
      </w:pPr>
    </w:p>
    <w:p>
      <w:pPr>
        <w:jc w:val="both"/>
        <w:ind w:left="1060" w:hanging="512"/>
        <w:spacing w:after="0"/>
        <w:tabs>
          <w:tab w:leader="none" w:pos="10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arranged through brokers approved by the Agent (acting on the instructions of the Majority Lenders, acting reasonably) or direct with insurers or protection and indemnity or war risks associations approved by the Agent (acting on the instructions of the Majority Lenders, acting reasonably); and</w:t>
      </w:r>
    </w:p>
    <w:p>
      <w:pPr>
        <w:spacing w:after="0" w:line="189" w:lineRule="exact"/>
        <w:rPr>
          <w:rFonts w:ascii="Arial" w:cs="Arial" w:eastAsia="Arial" w:hAnsi="Arial"/>
          <w:sz w:val="18"/>
          <w:szCs w:val="18"/>
          <w:color w:val="auto"/>
        </w:rPr>
      </w:pPr>
    </w:p>
    <w:p>
      <w:pPr>
        <w:jc w:val="both"/>
        <w:ind w:left="1060" w:hanging="512"/>
        <w:spacing w:after="0"/>
        <w:tabs>
          <w:tab w:leader="none" w:pos="10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on terms approved by the Agent (acting reasonably) (and always applying the terms of the Institute Time Clauses 1/10/1983 if available in the insurance market) and with insurers or associations approved by the Agent (acting on the instructions of the Majority Lenders).</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24.4</w:t>
      </w:r>
      <w:r>
        <w:rPr>
          <w:sz w:val="20"/>
          <w:szCs w:val="20"/>
          <w:color w:val="auto"/>
        </w:rPr>
        <w:tab/>
      </w:r>
      <w:r>
        <w:rPr>
          <w:rFonts w:ascii="Arial" w:cs="Arial" w:eastAsia="Arial" w:hAnsi="Arial"/>
          <w:sz w:val="17"/>
          <w:szCs w:val="17"/>
          <w:b w:val="1"/>
          <w:bCs w:val="1"/>
          <w:color w:val="auto"/>
        </w:rPr>
        <w:t>Deductibles</w:t>
      </w:r>
    </w:p>
    <w:p>
      <w:pPr>
        <w:spacing w:after="0" w:line="220" w:lineRule="exact"/>
        <w:rPr>
          <w:sz w:val="20"/>
          <w:szCs w:val="20"/>
          <w:color w:val="auto"/>
        </w:rPr>
      </w:pPr>
    </w:p>
    <w:p>
      <w:pPr>
        <w:ind w:left="540" w:right="20"/>
        <w:spacing w:after="0" w:line="246" w:lineRule="auto"/>
        <w:rPr>
          <w:sz w:val="20"/>
          <w:szCs w:val="20"/>
          <w:color w:val="auto"/>
        </w:rPr>
      </w:pPr>
      <w:r>
        <w:rPr>
          <w:rFonts w:ascii="Arial" w:cs="Arial" w:eastAsia="Arial" w:hAnsi="Arial"/>
          <w:sz w:val="18"/>
          <w:szCs w:val="18"/>
          <w:color w:val="auto"/>
        </w:rPr>
        <w:t>The aggregate amount of any excess or deductible under the Ship’s hull cover shall not exceed $1,000,000 or any other approved amount.</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24.5</w:t>
      </w:r>
      <w:r>
        <w:rPr>
          <w:sz w:val="20"/>
          <w:szCs w:val="20"/>
          <w:color w:val="auto"/>
        </w:rPr>
        <w:tab/>
      </w:r>
      <w:r>
        <w:rPr>
          <w:rFonts w:ascii="Arial" w:cs="Arial" w:eastAsia="Arial" w:hAnsi="Arial"/>
          <w:sz w:val="17"/>
          <w:szCs w:val="17"/>
          <w:b w:val="1"/>
          <w:bCs w:val="1"/>
          <w:color w:val="auto"/>
        </w:rPr>
        <w:t>Mortgagee’s insurance</w:t>
      </w:r>
    </w:p>
    <w:p>
      <w:pPr>
        <w:spacing w:after="0" w:line="220" w:lineRule="exact"/>
        <w:rPr>
          <w:sz w:val="20"/>
          <w:szCs w:val="20"/>
          <w:color w:val="auto"/>
        </w:rPr>
      </w:pPr>
    </w:p>
    <w:p>
      <w:pPr>
        <w:jc w:val="both"/>
        <w:ind w:left="1060" w:hanging="512"/>
        <w:spacing w:after="0" w:line="239" w:lineRule="auto"/>
        <w:tabs>
          <w:tab w:leader="none" w:pos="10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Borrowers shall promptly reimburse to the Agent the cost (as conclusively certified by the Agent) of taking out and keeping in force in respect of the Ship and the other Mortgaged Ships on approved terms, or in considering or making claims under a mortgagee’s interest insurance and a mortgagee’s additional perils (pollution risks) cover for the benefit of the Finance Parties for an aggregate amount up to 110% per cent of the Available Facility at such time.</w:t>
      </w:r>
    </w:p>
    <w:p>
      <w:pPr>
        <w:spacing w:after="0" w:line="188" w:lineRule="exact"/>
        <w:rPr>
          <w:rFonts w:ascii="Arial" w:cs="Arial" w:eastAsia="Arial" w:hAnsi="Arial"/>
          <w:sz w:val="18"/>
          <w:szCs w:val="18"/>
          <w:color w:val="auto"/>
        </w:rPr>
      </w:pPr>
    </w:p>
    <w:p>
      <w:pPr>
        <w:ind w:left="1060" w:hanging="512"/>
        <w:spacing w:after="0" w:line="246" w:lineRule="auto"/>
        <w:tabs>
          <w:tab w:leader="none" w:pos="10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Agent shall take out mortgagee’s interest insurance (on the terms provided under clause 24.5(a)) prior to the Utilisation of the Term Loan for that Ship and keep such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37" w:name="page138"/>
    <w:bookmarkEnd w:id="137"/>
    <w:p>
      <w:pPr>
        <w:ind w:left="1020"/>
        <w:spacing w:after="0"/>
        <w:rPr>
          <w:sz w:val="20"/>
          <w:szCs w:val="20"/>
          <w:color w:val="auto"/>
        </w:rPr>
      </w:pPr>
      <w:r>
        <w:rPr>
          <w:rFonts w:ascii="Arial" w:cs="Arial" w:eastAsia="Arial" w:hAnsi="Arial"/>
          <w:sz w:val="18"/>
          <w:szCs w:val="18"/>
          <w:color w:val="auto"/>
        </w:rPr>
        <w:t>mortgagee’s interest insurance in force in respect of the Ship throughout the Mortgage Period of that Ship.</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24.6</w:t>
      </w:r>
      <w:r>
        <w:rPr>
          <w:sz w:val="20"/>
          <w:szCs w:val="20"/>
          <w:color w:val="auto"/>
        </w:rPr>
        <w:tab/>
      </w:r>
      <w:r>
        <w:rPr>
          <w:rFonts w:ascii="Arial" w:cs="Arial" w:eastAsia="Arial" w:hAnsi="Arial"/>
          <w:sz w:val="17"/>
          <w:szCs w:val="17"/>
          <w:b w:val="1"/>
          <w:bCs w:val="1"/>
          <w:color w:val="auto"/>
        </w:rPr>
        <w:t>Fleet liens, set off and cancellations</w:t>
      </w:r>
    </w:p>
    <w:p>
      <w:pPr>
        <w:spacing w:after="0" w:line="220" w:lineRule="exact"/>
        <w:rPr>
          <w:sz w:val="20"/>
          <w:szCs w:val="20"/>
          <w:color w:val="auto"/>
        </w:rPr>
      </w:pPr>
    </w:p>
    <w:p>
      <w:pPr>
        <w:jc w:val="both"/>
        <w:ind w:left="540" w:right="20"/>
        <w:spacing w:after="0"/>
        <w:rPr>
          <w:sz w:val="20"/>
          <w:szCs w:val="20"/>
          <w:color w:val="auto"/>
        </w:rPr>
      </w:pPr>
      <w:r>
        <w:rPr>
          <w:rFonts w:ascii="Arial" w:cs="Arial" w:eastAsia="Arial" w:hAnsi="Arial"/>
          <w:sz w:val="18"/>
          <w:szCs w:val="18"/>
          <w:color w:val="auto"/>
        </w:rPr>
        <w:t>If the Ship’s hull cover also insures other vessels, the Security Agent shall either be given an undertaking in approved terms by the brokers or (if such cover is not placed through brokers or the brokers do not, under any applicable laws or insurance terms, have such rights of set off and cancellation) the relevant insurers that the brokers or (if relevant) the insurers will not:</w:t>
      </w:r>
    </w:p>
    <w:p>
      <w:pPr>
        <w:spacing w:after="0" w:line="189" w:lineRule="exact"/>
        <w:rPr>
          <w:sz w:val="20"/>
          <w:szCs w:val="20"/>
          <w:color w:val="auto"/>
        </w:rPr>
      </w:pPr>
    </w:p>
    <w:p>
      <w:pPr>
        <w:ind w:left="1060" w:hanging="512"/>
        <w:spacing w:after="0" w:line="246" w:lineRule="auto"/>
        <w:tabs>
          <w:tab w:leader="none" w:pos="10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set off against any claims in respect of the Ship any premiums due in respect of any of such other vessels insured (other than other Mortgaged Ships); or</w:t>
      </w:r>
    </w:p>
    <w:p>
      <w:pPr>
        <w:spacing w:after="0" w:line="183" w:lineRule="exact"/>
        <w:rPr>
          <w:rFonts w:ascii="Arial" w:cs="Arial" w:eastAsia="Arial" w:hAnsi="Arial"/>
          <w:sz w:val="18"/>
          <w:szCs w:val="18"/>
          <w:color w:val="auto"/>
        </w:rPr>
      </w:pPr>
    </w:p>
    <w:p>
      <w:pPr>
        <w:ind w:left="1060" w:hanging="512"/>
        <w:spacing w:after="0"/>
        <w:tabs>
          <w:tab w:leader="none" w:pos="10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cancel that cover because of non-payment of premiums in respect of such other vessels,</w:t>
      </w:r>
    </w:p>
    <w:p>
      <w:pPr>
        <w:spacing w:after="0" w:line="198" w:lineRule="exact"/>
        <w:rPr>
          <w:sz w:val="20"/>
          <w:szCs w:val="20"/>
          <w:color w:val="auto"/>
        </w:rPr>
      </w:pPr>
    </w:p>
    <w:p>
      <w:pPr>
        <w:jc w:val="both"/>
        <w:ind w:left="540"/>
        <w:spacing w:after="0" w:line="246" w:lineRule="auto"/>
        <w:rPr>
          <w:sz w:val="20"/>
          <w:szCs w:val="20"/>
          <w:color w:val="auto"/>
        </w:rPr>
      </w:pPr>
      <w:r>
        <w:rPr>
          <w:rFonts w:ascii="Arial" w:cs="Arial" w:eastAsia="Arial" w:hAnsi="Arial"/>
          <w:sz w:val="18"/>
          <w:szCs w:val="18"/>
          <w:color w:val="auto"/>
        </w:rPr>
        <w:t>or the Borrowers shall ensure that hull cover for the Ship and any other Mortgaged Ships is provided under a separate policy from any other vessels.</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24.7</w:t>
      </w:r>
      <w:r>
        <w:rPr>
          <w:sz w:val="20"/>
          <w:szCs w:val="20"/>
          <w:color w:val="auto"/>
        </w:rPr>
        <w:tab/>
      </w:r>
      <w:r>
        <w:rPr>
          <w:rFonts w:ascii="Arial" w:cs="Arial" w:eastAsia="Arial" w:hAnsi="Arial"/>
          <w:sz w:val="17"/>
          <w:szCs w:val="17"/>
          <w:b w:val="1"/>
          <w:bCs w:val="1"/>
          <w:color w:val="auto"/>
        </w:rPr>
        <w:t>Payment of premiums</w:t>
      </w:r>
    </w:p>
    <w:p>
      <w:pPr>
        <w:spacing w:after="0" w:line="220" w:lineRule="exact"/>
        <w:rPr>
          <w:sz w:val="20"/>
          <w:szCs w:val="20"/>
          <w:color w:val="auto"/>
        </w:rPr>
      </w:pPr>
    </w:p>
    <w:p>
      <w:pPr>
        <w:jc w:val="both"/>
        <w:ind w:left="540"/>
        <w:spacing w:after="0" w:line="246" w:lineRule="auto"/>
        <w:rPr>
          <w:sz w:val="20"/>
          <w:szCs w:val="20"/>
          <w:color w:val="auto"/>
        </w:rPr>
      </w:pPr>
      <w:r>
        <w:rPr>
          <w:rFonts w:ascii="Arial" w:cs="Arial" w:eastAsia="Arial" w:hAnsi="Arial"/>
          <w:sz w:val="18"/>
          <w:szCs w:val="18"/>
          <w:color w:val="auto"/>
        </w:rPr>
        <w:t>All premiums, calls, contributions or other sums payable in respect of the Insurances shall be paid punctually by the Owner and the Agent shall be provided with all relevant receipts or other evidence of payment upon request.</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24.8</w:t>
      </w:r>
      <w:r>
        <w:rPr>
          <w:sz w:val="20"/>
          <w:szCs w:val="20"/>
          <w:color w:val="auto"/>
        </w:rPr>
        <w:tab/>
      </w:r>
      <w:r>
        <w:rPr>
          <w:rFonts w:ascii="Arial" w:cs="Arial" w:eastAsia="Arial" w:hAnsi="Arial"/>
          <w:sz w:val="17"/>
          <w:szCs w:val="17"/>
          <w:b w:val="1"/>
          <w:bCs w:val="1"/>
          <w:color w:val="auto"/>
        </w:rPr>
        <w:t>Details of proposed renewal of Insurances</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At least 14 days before any of the Ship’s Insurances are due to expire, the Agent shall be notified of the names of the brokers, insurers and associations proposed to be used for the renewal of such Insurances and the amounts, risks and terms in, against and on which the Insurances are proposed to be renewed.</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24.9</w:t>
      </w:r>
      <w:r>
        <w:rPr>
          <w:sz w:val="20"/>
          <w:szCs w:val="20"/>
          <w:color w:val="auto"/>
        </w:rPr>
        <w:tab/>
      </w:r>
      <w:r>
        <w:rPr>
          <w:rFonts w:ascii="Arial" w:cs="Arial" w:eastAsia="Arial" w:hAnsi="Arial"/>
          <w:sz w:val="17"/>
          <w:szCs w:val="17"/>
          <w:b w:val="1"/>
          <w:bCs w:val="1"/>
          <w:color w:val="auto"/>
        </w:rPr>
        <w:t>Instructions for renewal</w:t>
      </w:r>
    </w:p>
    <w:p>
      <w:pPr>
        <w:spacing w:after="0" w:line="220" w:lineRule="exact"/>
        <w:rPr>
          <w:sz w:val="20"/>
          <w:szCs w:val="20"/>
          <w:color w:val="auto"/>
        </w:rPr>
      </w:pPr>
    </w:p>
    <w:p>
      <w:pPr>
        <w:jc w:val="both"/>
        <w:ind w:left="540"/>
        <w:spacing w:after="0" w:line="246" w:lineRule="auto"/>
        <w:rPr>
          <w:sz w:val="20"/>
          <w:szCs w:val="20"/>
          <w:color w:val="auto"/>
        </w:rPr>
      </w:pPr>
      <w:r>
        <w:rPr>
          <w:rFonts w:ascii="Arial" w:cs="Arial" w:eastAsia="Arial" w:hAnsi="Arial"/>
          <w:sz w:val="18"/>
          <w:szCs w:val="18"/>
          <w:color w:val="auto"/>
        </w:rPr>
        <w:t>At least seven days before any of the Ship’s Insurances are due to expire, instructions shall be given to brokers, insurers and associations for them to be renewed or replaced on or before their expiry.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24.10 Confirmation of renewal</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The Ship’s Insurances shall be renewed upon their expiry in a manner and on terms which comply with this clause 24 and confirmation of such renewal given by approved brokers or insurers which shall be provided to the Agent at least 5 days (or such shorter period as may be approved) before such expiry.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24.11 P&amp;I guarantees</w:t>
      </w:r>
    </w:p>
    <w:p>
      <w:pPr>
        <w:spacing w:after="0" w:line="220" w:lineRule="exact"/>
        <w:rPr>
          <w:sz w:val="20"/>
          <w:szCs w:val="20"/>
          <w:color w:val="auto"/>
        </w:rPr>
      </w:pPr>
    </w:p>
    <w:p>
      <w:pPr>
        <w:jc w:val="both"/>
        <w:ind w:left="540"/>
        <w:spacing w:after="0" w:line="246" w:lineRule="auto"/>
        <w:rPr>
          <w:sz w:val="20"/>
          <w:szCs w:val="20"/>
          <w:color w:val="auto"/>
        </w:rPr>
      </w:pPr>
      <w:r>
        <w:rPr>
          <w:rFonts w:ascii="Arial" w:cs="Arial" w:eastAsia="Arial" w:hAnsi="Arial"/>
          <w:sz w:val="18"/>
          <w:szCs w:val="18"/>
          <w:color w:val="auto"/>
        </w:rPr>
        <w:t>Any guarantee or undertaking required by any protection and indemnity or war risks association in relation to the Ship shall be provided when required by the association.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24.12 Insurance documents</w:t>
      </w:r>
    </w:p>
    <w:p>
      <w:pPr>
        <w:spacing w:after="0" w:line="220" w:lineRule="exact"/>
        <w:rPr>
          <w:sz w:val="20"/>
          <w:szCs w:val="20"/>
          <w:color w:val="auto"/>
        </w:rPr>
      </w:pPr>
    </w:p>
    <w:p>
      <w:pPr>
        <w:jc w:val="both"/>
        <w:ind w:left="540"/>
        <w:spacing w:after="0" w:line="239" w:lineRule="auto"/>
        <w:rPr>
          <w:sz w:val="20"/>
          <w:szCs w:val="20"/>
          <w:color w:val="auto"/>
        </w:rPr>
      </w:pPr>
      <w:r>
        <w:rPr>
          <w:rFonts w:ascii="Arial" w:cs="Arial" w:eastAsia="Arial" w:hAnsi="Arial"/>
          <w:sz w:val="18"/>
          <w:szCs w:val="18"/>
          <w:color w:val="auto"/>
        </w:rPr>
        <w:t>The Agent shall be provided with pro forma copies of all insurance policies and other documentation issued by brokers, insurers and associations in connection with the Ship’s Insurances as soon as they are available after they have been placed or renewed and all insurance policies and other documents relating to the Ship’s Insurances shall be deposited with any approved brokers or (if not deposited with approved brokers) the Agent or some other approved person.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24.13 Letters of undertaking</w:t>
      </w:r>
    </w:p>
    <w:p>
      <w:pPr>
        <w:spacing w:after="0" w:line="220" w:lineRule="exact"/>
        <w:rPr>
          <w:sz w:val="20"/>
          <w:szCs w:val="20"/>
          <w:color w:val="auto"/>
        </w:rPr>
      </w:pPr>
    </w:p>
    <w:p>
      <w:pPr>
        <w:jc w:val="both"/>
        <w:ind w:left="540"/>
        <w:spacing w:after="0" w:line="239" w:lineRule="auto"/>
        <w:rPr>
          <w:sz w:val="20"/>
          <w:szCs w:val="20"/>
          <w:color w:val="auto"/>
        </w:rPr>
      </w:pPr>
      <w:r>
        <w:rPr>
          <w:rFonts w:ascii="Arial" w:cs="Arial" w:eastAsia="Arial" w:hAnsi="Arial"/>
          <w:sz w:val="18"/>
          <w:szCs w:val="18"/>
          <w:color w:val="auto"/>
        </w:rPr>
        <w:t>Unless otherwise approved where the Agent is satisfied that equivalent protection is afforded by the terms of the relevant Insurances and/or any applicable law and/or a letter of undertaking provided by another person, on each placing or renewal of the Insurances, the Agent shall be provided promptly with letters of undertaking in an approved form (having regard to general insurance market practice and law at the time of issue of such letter of undertaking) from the relevant brokers, insurers and associations.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24.14 Insurance Notices and Loss Payable Clauses</w:t>
      </w:r>
    </w:p>
    <w:p>
      <w:pPr>
        <w:spacing w:after="0" w:line="220" w:lineRule="exact"/>
        <w:rPr>
          <w:sz w:val="20"/>
          <w:szCs w:val="20"/>
          <w:color w:val="auto"/>
        </w:rPr>
      </w:pPr>
    </w:p>
    <w:p>
      <w:pPr>
        <w:jc w:val="both"/>
        <w:ind w:left="540"/>
        <w:spacing w:after="0" w:line="239" w:lineRule="auto"/>
        <w:rPr>
          <w:sz w:val="20"/>
          <w:szCs w:val="20"/>
          <w:color w:val="auto"/>
        </w:rPr>
      </w:pPr>
      <w:r>
        <w:rPr>
          <w:rFonts w:ascii="Arial" w:cs="Arial" w:eastAsia="Arial" w:hAnsi="Arial"/>
          <w:sz w:val="18"/>
          <w:szCs w:val="18"/>
          <w:color w:val="auto"/>
        </w:rPr>
        <w:t>The interest of the Security Agent or any other Finance Parties as assignees of the Insurances shall be endorsed on all insurance policies and other documents by the incorporation of a Loss Payable Clause and an Insurance Notice in respect of the Ship and its Insurances signed by its Owner and, unless otherwise approved, each other person assured under the relevant cover (other than the Security Agent or any other Finance Party if it is itself an assured).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24.15 Insurance correspondence</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If so required by the Agent (acting on the instructions of the Majority Lenders), the Agent shall promptly be provided with copies of all written communications between the assureds and brokers, insurers and associations relating to any of the Ship’s Insurances as soon as they are available.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24.16 Qualifications and exclusions</w:t>
      </w:r>
    </w:p>
    <w:p>
      <w:pPr>
        <w:spacing w:after="0" w:line="220" w:lineRule="exact"/>
        <w:rPr>
          <w:sz w:val="20"/>
          <w:szCs w:val="20"/>
          <w:color w:val="auto"/>
        </w:rPr>
      </w:pPr>
    </w:p>
    <w:p>
      <w:pPr>
        <w:jc w:val="both"/>
        <w:ind w:left="540"/>
        <w:spacing w:after="0" w:line="246" w:lineRule="auto"/>
        <w:rPr>
          <w:sz w:val="20"/>
          <w:szCs w:val="20"/>
          <w:color w:val="auto"/>
        </w:rPr>
      </w:pPr>
      <w:r>
        <w:rPr>
          <w:rFonts w:ascii="Arial" w:cs="Arial" w:eastAsia="Arial" w:hAnsi="Arial"/>
          <w:sz w:val="18"/>
          <w:szCs w:val="18"/>
          <w:color w:val="auto"/>
        </w:rPr>
        <w:t>All requirements applicable to the Ship’s Insurances shall be complied with and the Ship’s Insurances shall only be subject to approved exclusions or qualifications.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24.17 Independent report</w:t>
      </w:r>
    </w:p>
    <w:p>
      <w:pPr>
        <w:spacing w:after="0" w:line="220" w:lineRule="exact"/>
        <w:rPr>
          <w:sz w:val="20"/>
          <w:szCs w:val="20"/>
          <w:color w:val="auto"/>
        </w:rPr>
      </w:pPr>
    </w:p>
    <w:p>
      <w:pPr>
        <w:jc w:val="both"/>
        <w:ind w:left="540"/>
        <w:spacing w:after="0" w:line="238" w:lineRule="auto"/>
        <w:rPr>
          <w:sz w:val="20"/>
          <w:szCs w:val="20"/>
          <w:color w:val="auto"/>
        </w:rPr>
      </w:pPr>
      <w:r>
        <w:rPr>
          <w:rFonts w:ascii="Arial" w:cs="Arial" w:eastAsia="Arial" w:hAnsi="Arial"/>
          <w:sz w:val="18"/>
          <w:szCs w:val="18"/>
          <w:color w:val="auto"/>
        </w:rPr>
        <w:t>If the Agent (acting on the instructions of the Majority Lenders) requires and obtains a detailed report from an approved independent firm of marine insurance brokers giving their opinion on the adequacy of the Ship’s Insurances then the Agent shall be provided promptly by the Borrowers with such a report at no cost to the Agent or (if the Agent obtains such a report itself, which it shall be entitled to do) the Borrowers shall reimburse the Agent for the cost of obtaining that report. The Borrowers shall not bear the cost of more than one such report per Ship per calendar year, unless there is an Event of Default.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24.18 Collection of claims</w:t>
      </w:r>
    </w:p>
    <w:p>
      <w:pPr>
        <w:spacing w:after="0" w:line="220" w:lineRule="exact"/>
        <w:rPr>
          <w:sz w:val="20"/>
          <w:szCs w:val="20"/>
          <w:color w:val="auto"/>
        </w:rPr>
      </w:pPr>
    </w:p>
    <w:p>
      <w:pPr>
        <w:jc w:val="both"/>
        <w:ind w:left="540"/>
        <w:spacing w:after="0" w:line="246" w:lineRule="auto"/>
        <w:rPr>
          <w:sz w:val="20"/>
          <w:szCs w:val="20"/>
          <w:color w:val="auto"/>
        </w:rPr>
      </w:pPr>
      <w:r>
        <w:rPr>
          <w:rFonts w:ascii="Arial" w:cs="Arial" w:eastAsia="Arial" w:hAnsi="Arial"/>
          <w:sz w:val="18"/>
          <w:szCs w:val="18"/>
          <w:color w:val="auto"/>
        </w:rPr>
        <w:t>All documents and other information and all assistance required by the Agent to assist it and/or the Security Agent in trying to collect or recover any claims under the Ship’s Insurances shall be provided promptly.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24.19 Employment of Ship</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The Ship shall only be employed or operated in conformity with the terms of the Ship’s Insurances (including any express or implied warranties) and not in any other way (unless the insurers have consented and any additional requirements of the insurers have been satisfied).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24.20 Declarations and returns</w:t>
      </w:r>
    </w:p>
    <w:p>
      <w:pPr>
        <w:spacing w:after="0" w:line="220" w:lineRule="exact"/>
        <w:rPr>
          <w:sz w:val="20"/>
          <w:szCs w:val="20"/>
          <w:color w:val="auto"/>
        </w:rPr>
      </w:pPr>
    </w:p>
    <w:p>
      <w:pPr>
        <w:jc w:val="both"/>
        <w:ind w:left="540"/>
        <w:spacing w:after="0" w:line="246" w:lineRule="auto"/>
        <w:rPr>
          <w:sz w:val="20"/>
          <w:szCs w:val="20"/>
          <w:color w:val="auto"/>
        </w:rPr>
      </w:pPr>
      <w:r>
        <w:rPr>
          <w:rFonts w:ascii="Arial" w:cs="Arial" w:eastAsia="Arial" w:hAnsi="Arial"/>
          <w:sz w:val="18"/>
          <w:szCs w:val="18"/>
          <w:color w:val="auto"/>
        </w:rPr>
        <w:t>If any of the Ship’s Insurances are on terms that require a declaration, certificate or other document to be made or filed before the Ship sails to, or operates within, an area, those terms shall be complied with within the time and in the manner required by those Insurances.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24.21 Application of recoveries</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All sums paid under the Ship’s Insurances to anyone other than the Security Agent shall be applied in repairing the damage and/or in discharging the liability in respect of which they have been paid except to the extent that the repairs have already been paid for and/or the liability already discharged in which case such sums shall be applied in reimbursement of such costs incurred.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24.22 Settlement of claims</w:t>
      </w:r>
    </w:p>
    <w:p>
      <w:pPr>
        <w:spacing w:after="0" w:line="220" w:lineRule="exact"/>
        <w:rPr>
          <w:sz w:val="20"/>
          <w:szCs w:val="20"/>
          <w:color w:val="auto"/>
        </w:rPr>
      </w:pPr>
    </w:p>
    <w:p>
      <w:pPr>
        <w:jc w:val="both"/>
        <w:ind w:left="540"/>
        <w:spacing w:after="0" w:line="246" w:lineRule="auto"/>
        <w:rPr>
          <w:sz w:val="20"/>
          <w:szCs w:val="20"/>
          <w:color w:val="auto"/>
        </w:rPr>
      </w:pPr>
      <w:r>
        <w:rPr>
          <w:rFonts w:ascii="Arial" w:cs="Arial" w:eastAsia="Arial" w:hAnsi="Arial"/>
          <w:sz w:val="18"/>
          <w:szCs w:val="18"/>
          <w:color w:val="auto"/>
        </w:rPr>
        <w:t>Any claim under the Ship’s Insurances for a Total Loss or Major Casualty shall only be settled, compromised or abandoned with prior approval of all the Lenders.</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8"/>
          <w:szCs w:val="18"/>
          <w:b w:val="1"/>
          <w:bCs w:val="1"/>
          <w:color w:val="auto"/>
        </w:rPr>
        <w:t>Minimum security value</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Each Borrower undertakes that this clause 25 will be complied with throughout the Facility Period.</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25.1</w:t>
      </w:r>
      <w:r>
        <w:rPr>
          <w:sz w:val="20"/>
          <w:szCs w:val="20"/>
          <w:color w:val="auto"/>
        </w:rPr>
        <w:tab/>
      </w:r>
      <w:r>
        <w:rPr>
          <w:rFonts w:ascii="Arial" w:cs="Arial" w:eastAsia="Arial" w:hAnsi="Arial"/>
          <w:sz w:val="17"/>
          <w:szCs w:val="17"/>
          <w:b w:val="1"/>
          <w:bCs w:val="1"/>
          <w:color w:val="auto"/>
        </w:rPr>
        <w:t>Valuation of assets</w:t>
      </w:r>
    </w:p>
    <w:p>
      <w:pPr>
        <w:spacing w:after="0" w:line="220" w:lineRule="exact"/>
        <w:rPr>
          <w:sz w:val="20"/>
          <w:szCs w:val="20"/>
          <w:color w:val="auto"/>
        </w:rPr>
      </w:pPr>
    </w:p>
    <w:p>
      <w:pPr>
        <w:jc w:val="both"/>
        <w:ind w:left="540"/>
        <w:spacing w:after="0" w:line="239" w:lineRule="auto"/>
        <w:rPr>
          <w:sz w:val="20"/>
          <w:szCs w:val="20"/>
          <w:color w:val="auto"/>
        </w:rPr>
      </w:pPr>
      <w:r>
        <w:rPr>
          <w:rFonts w:ascii="Arial" w:cs="Arial" w:eastAsia="Arial" w:hAnsi="Arial"/>
          <w:sz w:val="18"/>
          <w:szCs w:val="18"/>
          <w:color w:val="auto"/>
        </w:rPr>
        <w:t>For the purpose of the Finance Documents (including for the purposes of 25.12), the value at any time of any Mortgaged Ship or a Ship before any Utilisation obtained under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 or any other asset over which additional security is provided under this clause 25, will be its value as most recently determined in accordance with this clause 25 or, if no such value has been obtained, its value determined under any valuation made pursuant to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w:t>
      </w:r>
    </w:p>
    <w:p>
      <w:pPr>
        <w:spacing w:after="0" w:line="16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25.2</w:t>
      </w:r>
      <w:r>
        <w:rPr>
          <w:sz w:val="20"/>
          <w:szCs w:val="20"/>
          <w:color w:val="auto"/>
        </w:rPr>
        <w:tab/>
      </w:r>
      <w:r>
        <w:rPr>
          <w:rFonts w:ascii="Arial" w:cs="Arial" w:eastAsia="Arial" w:hAnsi="Arial"/>
          <w:sz w:val="17"/>
          <w:szCs w:val="17"/>
          <w:b w:val="1"/>
          <w:bCs w:val="1"/>
          <w:color w:val="auto"/>
        </w:rPr>
        <w:t>Valuation frequency</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For the purpose of the Finance Documents (including for the purposes of clause 25.12), valuation of each Mortgaged Ship or each Ship before any Utilisation and each such other asset in accordance with this clause 25 may be required by the Majority Lenders at any time (but in any event not less frequently than twice per calendar year).</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25.3</w:t>
      </w:r>
      <w:r>
        <w:rPr>
          <w:sz w:val="20"/>
          <w:szCs w:val="20"/>
          <w:color w:val="auto"/>
        </w:rPr>
        <w:tab/>
      </w:r>
      <w:r>
        <w:rPr>
          <w:rFonts w:ascii="Arial" w:cs="Arial" w:eastAsia="Arial" w:hAnsi="Arial"/>
          <w:sz w:val="17"/>
          <w:szCs w:val="17"/>
          <w:b w:val="1"/>
          <w:bCs w:val="1"/>
          <w:color w:val="auto"/>
        </w:rPr>
        <w:t>Expenses of valuation</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The Borrowers shall bear, and reimburse to the Agent where incurred by the Agent, all costs and expenses of providing such a valuation provided that, in the absence of an Event of Default, the Borrowers shall bear the cost of the valuations of each Mortgaged Ship under this clause 25 only twice per calendar year.</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25.4</w:t>
      </w:r>
      <w:r>
        <w:rPr>
          <w:sz w:val="20"/>
          <w:szCs w:val="20"/>
          <w:color w:val="auto"/>
        </w:rPr>
        <w:tab/>
      </w:r>
      <w:r>
        <w:rPr>
          <w:rFonts w:ascii="Arial" w:cs="Arial" w:eastAsia="Arial" w:hAnsi="Arial"/>
          <w:sz w:val="17"/>
          <w:szCs w:val="17"/>
          <w:b w:val="1"/>
          <w:bCs w:val="1"/>
          <w:color w:val="auto"/>
        </w:rPr>
        <w:t>Valuations procedure</w:t>
      </w:r>
    </w:p>
    <w:p>
      <w:pPr>
        <w:spacing w:after="0" w:line="220" w:lineRule="exact"/>
        <w:rPr>
          <w:sz w:val="20"/>
          <w:szCs w:val="20"/>
          <w:color w:val="auto"/>
        </w:rPr>
      </w:pPr>
    </w:p>
    <w:p>
      <w:pPr>
        <w:jc w:val="both"/>
        <w:ind w:left="540"/>
        <w:spacing w:after="0" w:line="234" w:lineRule="auto"/>
        <w:rPr>
          <w:sz w:val="20"/>
          <w:szCs w:val="20"/>
          <w:color w:val="auto"/>
        </w:rPr>
      </w:pPr>
      <w:r>
        <w:rPr>
          <w:rFonts w:ascii="Arial" w:cs="Arial" w:eastAsia="Arial" w:hAnsi="Arial"/>
          <w:sz w:val="18"/>
          <w:szCs w:val="18"/>
          <w:color w:val="auto"/>
        </w:rPr>
        <w:t>The value of (a) any Mortgaged Ship (namely, after the first Utilisation under this Agreement) and (b) each Ship before the first Utilisation under this Agreement, shall be determined in accordance with, and by valuers approved and appointed in accordance with, this clause</w:t>
      </w:r>
    </w:p>
    <w:p>
      <w:pPr>
        <w:spacing w:after="0" w:line="2" w:lineRule="exact"/>
        <w:rPr>
          <w:sz w:val="20"/>
          <w:szCs w:val="20"/>
          <w:color w:val="auto"/>
        </w:rPr>
      </w:pPr>
    </w:p>
    <w:p>
      <w:pPr>
        <w:jc w:val="both"/>
        <w:ind w:left="540" w:firstLine="8"/>
        <w:spacing w:after="0"/>
        <w:tabs>
          <w:tab w:leader="none" w:pos="846"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Additional security provided under this clause 25 shall be valued in such a way, on such a basis and by such persons (including the Agent itself) as may be approved by the Majority Lenders or as may be agreed in writing by the Borrowers and the Agent (on the instructions of the Majority Lenders).</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25.5</w:t>
        <w:tab/>
        <w:t>Currency of valuation</w:t>
      </w:r>
    </w:p>
    <w:p>
      <w:pPr>
        <w:spacing w:after="0" w:line="220" w:lineRule="exact"/>
        <w:rPr>
          <w:sz w:val="20"/>
          <w:szCs w:val="20"/>
          <w:color w:val="auto"/>
        </w:rPr>
      </w:pPr>
    </w:p>
    <w:p>
      <w:pPr>
        <w:jc w:val="both"/>
        <w:ind w:left="540"/>
        <w:spacing w:after="0" w:line="239" w:lineRule="auto"/>
        <w:rPr>
          <w:sz w:val="20"/>
          <w:szCs w:val="20"/>
          <w:color w:val="auto"/>
        </w:rPr>
      </w:pPr>
      <w:r>
        <w:rPr>
          <w:rFonts w:ascii="Arial" w:cs="Arial" w:eastAsia="Arial" w:hAnsi="Arial"/>
          <w:sz w:val="18"/>
          <w:szCs w:val="18"/>
          <w:color w:val="auto"/>
        </w:rPr>
        <w:t>Valuations shall be provided by valuers in dollars or, if a valuer is of the view that the relevant type of vessel is generally bought and sold in another currency, in that other currency. If a valuation is provided in another currency, for the purposes of this Agreement it shall be converted into dollars at the Agent’s spot rate of exchange for the purchase of dollars with that other currency as at the date to which the valuation relates.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40" w:name="page141"/>
    <w:bookmarkEnd w:id="140"/>
    <w:p>
      <w:pPr>
        <w:spacing w:after="0"/>
        <w:tabs>
          <w:tab w:leader="none" w:pos="520" w:val="left"/>
        </w:tabs>
        <w:rPr>
          <w:sz w:val="20"/>
          <w:szCs w:val="20"/>
          <w:color w:val="auto"/>
        </w:rPr>
      </w:pPr>
      <w:r>
        <w:rPr>
          <w:rFonts w:ascii="Arial" w:cs="Arial" w:eastAsia="Arial" w:hAnsi="Arial"/>
          <w:sz w:val="18"/>
          <w:szCs w:val="18"/>
          <w:b w:val="1"/>
          <w:bCs w:val="1"/>
          <w:color w:val="auto"/>
        </w:rPr>
        <w:t>25.6</w:t>
      </w:r>
      <w:r>
        <w:rPr>
          <w:sz w:val="20"/>
          <w:szCs w:val="20"/>
          <w:color w:val="auto"/>
        </w:rPr>
        <w:tab/>
      </w:r>
      <w:r>
        <w:rPr>
          <w:rFonts w:ascii="Arial" w:cs="Arial" w:eastAsia="Arial" w:hAnsi="Arial"/>
          <w:sz w:val="17"/>
          <w:szCs w:val="17"/>
          <w:b w:val="1"/>
          <w:bCs w:val="1"/>
          <w:color w:val="auto"/>
        </w:rPr>
        <w:t>Basis of valuation</w:t>
      </w:r>
    </w:p>
    <w:p>
      <w:pPr>
        <w:spacing w:after="0" w:line="220" w:lineRule="exact"/>
        <w:rPr>
          <w:sz w:val="20"/>
          <w:szCs w:val="20"/>
          <w:color w:val="auto"/>
        </w:rPr>
      </w:pPr>
    </w:p>
    <w:p>
      <w:pPr>
        <w:ind w:left="540"/>
        <w:spacing w:after="0" w:line="246" w:lineRule="auto"/>
        <w:rPr>
          <w:sz w:val="20"/>
          <w:szCs w:val="20"/>
          <w:color w:val="auto"/>
        </w:rPr>
      </w:pPr>
      <w:r>
        <w:rPr>
          <w:rFonts w:ascii="Arial" w:cs="Arial" w:eastAsia="Arial" w:hAnsi="Arial"/>
          <w:sz w:val="18"/>
          <w:szCs w:val="18"/>
          <w:color w:val="auto"/>
        </w:rPr>
        <w:t>Each valuation will be addressed to the Agent in its capacity as such, it will be not more than 6 weeks old from its delivery to the Agent and made:</w:t>
      </w:r>
    </w:p>
    <w:p>
      <w:pPr>
        <w:spacing w:after="0" w:line="183" w:lineRule="exact"/>
        <w:rPr>
          <w:sz w:val="20"/>
          <w:szCs w:val="20"/>
          <w:color w:val="auto"/>
        </w:rPr>
      </w:pPr>
    </w:p>
    <w:p>
      <w:pPr>
        <w:ind w:left="1060" w:hanging="512"/>
        <w:spacing w:after="0"/>
        <w:tabs>
          <w:tab w:leader="none" w:pos="10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without physical inspection (unless required by the Agent, acting on the instructions of the Majority Lenders);</w:t>
      </w:r>
    </w:p>
    <w:p>
      <w:pPr>
        <w:spacing w:after="0" w:line="198" w:lineRule="exact"/>
        <w:rPr>
          <w:rFonts w:ascii="Arial" w:cs="Arial" w:eastAsia="Arial" w:hAnsi="Arial"/>
          <w:sz w:val="18"/>
          <w:szCs w:val="18"/>
          <w:color w:val="auto"/>
        </w:rPr>
      </w:pPr>
    </w:p>
    <w:p>
      <w:pPr>
        <w:ind w:left="1060" w:hanging="512"/>
        <w:spacing w:after="0" w:line="246" w:lineRule="auto"/>
        <w:tabs>
          <w:tab w:leader="none" w:pos="10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on the basis of a sale for prompt delivery for a price payable in full in cash on delivery at arm’s length on normal commercial terms between a willing buyer and a willing seller; and</w:t>
      </w:r>
    </w:p>
    <w:p>
      <w:pPr>
        <w:spacing w:after="0" w:line="183" w:lineRule="exact"/>
        <w:rPr>
          <w:rFonts w:ascii="Arial" w:cs="Arial" w:eastAsia="Arial" w:hAnsi="Arial"/>
          <w:sz w:val="18"/>
          <w:szCs w:val="18"/>
          <w:color w:val="auto"/>
        </w:rPr>
      </w:pPr>
    </w:p>
    <w:p>
      <w:pPr>
        <w:ind w:left="1060" w:hanging="512"/>
        <w:spacing w:after="0"/>
        <w:tabs>
          <w:tab w:leader="none" w:pos="10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without taking into account the benefit or detriment of any charter commitment.</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25.7</w:t>
        <w:tab/>
        <w:t>Information required for valuation</w:t>
      </w:r>
    </w:p>
    <w:p>
      <w:pPr>
        <w:spacing w:after="0" w:line="220" w:lineRule="exact"/>
        <w:rPr>
          <w:sz w:val="20"/>
          <w:szCs w:val="20"/>
          <w:color w:val="auto"/>
        </w:rPr>
      </w:pPr>
    </w:p>
    <w:p>
      <w:pPr>
        <w:jc w:val="both"/>
        <w:ind w:left="540"/>
        <w:spacing w:after="0" w:line="246" w:lineRule="auto"/>
        <w:rPr>
          <w:sz w:val="20"/>
          <w:szCs w:val="20"/>
          <w:color w:val="auto"/>
        </w:rPr>
      </w:pPr>
      <w:r>
        <w:rPr>
          <w:rFonts w:ascii="Arial" w:cs="Arial" w:eastAsia="Arial" w:hAnsi="Arial"/>
          <w:sz w:val="18"/>
          <w:szCs w:val="18"/>
          <w:color w:val="auto"/>
        </w:rPr>
        <w:t>The Borrowers shall promptly provide to the Agent and any such valuer any information which they reasonably require for the purposes of providing such a valuation.</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25.8</w:t>
        <w:tab/>
        <w:t>Approved Brokers</w:t>
      </w:r>
    </w:p>
    <w:p>
      <w:pPr>
        <w:spacing w:after="0" w:line="220" w:lineRule="exact"/>
        <w:rPr>
          <w:sz w:val="20"/>
          <w:szCs w:val="20"/>
          <w:color w:val="auto"/>
        </w:rPr>
      </w:pPr>
    </w:p>
    <w:p>
      <w:pPr>
        <w:jc w:val="both"/>
        <w:ind w:left="540"/>
        <w:spacing w:after="0" w:line="239" w:lineRule="auto"/>
        <w:rPr>
          <w:sz w:val="20"/>
          <w:szCs w:val="20"/>
          <w:color w:val="auto"/>
        </w:rPr>
      </w:pPr>
      <w:r>
        <w:rPr>
          <w:rFonts w:ascii="Arial" w:cs="Arial" w:eastAsia="Arial" w:hAnsi="Arial"/>
          <w:sz w:val="18"/>
          <w:szCs w:val="18"/>
          <w:color w:val="auto"/>
        </w:rPr>
        <w:t>All valuers must be Approved Brokers. The Agent may from time to time notify the Borrowers and the Lenders of any additional independent ship brokers which have been approved by the Borrowers and the Agent (acting on the instructions of the Majority Lenders) as Approved Brokers for the purposes of this clause 25 and this Agreement, and the Majority Lenders may from time to time request the replacement of an Approved Broker.</w:t>
      </w:r>
    </w:p>
    <w:p>
      <w:pPr>
        <w:spacing w:after="0" w:line="16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25.9</w:t>
        <w:tab/>
        <w:t>Appointment of Approved Brokers</w:t>
      </w:r>
    </w:p>
    <w:p>
      <w:pPr>
        <w:spacing w:after="0" w:line="220" w:lineRule="exact"/>
        <w:rPr>
          <w:sz w:val="20"/>
          <w:szCs w:val="20"/>
          <w:color w:val="auto"/>
        </w:rPr>
      </w:pPr>
    </w:p>
    <w:p>
      <w:pPr>
        <w:jc w:val="both"/>
        <w:ind w:left="540"/>
        <w:spacing w:after="0" w:line="239" w:lineRule="auto"/>
        <w:rPr>
          <w:sz w:val="20"/>
          <w:szCs w:val="20"/>
          <w:color w:val="auto"/>
        </w:rPr>
      </w:pPr>
      <w:r>
        <w:rPr>
          <w:rFonts w:ascii="Arial" w:cs="Arial" w:eastAsia="Arial" w:hAnsi="Arial"/>
          <w:sz w:val="18"/>
          <w:szCs w:val="18"/>
          <w:color w:val="auto"/>
        </w:rPr>
        <w:t>When a valuation is required for the purposes of this clause 25, the Agent (acting on the instructions of the Majority Lenders) or, if so approved at that time, the Borrowers shall promptly appoint the relevant Approved Brokers to provide such a valuation. If the Borrowers are approved to appoint the relevant Approved Brokers but fail to do so promptly, the Agent may appoint the relevant Approved Brokers to provide that valuation.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25.10 Number of valuers</w:t>
      </w:r>
    </w:p>
    <w:p>
      <w:pPr>
        <w:spacing w:after="0" w:line="220" w:lineRule="exact"/>
        <w:rPr>
          <w:sz w:val="20"/>
          <w:szCs w:val="20"/>
          <w:color w:val="auto"/>
        </w:rPr>
      </w:pPr>
    </w:p>
    <w:p>
      <w:pPr>
        <w:ind w:left="1060" w:hanging="512"/>
        <w:spacing w:after="0" w:line="246" w:lineRule="auto"/>
        <w:tabs>
          <w:tab w:leader="none" w:pos="10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Each valuation must be carried out by two (2) Approved Brokers both of whom shall be nominated by the Borrowers. If the Borrowers fail promptly to nominate an Approved Broker then the Agent may nominate that valuer.</w:t>
      </w:r>
    </w:p>
    <w:p>
      <w:pPr>
        <w:spacing w:after="0" w:line="183" w:lineRule="exact"/>
        <w:rPr>
          <w:rFonts w:ascii="Arial" w:cs="Arial" w:eastAsia="Arial" w:hAnsi="Arial"/>
          <w:sz w:val="18"/>
          <w:szCs w:val="18"/>
          <w:color w:val="auto"/>
        </w:rPr>
      </w:pPr>
    </w:p>
    <w:p>
      <w:pPr>
        <w:jc w:val="both"/>
        <w:ind w:left="1060" w:hanging="512"/>
        <w:spacing w:after="0"/>
        <w:tabs>
          <w:tab w:leader="none" w:pos="10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If the two (2) valuations of a Ship made by two (2) Approved Brokers vary by more than 15%, then a third Approved Broker must be nominated by the Borrowers to provide a valuation of such Ship. If the Borrowers fail to promptly nominate such third Approved Broker, then the Agent may nominate that third Approved Broker.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25.11 Differences in valuations</w:t>
      </w:r>
    </w:p>
    <w:p>
      <w:pPr>
        <w:spacing w:after="0" w:line="220" w:lineRule="exact"/>
        <w:rPr>
          <w:sz w:val="20"/>
          <w:szCs w:val="20"/>
          <w:color w:val="auto"/>
        </w:rPr>
      </w:pPr>
    </w:p>
    <w:p>
      <w:pPr>
        <w:ind w:left="1060" w:hanging="512"/>
        <w:spacing w:after="0" w:line="246" w:lineRule="auto"/>
        <w:tabs>
          <w:tab w:leader="none" w:pos="10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If valuations provided by different Approved Brokers differ, the value of the relevant Ship for the purposes of the Finance Documents will be the mean average of those valuations.</w:t>
      </w:r>
    </w:p>
    <w:p>
      <w:pPr>
        <w:spacing w:after="0" w:line="183" w:lineRule="exact"/>
        <w:rPr>
          <w:rFonts w:ascii="Arial" w:cs="Arial" w:eastAsia="Arial" w:hAnsi="Arial"/>
          <w:sz w:val="18"/>
          <w:szCs w:val="18"/>
          <w:color w:val="auto"/>
        </w:rPr>
      </w:pPr>
    </w:p>
    <w:p>
      <w:pPr>
        <w:ind w:left="1060" w:hanging="512"/>
        <w:spacing w:after="0" w:line="246" w:lineRule="auto"/>
        <w:tabs>
          <w:tab w:leader="none" w:pos="10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If any Approved Broker provides a range of values for a Ship, the value of such Ship for the purposes of the Finance Documents will be the mean average of the values comprising such range.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25.12 Security shortfall</w:t>
      </w:r>
    </w:p>
    <w:p>
      <w:pPr>
        <w:spacing w:after="0" w:line="220" w:lineRule="exact"/>
        <w:rPr>
          <w:sz w:val="20"/>
          <w:szCs w:val="20"/>
          <w:color w:val="auto"/>
        </w:rPr>
      </w:pPr>
    </w:p>
    <w:p>
      <w:pPr>
        <w:jc w:val="both"/>
        <w:ind w:left="1060" w:hanging="512"/>
        <w:spacing w:after="0"/>
        <w:tabs>
          <w:tab w:leader="none" w:pos="10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If at any time the Security Value is less than the Minimum Value, the Agent may, and shall, if so directed by the Majority Lenders, by notice to the Borrowers require that such deficiency be remedied. The Borrowers shall then within 30 days of receipt of such notice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41" w:name="page142"/>
    <w:bookmarkEnd w:id="141"/>
    <w:p>
      <w:pPr>
        <w:ind w:left="1020"/>
        <w:spacing w:after="0"/>
        <w:rPr>
          <w:sz w:val="20"/>
          <w:szCs w:val="20"/>
          <w:color w:val="auto"/>
        </w:rPr>
      </w:pPr>
      <w:r>
        <w:rPr>
          <w:rFonts w:ascii="Arial" w:cs="Arial" w:eastAsia="Arial" w:hAnsi="Arial"/>
          <w:sz w:val="18"/>
          <w:szCs w:val="18"/>
          <w:color w:val="auto"/>
        </w:rPr>
        <w:t>ensure that the Security Value equals or exceeds the Minimum Value. For this purpose, the Borrowers may:</w:t>
      </w:r>
    </w:p>
    <w:p>
      <w:pPr>
        <w:spacing w:after="0" w:line="198" w:lineRule="exact"/>
        <w:rPr>
          <w:sz w:val="20"/>
          <w:szCs w:val="20"/>
          <w:color w:val="auto"/>
        </w:rPr>
      </w:pPr>
    </w:p>
    <w:p>
      <w:pPr>
        <w:ind w:left="1560" w:hanging="539"/>
        <w:spacing w:after="0" w:line="246" w:lineRule="auto"/>
        <w:tabs>
          <w:tab w:leader="none" w:pos="15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provide additional security over cash in dollars or other assets approved by the Majority Lenders in accordance with this clause 25; and/or</w:t>
      </w:r>
    </w:p>
    <w:p>
      <w:pPr>
        <w:spacing w:after="0" w:line="183" w:lineRule="exact"/>
        <w:rPr>
          <w:rFonts w:ascii="Arial" w:cs="Arial" w:eastAsia="Arial" w:hAnsi="Arial"/>
          <w:sz w:val="18"/>
          <w:szCs w:val="18"/>
          <w:color w:val="auto"/>
        </w:rPr>
      </w:pPr>
    </w:p>
    <w:p>
      <w:pPr>
        <w:jc w:val="both"/>
        <w:ind w:left="1560" w:hanging="539"/>
        <w:spacing w:after="0" w:line="239" w:lineRule="auto"/>
        <w:tabs>
          <w:tab w:leader="none" w:pos="15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cancel part of the Available Term Loan Facility and/or (at the Borrowers’ option) the Available Revolving Loan Facility under clause 7.3 (</w:t>
      </w:r>
      <w:r>
        <w:rPr>
          <w:rFonts w:ascii="Arial" w:cs="Arial" w:eastAsia="Arial" w:hAnsi="Arial"/>
          <w:sz w:val="18"/>
          <w:szCs w:val="18"/>
          <w:i w:val="1"/>
          <w:iCs w:val="1"/>
          <w:color w:val="auto"/>
        </w:rPr>
        <w:t>Voluntary cancellation</w:t>
      </w:r>
      <w:r>
        <w:rPr>
          <w:rFonts w:ascii="Arial" w:cs="Arial" w:eastAsia="Arial" w:hAnsi="Arial"/>
          <w:sz w:val="18"/>
          <w:szCs w:val="18"/>
          <w:color w:val="auto"/>
        </w:rPr>
        <w:t>) and/or prepay all or part of one or more Loans under clause 7.4 (</w:t>
      </w:r>
      <w:r>
        <w:rPr>
          <w:rFonts w:ascii="Arial" w:cs="Arial" w:eastAsia="Arial" w:hAnsi="Arial"/>
          <w:sz w:val="18"/>
          <w:szCs w:val="18"/>
          <w:i w:val="1"/>
          <w:iCs w:val="1"/>
          <w:color w:val="auto"/>
        </w:rPr>
        <w:t>Voluntary prepayment</w:t>
      </w:r>
      <w:r>
        <w:rPr>
          <w:rFonts w:ascii="Arial" w:cs="Arial" w:eastAsia="Arial" w:hAnsi="Arial"/>
          <w:sz w:val="18"/>
          <w:szCs w:val="18"/>
          <w:color w:val="auto"/>
        </w:rPr>
        <w:t>) as necessary to ensure that the outstanding Loans under a Facility, do not exceed the Available Term Loan Facility or (as the case may be) the Revolving Loan Facility, each as so reduced.</w:t>
      </w:r>
    </w:p>
    <w:p>
      <w:pPr>
        <w:spacing w:after="0" w:line="188" w:lineRule="exact"/>
        <w:rPr>
          <w:sz w:val="20"/>
          <w:szCs w:val="20"/>
          <w:color w:val="auto"/>
        </w:rPr>
      </w:pPr>
    </w:p>
    <w:p>
      <w:pPr>
        <w:jc w:val="both"/>
        <w:ind w:left="1060" w:hanging="512"/>
        <w:spacing w:after="0"/>
        <w:tabs>
          <w:tab w:leader="none" w:pos="10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Any cancellation of part of the Available Facility pursuant to this clause 26.12 shall reduce the Total Commitments by the same amounts and all the Commitments pro rata. Any cancellation or prepayment pursuant to clause 25.12(a)(i) shall be made without any requirement as to any minimum amount required by clauses 7.3 (</w:t>
      </w:r>
      <w:r>
        <w:rPr>
          <w:rFonts w:ascii="Arial" w:cs="Arial" w:eastAsia="Arial" w:hAnsi="Arial"/>
          <w:sz w:val="18"/>
          <w:szCs w:val="18"/>
          <w:i w:val="1"/>
          <w:iCs w:val="1"/>
          <w:color w:val="auto"/>
        </w:rPr>
        <w:t>Voluntary cancellation</w:t>
      </w:r>
      <w:r>
        <w:rPr>
          <w:rFonts w:ascii="Arial" w:cs="Arial" w:eastAsia="Arial" w:hAnsi="Arial"/>
          <w:sz w:val="18"/>
          <w:szCs w:val="18"/>
          <w:color w:val="auto"/>
        </w:rPr>
        <w:t>) or 7.4 (Voluntary prepayment).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25.13 Creation of additional security</w:t>
      </w:r>
    </w:p>
    <w:p>
      <w:pPr>
        <w:spacing w:after="0" w:line="220" w:lineRule="exact"/>
        <w:rPr>
          <w:sz w:val="20"/>
          <w:szCs w:val="20"/>
          <w:color w:val="auto"/>
        </w:rPr>
      </w:pPr>
    </w:p>
    <w:p>
      <w:pPr>
        <w:ind w:left="540"/>
        <w:spacing w:after="0" w:line="246" w:lineRule="auto"/>
        <w:rPr>
          <w:sz w:val="20"/>
          <w:szCs w:val="20"/>
          <w:color w:val="auto"/>
        </w:rPr>
      </w:pPr>
      <w:r>
        <w:rPr>
          <w:rFonts w:ascii="Arial" w:cs="Arial" w:eastAsia="Arial" w:hAnsi="Arial"/>
          <w:sz w:val="18"/>
          <w:szCs w:val="18"/>
          <w:color w:val="auto"/>
        </w:rPr>
        <w:t>The value of any additional security which the Borrowers offer to provide to remedy all or part of a shortfall in the amount of the Security Value will only be taken into account for the purposes of determining the Security Value if and when:</w:t>
      </w:r>
    </w:p>
    <w:p>
      <w:pPr>
        <w:spacing w:after="0" w:line="183" w:lineRule="exact"/>
        <w:rPr>
          <w:sz w:val="20"/>
          <w:szCs w:val="20"/>
          <w:color w:val="auto"/>
        </w:rPr>
      </w:pPr>
    </w:p>
    <w:p>
      <w:pPr>
        <w:ind w:left="1060" w:right="20" w:hanging="512"/>
        <w:spacing w:after="0" w:line="246" w:lineRule="auto"/>
        <w:tabs>
          <w:tab w:leader="none" w:pos="10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that additional security, its value and the method of its valuation have been approved by the Majority Lenders (except in the case of otherwise approved first ranking security over cash in Dollars which shall be valued at par);</w:t>
      </w:r>
    </w:p>
    <w:p>
      <w:pPr>
        <w:spacing w:after="0" w:line="183" w:lineRule="exact"/>
        <w:rPr>
          <w:rFonts w:ascii="Arial" w:cs="Arial" w:eastAsia="Arial" w:hAnsi="Arial"/>
          <w:sz w:val="18"/>
          <w:szCs w:val="18"/>
          <w:color w:val="auto"/>
        </w:rPr>
      </w:pPr>
    </w:p>
    <w:p>
      <w:pPr>
        <w:ind w:left="1060" w:right="20" w:hanging="512"/>
        <w:spacing w:after="0" w:line="246" w:lineRule="auto"/>
        <w:tabs>
          <w:tab w:leader="none" w:pos="10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 Security Interest over that security has been constituted in favour of the Security Agent or (if appropriate) the Finance Parties in substantially the same form as previously agreed (where relevant) or otherwise in an approved form and manner;</w:t>
      </w:r>
    </w:p>
    <w:p>
      <w:pPr>
        <w:spacing w:after="0" w:line="183" w:lineRule="exact"/>
        <w:rPr>
          <w:rFonts w:ascii="Arial" w:cs="Arial" w:eastAsia="Arial" w:hAnsi="Arial"/>
          <w:sz w:val="18"/>
          <w:szCs w:val="18"/>
          <w:color w:val="auto"/>
        </w:rPr>
      </w:pPr>
    </w:p>
    <w:p>
      <w:pPr>
        <w:ind w:left="1060" w:hanging="512"/>
        <w:spacing w:after="0" w:line="246" w:lineRule="auto"/>
        <w:tabs>
          <w:tab w:leader="none" w:pos="10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this Agreement has been unconditionally amended with such consequential amendments as required by the Agent acting reasonably; and</w:t>
      </w:r>
    </w:p>
    <w:p>
      <w:pPr>
        <w:spacing w:after="0" w:line="183" w:lineRule="exact"/>
        <w:rPr>
          <w:rFonts w:ascii="Arial" w:cs="Arial" w:eastAsia="Arial" w:hAnsi="Arial"/>
          <w:sz w:val="18"/>
          <w:szCs w:val="18"/>
          <w:color w:val="auto"/>
        </w:rPr>
      </w:pPr>
    </w:p>
    <w:p>
      <w:pPr>
        <w:jc w:val="both"/>
        <w:ind w:left="1060" w:hanging="512"/>
        <w:spacing w:after="0"/>
        <w:tabs>
          <w:tab w:leader="none" w:pos="10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Agent, or its duly authorised representative, has received such documents and evidence it may require in relation to that amendment and additional security including documents and evidence of the type referred to in Schedule 3 (</w:t>
      </w:r>
      <w:r>
        <w:rPr>
          <w:rFonts w:ascii="Arial" w:cs="Arial" w:eastAsia="Arial" w:hAnsi="Arial"/>
          <w:sz w:val="18"/>
          <w:szCs w:val="18"/>
          <w:i w:val="1"/>
          <w:iCs w:val="1"/>
          <w:color w:val="auto"/>
        </w:rPr>
        <w:t>Conditions</w:t>
      </w:r>
      <w:r>
        <w:rPr>
          <w:rFonts w:ascii="Arial" w:cs="Arial" w:eastAsia="Arial" w:hAnsi="Arial"/>
          <w:sz w:val="18"/>
          <w:szCs w:val="18"/>
          <w:color w:val="auto"/>
        </w:rPr>
        <w:t xml:space="preserve"> </w:t>
      </w:r>
      <w:r>
        <w:rPr>
          <w:rFonts w:ascii="Arial" w:cs="Arial" w:eastAsia="Arial" w:hAnsi="Arial"/>
          <w:sz w:val="18"/>
          <w:szCs w:val="18"/>
          <w:i w:val="1"/>
          <w:iCs w:val="1"/>
          <w:color w:val="auto"/>
        </w:rPr>
        <w:t>precedent</w:t>
      </w:r>
      <w:r>
        <w:rPr>
          <w:rFonts w:ascii="Arial" w:cs="Arial" w:eastAsia="Arial" w:hAnsi="Arial"/>
          <w:sz w:val="18"/>
          <w:szCs w:val="18"/>
          <w:color w:val="auto"/>
        </w:rPr>
        <w:t>) in relation to that amendment and additional security and its execution and (if applicable) registration.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25.14 Security release</w:t>
      </w:r>
    </w:p>
    <w:p>
      <w:pPr>
        <w:spacing w:after="0" w:line="220" w:lineRule="exact"/>
        <w:rPr>
          <w:sz w:val="20"/>
          <w:szCs w:val="20"/>
          <w:color w:val="auto"/>
        </w:rPr>
      </w:pPr>
    </w:p>
    <w:p>
      <w:pPr>
        <w:jc w:val="both"/>
        <w:ind w:left="540"/>
        <w:spacing w:after="0" w:line="253" w:lineRule="auto"/>
        <w:rPr>
          <w:sz w:val="20"/>
          <w:szCs w:val="20"/>
          <w:color w:val="auto"/>
        </w:rPr>
      </w:pPr>
      <w:r>
        <w:rPr>
          <w:rFonts w:ascii="Arial" w:cs="Arial" w:eastAsia="Arial" w:hAnsi="Arial"/>
          <w:sz w:val="17"/>
          <w:szCs w:val="17"/>
          <w:color w:val="auto"/>
        </w:rPr>
        <w:t>If the Security Value shall at any time exceed the Minimum Value, and the Borrowers shall previously have provided further security to the Security Agent and/or the other Finance Parties pursuant to clause 25.12 (</w:t>
      </w:r>
      <w:r>
        <w:rPr>
          <w:rFonts w:ascii="Arial" w:cs="Arial" w:eastAsia="Arial" w:hAnsi="Arial"/>
          <w:sz w:val="17"/>
          <w:szCs w:val="17"/>
          <w:i w:val="1"/>
          <w:iCs w:val="1"/>
          <w:color w:val="auto"/>
        </w:rPr>
        <w:t>Security shortfall</w:t>
      </w:r>
      <w:r>
        <w:rPr>
          <w:rFonts w:ascii="Arial" w:cs="Arial" w:eastAsia="Arial" w:hAnsi="Arial"/>
          <w:sz w:val="17"/>
          <w:szCs w:val="17"/>
          <w:color w:val="auto"/>
        </w:rPr>
        <w:t>), the Security Agent (on the instructions of the Agent) and the other Finance Parties shall, as soon as reasonably practicable after notice from the Borrowers to do so and subject to being indemnified to their satisfaction against the cost of doing so, procure the release of any such further security specified by the Borrowers provided that the Agent (acting on the instructions of the Majority Lenders) is satisfied that, immediately following such release, the Security Value will equal or exceed the Minimum Value and no other Event of Default shall have occurred and be continuing.</w:t>
      </w:r>
    </w:p>
    <w:p>
      <w:pPr>
        <w:spacing w:after="0" w:line="16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8"/>
          <w:szCs w:val="18"/>
          <w:b w:val="1"/>
          <w:bCs w:val="1"/>
          <w:color w:val="auto"/>
        </w:rPr>
        <w:t>Chartering undertakings</w:t>
      </w:r>
    </w:p>
    <w:p>
      <w:pPr>
        <w:spacing w:after="0" w:line="220" w:lineRule="exact"/>
        <w:rPr>
          <w:sz w:val="20"/>
          <w:szCs w:val="20"/>
          <w:color w:val="auto"/>
        </w:rPr>
      </w:pPr>
    </w:p>
    <w:p>
      <w:pPr>
        <w:jc w:val="both"/>
        <w:ind w:left="540"/>
        <w:spacing w:after="0" w:line="246" w:lineRule="auto"/>
        <w:rPr>
          <w:sz w:val="20"/>
          <w:szCs w:val="20"/>
          <w:color w:val="auto"/>
        </w:rPr>
      </w:pPr>
      <w:r>
        <w:rPr>
          <w:rFonts w:ascii="Arial" w:cs="Arial" w:eastAsia="Arial" w:hAnsi="Arial"/>
          <w:sz w:val="18"/>
          <w:szCs w:val="18"/>
          <w:color w:val="auto"/>
        </w:rPr>
        <w:t>Each Borrower undertakes that this clause 26 will be complied with in relation to each Mortgaged Ship which is subject to a Charter and its Charter Documents throughout the relevant Ship’s Mortgage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42" w:name="page143"/>
    <w:bookmarkEnd w:id="142"/>
    <w:p>
      <w:pPr>
        <w:spacing w:after="0"/>
        <w:tabs>
          <w:tab w:leader="none" w:pos="520" w:val="left"/>
        </w:tabs>
        <w:rPr>
          <w:sz w:val="20"/>
          <w:szCs w:val="20"/>
          <w:color w:val="auto"/>
        </w:rPr>
      </w:pPr>
      <w:r>
        <w:rPr>
          <w:rFonts w:ascii="Arial" w:cs="Arial" w:eastAsia="Arial" w:hAnsi="Arial"/>
          <w:sz w:val="18"/>
          <w:szCs w:val="18"/>
          <w:b w:val="1"/>
          <w:bCs w:val="1"/>
          <w:color w:val="auto"/>
        </w:rPr>
        <w:t>26.1</w:t>
      </w:r>
      <w:r>
        <w:rPr>
          <w:sz w:val="20"/>
          <w:szCs w:val="20"/>
          <w:color w:val="auto"/>
        </w:rPr>
        <w:tab/>
      </w:r>
      <w:r>
        <w:rPr>
          <w:rFonts w:ascii="Arial" w:cs="Arial" w:eastAsia="Arial" w:hAnsi="Arial"/>
          <w:sz w:val="17"/>
          <w:szCs w:val="17"/>
          <w:b w:val="1"/>
          <w:bCs w:val="1"/>
          <w:color w:val="auto"/>
        </w:rPr>
        <w:t>Variations</w:t>
      </w:r>
    </w:p>
    <w:p>
      <w:pPr>
        <w:spacing w:after="0" w:line="220" w:lineRule="exact"/>
        <w:rPr>
          <w:sz w:val="20"/>
          <w:szCs w:val="20"/>
          <w:color w:val="auto"/>
        </w:rPr>
      </w:pPr>
    </w:p>
    <w:p>
      <w:pPr>
        <w:jc w:val="both"/>
        <w:ind w:left="540"/>
        <w:spacing w:after="0" w:line="238" w:lineRule="auto"/>
        <w:rPr>
          <w:sz w:val="20"/>
          <w:szCs w:val="20"/>
          <w:color w:val="auto"/>
        </w:rPr>
      </w:pPr>
      <w:r>
        <w:rPr>
          <w:rFonts w:ascii="Arial" w:cs="Arial" w:eastAsia="Arial" w:hAnsi="Arial"/>
          <w:sz w:val="18"/>
          <w:szCs w:val="18"/>
          <w:color w:val="auto"/>
        </w:rPr>
        <w:t>Except (a) with approval (not to be unreasonably withheld or delayed) or (b) for any variations of secondary nature relating to day to day operational matters which the Borrowers shall in any event promptly notify to the Agent, the Charter Documents shall not be varied (and, for the avoidance of doubt, any assignment, transfer or novation of a Charter Document, whether from the relevant Owner or the relevant Charterer, without approval shall constitute a variation), and the relevant Owner shall not grant any consent to the relevant Charterer in respect of any such variation.</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26.2</w:t>
      </w:r>
      <w:r>
        <w:rPr>
          <w:sz w:val="20"/>
          <w:szCs w:val="20"/>
          <w:color w:val="auto"/>
        </w:rPr>
        <w:tab/>
      </w:r>
      <w:r>
        <w:rPr>
          <w:rFonts w:ascii="Arial" w:cs="Arial" w:eastAsia="Arial" w:hAnsi="Arial"/>
          <w:sz w:val="17"/>
          <w:szCs w:val="17"/>
          <w:b w:val="1"/>
          <w:bCs w:val="1"/>
          <w:color w:val="auto"/>
        </w:rPr>
        <w:t>Releases and waivers</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Except with approval, there shall be no release by the relevant Owner of any obligation of any other person under the Charter Documents (including by way of novation, assignment or transfer), no waiver of any breach of any such obligation and no consent to anything which would otherwise be such a breach.</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26.3</w:t>
      </w:r>
      <w:r>
        <w:rPr>
          <w:sz w:val="20"/>
          <w:szCs w:val="20"/>
          <w:color w:val="auto"/>
        </w:rPr>
        <w:tab/>
      </w:r>
      <w:r>
        <w:rPr>
          <w:rFonts w:ascii="Arial" w:cs="Arial" w:eastAsia="Arial" w:hAnsi="Arial"/>
          <w:sz w:val="17"/>
          <w:szCs w:val="17"/>
          <w:b w:val="1"/>
          <w:bCs w:val="1"/>
          <w:color w:val="auto"/>
        </w:rPr>
        <w:t>Termination by Owner</w:t>
      </w:r>
    </w:p>
    <w:p>
      <w:pPr>
        <w:spacing w:after="0" w:line="220" w:lineRule="exact"/>
        <w:rPr>
          <w:sz w:val="20"/>
          <w:szCs w:val="20"/>
          <w:color w:val="auto"/>
        </w:rPr>
      </w:pPr>
    </w:p>
    <w:p>
      <w:pPr>
        <w:jc w:val="both"/>
        <w:ind w:left="540" w:right="20"/>
        <w:spacing w:after="0" w:line="246" w:lineRule="auto"/>
        <w:rPr>
          <w:sz w:val="20"/>
          <w:szCs w:val="20"/>
          <w:color w:val="auto"/>
        </w:rPr>
      </w:pPr>
      <w:r>
        <w:rPr>
          <w:rFonts w:ascii="Arial" w:cs="Arial" w:eastAsia="Arial" w:hAnsi="Arial"/>
          <w:sz w:val="18"/>
          <w:szCs w:val="18"/>
          <w:color w:val="auto"/>
        </w:rPr>
        <w:t>Except with approval, the relevant Owner shall not terminate or rescind any Charter Document or withdraw the Ship from service under the Charter or take any similar action.</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26.4</w:t>
      </w:r>
      <w:r>
        <w:rPr>
          <w:sz w:val="20"/>
          <w:szCs w:val="20"/>
          <w:color w:val="auto"/>
        </w:rPr>
        <w:tab/>
      </w:r>
      <w:r>
        <w:rPr>
          <w:rFonts w:ascii="Arial" w:cs="Arial" w:eastAsia="Arial" w:hAnsi="Arial"/>
          <w:sz w:val="17"/>
          <w:szCs w:val="17"/>
          <w:b w:val="1"/>
          <w:bCs w:val="1"/>
          <w:color w:val="auto"/>
        </w:rPr>
        <w:t>Charter performance</w:t>
      </w:r>
    </w:p>
    <w:p>
      <w:pPr>
        <w:spacing w:after="0" w:line="220" w:lineRule="exact"/>
        <w:rPr>
          <w:sz w:val="20"/>
          <w:szCs w:val="20"/>
          <w:color w:val="auto"/>
        </w:rPr>
      </w:pPr>
    </w:p>
    <w:p>
      <w:pPr>
        <w:jc w:val="both"/>
        <w:ind w:left="540"/>
        <w:spacing w:after="0" w:line="246" w:lineRule="auto"/>
        <w:rPr>
          <w:sz w:val="20"/>
          <w:szCs w:val="20"/>
          <w:color w:val="auto"/>
        </w:rPr>
      </w:pPr>
      <w:r>
        <w:rPr>
          <w:rFonts w:ascii="Arial" w:cs="Arial" w:eastAsia="Arial" w:hAnsi="Arial"/>
          <w:sz w:val="18"/>
          <w:szCs w:val="18"/>
          <w:color w:val="auto"/>
        </w:rPr>
        <w:t>The relevant Owner shall perform its obligations under the Charter Documents and use its reasonable endeavours to ensure that each other party to them performs their obligations under the Charter Documents.</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26.5</w:t>
      </w:r>
      <w:r>
        <w:rPr>
          <w:sz w:val="20"/>
          <w:szCs w:val="20"/>
          <w:color w:val="auto"/>
        </w:rPr>
        <w:tab/>
      </w:r>
      <w:r>
        <w:rPr>
          <w:rFonts w:ascii="Arial" w:cs="Arial" w:eastAsia="Arial" w:hAnsi="Arial"/>
          <w:sz w:val="17"/>
          <w:szCs w:val="17"/>
          <w:b w:val="1"/>
          <w:bCs w:val="1"/>
          <w:color w:val="auto"/>
        </w:rPr>
        <w:t>Notice of assignment</w:t>
      </w:r>
    </w:p>
    <w:p>
      <w:pPr>
        <w:spacing w:after="0" w:line="220" w:lineRule="exact"/>
        <w:rPr>
          <w:sz w:val="20"/>
          <w:szCs w:val="20"/>
          <w:color w:val="auto"/>
        </w:rPr>
      </w:pPr>
    </w:p>
    <w:p>
      <w:pPr>
        <w:jc w:val="both"/>
        <w:ind w:left="540"/>
        <w:spacing w:after="0" w:line="237" w:lineRule="auto"/>
        <w:rPr>
          <w:sz w:val="20"/>
          <w:szCs w:val="20"/>
          <w:color w:val="auto"/>
        </w:rPr>
      </w:pPr>
      <w:r>
        <w:rPr>
          <w:rFonts w:ascii="Arial" w:cs="Arial" w:eastAsia="Arial" w:hAnsi="Arial"/>
          <w:sz w:val="18"/>
          <w:szCs w:val="18"/>
          <w:color w:val="auto"/>
        </w:rPr>
        <w:t>The relevant Owner shall give notice of assignment of the Charter Documents to the other parties to such documents promptly upon execution of the relevant Charter Assignment in the form specified by the relevant Charter Assignment for that Ship and shall ensure that the Agent receives a copy of that notice acknowledged by each addressee in the form specified therein and any relevant Quiet Enjoyment Agreement as soon as practically possible after the relevant Charter Assignment has been executed by the Security Agent and any relevant counterparty to such documents, and in any event at the times required under clause 4.1 (</w:t>
      </w:r>
      <w:r>
        <w:rPr>
          <w:rFonts w:ascii="Arial" w:cs="Arial" w:eastAsia="Arial" w:hAnsi="Arial"/>
          <w:sz w:val="18"/>
          <w:szCs w:val="18"/>
          <w:i w:val="1"/>
          <w:iCs w:val="1"/>
          <w:color w:val="auto"/>
        </w:rPr>
        <w:t>Conditions precedent to</w:t>
      </w:r>
      <w:r>
        <w:rPr>
          <w:rFonts w:ascii="Arial" w:cs="Arial" w:eastAsia="Arial" w:hAnsi="Arial"/>
          <w:sz w:val="18"/>
          <w:szCs w:val="18"/>
          <w:color w:val="auto"/>
        </w:rPr>
        <w:t xml:space="preserve"> </w:t>
      </w:r>
      <w:r>
        <w:rPr>
          <w:rFonts w:ascii="Arial" w:cs="Arial" w:eastAsia="Arial" w:hAnsi="Arial"/>
          <w:sz w:val="18"/>
          <w:szCs w:val="18"/>
          <w:i w:val="1"/>
          <w:iCs w:val="1"/>
          <w:color w:val="auto"/>
        </w:rPr>
        <w:t>delivering of a Utilisation Request</w:t>
      </w:r>
      <w:r>
        <w:rPr>
          <w:rFonts w:ascii="Arial" w:cs="Arial" w:eastAsia="Arial" w:hAnsi="Arial"/>
          <w:sz w:val="18"/>
          <w:szCs w:val="18"/>
          <w:color w:val="auto"/>
        </w:rPr>
        <w:t>) and Schedule 3 (</w:t>
      </w:r>
      <w:r>
        <w:rPr>
          <w:rFonts w:ascii="Arial" w:cs="Arial" w:eastAsia="Arial" w:hAnsi="Arial"/>
          <w:sz w:val="18"/>
          <w:szCs w:val="18"/>
          <w:i w:val="1"/>
          <w:iCs w:val="1"/>
          <w:color w:val="auto"/>
        </w:rPr>
        <w:t>Conditions precedent</w:t>
      </w:r>
      <w:r>
        <w:rPr>
          <w:rFonts w:ascii="Arial" w:cs="Arial" w:eastAsia="Arial" w:hAnsi="Arial"/>
          <w:sz w:val="18"/>
          <w:szCs w:val="18"/>
          <w:color w:val="auto"/>
        </w:rPr>
        <w:t>) as applicable.</w:t>
      </w:r>
    </w:p>
    <w:p>
      <w:pPr>
        <w:spacing w:after="0" w:line="1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26.6</w:t>
      </w:r>
      <w:r>
        <w:rPr>
          <w:sz w:val="20"/>
          <w:szCs w:val="20"/>
          <w:color w:val="auto"/>
        </w:rPr>
        <w:tab/>
      </w:r>
      <w:r>
        <w:rPr>
          <w:rFonts w:ascii="Arial" w:cs="Arial" w:eastAsia="Arial" w:hAnsi="Arial"/>
          <w:sz w:val="17"/>
          <w:szCs w:val="17"/>
          <w:b w:val="1"/>
          <w:bCs w:val="1"/>
          <w:color w:val="auto"/>
        </w:rPr>
        <w:t>Payment of Charter Earnings</w:t>
      </w:r>
    </w:p>
    <w:p>
      <w:pPr>
        <w:spacing w:after="0" w:line="220" w:lineRule="exact"/>
        <w:rPr>
          <w:sz w:val="20"/>
          <w:szCs w:val="20"/>
          <w:color w:val="auto"/>
        </w:rPr>
      </w:pPr>
    </w:p>
    <w:p>
      <w:pPr>
        <w:jc w:val="both"/>
        <w:ind w:left="540"/>
        <w:spacing w:after="0" w:line="246" w:lineRule="auto"/>
        <w:rPr>
          <w:sz w:val="20"/>
          <w:szCs w:val="20"/>
          <w:color w:val="auto"/>
        </w:rPr>
      </w:pPr>
      <w:r>
        <w:rPr>
          <w:rFonts w:ascii="Arial" w:cs="Arial" w:eastAsia="Arial" w:hAnsi="Arial"/>
          <w:sz w:val="18"/>
          <w:szCs w:val="18"/>
          <w:color w:val="auto"/>
        </w:rPr>
        <w:t>All Earnings which the relevant Owner is entitled to receive under the Charter Documents shall be paid into the relevant Owner’s Earnings Account or, following an Event of Default, in the manner required by the Security Documents.</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26.7</w:t>
      </w:r>
      <w:r>
        <w:rPr>
          <w:sz w:val="20"/>
          <w:szCs w:val="20"/>
          <w:color w:val="auto"/>
        </w:rPr>
        <w:tab/>
      </w:r>
      <w:r>
        <w:rPr>
          <w:rFonts w:ascii="Arial" w:cs="Arial" w:eastAsia="Arial" w:hAnsi="Arial"/>
          <w:sz w:val="17"/>
          <w:szCs w:val="17"/>
          <w:b w:val="1"/>
          <w:bCs w:val="1"/>
          <w:color w:val="auto"/>
        </w:rPr>
        <w:t>Termination Cure</w:t>
      </w:r>
    </w:p>
    <w:p>
      <w:pPr>
        <w:spacing w:after="0" w:line="220" w:lineRule="exact"/>
        <w:rPr>
          <w:sz w:val="20"/>
          <w:szCs w:val="20"/>
          <w:color w:val="auto"/>
        </w:rPr>
      </w:pPr>
    </w:p>
    <w:p>
      <w:pPr>
        <w:jc w:val="both"/>
        <w:ind w:left="540"/>
        <w:spacing w:after="0" w:line="239" w:lineRule="auto"/>
        <w:rPr>
          <w:sz w:val="20"/>
          <w:szCs w:val="20"/>
          <w:color w:val="auto"/>
        </w:rPr>
      </w:pPr>
      <w:r>
        <w:rPr>
          <w:rFonts w:ascii="Arial" w:cs="Arial" w:eastAsia="Arial" w:hAnsi="Arial"/>
          <w:sz w:val="18"/>
          <w:szCs w:val="18"/>
          <w:color w:val="auto"/>
        </w:rPr>
        <w:t>Without prejudice to the Obligors’ other obligations under the Finance Documents and the rights of the Finance Parties under clause 29.21 (</w:t>
      </w:r>
      <w:r>
        <w:rPr>
          <w:rFonts w:ascii="Arial" w:cs="Arial" w:eastAsia="Arial" w:hAnsi="Arial"/>
          <w:sz w:val="18"/>
          <w:szCs w:val="18"/>
          <w:i w:val="1"/>
          <w:iCs w:val="1"/>
          <w:color w:val="auto"/>
        </w:rPr>
        <w:t>Charters</w:t>
      </w:r>
      <w:r>
        <w:rPr>
          <w:rFonts w:ascii="Arial" w:cs="Arial" w:eastAsia="Arial" w:hAnsi="Arial"/>
          <w:sz w:val="18"/>
          <w:szCs w:val="18"/>
          <w:color w:val="auto"/>
        </w:rPr>
        <w:t>), if a Charter is cancelled or rescinded or (except as a result of the relevant Ship being a Total Loss) frustrated, or if any Ship is withdrawn from service under a Charter before the time that Charter was scheduled to expire, then the Borrowers shall use their best endeavours to ensure that:</w:t>
      </w:r>
    </w:p>
    <w:p>
      <w:pPr>
        <w:spacing w:after="0" w:line="188" w:lineRule="exact"/>
        <w:rPr>
          <w:sz w:val="20"/>
          <w:szCs w:val="20"/>
          <w:color w:val="auto"/>
        </w:rPr>
      </w:pPr>
    </w:p>
    <w:p>
      <w:pPr>
        <w:jc w:val="both"/>
        <w:ind w:left="1060" w:hanging="512"/>
        <w:spacing w:after="0" w:line="238" w:lineRule="auto"/>
        <w:tabs>
          <w:tab w:leader="none" w:pos="10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as soon as reasonably possible after such cancellation, rescission, frustration or withdrawal, the relevant Owner of that Ship will enter into an approved time charter commitment in respect of that Ship on terms (including as to tenor, charter hire and credit standing of the charterer) which are in the opinion of the Agent (acting on the instructions of the Majority Lenders in their absolute and unfettered discretion) not less favourable to the relevant Owner, the Group and the Finance Parties than these of the original Charter for that Ship; and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43" w:name="page144"/>
    <w:bookmarkEnd w:id="143"/>
    <w:p>
      <w:pPr>
        <w:jc w:val="both"/>
        <w:ind w:left="1060" w:hanging="512"/>
        <w:spacing w:after="0" w:line="239" w:lineRule="auto"/>
        <w:tabs>
          <w:tab w:leader="none" w:pos="10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forthwith after the entry into such charter commitment, the relevant Owner will grant in favour of the Security Agent a Security Interest in respect of such charter commitment in a document in an agreed form and will provide and deliver to the Agent in respect of the same, any documents and evidence of the nature described in Schedule 3 (</w:t>
      </w:r>
      <w:r>
        <w:rPr>
          <w:rFonts w:ascii="Arial" w:cs="Arial" w:eastAsia="Arial" w:hAnsi="Arial"/>
          <w:sz w:val="18"/>
          <w:szCs w:val="18"/>
          <w:i w:val="1"/>
          <w:iCs w:val="1"/>
          <w:color w:val="auto"/>
        </w:rPr>
        <w:t>Conditions precedent</w:t>
      </w:r>
      <w:r>
        <w:rPr>
          <w:rFonts w:ascii="Arial" w:cs="Arial" w:eastAsia="Arial" w:hAnsi="Arial"/>
          <w:sz w:val="18"/>
          <w:szCs w:val="18"/>
          <w:color w:val="auto"/>
        </w:rPr>
        <w:t>) as reasonably required by the Agent.</w:t>
      </w:r>
    </w:p>
    <w:p>
      <w:pPr>
        <w:spacing w:after="0" w:line="16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26.8</w:t>
        <w:tab/>
        <w:t>Quiet Enjoyment</w:t>
      </w:r>
    </w:p>
    <w:p>
      <w:pPr>
        <w:spacing w:after="0" w:line="202" w:lineRule="exact"/>
        <w:rPr>
          <w:sz w:val="20"/>
          <w:szCs w:val="20"/>
          <w:color w:val="auto"/>
        </w:rPr>
      </w:pPr>
    </w:p>
    <w:p>
      <w:pPr>
        <w:jc w:val="both"/>
        <w:ind w:left="540"/>
        <w:spacing w:after="0" w:line="251" w:lineRule="auto"/>
        <w:rPr>
          <w:sz w:val="20"/>
          <w:szCs w:val="20"/>
          <w:color w:val="auto"/>
        </w:rPr>
      </w:pPr>
      <w:r>
        <w:rPr>
          <w:rFonts w:ascii="Arial" w:cs="Arial" w:eastAsia="Arial" w:hAnsi="Arial"/>
          <w:sz w:val="18"/>
          <w:szCs w:val="18"/>
          <w:color w:val="auto"/>
        </w:rPr>
        <w:t xml:space="preserve">If required by the charterer of a replacement charter commitment referred to in clause 26.7 </w:t>
      </w:r>
      <w:r>
        <w:rPr>
          <w:rFonts w:ascii="Arial" w:cs="Arial" w:eastAsia="Arial" w:hAnsi="Arial"/>
          <w:sz w:val="18"/>
          <w:szCs w:val="18"/>
          <w:i w:val="1"/>
          <w:iCs w:val="1"/>
          <w:color w:val="auto"/>
        </w:rPr>
        <w:t>(Termination Cure)</w:t>
      </w:r>
      <w:r>
        <w:rPr>
          <w:rFonts w:ascii="Arial" w:cs="Arial" w:eastAsia="Arial" w:hAnsi="Arial"/>
          <w:sz w:val="18"/>
          <w:szCs w:val="18"/>
          <w:color w:val="auto"/>
        </w:rPr>
        <w:t xml:space="preserve"> as a condition to entering into the same, the Lenders agree to instruct the Security Agent to enter into a quiet enjoyment agreement with such charterer on substantially the same terms as the Quiet Enjoyment Agreements in respect of any such replacement charter commitment.</w:t>
      </w:r>
    </w:p>
    <w:p>
      <w:pPr>
        <w:spacing w:after="0" w:line="15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8"/>
          <w:szCs w:val="18"/>
          <w:b w:val="1"/>
          <w:bCs w:val="1"/>
          <w:color w:val="auto"/>
        </w:rPr>
        <w:t>Bank accounts</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Each Borrower undertakes that this clause 27 will be complied with throughout the Facility Period.</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27.1</w:t>
      </w:r>
      <w:r>
        <w:rPr>
          <w:sz w:val="20"/>
          <w:szCs w:val="20"/>
          <w:color w:val="auto"/>
        </w:rPr>
        <w:tab/>
      </w:r>
      <w:r>
        <w:rPr>
          <w:rFonts w:ascii="Arial" w:cs="Arial" w:eastAsia="Arial" w:hAnsi="Arial"/>
          <w:sz w:val="17"/>
          <w:szCs w:val="17"/>
          <w:b w:val="1"/>
          <w:bCs w:val="1"/>
          <w:color w:val="auto"/>
        </w:rPr>
        <w:t>Earnings Accounts</w:t>
      </w:r>
    </w:p>
    <w:p>
      <w:pPr>
        <w:spacing w:after="0" w:line="198" w:lineRule="exact"/>
        <w:rPr>
          <w:sz w:val="20"/>
          <w:szCs w:val="20"/>
          <w:color w:val="auto"/>
        </w:rPr>
      </w:pPr>
    </w:p>
    <w:p>
      <w:pPr>
        <w:ind w:left="1060" w:right="20" w:hanging="512"/>
        <w:spacing w:after="0" w:line="271" w:lineRule="auto"/>
        <w:tabs>
          <w:tab w:leader="none" w:pos="10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 xml:space="preserve">Each Owner shall be the holder of one or more Accounts with an Account Bank which is designated as an </w:t>
      </w:r>
      <w:r>
        <w:rPr>
          <w:rFonts w:ascii="Arial" w:cs="Arial" w:eastAsia="Arial" w:hAnsi="Arial"/>
          <w:sz w:val="18"/>
          <w:szCs w:val="18"/>
          <w:b w:val="1"/>
          <w:bCs w:val="1"/>
          <w:color w:val="auto"/>
        </w:rPr>
        <w:t>Earnings Account</w:t>
      </w:r>
      <w:r>
        <w:rPr>
          <w:rFonts w:ascii="Arial" w:cs="Arial" w:eastAsia="Arial" w:hAnsi="Arial"/>
          <w:sz w:val="18"/>
          <w:szCs w:val="18"/>
          <w:color w:val="auto"/>
        </w:rPr>
        <w:t xml:space="preserve"> for the purposes of the Finance Documents.</w:t>
      </w:r>
    </w:p>
    <w:p>
      <w:pPr>
        <w:spacing w:after="0" w:line="162" w:lineRule="exact"/>
        <w:rPr>
          <w:rFonts w:ascii="Arial" w:cs="Arial" w:eastAsia="Arial" w:hAnsi="Arial"/>
          <w:sz w:val="18"/>
          <w:szCs w:val="18"/>
          <w:color w:val="auto"/>
        </w:rPr>
      </w:pPr>
    </w:p>
    <w:p>
      <w:pPr>
        <w:jc w:val="both"/>
        <w:ind w:left="1060" w:hanging="512"/>
        <w:spacing w:after="0"/>
        <w:tabs>
          <w:tab w:leader="none" w:pos="10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Earnings of the Mortgaged Ships and all moneys payable to the relevant Owner under the Ship’s Insurances shall be paid by the persons from whom they are due to an Earnings Account unless required to be paid to the Security Agent under the relevant Finance Documents.</w:t>
      </w:r>
    </w:p>
    <w:p>
      <w:pPr>
        <w:spacing w:after="0" w:line="189" w:lineRule="exact"/>
        <w:rPr>
          <w:rFonts w:ascii="Arial" w:cs="Arial" w:eastAsia="Arial" w:hAnsi="Arial"/>
          <w:sz w:val="18"/>
          <w:szCs w:val="18"/>
          <w:color w:val="auto"/>
        </w:rPr>
      </w:pPr>
    </w:p>
    <w:p>
      <w:pPr>
        <w:ind w:left="1060" w:hanging="512"/>
        <w:spacing w:after="0" w:line="246" w:lineRule="auto"/>
        <w:tabs>
          <w:tab w:leader="none" w:pos="10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relevant Account Holder(s) shall not withdraw amounts standing to the credit of an Earnings Account except as permitted by clause 27.1(d).</w:t>
      </w:r>
    </w:p>
    <w:p>
      <w:pPr>
        <w:spacing w:after="0" w:line="183" w:lineRule="exact"/>
        <w:rPr>
          <w:rFonts w:ascii="Arial" w:cs="Arial" w:eastAsia="Arial" w:hAnsi="Arial"/>
          <w:sz w:val="18"/>
          <w:szCs w:val="18"/>
          <w:color w:val="auto"/>
        </w:rPr>
      </w:pPr>
    </w:p>
    <w:p>
      <w:pPr>
        <w:jc w:val="both"/>
        <w:ind w:left="1060" w:hanging="512"/>
        <w:spacing w:after="0" w:line="239" w:lineRule="auto"/>
        <w:tabs>
          <w:tab w:leader="none" w:pos="10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If there is no Event of Default which is continuing, amounts standing to the credit of the Earnings Accounts shall be at the free disposal of the relevant Account Holder(s) and the relevant Account Holder(s) may withdraw moneys from an Earnings Account for any purpose whatsoever which is permitted (or not prohibited) by the terms of this Agreement and the Finance Documents and for as long as any such withdrawal will not result in the Borrowers being in breach of clause 19.11 (</w:t>
      </w:r>
      <w:r>
        <w:rPr>
          <w:rFonts w:ascii="Arial" w:cs="Arial" w:eastAsia="Arial" w:hAnsi="Arial"/>
          <w:sz w:val="18"/>
          <w:szCs w:val="18"/>
          <w:i w:val="1"/>
          <w:iCs w:val="1"/>
          <w:color w:val="auto"/>
        </w:rPr>
        <w:t>Liquidity</w:t>
      </w:r>
      <w:r>
        <w:rPr>
          <w:rFonts w:ascii="Arial" w:cs="Arial" w:eastAsia="Arial" w:hAnsi="Arial"/>
          <w:sz w:val="18"/>
          <w:szCs w:val="18"/>
          <w:color w:val="auto"/>
        </w:rPr>
        <w:t>).</w:t>
      </w:r>
    </w:p>
    <w:p>
      <w:pPr>
        <w:spacing w:after="0" w:line="16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27.2</w:t>
      </w:r>
      <w:r>
        <w:rPr>
          <w:sz w:val="20"/>
          <w:szCs w:val="20"/>
          <w:color w:val="auto"/>
        </w:rPr>
        <w:tab/>
      </w:r>
      <w:r>
        <w:rPr>
          <w:rFonts w:ascii="Arial" w:cs="Arial" w:eastAsia="Arial" w:hAnsi="Arial"/>
          <w:sz w:val="17"/>
          <w:szCs w:val="17"/>
          <w:b w:val="1"/>
          <w:bCs w:val="1"/>
          <w:color w:val="auto"/>
        </w:rPr>
        <w:t>Other provisions</w:t>
      </w:r>
    </w:p>
    <w:p>
      <w:pPr>
        <w:spacing w:after="0" w:line="220" w:lineRule="exact"/>
        <w:rPr>
          <w:sz w:val="20"/>
          <w:szCs w:val="20"/>
          <w:color w:val="auto"/>
        </w:rPr>
      </w:pPr>
    </w:p>
    <w:p>
      <w:pPr>
        <w:ind w:left="1060" w:hanging="512"/>
        <w:spacing w:after="0"/>
        <w:tabs>
          <w:tab w:leader="none" w:pos="10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An Account may only be designated for the purposes described in this clause 27 if:</w:t>
      </w:r>
    </w:p>
    <w:p>
      <w:pPr>
        <w:spacing w:after="0" w:line="198" w:lineRule="exact"/>
        <w:rPr>
          <w:rFonts w:ascii="Arial" w:cs="Arial" w:eastAsia="Arial" w:hAnsi="Arial"/>
          <w:sz w:val="18"/>
          <w:szCs w:val="18"/>
          <w:color w:val="auto"/>
        </w:rPr>
      </w:pPr>
    </w:p>
    <w:p>
      <w:pPr>
        <w:ind w:left="1560" w:hanging="539"/>
        <w:spacing w:after="0"/>
        <w:tabs>
          <w:tab w:leader="none" w:pos="156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it is situated in London, England, in Oslo, Norway or in any other jurisdiction acceptable to the Lenders;</w:t>
      </w:r>
    </w:p>
    <w:p>
      <w:pPr>
        <w:spacing w:after="0" w:line="198" w:lineRule="exact"/>
        <w:rPr>
          <w:rFonts w:ascii="Arial" w:cs="Arial" w:eastAsia="Arial" w:hAnsi="Arial"/>
          <w:sz w:val="18"/>
          <w:szCs w:val="18"/>
          <w:color w:val="auto"/>
        </w:rPr>
      </w:pPr>
    </w:p>
    <w:p>
      <w:pPr>
        <w:jc w:val="both"/>
        <w:ind w:left="1560" w:hanging="539"/>
        <w:spacing w:after="0"/>
        <w:tabs>
          <w:tab w:leader="none" w:pos="156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such designation is made in writing by the Agent and acknowledged by the Borrowers and specifies the names and addresses of the relevant Account Bank and the Account Holder(s) and the number and any designation or other reference attributed to the Account;</w:t>
      </w:r>
    </w:p>
    <w:p>
      <w:pPr>
        <w:spacing w:after="0" w:line="189" w:lineRule="exact"/>
        <w:rPr>
          <w:rFonts w:ascii="Arial" w:cs="Arial" w:eastAsia="Arial" w:hAnsi="Arial"/>
          <w:sz w:val="18"/>
          <w:szCs w:val="18"/>
          <w:color w:val="auto"/>
        </w:rPr>
      </w:pPr>
    </w:p>
    <w:p>
      <w:pPr>
        <w:ind w:left="1560" w:hanging="539"/>
        <w:spacing w:after="0" w:line="246" w:lineRule="auto"/>
        <w:tabs>
          <w:tab w:leader="none" w:pos="156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an Account Security has been duly executed and delivered by the relevant Account Holder(s) in favour of the Security Agent or the other Finance Parties;</w:t>
      </w:r>
    </w:p>
    <w:p>
      <w:pPr>
        <w:spacing w:after="0" w:line="183" w:lineRule="exact"/>
        <w:rPr>
          <w:rFonts w:ascii="Arial" w:cs="Arial" w:eastAsia="Arial" w:hAnsi="Arial"/>
          <w:sz w:val="18"/>
          <w:szCs w:val="18"/>
          <w:color w:val="auto"/>
        </w:rPr>
      </w:pPr>
    </w:p>
    <w:p>
      <w:pPr>
        <w:ind w:left="1560" w:hanging="539"/>
        <w:spacing w:after="0" w:line="246" w:lineRule="auto"/>
        <w:tabs>
          <w:tab w:leader="none" w:pos="156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any notice required by the Account Security to be given to an Account Bank has been given to, and acknowledged by, the Account Bank in the form required by the relevant Account Security;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44" w:name="page145"/>
    <w:bookmarkEnd w:id="144"/>
    <w:p>
      <w:pPr>
        <w:jc w:val="both"/>
        <w:ind w:left="1560" w:hanging="539"/>
        <w:spacing w:after="0"/>
        <w:tabs>
          <w:tab w:leader="none" w:pos="156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the Agent, or its duly authorised representative, has received such documents and evidence it may require in relation to the Account and the Account Security including documents and evidence of the type referred to in Schedule 3 (</w:t>
      </w:r>
      <w:r>
        <w:rPr>
          <w:rFonts w:ascii="Arial" w:cs="Arial" w:eastAsia="Arial" w:hAnsi="Arial"/>
          <w:sz w:val="18"/>
          <w:szCs w:val="18"/>
          <w:i w:val="1"/>
          <w:iCs w:val="1"/>
          <w:color w:val="auto"/>
        </w:rPr>
        <w:t>Conditions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precedent) </w:t>
      </w:r>
      <w:r>
        <w:rPr>
          <w:rFonts w:ascii="Arial" w:cs="Arial" w:eastAsia="Arial" w:hAnsi="Arial"/>
          <w:sz w:val="18"/>
          <w:szCs w:val="18"/>
          <w:color w:val="auto"/>
        </w:rPr>
        <w:t>in relation to the Account and the relevant Account Security.</w:t>
      </w:r>
    </w:p>
    <w:p>
      <w:pPr>
        <w:spacing w:after="0" w:line="189" w:lineRule="exact"/>
        <w:rPr>
          <w:rFonts w:ascii="Arial" w:cs="Arial" w:eastAsia="Arial" w:hAnsi="Arial"/>
          <w:sz w:val="18"/>
          <w:szCs w:val="18"/>
          <w:color w:val="auto"/>
        </w:rPr>
      </w:pPr>
    </w:p>
    <w:p>
      <w:pPr>
        <w:jc w:val="both"/>
        <w:ind w:left="1060" w:hanging="512"/>
        <w:spacing w:after="0"/>
        <w:tabs>
          <w:tab w:leader="none" w:pos="10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rates of payment of interest and other terms regulating any Account will be a matter of separate agreement between the relevant Account Holder(s) and Account Bank. If an Account is a fixed term deposit account, the relevant Account Holder(s) may select the terms of deposits until the relevant Account Security has become enforceable and the Security Agent directs otherwise.</w:t>
      </w:r>
    </w:p>
    <w:p>
      <w:pPr>
        <w:spacing w:after="0" w:line="189" w:lineRule="exact"/>
        <w:rPr>
          <w:rFonts w:ascii="Arial" w:cs="Arial" w:eastAsia="Arial" w:hAnsi="Arial"/>
          <w:sz w:val="18"/>
          <w:szCs w:val="18"/>
          <w:color w:val="auto"/>
        </w:rPr>
      </w:pPr>
    </w:p>
    <w:p>
      <w:pPr>
        <w:ind w:left="1060" w:hanging="512"/>
        <w:spacing w:after="0" w:line="246" w:lineRule="auto"/>
        <w:tabs>
          <w:tab w:leader="none" w:pos="10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relevant Account Holder(s) shall not close any Account or alter the terms of any Account from those in force at the time it is designated for the purposes of this clause 27 or waive any of its rights in relation to an Account except with approval.</w:t>
      </w:r>
    </w:p>
    <w:p>
      <w:pPr>
        <w:spacing w:after="0" w:line="183" w:lineRule="exact"/>
        <w:rPr>
          <w:rFonts w:ascii="Arial" w:cs="Arial" w:eastAsia="Arial" w:hAnsi="Arial"/>
          <w:sz w:val="18"/>
          <w:szCs w:val="18"/>
          <w:color w:val="auto"/>
        </w:rPr>
      </w:pPr>
    </w:p>
    <w:p>
      <w:pPr>
        <w:jc w:val="both"/>
        <w:ind w:left="1060" w:hanging="512"/>
        <w:spacing w:after="0"/>
        <w:tabs>
          <w:tab w:leader="none" w:pos="10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relevant Account Holder(s) shall, upon request by the Agent, deposit with the Security Agent all certificates of deposit, receipts or other instruments or securities relating to any Account, notify the Security Agent of any claim or notice relating to an Account from any other party and provide the Agent with any other information it may request concerning any Account.</w:t>
      </w:r>
    </w:p>
    <w:p>
      <w:pPr>
        <w:spacing w:after="0" w:line="189" w:lineRule="exact"/>
        <w:rPr>
          <w:rFonts w:ascii="Arial" w:cs="Arial" w:eastAsia="Arial" w:hAnsi="Arial"/>
          <w:sz w:val="18"/>
          <w:szCs w:val="18"/>
          <w:color w:val="auto"/>
        </w:rPr>
      </w:pPr>
    </w:p>
    <w:p>
      <w:pPr>
        <w:jc w:val="both"/>
        <w:ind w:left="1060" w:hanging="512"/>
        <w:spacing w:after="0" w:line="239" w:lineRule="auto"/>
        <w:tabs>
          <w:tab w:leader="none" w:pos="10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Each Finance Party agrees that if it is an Account Bank in respect of an Account then there will be no restrictions on creating a Security Interest over that Account as contemplated by this Agreement and it shall not (except with the approval of the Majority Lenders) exercise any right of combination, consolidation or set-off which it may have in respect of that Account in a manner adverse to the rights of the other Finance Parties.</w:t>
      </w:r>
    </w:p>
    <w:p>
      <w:pPr>
        <w:spacing w:after="0" w:line="16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8"/>
          <w:szCs w:val="18"/>
          <w:b w:val="1"/>
          <w:bCs w:val="1"/>
          <w:color w:val="auto"/>
        </w:rPr>
        <w:t>Business restrictions</w:t>
      </w:r>
    </w:p>
    <w:p>
      <w:pPr>
        <w:spacing w:after="0" w:line="220" w:lineRule="exact"/>
        <w:rPr>
          <w:sz w:val="20"/>
          <w:szCs w:val="20"/>
          <w:color w:val="auto"/>
        </w:rPr>
      </w:pPr>
    </w:p>
    <w:p>
      <w:pPr>
        <w:ind w:left="540"/>
        <w:spacing w:after="0" w:line="246" w:lineRule="auto"/>
        <w:rPr>
          <w:sz w:val="20"/>
          <w:szCs w:val="20"/>
          <w:color w:val="auto"/>
        </w:rPr>
      </w:pPr>
      <w:r>
        <w:rPr>
          <w:rFonts w:ascii="Arial" w:cs="Arial" w:eastAsia="Arial" w:hAnsi="Arial"/>
          <w:sz w:val="18"/>
          <w:szCs w:val="18"/>
          <w:color w:val="auto"/>
        </w:rPr>
        <w:t>Except as otherwise approved by the Majority Lenders, each Obligor undertakes that throughout the Facility Period this clause 28 will be complied with by and in respect of each Group Member to which each of the provisions below is expressed to apply.</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28.1</w:t>
      </w:r>
      <w:r>
        <w:rPr>
          <w:sz w:val="20"/>
          <w:szCs w:val="20"/>
          <w:color w:val="auto"/>
        </w:rPr>
        <w:tab/>
      </w:r>
      <w:r>
        <w:rPr>
          <w:rFonts w:ascii="Arial" w:cs="Arial" w:eastAsia="Arial" w:hAnsi="Arial"/>
          <w:sz w:val="17"/>
          <w:szCs w:val="17"/>
          <w:b w:val="1"/>
          <w:bCs w:val="1"/>
          <w:color w:val="auto"/>
        </w:rPr>
        <w:t>General negative pledge</w:t>
      </w:r>
    </w:p>
    <w:p>
      <w:pPr>
        <w:spacing w:after="0" w:line="198" w:lineRule="exact"/>
        <w:rPr>
          <w:sz w:val="20"/>
          <w:szCs w:val="20"/>
          <w:color w:val="auto"/>
        </w:rPr>
      </w:pPr>
    </w:p>
    <w:p>
      <w:pPr>
        <w:ind w:left="1060" w:hanging="512"/>
        <w:spacing w:after="0"/>
        <w:tabs>
          <w:tab w:leader="none" w:pos="10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 xml:space="preserve">In this clause 28.1, </w:t>
      </w:r>
      <w:r>
        <w:rPr>
          <w:rFonts w:ascii="Arial" w:cs="Arial" w:eastAsia="Arial" w:hAnsi="Arial"/>
          <w:sz w:val="18"/>
          <w:szCs w:val="18"/>
          <w:b w:val="1"/>
          <w:bCs w:val="1"/>
          <w:color w:val="auto"/>
        </w:rPr>
        <w:t>Quasi-Security</w:t>
      </w:r>
      <w:r>
        <w:rPr>
          <w:rFonts w:ascii="Arial" w:cs="Arial" w:eastAsia="Arial" w:hAnsi="Arial"/>
          <w:sz w:val="18"/>
          <w:szCs w:val="18"/>
          <w:color w:val="auto"/>
        </w:rPr>
        <w:t xml:space="preserve"> means an arrangement or transaction described in clause 28.1(d).</w:t>
      </w:r>
    </w:p>
    <w:p>
      <w:pPr>
        <w:spacing w:after="0" w:line="220" w:lineRule="exact"/>
        <w:rPr>
          <w:rFonts w:ascii="Arial" w:cs="Arial" w:eastAsia="Arial" w:hAnsi="Arial"/>
          <w:sz w:val="18"/>
          <w:szCs w:val="18"/>
          <w:color w:val="auto"/>
        </w:rPr>
      </w:pPr>
    </w:p>
    <w:p>
      <w:pPr>
        <w:ind w:left="1060" w:hanging="512"/>
        <w:spacing w:after="0" w:line="246" w:lineRule="auto"/>
        <w:tabs>
          <w:tab w:leader="none" w:pos="10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No Borrower shall permit any Security Interest to exist, arise or be created or extended over all or any part of its assets except for Permitted Security Interests.</w:t>
      </w:r>
    </w:p>
    <w:p>
      <w:pPr>
        <w:spacing w:after="0" w:line="165" w:lineRule="exact"/>
        <w:rPr>
          <w:rFonts w:ascii="Arial" w:cs="Arial" w:eastAsia="Arial" w:hAnsi="Arial"/>
          <w:sz w:val="18"/>
          <w:szCs w:val="18"/>
          <w:color w:val="auto"/>
        </w:rPr>
      </w:pPr>
    </w:p>
    <w:p>
      <w:pPr>
        <w:ind w:left="1060" w:hanging="512"/>
        <w:spacing w:after="0"/>
        <w:tabs>
          <w:tab w:leader="none" w:pos="10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(Without prejudice to clauses 28.2 (</w:t>
      </w:r>
      <w:r>
        <w:rPr>
          <w:rFonts w:ascii="Arial" w:cs="Arial" w:eastAsia="Arial" w:hAnsi="Arial"/>
          <w:sz w:val="18"/>
          <w:szCs w:val="18"/>
          <w:i w:val="1"/>
          <w:iCs w:val="1"/>
          <w:color w:val="auto"/>
        </w:rPr>
        <w:t>Financial Indebtedness</w:t>
      </w:r>
      <w:r>
        <w:rPr>
          <w:rFonts w:ascii="Arial" w:cs="Arial" w:eastAsia="Arial" w:hAnsi="Arial"/>
          <w:sz w:val="18"/>
          <w:szCs w:val="18"/>
          <w:color w:val="auto"/>
        </w:rPr>
        <w:t>) and 28.6 (</w:t>
      </w:r>
      <w:r>
        <w:rPr>
          <w:rFonts w:ascii="Arial" w:cs="Arial" w:eastAsia="Arial" w:hAnsi="Arial"/>
          <w:sz w:val="18"/>
          <w:szCs w:val="18"/>
          <w:i w:val="1"/>
          <w:iCs w:val="1"/>
          <w:color w:val="auto"/>
        </w:rPr>
        <w:t>Disposals</w:t>
      </w:r>
      <w:r>
        <w:rPr>
          <w:rFonts w:ascii="Arial" w:cs="Arial" w:eastAsia="Arial" w:hAnsi="Arial"/>
          <w:sz w:val="18"/>
          <w:szCs w:val="18"/>
          <w:color w:val="auto"/>
        </w:rPr>
        <w:t>)), no Borrower shall:</w:t>
      </w:r>
    </w:p>
    <w:p>
      <w:pPr>
        <w:spacing w:after="0" w:line="216" w:lineRule="exact"/>
        <w:rPr>
          <w:rFonts w:ascii="Arial" w:cs="Arial" w:eastAsia="Arial" w:hAnsi="Arial"/>
          <w:sz w:val="18"/>
          <w:szCs w:val="18"/>
          <w:color w:val="auto"/>
        </w:rPr>
      </w:pPr>
    </w:p>
    <w:p>
      <w:pPr>
        <w:ind w:left="1560" w:hanging="539"/>
        <w:spacing w:after="0" w:line="246" w:lineRule="auto"/>
        <w:tabs>
          <w:tab w:leader="none" w:pos="156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sell, transfer or otherwise dispose of any of its assets on terms whereby that asset is or may be leased to, or re-acquired by, any other Group Member other than pursuant to disposals permitted under clause 28.6 (</w:t>
      </w:r>
      <w:r>
        <w:rPr>
          <w:rFonts w:ascii="Arial" w:cs="Arial" w:eastAsia="Arial" w:hAnsi="Arial"/>
          <w:sz w:val="18"/>
          <w:szCs w:val="18"/>
          <w:i w:val="1"/>
          <w:iCs w:val="1"/>
          <w:color w:val="auto"/>
        </w:rPr>
        <w:t>Disposals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560" w:hanging="539"/>
        <w:spacing w:after="0" w:line="246" w:lineRule="auto"/>
        <w:tabs>
          <w:tab w:leader="none" w:pos="156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sell, transfer, factor or otherwise dispose of any of its receivables on recourse terms (except for the discounting of bills or notes in the ordinary course of business);</w:t>
      </w:r>
    </w:p>
    <w:p>
      <w:pPr>
        <w:spacing w:after="0" w:line="183" w:lineRule="exact"/>
        <w:rPr>
          <w:rFonts w:ascii="Arial" w:cs="Arial" w:eastAsia="Arial" w:hAnsi="Arial"/>
          <w:sz w:val="18"/>
          <w:szCs w:val="18"/>
          <w:color w:val="auto"/>
        </w:rPr>
      </w:pPr>
    </w:p>
    <w:p>
      <w:pPr>
        <w:ind w:left="1560" w:hanging="539"/>
        <w:spacing w:after="0" w:line="246" w:lineRule="auto"/>
        <w:tabs>
          <w:tab w:leader="none" w:pos="156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enter into any arrangement under which money or the benefit of a bank or other account may be applied, set-off or made subject to a combination of accounts; or</w:t>
      </w:r>
    </w:p>
    <w:p>
      <w:pPr>
        <w:spacing w:after="0" w:line="183" w:lineRule="exact"/>
        <w:rPr>
          <w:rFonts w:ascii="Arial" w:cs="Arial" w:eastAsia="Arial" w:hAnsi="Arial"/>
          <w:sz w:val="18"/>
          <w:szCs w:val="18"/>
          <w:color w:val="auto"/>
        </w:rPr>
      </w:pPr>
    </w:p>
    <w:p>
      <w:pPr>
        <w:ind w:left="1560" w:hanging="539"/>
        <w:spacing w:after="0"/>
        <w:tabs>
          <w:tab w:leader="none" w:pos="156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enter into any other preferential arrangement having a similar effect,</w:t>
      </w:r>
    </w:p>
    <w:p>
      <w:pPr>
        <w:spacing w:after="0" w:line="198" w:lineRule="exact"/>
        <w:rPr>
          <w:sz w:val="20"/>
          <w:szCs w:val="20"/>
          <w:color w:val="auto"/>
        </w:rPr>
      </w:pPr>
    </w:p>
    <w:p>
      <w:pPr>
        <w:ind w:left="1020"/>
        <w:spacing w:after="0" w:line="246" w:lineRule="auto"/>
        <w:rPr>
          <w:sz w:val="20"/>
          <w:szCs w:val="20"/>
          <w:color w:val="auto"/>
        </w:rPr>
      </w:pPr>
      <w:r>
        <w:rPr>
          <w:rFonts w:ascii="Arial" w:cs="Arial" w:eastAsia="Arial" w:hAnsi="Arial"/>
          <w:sz w:val="18"/>
          <w:szCs w:val="18"/>
          <w:color w:val="auto"/>
        </w:rPr>
        <w:t>in circumstances where the arrangement or transaction is entered into primarily as a method of raising Financial Indebtedness or of financing the acquisition of an asset.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45" w:name="page146"/>
    <w:bookmarkEnd w:id="145"/>
    <w:p>
      <w:pPr>
        <w:ind w:left="1060" w:hanging="512"/>
        <w:spacing w:after="0"/>
        <w:tabs>
          <w:tab w:leader="none" w:pos="10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Clauses 28.1(b) and 28.1(c) above do not apply to any Security Interest or (as the case may be) Quasi-Security, listed below:</w:t>
      </w:r>
    </w:p>
    <w:p>
      <w:pPr>
        <w:spacing w:after="0" w:line="198" w:lineRule="exact"/>
        <w:rPr>
          <w:rFonts w:ascii="Arial" w:cs="Arial" w:eastAsia="Arial" w:hAnsi="Arial"/>
          <w:sz w:val="18"/>
          <w:szCs w:val="18"/>
          <w:color w:val="auto"/>
        </w:rPr>
      </w:pPr>
    </w:p>
    <w:p>
      <w:pPr>
        <w:ind w:left="1560" w:hanging="539"/>
        <w:spacing w:after="0"/>
        <w:tabs>
          <w:tab w:leader="none" w:pos="156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those granted or expressed to be granted by any of the Security Documents;</w:t>
      </w:r>
    </w:p>
    <w:p>
      <w:pPr>
        <w:spacing w:after="0" w:line="198" w:lineRule="exact"/>
        <w:rPr>
          <w:rFonts w:ascii="Arial" w:cs="Arial" w:eastAsia="Arial" w:hAnsi="Arial"/>
          <w:sz w:val="18"/>
          <w:szCs w:val="18"/>
          <w:color w:val="auto"/>
        </w:rPr>
      </w:pPr>
    </w:p>
    <w:p>
      <w:pPr>
        <w:ind w:left="1560" w:hanging="539"/>
        <w:spacing w:after="0"/>
        <w:tabs>
          <w:tab w:leader="none" w:pos="156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in relation to a Mortgaged Ship, Permitted Maritime Liens; and</w:t>
      </w:r>
    </w:p>
    <w:p>
      <w:pPr>
        <w:spacing w:after="0" w:line="198" w:lineRule="exact"/>
        <w:rPr>
          <w:rFonts w:ascii="Arial" w:cs="Arial" w:eastAsia="Arial" w:hAnsi="Arial"/>
          <w:sz w:val="18"/>
          <w:szCs w:val="18"/>
          <w:color w:val="auto"/>
        </w:rPr>
      </w:pPr>
    </w:p>
    <w:p>
      <w:pPr>
        <w:ind w:left="1560" w:hanging="539"/>
        <w:spacing w:after="0" w:line="246" w:lineRule="auto"/>
        <w:tabs>
          <w:tab w:leader="none" w:pos="156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those granted in connection with the Existing Indebtedness until the Existing Indebtedness is refinanced in full and in any event not later than the first Utilisation Date.</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28.2</w:t>
        <w:tab/>
        <w:t>Financial Indebtedness</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 Borrower shall incur or permit to exist, any Financial Indebtedness owed by it to anyone else except:</w:t>
      </w:r>
    </w:p>
    <w:p>
      <w:pPr>
        <w:spacing w:after="0" w:line="198" w:lineRule="exact"/>
        <w:rPr>
          <w:sz w:val="20"/>
          <w:szCs w:val="20"/>
          <w:color w:val="auto"/>
        </w:rPr>
      </w:pPr>
    </w:p>
    <w:p>
      <w:pPr>
        <w:ind w:left="1060" w:hanging="512"/>
        <w:spacing w:after="0"/>
        <w:tabs>
          <w:tab w:leader="none" w:pos="10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Financial Indebtedness incurred under the Finance Documents;</w:t>
      </w:r>
    </w:p>
    <w:p>
      <w:pPr>
        <w:spacing w:after="0" w:line="198" w:lineRule="exact"/>
        <w:rPr>
          <w:rFonts w:ascii="Arial" w:cs="Arial" w:eastAsia="Arial" w:hAnsi="Arial"/>
          <w:sz w:val="18"/>
          <w:szCs w:val="18"/>
          <w:color w:val="auto"/>
        </w:rPr>
      </w:pPr>
    </w:p>
    <w:p>
      <w:pPr>
        <w:ind w:left="1060" w:right="20" w:hanging="512"/>
        <w:spacing w:after="0" w:line="246" w:lineRule="auto"/>
        <w:tabs>
          <w:tab w:leader="none" w:pos="10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Financial Indebtedness owed to another Obligor (provided that any such Financial Indebtedness owed by an Owner is unsecured and subordinated to the Finance Documents on approved terms);</w:t>
      </w:r>
    </w:p>
    <w:p>
      <w:pPr>
        <w:spacing w:after="0" w:line="165" w:lineRule="exact"/>
        <w:rPr>
          <w:rFonts w:ascii="Arial" w:cs="Arial" w:eastAsia="Arial" w:hAnsi="Arial"/>
          <w:sz w:val="18"/>
          <w:szCs w:val="18"/>
          <w:color w:val="auto"/>
        </w:rPr>
      </w:pPr>
    </w:p>
    <w:p>
      <w:pPr>
        <w:ind w:left="1060" w:hanging="512"/>
        <w:spacing w:after="0"/>
        <w:tabs>
          <w:tab w:leader="none" w:pos="10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Financial Indebtedness permitted under clause 28.3 (</w:t>
      </w:r>
      <w:r>
        <w:rPr>
          <w:rFonts w:ascii="Arial" w:cs="Arial" w:eastAsia="Arial" w:hAnsi="Arial"/>
          <w:sz w:val="18"/>
          <w:szCs w:val="18"/>
          <w:i w:val="1"/>
          <w:iCs w:val="1"/>
          <w:color w:val="auto"/>
        </w:rPr>
        <w:t>Guarantees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1060" w:hanging="512"/>
        <w:spacing w:after="0"/>
        <w:tabs>
          <w:tab w:leader="none" w:pos="10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Financial Indebtedness permitted under clause 28.4 (</w:t>
      </w:r>
      <w:r>
        <w:rPr>
          <w:rFonts w:ascii="Arial" w:cs="Arial" w:eastAsia="Arial" w:hAnsi="Arial"/>
          <w:sz w:val="18"/>
          <w:szCs w:val="18"/>
          <w:i w:val="1"/>
          <w:iCs w:val="1"/>
          <w:color w:val="auto"/>
        </w:rPr>
        <w:t>Loans and credit</w:t>
      </w:r>
      <w:r>
        <w:rPr>
          <w:rFonts w:ascii="Arial" w:cs="Arial" w:eastAsia="Arial" w:hAnsi="Arial"/>
          <w:sz w:val="18"/>
          <w:szCs w:val="18"/>
          <w:color w:val="auto"/>
        </w:rPr>
        <w:t>); and</w:t>
      </w:r>
    </w:p>
    <w:p>
      <w:pPr>
        <w:spacing w:after="0" w:line="216" w:lineRule="exact"/>
        <w:rPr>
          <w:rFonts w:ascii="Arial" w:cs="Arial" w:eastAsia="Arial" w:hAnsi="Arial"/>
          <w:sz w:val="18"/>
          <w:szCs w:val="18"/>
          <w:color w:val="auto"/>
        </w:rPr>
      </w:pPr>
    </w:p>
    <w:p>
      <w:pPr>
        <w:ind w:left="1060" w:hanging="512"/>
        <w:spacing w:after="0" w:line="246" w:lineRule="auto"/>
        <w:tabs>
          <w:tab w:leader="none" w:pos="10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Existing Indebtedness until such Existing Indebtedness is refinanced in full and in any event not later than the first Utilisation Date.</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28.3</w:t>
        <w:tab/>
        <w:t>Guarantees</w:t>
      </w:r>
    </w:p>
    <w:p>
      <w:pPr>
        <w:spacing w:after="0" w:line="220" w:lineRule="exact"/>
        <w:rPr>
          <w:sz w:val="20"/>
          <w:szCs w:val="20"/>
          <w:color w:val="auto"/>
        </w:rPr>
      </w:pPr>
    </w:p>
    <w:p>
      <w:pPr>
        <w:ind w:left="540"/>
        <w:spacing w:after="0" w:line="246" w:lineRule="auto"/>
        <w:rPr>
          <w:sz w:val="20"/>
          <w:szCs w:val="20"/>
          <w:color w:val="auto"/>
        </w:rPr>
      </w:pPr>
      <w:r>
        <w:rPr>
          <w:rFonts w:ascii="Arial" w:cs="Arial" w:eastAsia="Arial" w:hAnsi="Arial"/>
          <w:sz w:val="18"/>
          <w:szCs w:val="18"/>
          <w:color w:val="auto"/>
        </w:rPr>
        <w:t>No Borrower shall give or permit to exist, any guarantee by it in respect of indebtedness of any person or allow any of its indebtedness to be guaranteed by anyone else except:</w:t>
      </w:r>
    </w:p>
    <w:p>
      <w:pPr>
        <w:spacing w:after="0" w:line="183" w:lineRule="exact"/>
        <w:rPr>
          <w:sz w:val="20"/>
          <w:szCs w:val="20"/>
          <w:color w:val="auto"/>
        </w:rPr>
      </w:pPr>
    </w:p>
    <w:p>
      <w:pPr>
        <w:ind w:left="1060" w:hanging="512"/>
        <w:spacing w:after="0"/>
        <w:tabs>
          <w:tab w:leader="none" w:pos="10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guarantees of obligations of Affiliates that are not Financial Indebtedness or obligations prohibited by any Finance Document;</w:t>
      </w:r>
    </w:p>
    <w:p>
      <w:pPr>
        <w:spacing w:after="0" w:line="198" w:lineRule="exact"/>
        <w:rPr>
          <w:rFonts w:ascii="Arial" w:cs="Arial" w:eastAsia="Arial" w:hAnsi="Arial"/>
          <w:sz w:val="18"/>
          <w:szCs w:val="18"/>
          <w:color w:val="auto"/>
        </w:rPr>
      </w:pPr>
    </w:p>
    <w:p>
      <w:pPr>
        <w:ind w:left="1060" w:right="20" w:hanging="512"/>
        <w:spacing w:after="0" w:line="246" w:lineRule="auto"/>
        <w:tabs>
          <w:tab w:leader="none" w:pos="10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guarantees in favour of its own trade creditors given in the ordinary course of its business or in order to avoid the creation of, or to release, a Permitted Maritime Lien; and</w:t>
      </w:r>
    </w:p>
    <w:p>
      <w:pPr>
        <w:spacing w:after="0" w:line="165" w:lineRule="exact"/>
        <w:rPr>
          <w:rFonts w:ascii="Arial" w:cs="Arial" w:eastAsia="Arial" w:hAnsi="Arial"/>
          <w:sz w:val="18"/>
          <w:szCs w:val="18"/>
          <w:color w:val="auto"/>
        </w:rPr>
      </w:pPr>
    </w:p>
    <w:p>
      <w:pPr>
        <w:ind w:left="1060" w:hanging="512"/>
        <w:spacing w:after="0"/>
        <w:tabs>
          <w:tab w:leader="none" w:pos="10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guarantees which are Financial Indebtedness permitted under clause 28.2 (</w:t>
      </w:r>
      <w:r>
        <w:rPr>
          <w:rFonts w:ascii="Arial" w:cs="Arial" w:eastAsia="Arial" w:hAnsi="Arial"/>
          <w:sz w:val="18"/>
          <w:szCs w:val="18"/>
          <w:i w:val="1"/>
          <w:iCs w:val="1"/>
          <w:color w:val="auto"/>
        </w:rPr>
        <w:t>Financial Indebtedness</w:t>
      </w:r>
      <w:r>
        <w:rPr>
          <w:rFonts w:ascii="Arial" w:cs="Arial" w:eastAsia="Arial" w:hAnsi="Arial"/>
          <w:sz w:val="18"/>
          <w:szCs w:val="18"/>
          <w:color w:val="auto"/>
        </w:rPr>
        <w:t>).</w:t>
      </w:r>
    </w:p>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28.4</w:t>
      </w:r>
      <w:r>
        <w:rPr>
          <w:sz w:val="20"/>
          <w:szCs w:val="20"/>
          <w:color w:val="auto"/>
        </w:rPr>
        <w:tab/>
      </w:r>
      <w:r>
        <w:rPr>
          <w:rFonts w:ascii="Arial" w:cs="Arial" w:eastAsia="Arial" w:hAnsi="Arial"/>
          <w:sz w:val="17"/>
          <w:szCs w:val="17"/>
          <w:b w:val="1"/>
          <w:bCs w:val="1"/>
          <w:color w:val="auto"/>
        </w:rPr>
        <w:t>Loans and credit</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 Borrower shall make, grant or permit to exist any loans or any credit by it to anyone else other than:</w:t>
      </w:r>
    </w:p>
    <w:p>
      <w:pPr>
        <w:spacing w:after="0" w:line="180" w:lineRule="exact"/>
        <w:rPr>
          <w:sz w:val="20"/>
          <w:szCs w:val="20"/>
          <w:color w:val="auto"/>
        </w:rPr>
      </w:pPr>
    </w:p>
    <w:p>
      <w:pPr>
        <w:ind w:left="1060" w:hanging="512"/>
        <w:spacing w:after="0"/>
        <w:tabs>
          <w:tab w:leader="none" w:pos="10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loans or credit to another Borrower or Guarantor permitted under clause 28.2 (</w:t>
      </w:r>
      <w:r>
        <w:rPr>
          <w:rFonts w:ascii="Arial" w:cs="Arial" w:eastAsia="Arial" w:hAnsi="Arial"/>
          <w:sz w:val="18"/>
          <w:szCs w:val="18"/>
          <w:i w:val="1"/>
          <w:iCs w:val="1"/>
          <w:color w:val="auto"/>
        </w:rPr>
        <w:t>Financial Indebtedness</w:t>
      </w:r>
      <w:r>
        <w:rPr>
          <w:rFonts w:ascii="Arial" w:cs="Arial" w:eastAsia="Arial" w:hAnsi="Arial"/>
          <w:sz w:val="18"/>
          <w:szCs w:val="18"/>
          <w:color w:val="auto"/>
        </w:rPr>
        <w:t>); and</w:t>
      </w:r>
    </w:p>
    <w:p>
      <w:pPr>
        <w:spacing w:after="0" w:line="216" w:lineRule="exact"/>
        <w:rPr>
          <w:rFonts w:ascii="Arial" w:cs="Arial" w:eastAsia="Arial" w:hAnsi="Arial"/>
          <w:sz w:val="18"/>
          <w:szCs w:val="18"/>
          <w:color w:val="auto"/>
        </w:rPr>
      </w:pPr>
    </w:p>
    <w:p>
      <w:pPr>
        <w:ind w:left="1060" w:hanging="512"/>
        <w:spacing w:after="0"/>
        <w:tabs>
          <w:tab w:leader="none" w:pos="10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trade credit granted by it to its customers on normal commercial terms in the ordinary course of its trading activities</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28.5</w:t>
        <w:tab/>
        <w:t>Bank accounts, operating leases and other financial transactions</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 Borrower shall:</w:t>
      </w:r>
    </w:p>
    <w:p>
      <w:pPr>
        <w:spacing w:after="0" w:line="198" w:lineRule="exact"/>
        <w:rPr>
          <w:sz w:val="20"/>
          <w:szCs w:val="20"/>
          <w:color w:val="auto"/>
        </w:rPr>
      </w:pPr>
    </w:p>
    <w:p>
      <w:pPr>
        <w:jc w:val="both"/>
        <w:ind w:left="1060" w:hanging="512"/>
        <w:spacing w:after="0"/>
        <w:tabs>
          <w:tab w:leader="none" w:pos="10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maintain any current or deposit account with a bank or financial institution except for the Accounts (or any dormant accounts opened prior to this Agreement in connection with the Existing Indebtedness and until their gradual closure following the first Utilisation) and the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46" w:name="page147"/>
    <w:bookmarkEnd w:id="146"/>
    <w:p>
      <w:pPr>
        <w:ind w:left="1020"/>
        <w:spacing w:after="0"/>
        <w:rPr>
          <w:sz w:val="20"/>
          <w:szCs w:val="20"/>
          <w:color w:val="auto"/>
        </w:rPr>
      </w:pPr>
      <w:r>
        <w:rPr>
          <w:rFonts w:ascii="Arial" w:cs="Arial" w:eastAsia="Arial" w:hAnsi="Arial"/>
          <w:sz w:val="18"/>
          <w:szCs w:val="18"/>
          <w:color w:val="auto"/>
        </w:rPr>
        <w:t>deposit of money, operation of current accounts and the conduct of electronic banking operations through the Accounts;</w:t>
      </w:r>
    </w:p>
    <w:p>
      <w:pPr>
        <w:spacing w:after="0" w:line="198" w:lineRule="exact"/>
        <w:rPr>
          <w:sz w:val="20"/>
          <w:szCs w:val="20"/>
          <w:color w:val="auto"/>
        </w:rPr>
      </w:pPr>
    </w:p>
    <w:p>
      <w:pPr>
        <w:ind w:left="1060" w:hanging="512"/>
        <w:spacing w:after="0"/>
        <w:tabs>
          <w:tab w:leader="none" w:pos="10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hold cash in any account other than the Accounts;</w:t>
      </w:r>
    </w:p>
    <w:p>
      <w:pPr>
        <w:spacing w:after="0" w:line="198" w:lineRule="exact"/>
        <w:rPr>
          <w:rFonts w:ascii="Arial" w:cs="Arial" w:eastAsia="Arial" w:hAnsi="Arial"/>
          <w:sz w:val="18"/>
          <w:szCs w:val="18"/>
          <w:color w:val="auto"/>
        </w:rPr>
      </w:pPr>
    </w:p>
    <w:p>
      <w:pPr>
        <w:ind w:left="1060" w:hanging="512"/>
        <w:spacing w:after="0"/>
        <w:tabs>
          <w:tab w:leader="none" w:pos="10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enter into any obligations under operating leases relating to assets; or</w:t>
      </w:r>
    </w:p>
    <w:p>
      <w:pPr>
        <w:spacing w:after="0" w:line="198" w:lineRule="exact"/>
        <w:rPr>
          <w:rFonts w:ascii="Arial" w:cs="Arial" w:eastAsia="Arial" w:hAnsi="Arial"/>
          <w:sz w:val="18"/>
          <w:szCs w:val="18"/>
          <w:color w:val="auto"/>
        </w:rPr>
      </w:pPr>
    </w:p>
    <w:p>
      <w:pPr>
        <w:ind w:left="1060" w:hanging="512"/>
        <w:spacing w:after="0" w:line="246" w:lineRule="auto"/>
        <w:tabs>
          <w:tab w:leader="none" w:pos="10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be party to any banking or financial transaction, whether on or off balance sheet, that is not expressly permitted under this clause 28.</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28.6</w:t>
        <w:tab/>
        <w:t>Disposals</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No Borrower shall enter into a single transaction or a series of transactions, whether related or not and whether voluntarily or involuntarily, to dispose of any asset except for any of the following disposals so long as they are not prohibited by any other provision of the Finance Documents:</w:t>
      </w:r>
    </w:p>
    <w:p>
      <w:pPr>
        <w:spacing w:after="0" w:line="189" w:lineRule="exact"/>
        <w:rPr>
          <w:sz w:val="20"/>
          <w:szCs w:val="20"/>
          <w:color w:val="auto"/>
        </w:rPr>
      </w:pPr>
    </w:p>
    <w:p>
      <w:pPr>
        <w:ind w:left="1060" w:hanging="512"/>
        <w:spacing w:after="0"/>
        <w:tabs>
          <w:tab w:leader="none" w:pos="10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disposals of assets made in (and on terms reflecting) the ordinary course of trading of the disposing entity;</w:t>
      </w:r>
    </w:p>
    <w:p>
      <w:pPr>
        <w:spacing w:after="0" w:line="198" w:lineRule="exact"/>
        <w:rPr>
          <w:rFonts w:ascii="Arial" w:cs="Arial" w:eastAsia="Arial" w:hAnsi="Arial"/>
          <w:sz w:val="18"/>
          <w:szCs w:val="18"/>
          <w:color w:val="auto"/>
        </w:rPr>
      </w:pPr>
    </w:p>
    <w:p>
      <w:pPr>
        <w:ind w:left="1060" w:hanging="512"/>
        <w:spacing w:after="0" w:line="246" w:lineRule="auto"/>
        <w:tabs>
          <w:tab w:leader="none" w:pos="10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disposals of obsolete assets, or assets which are no longer required for the purpose of the business of the relevant Borrower, in each case for cash on normal commercial terms and on an arm’s length basis;</w:t>
      </w:r>
    </w:p>
    <w:p>
      <w:pPr>
        <w:spacing w:after="0" w:line="165" w:lineRule="exact"/>
        <w:rPr>
          <w:rFonts w:ascii="Arial" w:cs="Arial" w:eastAsia="Arial" w:hAnsi="Arial"/>
          <w:sz w:val="18"/>
          <w:szCs w:val="18"/>
          <w:color w:val="auto"/>
        </w:rPr>
      </w:pPr>
    </w:p>
    <w:p>
      <w:pPr>
        <w:ind w:left="1060" w:right="20" w:hanging="512"/>
        <w:spacing w:after="0" w:line="267" w:lineRule="auto"/>
        <w:tabs>
          <w:tab w:leader="none" w:pos="10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disposals permitted by clauses 28.1 (</w:t>
      </w:r>
      <w:r>
        <w:rPr>
          <w:rFonts w:ascii="Arial" w:cs="Arial" w:eastAsia="Arial" w:hAnsi="Arial"/>
          <w:sz w:val="18"/>
          <w:szCs w:val="18"/>
          <w:i w:val="1"/>
          <w:iCs w:val="1"/>
          <w:color w:val="auto"/>
        </w:rPr>
        <w:t>General negative pledge</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28.2 (</w:t>
      </w:r>
      <w:r>
        <w:rPr>
          <w:rFonts w:ascii="Arial" w:cs="Arial" w:eastAsia="Arial" w:hAnsi="Arial"/>
          <w:sz w:val="18"/>
          <w:szCs w:val="18"/>
          <w:i w:val="1"/>
          <w:iCs w:val="1"/>
          <w:color w:val="auto"/>
        </w:rPr>
        <w:t>Financial Indebtedness</w:t>
      </w:r>
      <w:r>
        <w:rPr>
          <w:rFonts w:ascii="Arial" w:cs="Arial" w:eastAsia="Arial" w:hAnsi="Arial"/>
          <w:sz w:val="18"/>
          <w:szCs w:val="18"/>
          <w:color w:val="auto"/>
        </w:rPr>
        <w:t>) or 22.2 (</w:t>
      </w:r>
      <w:r>
        <w:rPr>
          <w:rFonts w:ascii="Arial" w:cs="Arial" w:eastAsia="Arial" w:hAnsi="Arial"/>
          <w:sz w:val="18"/>
          <w:szCs w:val="18"/>
          <w:i w:val="1"/>
          <w:iCs w:val="1"/>
          <w:color w:val="auto"/>
        </w:rPr>
        <w:t>Sale or other disposal of a</w:t>
      </w:r>
      <w:r>
        <w:rPr>
          <w:rFonts w:ascii="Arial" w:cs="Arial" w:eastAsia="Arial" w:hAnsi="Arial"/>
          <w:sz w:val="18"/>
          <w:szCs w:val="18"/>
          <w:color w:val="auto"/>
        </w:rPr>
        <w:t xml:space="preserve"> </w:t>
      </w:r>
      <w:r>
        <w:rPr>
          <w:rFonts w:ascii="Arial" w:cs="Arial" w:eastAsia="Arial" w:hAnsi="Arial"/>
          <w:sz w:val="18"/>
          <w:szCs w:val="18"/>
          <w:i w:val="1"/>
          <w:iCs w:val="1"/>
          <w:color w:val="auto"/>
        </w:rPr>
        <w:t>Ship; refinancing</w:t>
      </w:r>
      <w:r>
        <w:rPr>
          <w:rFonts w:ascii="Arial" w:cs="Arial" w:eastAsia="Arial" w:hAnsi="Arial"/>
          <w:sz w:val="18"/>
          <w:szCs w:val="18"/>
          <w:color w:val="auto"/>
        </w:rPr>
        <w:t>); and</w:t>
      </w:r>
    </w:p>
    <w:p>
      <w:pPr>
        <w:spacing w:after="0" w:line="165" w:lineRule="exact"/>
        <w:rPr>
          <w:rFonts w:ascii="Arial" w:cs="Arial" w:eastAsia="Arial" w:hAnsi="Arial"/>
          <w:sz w:val="18"/>
          <w:szCs w:val="18"/>
          <w:color w:val="auto"/>
        </w:rPr>
      </w:pPr>
    </w:p>
    <w:p>
      <w:pPr>
        <w:ind w:left="1060" w:hanging="512"/>
        <w:spacing w:after="0"/>
        <w:tabs>
          <w:tab w:leader="none" w:pos="10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application of cash or cash equivalents in the acquisition of assets or services in the ordinary course of its business.</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28.7</w:t>
        <w:tab/>
        <w:t>Contracts and arrangements with Affiliates</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No Borrower shall be party to any arrangement or contract with any of its Affiliates (other than the MLP or, and only if and to the extent otherwise expressly permitted by the other provisions of this clause 28, intra-Group loans) unless such arrangement or contract is on an arm’s length basis.</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28.8</w:t>
        <w:tab/>
        <w:t>Subsidiaries</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 Borrower shall establish or acquire a company or other entity.</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28.9</w:t>
        <w:tab/>
        <w:t>Acquisitions and investments</w:t>
      </w:r>
    </w:p>
    <w:p>
      <w:pPr>
        <w:spacing w:after="0" w:line="220" w:lineRule="exact"/>
        <w:rPr>
          <w:sz w:val="20"/>
          <w:szCs w:val="20"/>
          <w:color w:val="auto"/>
        </w:rPr>
      </w:pPr>
    </w:p>
    <w:p>
      <w:pPr>
        <w:jc w:val="both"/>
        <w:ind w:left="540"/>
        <w:spacing w:after="0" w:line="246" w:lineRule="auto"/>
        <w:rPr>
          <w:sz w:val="20"/>
          <w:szCs w:val="20"/>
          <w:color w:val="auto"/>
        </w:rPr>
      </w:pPr>
      <w:r>
        <w:rPr>
          <w:rFonts w:ascii="Arial" w:cs="Arial" w:eastAsia="Arial" w:hAnsi="Arial"/>
          <w:sz w:val="18"/>
          <w:szCs w:val="18"/>
          <w:color w:val="auto"/>
        </w:rPr>
        <w:t>No Borrower shall acquire any person, business, assets or liabilities or make any investment in any person or business or enter into any joint-venture arrangement except:</w:t>
      </w:r>
    </w:p>
    <w:p>
      <w:pPr>
        <w:spacing w:after="0" w:line="183" w:lineRule="exact"/>
        <w:rPr>
          <w:sz w:val="20"/>
          <w:szCs w:val="20"/>
          <w:color w:val="auto"/>
        </w:rPr>
      </w:pPr>
    </w:p>
    <w:p>
      <w:pPr>
        <w:ind w:left="1060" w:hanging="512"/>
        <w:spacing w:after="0"/>
        <w:tabs>
          <w:tab w:leader="none" w:pos="10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capital expenditures or investments related to maintenance of a Ship in the ordinary course of its business;</w:t>
      </w:r>
    </w:p>
    <w:p>
      <w:pPr>
        <w:spacing w:after="0" w:line="198" w:lineRule="exact"/>
        <w:rPr>
          <w:rFonts w:ascii="Arial" w:cs="Arial" w:eastAsia="Arial" w:hAnsi="Arial"/>
          <w:sz w:val="18"/>
          <w:szCs w:val="18"/>
          <w:color w:val="auto"/>
        </w:rPr>
      </w:pPr>
    </w:p>
    <w:p>
      <w:pPr>
        <w:ind w:left="1060" w:hanging="512"/>
        <w:spacing w:after="0"/>
        <w:tabs>
          <w:tab w:leader="none" w:pos="10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acquisitions of assets in the ordinary course of business (not being new businesses or vessels);</w:t>
      </w:r>
    </w:p>
    <w:p>
      <w:pPr>
        <w:spacing w:after="0" w:line="198" w:lineRule="exact"/>
        <w:rPr>
          <w:rFonts w:ascii="Arial" w:cs="Arial" w:eastAsia="Arial" w:hAnsi="Arial"/>
          <w:sz w:val="18"/>
          <w:szCs w:val="18"/>
          <w:color w:val="auto"/>
        </w:rPr>
      </w:pPr>
    </w:p>
    <w:p>
      <w:pPr>
        <w:ind w:left="1060" w:hanging="512"/>
        <w:spacing w:after="0"/>
        <w:tabs>
          <w:tab w:leader="none" w:pos="10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incurrence of liabilities in the ordinary course of its business;</w:t>
      </w:r>
    </w:p>
    <w:p>
      <w:pPr>
        <w:spacing w:after="0" w:line="198" w:lineRule="exact"/>
        <w:rPr>
          <w:rFonts w:ascii="Arial" w:cs="Arial" w:eastAsia="Arial" w:hAnsi="Arial"/>
          <w:sz w:val="18"/>
          <w:szCs w:val="18"/>
          <w:color w:val="auto"/>
        </w:rPr>
      </w:pPr>
    </w:p>
    <w:p>
      <w:pPr>
        <w:ind w:left="1060" w:hanging="512"/>
        <w:spacing w:after="0"/>
        <w:tabs>
          <w:tab w:leader="none" w:pos="10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any loan or credit not otherwise prohibited under this Agreement; or</w:t>
      </w:r>
    </w:p>
    <w:p>
      <w:pPr>
        <w:spacing w:after="0" w:line="180" w:lineRule="exact"/>
        <w:rPr>
          <w:rFonts w:ascii="Arial" w:cs="Arial" w:eastAsia="Arial" w:hAnsi="Arial"/>
          <w:sz w:val="18"/>
          <w:szCs w:val="18"/>
          <w:color w:val="auto"/>
        </w:rPr>
      </w:pPr>
    </w:p>
    <w:p>
      <w:pPr>
        <w:ind w:left="1060" w:hanging="512"/>
        <w:spacing w:after="0"/>
        <w:tabs>
          <w:tab w:leader="none" w:pos="10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pursuant to any Finance Documents or any Charter Documents to which it is party</w:t>
      </w:r>
      <w:r>
        <w:rPr>
          <w:rFonts w:ascii="Arial" w:cs="Arial" w:eastAsia="Arial" w:hAnsi="Arial"/>
          <w:sz w:val="18"/>
          <w:szCs w:val="18"/>
          <w:i w:val="1"/>
          <w:iCs w:val="1"/>
          <w:color w:val="auto"/>
        </w:rPr>
        <w: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t>28.10 Reduction of capital</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No Borrower shall redeem or purchase or otherwise reduce any of its equity or any other share capital or any warrants or any uncalled or unpaid liability in respect of any of them or reduce the amount (if any) for the time being standing to the credit of its share premium account or capital redemption or other undistributable reserve in any manner.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28.11 Distributions and other payments</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 of the Obligors shall:</w:t>
      </w:r>
    </w:p>
    <w:p>
      <w:pPr>
        <w:spacing w:after="0" w:line="198" w:lineRule="exact"/>
        <w:rPr>
          <w:sz w:val="20"/>
          <w:szCs w:val="20"/>
          <w:color w:val="auto"/>
        </w:rPr>
      </w:pPr>
    </w:p>
    <w:p>
      <w:pPr>
        <w:jc w:val="both"/>
        <w:ind w:left="1060" w:hanging="512"/>
        <w:spacing w:after="0"/>
        <w:tabs>
          <w:tab w:leader="none" w:pos="10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declare or pay (including by way of set-off, combination of accounts or otherwise) any dividend or redeem or make any other distribution or payment (whether in cash or in specie), including any interest and/or unpaid dividends, in respect of its equity or any other share capital or any warrants for the time being in issue; or</w:t>
      </w:r>
    </w:p>
    <w:p>
      <w:pPr>
        <w:spacing w:after="0" w:line="189" w:lineRule="exact"/>
        <w:rPr>
          <w:rFonts w:ascii="Arial" w:cs="Arial" w:eastAsia="Arial" w:hAnsi="Arial"/>
          <w:sz w:val="18"/>
          <w:szCs w:val="18"/>
          <w:color w:val="auto"/>
        </w:rPr>
      </w:pPr>
    </w:p>
    <w:p>
      <w:pPr>
        <w:ind w:left="1060" w:hanging="512"/>
        <w:spacing w:after="0" w:line="246" w:lineRule="auto"/>
        <w:tabs>
          <w:tab w:leader="none" w:pos="10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make any payment (including by way of set-off, combination of accounts or otherwise) by way of interest, or repayment, redemption, purchase or other payment, in respect of any shareholder loan, loan stock or similar instrument;</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except where the following conditions are met:</w:t>
      </w:r>
    </w:p>
    <w:p>
      <w:pPr>
        <w:spacing w:after="0" w:line="198" w:lineRule="exact"/>
        <w:rPr>
          <w:sz w:val="20"/>
          <w:szCs w:val="20"/>
          <w:color w:val="auto"/>
        </w:rPr>
      </w:pPr>
    </w:p>
    <w:p>
      <w:pPr>
        <w:jc w:val="both"/>
        <w:ind w:left="1560" w:hanging="539"/>
        <w:spacing w:after="0"/>
        <w:tabs>
          <w:tab w:leader="none" w:pos="15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in the case of each Obligor, if no Event of Default is continuing at the time of the declaration or payment of any such dividend, distribution or other payment, nor would result from the declaration or payment of the same and such a dividend, distribution and payment is declared and made; and</w:t>
      </w:r>
    </w:p>
    <w:p>
      <w:pPr>
        <w:spacing w:after="0" w:line="189" w:lineRule="exact"/>
        <w:rPr>
          <w:rFonts w:ascii="Arial" w:cs="Arial" w:eastAsia="Arial" w:hAnsi="Arial"/>
          <w:sz w:val="18"/>
          <w:szCs w:val="18"/>
          <w:color w:val="auto"/>
        </w:rPr>
      </w:pPr>
    </w:p>
    <w:p>
      <w:pPr>
        <w:jc w:val="both"/>
        <w:ind w:left="1560" w:hanging="539"/>
        <w:spacing w:after="0"/>
        <w:tabs>
          <w:tab w:leader="none" w:pos="15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additionally, but in the case of the Parent only, if, following payment of any such dividend, distribution or other payment, Cash and Cash Equivalents is at least four per cent of Total Indebtedness (as each such term is defined in clause 20 (</w:t>
      </w:r>
      <w:r>
        <w:rPr>
          <w:rFonts w:ascii="Arial" w:cs="Arial" w:eastAsia="Arial" w:hAnsi="Arial"/>
          <w:sz w:val="18"/>
          <w:szCs w:val="18"/>
          <w:i w:val="1"/>
          <w:iCs w:val="1"/>
          <w:color w:val="auto"/>
        </w:rPr>
        <w:t>Financial covenants</w:t>
      </w:r>
      <w:r>
        <w:rPr>
          <w:rFonts w:ascii="Arial" w:cs="Arial" w:eastAsia="Arial" w:hAnsi="Arial"/>
          <w:sz w:val="18"/>
          <w:szCs w:val="18"/>
          <w:color w:val="auto"/>
        </w:rPr>
        <w:t>)).</w:t>
      </w:r>
    </w:p>
    <w:p>
      <w:pPr>
        <w:spacing w:after="0" w:line="167" w:lineRule="exact"/>
        <w:rPr>
          <w:sz w:val="20"/>
          <w:szCs w:val="20"/>
          <w:color w:val="auto"/>
        </w:rPr>
      </w:pPr>
    </w:p>
    <w:p>
      <w:pPr>
        <w:ind w:left="540" w:hanging="532"/>
        <w:spacing w:after="0"/>
        <w:tabs>
          <w:tab w:leader="none" w:pos="54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Events of Default</w:t>
      </w:r>
    </w:p>
    <w:p>
      <w:pPr>
        <w:spacing w:after="0" w:line="202" w:lineRule="exact"/>
        <w:rPr>
          <w:rFonts w:ascii="Arial" w:cs="Arial" w:eastAsia="Arial" w:hAnsi="Arial"/>
          <w:sz w:val="18"/>
          <w:szCs w:val="18"/>
          <w:b w:val="1"/>
          <w:bCs w:val="1"/>
          <w:color w:val="auto"/>
        </w:rPr>
      </w:pPr>
    </w:p>
    <w:p>
      <w:pPr>
        <w:ind w:left="540"/>
        <w:spacing w:after="0" w:line="267" w:lineRule="auto"/>
        <w:rPr>
          <w:rFonts w:ascii="Arial" w:cs="Arial" w:eastAsia="Arial" w:hAnsi="Arial"/>
          <w:sz w:val="18"/>
          <w:szCs w:val="18"/>
          <w:b w:val="1"/>
          <w:bCs w:val="1"/>
          <w:color w:val="auto"/>
        </w:rPr>
      </w:pPr>
      <w:r>
        <w:rPr>
          <w:rFonts w:ascii="Arial" w:cs="Arial" w:eastAsia="Arial" w:hAnsi="Arial"/>
          <w:sz w:val="18"/>
          <w:szCs w:val="18"/>
          <w:color w:val="auto"/>
        </w:rPr>
        <w:t>Each of the events or circumstances set out in clauses 29.1 (</w:t>
      </w:r>
      <w:r>
        <w:rPr>
          <w:rFonts w:ascii="Arial" w:cs="Arial" w:eastAsia="Arial" w:hAnsi="Arial"/>
          <w:sz w:val="18"/>
          <w:szCs w:val="18"/>
          <w:i w:val="1"/>
          <w:iCs w:val="1"/>
          <w:color w:val="auto"/>
        </w:rPr>
        <w:t>Non-payment</w:t>
      </w:r>
      <w:r>
        <w:rPr>
          <w:rFonts w:ascii="Arial" w:cs="Arial" w:eastAsia="Arial" w:hAnsi="Arial"/>
          <w:sz w:val="18"/>
          <w:szCs w:val="18"/>
          <w:color w:val="auto"/>
        </w:rPr>
        <w:t>) to 29.22 (</w:t>
      </w:r>
      <w:r>
        <w:rPr>
          <w:rFonts w:ascii="Arial" w:cs="Arial" w:eastAsia="Arial" w:hAnsi="Arial"/>
          <w:sz w:val="18"/>
          <w:szCs w:val="18"/>
          <w:i w:val="1"/>
          <w:iCs w:val="1"/>
          <w:color w:val="auto"/>
        </w:rPr>
        <w:t>Legal and beneficial ownership</w:t>
      </w:r>
      <w:r>
        <w:rPr>
          <w:rFonts w:ascii="Arial" w:cs="Arial" w:eastAsia="Arial" w:hAnsi="Arial"/>
          <w:sz w:val="18"/>
          <w:szCs w:val="18"/>
          <w:color w:val="auto"/>
        </w:rPr>
        <w:t>) is an Event of Default.</w:t>
      </w:r>
    </w:p>
    <w:p>
      <w:pPr>
        <w:spacing w:after="0" w:line="14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29.1</w:t>
        <w:tab/>
        <w:t>Non-payment</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An Obligor does not pay on the due date any amount payable pursuant to a Finance Document at the place at and in the currency in which it is expressed to be payable provided however that no Event of Default shall occur if a Payment Disruption Event has occurred and such payment is made within three (3) Business Days of the due date.</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29.2</w:t>
      </w:r>
      <w:r>
        <w:rPr>
          <w:sz w:val="20"/>
          <w:szCs w:val="20"/>
          <w:color w:val="auto"/>
        </w:rPr>
        <w:tab/>
      </w:r>
      <w:r>
        <w:rPr>
          <w:rFonts w:ascii="Arial" w:cs="Arial" w:eastAsia="Arial" w:hAnsi="Arial"/>
          <w:sz w:val="17"/>
          <w:szCs w:val="17"/>
          <w:b w:val="1"/>
          <w:bCs w:val="1"/>
          <w:color w:val="auto"/>
        </w:rPr>
        <w:t>Financial covenants; liquidity</w:t>
      </w:r>
    </w:p>
    <w:p>
      <w:pPr>
        <w:spacing w:after="0" w:line="202" w:lineRule="exact"/>
        <w:rPr>
          <w:sz w:val="20"/>
          <w:szCs w:val="20"/>
          <w:color w:val="auto"/>
        </w:rPr>
      </w:pPr>
    </w:p>
    <w:p>
      <w:pPr>
        <w:ind w:left="1060" w:hanging="512"/>
        <w:spacing w:after="0"/>
        <w:tabs>
          <w:tab w:leader="none" w:pos="10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Obligors do not comply with clause 20 (</w:t>
      </w:r>
      <w:r>
        <w:rPr>
          <w:rFonts w:ascii="Arial" w:cs="Arial" w:eastAsia="Arial" w:hAnsi="Arial"/>
          <w:sz w:val="18"/>
          <w:szCs w:val="18"/>
          <w:i w:val="1"/>
          <w:iCs w:val="1"/>
          <w:color w:val="auto"/>
        </w:rPr>
        <w:t>Financial covenants</w:t>
      </w:r>
      <w:r>
        <w:rPr>
          <w:rFonts w:ascii="Arial" w:cs="Arial" w:eastAsia="Arial" w:hAnsi="Arial"/>
          <w:sz w:val="18"/>
          <w:szCs w:val="18"/>
          <w:color w:val="auto"/>
        </w:rPr>
        <w:t>) or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1060" w:hanging="512"/>
        <w:spacing w:after="0"/>
        <w:tabs>
          <w:tab w:leader="none" w:pos="10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Obligors do not comply with clause 19.11 (</w:t>
      </w:r>
      <w:r>
        <w:rPr>
          <w:rFonts w:ascii="Arial" w:cs="Arial" w:eastAsia="Arial" w:hAnsi="Arial"/>
          <w:sz w:val="18"/>
          <w:szCs w:val="18"/>
          <w:i w:val="1"/>
          <w:iCs w:val="1"/>
          <w:color w:val="auto"/>
        </w:rPr>
        <w:t>Liquidity</w:t>
      </w:r>
      <w:r>
        <w:rPr>
          <w:rFonts w:ascii="Arial" w:cs="Arial" w:eastAsia="Arial" w:hAnsi="Arial"/>
          <w:sz w:val="18"/>
          <w:szCs w:val="18"/>
          <w:color w:val="auto"/>
        </w:rPr>
        <w:t>).</w:t>
      </w:r>
    </w:p>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29.3</w:t>
      </w:r>
      <w:r>
        <w:rPr>
          <w:sz w:val="20"/>
          <w:szCs w:val="20"/>
          <w:color w:val="auto"/>
        </w:rPr>
        <w:tab/>
      </w:r>
      <w:r>
        <w:rPr>
          <w:rFonts w:ascii="Arial" w:cs="Arial" w:eastAsia="Arial" w:hAnsi="Arial"/>
          <w:sz w:val="17"/>
          <w:szCs w:val="17"/>
          <w:b w:val="1"/>
          <w:bCs w:val="1"/>
          <w:color w:val="auto"/>
        </w:rPr>
        <w:t>Value of security</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Borrowers do not comply with clause 25.12 (</w:t>
      </w:r>
      <w:r>
        <w:rPr>
          <w:rFonts w:ascii="Arial" w:cs="Arial" w:eastAsia="Arial" w:hAnsi="Arial"/>
          <w:sz w:val="18"/>
          <w:szCs w:val="18"/>
          <w:i w:val="1"/>
          <w:iCs w:val="1"/>
          <w:color w:val="auto"/>
        </w:rPr>
        <w:t>Security shortfall</w:t>
      </w:r>
      <w:r>
        <w:rPr>
          <w:rFonts w:ascii="Arial" w:cs="Arial" w:eastAsia="Arial" w:hAnsi="Arial"/>
          <w:sz w:val="18"/>
          <w:szCs w:val="18"/>
          <w:color w:val="auto"/>
        </w:rPr>
        <w:t>).</w:t>
      </w:r>
    </w:p>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29.4</w:t>
        <w:tab/>
        <w:t>Insurance</w:t>
      </w:r>
    </w:p>
    <w:p>
      <w:pPr>
        <w:spacing w:after="0" w:line="202" w:lineRule="exact"/>
        <w:rPr>
          <w:sz w:val="20"/>
          <w:szCs w:val="20"/>
          <w:color w:val="auto"/>
        </w:rPr>
      </w:pPr>
    </w:p>
    <w:p>
      <w:pPr>
        <w:ind w:left="1060" w:hanging="512"/>
        <w:spacing w:after="0"/>
        <w:tabs>
          <w:tab w:leader="none" w:pos="10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Insurances of a Mortgaged Ship are not placed and kept in force in the manner required by clause 24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202"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48" w:name="page149"/>
    <w:bookmarkEnd w:id="148"/>
    <w:p>
      <w:pPr>
        <w:ind w:left="1060" w:hanging="512"/>
        <w:spacing w:after="0"/>
        <w:tabs>
          <w:tab w:leader="none" w:pos="106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Any insurer either:</w:t>
      </w:r>
    </w:p>
    <w:p>
      <w:pPr>
        <w:spacing w:after="0" w:line="198" w:lineRule="exact"/>
        <w:rPr>
          <w:rFonts w:ascii="Arial" w:cs="Arial" w:eastAsia="Arial" w:hAnsi="Arial"/>
          <w:sz w:val="18"/>
          <w:szCs w:val="18"/>
          <w:color w:val="auto"/>
        </w:rPr>
      </w:pPr>
    </w:p>
    <w:p>
      <w:pPr>
        <w:ind w:left="1560" w:right="20" w:hanging="539"/>
        <w:spacing w:after="0" w:line="246" w:lineRule="auto"/>
        <w:tabs>
          <w:tab w:leader="none" w:pos="156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cancels any such Insurances and such Insurances are not immediately replaced by the Borrowers to the full satisfaction of all the Lenders; or</w:t>
      </w:r>
    </w:p>
    <w:p>
      <w:pPr>
        <w:spacing w:after="0" w:line="183" w:lineRule="exact"/>
        <w:rPr>
          <w:rFonts w:ascii="Arial" w:cs="Arial" w:eastAsia="Arial" w:hAnsi="Arial"/>
          <w:sz w:val="18"/>
          <w:szCs w:val="18"/>
          <w:color w:val="auto"/>
        </w:rPr>
      </w:pPr>
    </w:p>
    <w:p>
      <w:pPr>
        <w:ind w:left="1560" w:hanging="539"/>
        <w:spacing w:after="0"/>
        <w:tabs>
          <w:tab w:leader="none" w:pos="156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disclaims liability under them by reason of any mis-statement or failure or default by any person.</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29.5</w:t>
        <w:tab/>
        <w:t>Other obligations</w:t>
      </w:r>
    </w:p>
    <w:p>
      <w:pPr>
        <w:spacing w:after="0" w:line="220" w:lineRule="exact"/>
        <w:rPr>
          <w:sz w:val="20"/>
          <w:szCs w:val="20"/>
          <w:color w:val="auto"/>
        </w:rPr>
      </w:pPr>
    </w:p>
    <w:p>
      <w:pPr>
        <w:ind w:left="1060" w:hanging="512"/>
        <w:spacing w:after="0"/>
        <w:tabs>
          <w:tab w:leader="none" w:pos="10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An Obligor or a Manager does not comply with any provision of the Finance Documents, except for the following provisions:</w:t>
      </w:r>
    </w:p>
    <w:p>
      <w:pPr>
        <w:spacing w:after="0" w:line="180" w:lineRule="exact"/>
        <w:rPr>
          <w:rFonts w:ascii="Arial" w:cs="Arial" w:eastAsia="Arial" w:hAnsi="Arial"/>
          <w:sz w:val="18"/>
          <w:szCs w:val="18"/>
          <w:color w:val="auto"/>
        </w:rPr>
      </w:pPr>
    </w:p>
    <w:p>
      <w:pPr>
        <w:ind w:left="1560" w:right="20" w:hanging="539"/>
        <w:spacing w:after="0" w:line="267" w:lineRule="auto"/>
        <w:tabs>
          <w:tab w:leader="none" w:pos="156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those referred to in clauses 29.1 (</w:t>
      </w:r>
      <w:r>
        <w:rPr>
          <w:rFonts w:ascii="Arial" w:cs="Arial" w:eastAsia="Arial" w:hAnsi="Arial"/>
          <w:sz w:val="18"/>
          <w:szCs w:val="18"/>
          <w:i w:val="1"/>
          <w:iCs w:val="1"/>
          <w:color w:val="auto"/>
        </w:rPr>
        <w:t>Non-payment</w:t>
      </w:r>
      <w:r>
        <w:rPr>
          <w:rFonts w:ascii="Arial" w:cs="Arial" w:eastAsia="Arial" w:hAnsi="Arial"/>
          <w:sz w:val="18"/>
          <w:szCs w:val="18"/>
          <w:color w:val="auto"/>
        </w:rPr>
        <w:t>), 29.2 (</w:t>
      </w:r>
      <w:r>
        <w:rPr>
          <w:rFonts w:ascii="Arial" w:cs="Arial" w:eastAsia="Arial" w:hAnsi="Arial"/>
          <w:sz w:val="18"/>
          <w:szCs w:val="18"/>
          <w:i w:val="1"/>
          <w:iCs w:val="1"/>
          <w:color w:val="auto"/>
        </w:rPr>
        <w:t>Financial covenants; liquidity</w:t>
      </w:r>
      <w:r>
        <w:rPr>
          <w:rFonts w:ascii="Arial" w:cs="Arial" w:eastAsia="Arial" w:hAnsi="Arial"/>
          <w:sz w:val="18"/>
          <w:szCs w:val="18"/>
          <w:color w:val="auto"/>
        </w:rPr>
        <w:t>), 29.3 (</w:t>
      </w:r>
      <w:r>
        <w:rPr>
          <w:rFonts w:ascii="Arial" w:cs="Arial" w:eastAsia="Arial" w:hAnsi="Arial"/>
          <w:sz w:val="18"/>
          <w:szCs w:val="18"/>
          <w:i w:val="1"/>
          <w:iCs w:val="1"/>
          <w:color w:val="auto"/>
        </w:rPr>
        <w:t>Value of security</w:t>
      </w:r>
      <w:r>
        <w:rPr>
          <w:rFonts w:ascii="Arial" w:cs="Arial" w:eastAsia="Arial" w:hAnsi="Arial"/>
          <w:sz w:val="18"/>
          <w:szCs w:val="18"/>
          <w:color w:val="auto"/>
        </w:rPr>
        <w:t>) and 29.4 (</w:t>
      </w:r>
      <w:r>
        <w:rPr>
          <w:rFonts w:ascii="Arial" w:cs="Arial" w:eastAsia="Arial" w:hAnsi="Arial"/>
          <w:sz w:val="18"/>
          <w:szCs w:val="18"/>
          <w:i w:val="1"/>
          <w:iCs w:val="1"/>
          <w:color w:val="auto"/>
        </w:rPr>
        <w:t>Insurance</w:t>
      </w:r>
      <w:r>
        <w:rPr>
          <w:rFonts w:ascii="Arial" w:cs="Arial" w:eastAsia="Arial" w:hAnsi="Arial"/>
          <w:sz w:val="18"/>
          <w:szCs w:val="18"/>
          <w:color w:val="auto"/>
        </w:rPr>
        <w:t>) or any other provision of this clause 29); and</w:t>
      </w:r>
    </w:p>
    <w:p>
      <w:pPr>
        <w:spacing w:after="0" w:line="147" w:lineRule="exact"/>
        <w:rPr>
          <w:rFonts w:ascii="Arial" w:cs="Arial" w:eastAsia="Arial" w:hAnsi="Arial"/>
          <w:sz w:val="18"/>
          <w:szCs w:val="18"/>
          <w:color w:val="auto"/>
        </w:rPr>
      </w:pPr>
    </w:p>
    <w:p>
      <w:pPr>
        <w:ind w:left="1560" w:hanging="539"/>
        <w:spacing w:after="0" w:line="267" w:lineRule="auto"/>
        <w:tabs>
          <w:tab w:leader="none" w:pos="156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those of clause 21.11 (</w:t>
      </w:r>
      <w:r>
        <w:rPr>
          <w:rFonts w:ascii="Arial" w:cs="Arial" w:eastAsia="Arial" w:hAnsi="Arial"/>
          <w:sz w:val="18"/>
          <w:szCs w:val="18"/>
          <w:i w:val="1"/>
          <w:iCs w:val="1"/>
          <w:color w:val="auto"/>
        </w:rPr>
        <w:t>Sanctions</w:t>
      </w:r>
      <w:r>
        <w:rPr>
          <w:rFonts w:ascii="Arial" w:cs="Arial" w:eastAsia="Arial" w:hAnsi="Arial"/>
          <w:sz w:val="18"/>
          <w:szCs w:val="18"/>
          <w:color w:val="auto"/>
        </w:rPr>
        <w:t>), insofar as they relate to Sanctions not imposed by Germany, the European Union or the United Nations.</w:t>
      </w:r>
    </w:p>
    <w:p>
      <w:pPr>
        <w:spacing w:after="0" w:line="165" w:lineRule="exact"/>
        <w:rPr>
          <w:rFonts w:ascii="Arial" w:cs="Arial" w:eastAsia="Arial" w:hAnsi="Arial"/>
          <w:sz w:val="18"/>
          <w:szCs w:val="18"/>
          <w:color w:val="auto"/>
        </w:rPr>
      </w:pPr>
    </w:p>
    <w:p>
      <w:pPr>
        <w:jc w:val="both"/>
        <w:ind w:left="1060" w:hanging="512"/>
        <w:spacing w:after="0"/>
        <w:tabs>
          <w:tab w:leader="none" w:pos="10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No Event of Default under clause 29.5(a) above will occur if the Agent (acting on the instructions of the Majority Lenders) considers that the failure to comply is capable of remedy and the failure is remedied within twenty (20) days of the earlier of (A) the Agent giving notice to the Borrowers and (B) any of the Borrowers becoming aware of the failure to comply.</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29.6</w:t>
        <w:tab/>
        <w:t>Misrepresentation</w:t>
      </w:r>
    </w:p>
    <w:p>
      <w:pPr>
        <w:spacing w:after="0" w:line="220" w:lineRule="exact"/>
        <w:rPr>
          <w:sz w:val="20"/>
          <w:szCs w:val="20"/>
          <w:color w:val="auto"/>
        </w:rPr>
      </w:pPr>
    </w:p>
    <w:p>
      <w:pPr>
        <w:jc w:val="both"/>
        <w:ind w:left="540"/>
        <w:spacing w:after="0" w:line="237" w:lineRule="auto"/>
        <w:rPr>
          <w:sz w:val="20"/>
          <w:szCs w:val="20"/>
          <w:color w:val="auto"/>
        </w:rPr>
      </w:pPr>
      <w:r>
        <w:rPr>
          <w:rFonts w:ascii="Arial" w:cs="Arial" w:eastAsia="Arial" w:hAnsi="Arial"/>
          <w:sz w:val="18"/>
          <w:szCs w:val="18"/>
          <w:color w:val="auto"/>
        </w:rPr>
        <w:t>Any representation or statement made or deemed to be made by an Obligor in the Finance Documents or any other document delivered by or on behalf of any Obligor under or in connection with any Finance Document is or proves to have been incorrect or misleading when made or deemed to be made, unless the same is capable of remedy and is remedied within twenty (20) days of the earlier of (a) the Agent giving notice to the Borrowers and (b) any of the Borrowers becoming aware of the same (but excluding any representation or statement made under clause 18.32 (</w:t>
      </w:r>
      <w:r>
        <w:rPr>
          <w:rFonts w:ascii="Arial" w:cs="Arial" w:eastAsia="Arial" w:hAnsi="Arial"/>
          <w:sz w:val="18"/>
          <w:szCs w:val="18"/>
          <w:i w:val="1"/>
          <w:iCs w:val="1"/>
          <w:color w:val="auto"/>
        </w:rPr>
        <w:t>Sanctions</w:t>
      </w:r>
      <w:r>
        <w:rPr>
          <w:rFonts w:ascii="Arial" w:cs="Arial" w:eastAsia="Arial" w:hAnsi="Arial"/>
          <w:sz w:val="18"/>
          <w:szCs w:val="18"/>
          <w:color w:val="auto"/>
        </w:rPr>
        <w:t>) insofar as it relates to Sanctions not imposed by Germany, the European Union or the United Nations, to which this clause 29.6 shall not apply).</w:t>
      </w:r>
    </w:p>
    <w:p>
      <w:pPr>
        <w:spacing w:after="0" w:line="1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29.7</w:t>
        <w:tab/>
        <w:t>Cross default</w:t>
      </w:r>
    </w:p>
    <w:p>
      <w:pPr>
        <w:spacing w:after="0" w:line="220" w:lineRule="exact"/>
        <w:rPr>
          <w:sz w:val="20"/>
          <w:szCs w:val="20"/>
          <w:color w:val="auto"/>
        </w:rPr>
      </w:pPr>
    </w:p>
    <w:p>
      <w:pPr>
        <w:ind w:left="1060" w:hanging="512"/>
        <w:spacing w:after="0"/>
        <w:tabs>
          <w:tab w:leader="none" w:pos="10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Any Financial Indebtedness of any Obligor is not paid when due nor within any originally applicable grace period.</w:t>
      </w:r>
    </w:p>
    <w:p>
      <w:pPr>
        <w:spacing w:after="0" w:line="198" w:lineRule="exact"/>
        <w:rPr>
          <w:rFonts w:ascii="Arial" w:cs="Arial" w:eastAsia="Arial" w:hAnsi="Arial"/>
          <w:sz w:val="18"/>
          <w:szCs w:val="18"/>
          <w:color w:val="auto"/>
        </w:rPr>
      </w:pPr>
    </w:p>
    <w:p>
      <w:pPr>
        <w:ind w:left="1060" w:hanging="512"/>
        <w:spacing w:after="0" w:line="246" w:lineRule="auto"/>
        <w:tabs>
          <w:tab w:leader="none" w:pos="10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Any Financial Indebtedness of any Obligor is declared to be or otherwise becomes due and payable prior to its specified maturity as a result of an event of default (however described).</w:t>
      </w:r>
    </w:p>
    <w:p>
      <w:pPr>
        <w:spacing w:after="0" w:line="183" w:lineRule="exact"/>
        <w:rPr>
          <w:rFonts w:ascii="Arial" w:cs="Arial" w:eastAsia="Arial" w:hAnsi="Arial"/>
          <w:sz w:val="18"/>
          <w:szCs w:val="18"/>
          <w:color w:val="auto"/>
        </w:rPr>
      </w:pPr>
    </w:p>
    <w:p>
      <w:pPr>
        <w:ind w:left="1060" w:hanging="512"/>
        <w:spacing w:after="0" w:line="246" w:lineRule="auto"/>
        <w:tabs>
          <w:tab w:leader="none" w:pos="10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Any commitment for any Financial Indebtedness of any Obligor is cancelled or suspended by a creditor of that Obligor as a result of an event of default (however described).</w:t>
      </w:r>
    </w:p>
    <w:p>
      <w:pPr>
        <w:spacing w:after="0" w:line="183" w:lineRule="exact"/>
        <w:rPr>
          <w:rFonts w:ascii="Arial" w:cs="Arial" w:eastAsia="Arial" w:hAnsi="Arial"/>
          <w:sz w:val="18"/>
          <w:szCs w:val="18"/>
          <w:color w:val="auto"/>
        </w:rPr>
      </w:pPr>
    </w:p>
    <w:p>
      <w:pPr>
        <w:ind w:left="1060" w:right="20" w:hanging="512"/>
        <w:spacing w:after="0" w:line="246" w:lineRule="auto"/>
        <w:tabs>
          <w:tab w:leader="none" w:pos="10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counterparty to a Treasury Transaction entered into by any Obligor becomes entitled to terminate that Treasury Transaction early by reason of an event of default (however described).</w:t>
      </w:r>
    </w:p>
    <w:p>
      <w:pPr>
        <w:spacing w:after="0" w:line="183" w:lineRule="exact"/>
        <w:rPr>
          <w:rFonts w:ascii="Arial" w:cs="Arial" w:eastAsia="Arial" w:hAnsi="Arial"/>
          <w:sz w:val="18"/>
          <w:szCs w:val="18"/>
          <w:color w:val="auto"/>
        </w:rPr>
      </w:pPr>
    </w:p>
    <w:p>
      <w:pPr>
        <w:ind w:left="1060" w:hanging="512"/>
        <w:spacing w:after="0" w:line="246" w:lineRule="auto"/>
        <w:tabs>
          <w:tab w:leader="none" w:pos="10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Any creditor of any Obligor becomes entitled to declare any Financial Indebtedness of that Obligor due and payable prior to its specified maturity as a result of an event of default (however described).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49" w:name="page150"/>
    <w:bookmarkEnd w:id="149"/>
    <w:p>
      <w:pPr>
        <w:ind w:left="1060" w:hanging="512"/>
        <w:spacing w:after="0" w:line="246" w:lineRule="auto"/>
        <w:tabs>
          <w:tab w:leader="none" w:pos="10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No Event of Default will occur under this clause 29.7 if the aggregate amount of Financial Indebtedness or commitment for Financial Indebtedness falling within clauses 29.7(a) to 29.7(e) above is:</w:t>
      </w:r>
    </w:p>
    <w:p>
      <w:pPr>
        <w:spacing w:after="0" w:line="183" w:lineRule="exact"/>
        <w:rPr>
          <w:rFonts w:ascii="Arial" w:cs="Arial" w:eastAsia="Arial" w:hAnsi="Arial"/>
          <w:sz w:val="18"/>
          <w:szCs w:val="18"/>
          <w:color w:val="auto"/>
        </w:rPr>
      </w:pPr>
    </w:p>
    <w:p>
      <w:pPr>
        <w:ind w:left="1560" w:hanging="539"/>
        <w:spacing w:after="0"/>
        <w:tabs>
          <w:tab w:leader="none" w:pos="156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less than $10,000,000 (or its equivalent in any other currency or currencies) in respect of any Guarantor; and/or</w:t>
      </w:r>
    </w:p>
    <w:p>
      <w:pPr>
        <w:spacing w:after="0" w:line="198" w:lineRule="exact"/>
        <w:rPr>
          <w:rFonts w:ascii="Arial" w:cs="Arial" w:eastAsia="Arial" w:hAnsi="Arial"/>
          <w:sz w:val="18"/>
          <w:szCs w:val="18"/>
          <w:color w:val="auto"/>
        </w:rPr>
      </w:pPr>
    </w:p>
    <w:p>
      <w:pPr>
        <w:ind w:left="1560" w:hanging="539"/>
        <w:spacing w:after="0"/>
        <w:tabs>
          <w:tab w:leader="none" w:pos="156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less than $1,000,000 (or its equivalent in any other currency or currencies) in respect of any other Obligor.</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29.8</w:t>
        <w:tab/>
        <w:t>Insolvency</w:t>
      </w:r>
    </w:p>
    <w:p>
      <w:pPr>
        <w:spacing w:after="0" w:line="220" w:lineRule="exact"/>
        <w:rPr>
          <w:sz w:val="20"/>
          <w:szCs w:val="20"/>
          <w:color w:val="auto"/>
        </w:rPr>
      </w:pPr>
    </w:p>
    <w:p>
      <w:pPr>
        <w:jc w:val="both"/>
        <w:ind w:left="1060" w:hanging="512"/>
        <w:spacing w:after="0"/>
        <w:tabs>
          <w:tab w:leader="none" w:pos="10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An Obligor is unable or admits inability to pay its debts as they fall due, suspends making payments on any of its debts or, by reason of actual financial difficulties, commences negotiations with one or more of its creditors with a view to rescheduling any of its indebtedness.</w:t>
      </w:r>
    </w:p>
    <w:p>
      <w:pPr>
        <w:spacing w:after="0" w:line="189" w:lineRule="exact"/>
        <w:rPr>
          <w:rFonts w:ascii="Arial" w:cs="Arial" w:eastAsia="Arial" w:hAnsi="Arial"/>
          <w:sz w:val="18"/>
          <w:szCs w:val="18"/>
          <w:color w:val="auto"/>
        </w:rPr>
      </w:pPr>
    </w:p>
    <w:p>
      <w:pPr>
        <w:ind w:left="1060" w:hanging="512"/>
        <w:spacing w:after="0"/>
        <w:tabs>
          <w:tab w:leader="none" w:pos="10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value of the assets of any Obligor is less than its liabilities (taking into account contingent and prospective liabilities).</w:t>
      </w:r>
    </w:p>
    <w:p>
      <w:pPr>
        <w:spacing w:after="0" w:line="198" w:lineRule="exact"/>
        <w:rPr>
          <w:rFonts w:ascii="Arial" w:cs="Arial" w:eastAsia="Arial" w:hAnsi="Arial"/>
          <w:sz w:val="18"/>
          <w:szCs w:val="18"/>
          <w:color w:val="auto"/>
        </w:rPr>
      </w:pPr>
    </w:p>
    <w:p>
      <w:pPr>
        <w:ind w:left="1060" w:hanging="512"/>
        <w:spacing w:after="0" w:line="246" w:lineRule="auto"/>
        <w:tabs>
          <w:tab w:leader="none" w:pos="10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 moratorium is declared in respect of any indebtedness of any Obligor. If a moratorium occurs, the ending of the moratorium will not remedy any Event of Default caused by that moratorium.</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29.9</w:t>
        <w:tab/>
        <w:t>Insolvency proceedings</w:t>
      </w:r>
    </w:p>
    <w:p>
      <w:pPr>
        <w:spacing w:after="0" w:line="220" w:lineRule="exact"/>
        <w:rPr>
          <w:sz w:val="20"/>
          <w:szCs w:val="20"/>
          <w:color w:val="auto"/>
        </w:rPr>
      </w:pPr>
    </w:p>
    <w:p>
      <w:pPr>
        <w:ind w:left="1060" w:hanging="512"/>
        <w:spacing w:after="0"/>
        <w:tabs>
          <w:tab w:leader="none" w:pos="10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Any corporate action, legal proceedings or other procedure or step is taken in relation to:</w:t>
      </w:r>
    </w:p>
    <w:p>
      <w:pPr>
        <w:spacing w:after="0" w:line="198" w:lineRule="exact"/>
        <w:rPr>
          <w:rFonts w:ascii="Arial" w:cs="Arial" w:eastAsia="Arial" w:hAnsi="Arial"/>
          <w:sz w:val="18"/>
          <w:szCs w:val="18"/>
          <w:color w:val="auto"/>
        </w:rPr>
      </w:pPr>
    </w:p>
    <w:p>
      <w:pPr>
        <w:ind w:left="1560" w:right="20" w:hanging="539"/>
        <w:spacing w:after="0" w:line="246" w:lineRule="auto"/>
        <w:tabs>
          <w:tab w:leader="none" w:pos="156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the suspension of payments, a moratorium of any indebtedness, winding-up, dissolution, administration or reorganisation (by way of voluntary arrangement, scheme of arrangement or otherwise) of any Obligor;</w:t>
      </w:r>
    </w:p>
    <w:p>
      <w:pPr>
        <w:spacing w:after="0" w:line="183" w:lineRule="exact"/>
        <w:rPr>
          <w:rFonts w:ascii="Arial" w:cs="Arial" w:eastAsia="Arial" w:hAnsi="Arial"/>
          <w:sz w:val="18"/>
          <w:szCs w:val="18"/>
          <w:color w:val="auto"/>
        </w:rPr>
      </w:pPr>
    </w:p>
    <w:p>
      <w:pPr>
        <w:ind w:left="1560" w:hanging="539"/>
        <w:spacing w:after="0"/>
        <w:tabs>
          <w:tab w:leader="none" w:pos="156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a composition, compromise, assignment or arrangement with any creditor of any Obligor;</w:t>
      </w:r>
    </w:p>
    <w:p>
      <w:pPr>
        <w:spacing w:after="0" w:line="198" w:lineRule="exact"/>
        <w:rPr>
          <w:rFonts w:ascii="Arial" w:cs="Arial" w:eastAsia="Arial" w:hAnsi="Arial"/>
          <w:sz w:val="18"/>
          <w:szCs w:val="18"/>
          <w:color w:val="auto"/>
        </w:rPr>
      </w:pPr>
    </w:p>
    <w:p>
      <w:pPr>
        <w:jc w:val="both"/>
        <w:ind w:left="1560" w:hanging="539"/>
        <w:spacing w:after="0"/>
        <w:tabs>
          <w:tab w:leader="none" w:pos="156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the appointment of a liquidator, receiver, administrator, administrative receiver, compulsory manager or other similar officer in respect of any Obligor or any of its assets (including the directors of any Obligor requesting a person to appoint any such officer in relation to it or any of its assets); or</w:t>
      </w:r>
    </w:p>
    <w:p>
      <w:pPr>
        <w:spacing w:after="0" w:line="189" w:lineRule="exact"/>
        <w:rPr>
          <w:rFonts w:ascii="Arial" w:cs="Arial" w:eastAsia="Arial" w:hAnsi="Arial"/>
          <w:sz w:val="18"/>
          <w:szCs w:val="18"/>
          <w:color w:val="auto"/>
        </w:rPr>
      </w:pPr>
    </w:p>
    <w:p>
      <w:pPr>
        <w:ind w:left="1560" w:hanging="539"/>
        <w:spacing w:after="0"/>
        <w:tabs>
          <w:tab w:leader="none" w:pos="156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enforcement of any Security Interest over any assets of any Obligor,</w:t>
      </w:r>
    </w:p>
    <w:p>
      <w:pPr>
        <w:spacing w:after="0" w:line="19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or any analogous procedure or step is taken in any jurisdiction.</w:t>
      </w:r>
    </w:p>
    <w:p>
      <w:pPr>
        <w:spacing w:after="0" w:line="198" w:lineRule="exact"/>
        <w:rPr>
          <w:sz w:val="20"/>
          <w:szCs w:val="20"/>
          <w:color w:val="auto"/>
        </w:rPr>
      </w:pPr>
    </w:p>
    <w:p>
      <w:pPr>
        <w:ind w:left="1060" w:hanging="512"/>
        <w:spacing w:after="0" w:line="246" w:lineRule="auto"/>
        <w:tabs>
          <w:tab w:leader="none" w:pos="10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Clause 29.9(a) shall not apply to any winding-up petition (or analogous procedure or step) which is frivolous or vexatious and is discharged, stayed or dismissed within fifteen (15) days of commencement or, if earlier, the date on which it is advertised.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29.10 Creditors’ process</w:t>
      </w:r>
    </w:p>
    <w:p>
      <w:pPr>
        <w:spacing w:after="0" w:line="220" w:lineRule="exact"/>
        <w:rPr>
          <w:sz w:val="20"/>
          <w:szCs w:val="20"/>
          <w:color w:val="auto"/>
        </w:rPr>
      </w:pPr>
    </w:p>
    <w:p>
      <w:pPr>
        <w:jc w:val="both"/>
        <w:ind w:left="1060" w:hanging="512"/>
        <w:spacing w:after="0" w:line="239" w:lineRule="auto"/>
        <w:tabs>
          <w:tab w:leader="none" w:pos="10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Any expropriation, attachment, sequestration, distress, execution or analogous process affects any asset or assets of any Obligor having an aggregate value equal to or in excess of $10,000,000 (or the equivalent in any other currency) in respect of any of the Guarantors and/or $1,000,000 (or the equivalent in any other currency) in respect of any other Obligor, and is not discharged within thirty (30) days.</w:t>
      </w:r>
    </w:p>
    <w:p>
      <w:pPr>
        <w:spacing w:after="0" w:line="188" w:lineRule="exact"/>
        <w:rPr>
          <w:rFonts w:ascii="Arial" w:cs="Arial" w:eastAsia="Arial" w:hAnsi="Arial"/>
          <w:sz w:val="18"/>
          <w:szCs w:val="18"/>
          <w:color w:val="auto"/>
        </w:rPr>
      </w:pPr>
    </w:p>
    <w:p>
      <w:pPr>
        <w:jc w:val="both"/>
        <w:ind w:left="1060" w:hanging="512"/>
        <w:spacing w:after="0"/>
        <w:tabs>
          <w:tab w:leader="none" w:pos="10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Any judgment or order for an amount in excess of $10,000,000 (or the equivalent in any other currency) in respect of any of the Guarantors and/or $1,000,000 (or the equivalent in any other currency) in respect of any other Obligor, is made against any Obligor and is not stayed or complied with within thirty (30) days.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t>29.11 Unlawfulness and invalidity</w:t>
      </w:r>
    </w:p>
    <w:p>
      <w:pPr>
        <w:spacing w:after="0" w:line="220" w:lineRule="exact"/>
        <w:rPr>
          <w:sz w:val="20"/>
          <w:szCs w:val="20"/>
          <w:color w:val="auto"/>
        </w:rPr>
      </w:pPr>
    </w:p>
    <w:p>
      <w:pPr>
        <w:ind w:left="1060" w:right="20" w:hanging="512"/>
        <w:spacing w:after="0" w:line="246" w:lineRule="auto"/>
        <w:tabs>
          <w:tab w:leader="none" w:pos="10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It is or becomes unlawful for an Obligor to perform any of its obligations under the Finance Documents or any Security Interest created or expressed to be created or evidenced by the Security Documents ceases to be effective.</w:t>
      </w:r>
    </w:p>
    <w:p>
      <w:pPr>
        <w:spacing w:after="0" w:line="183" w:lineRule="exact"/>
        <w:rPr>
          <w:rFonts w:ascii="Arial" w:cs="Arial" w:eastAsia="Arial" w:hAnsi="Arial"/>
          <w:sz w:val="18"/>
          <w:szCs w:val="18"/>
          <w:color w:val="auto"/>
        </w:rPr>
      </w:pPr>
    </w:p>
    <w:p>
      <w:pPr>
        <w:jc w:val="both"/>
        <w:ind w:left="1060" w:hanging="512"/>
        <w:spacing w:after="0"/>
        <w:tabs>
          <w:tab w:leader="none" w:pos="10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Any obligation or obligations of any Obligor under any Finance Documents are not (subject to the Legal Reservations) or cease to be legal, valid, binding or enforceable and the cessation individually or cumulatively materially and adversely affects the interests of the Lenders under the Finance Documents.</w:t>
      </w:r>
    </w:p>
    <w:p>
      <w:pPr>
        <w:spacing w:after="0" w:line="189" w:lineRule="exact"/>
        <w:rPr>
          <w:rFonts w:ascii="Arial" w:cs="Arial" w:eastAsia="Arial" w:hAnsi="Arial"/>
          <w:sz w:val="18"/>
          <w:szCs w:val="18"/>
          <w:color w:val="auto"/>
        </w:rPr>
      </w:pPr>
    </w:p>
    <w:p>
      <w:pPr>
        <w:ind w:left="1060" w:hanging="512"/>
        <w:spacing w:after="0" w:line="246" w:lineRule="auto"/>
        <w:tabs>
          <w:tab w:leader="none" w:pos="10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Any Finance Document or any Security Interest created or expressed to be created or evidenced by the Security Documents ceases to be in full force and effect or is alleged by a party to it (other than a Finance Party) to be ineffective for any reason.</w:t>
      </w:r>
    </w:p>
    <w:p>
      <w:pPr>
        <w:spacing w:after="0" w:line="183" w:lineRule="exact"/>
        <w:rPr>
          <w:rFonts w:ascii="Arial" w:cs="Arial" w:eastAsia="Arial" w:hAnsi="Arial"/>
          <w:sz w:val="18"/>
          <w:szCs w:val="18"/>
          <w:color w:val="auto"/>
        </w:rPr>
      </w:pPr>
    </w:p>
    <w:p>
      <w:pPr>
        <w:ind w:left="1060" w:hanging="512"/>
        <w:spacing w:after="0" w:line="246" w:lineRule="auto"/>
        <w:tabs>
          <w:tab w:leader="none" w:pos="10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Any Security Document does not create legal, valid, binding and enforceable security over the assets charged under that Security Document or the ranking or priority of such security is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29.12 Cessation of business</w:t>
      </w:r>
    </w:p>
    <w:p>
      <w:pPr>
        <w:spacing w:after="0" w:line="220" w:lineRule="exact"/>
        <w:rPr>
          <w:sz w:val="20"/>
          <w:szCs w:val="20"/>
          <w:color w:val="auto"/>
        </w:rPr>
      </w:pPr>
    </w:p>
    <w:p>
      <w:pPr>
        <w:jc w:val="both"/>
        <w:ind w:left="540"/>
        <w:spacing w:after="0" w:line="246" w:lineRule="auto"/>
        <w:rPr>
          <w:sz w:val="20"/>
          <w:szCs w:val="20"/>
          <w:color w:val="auto"/>
        </w:rPr>
      </w:pPr>
      <w:r>
        <w:rPr>
          <w:rFonts w:ascii="Arial" w:cs="Arial" w:eastAsia="Arial" w:hAnsi="Arial"/>
          <w:sz w:val="18"/>
          <w:szCs w:val="18"/>
          <w:color w:val="auto"/>
        </w:rPr>
        <w:t>Any Obligor suspends or ceases to carry on (or threatens to suspend or cease to carry on) all or a material part of its business (except in the case of an Owner as a result of the sale of its Ship in accordance with, and subject to, the provisions of this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29.13 Expropriation</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The authority or ability of any Obligor to conduct its business is limited or wholly or substantially curtailed by any seizure, expropriation, nationalisation, intervention, restriction or other action by or on behalf of any governmental, regulatory or other authority or other person in relation to any Obligor or any of its assets.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29.14 Repudiation and rescission of Finance Documents</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 Obligor repudiates a Finance Document.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29.15 Litigation</w:t>
      </w:r>
    </w:p>
    <w:p>
      <w:pPr>
        <w:spacing w:after="0" w:line="220" w:lineRule="exact"/>
        <w:rPr>
          <w:sz w:val="20"/>
          <w:szCs w:val="20"/>
          <w:color w:val="auto"/>
        </w:rPr>
      </w:pPr>
    </w:p>
    <w:p>
      <w:pPr>
        <w:jc w:val="both"/>
        <w:ind w:left="540"/>
        <w:spacing w:after="0" w:line="246" w:lineRule="auto"/>
        <w:rPr>
          <w:sz w:val="20"/>
          <w:szCs w:val="20"/>
          <w:color w:val="auto"/>
        </w:rPr>
      </w:pPr>
      <w:r>
        <w:rPr>
          <w:rFonts w:ascii="Arial" w:cs="Arial" w:eastAsia="Arial" w:hAnsi="Arial"/>
          <w:sz w:val="18"/>
          <w:szCs w:val="18"/>
          <w:color w:val="auto"/>
        </w:rPr>
        <w:t>Any litigation, alternative dispute resolution, arbitration or administrative proceeding is taking place against any Obligor or any of its assets, rights or revenues which, if adversely determined, might reasonably be expected to have a Material Adverse Effect.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29.16 Material Adverse Effect</w:t>
      </w:r>
    </w:p>
    <w:p>
      <w:pPr>
        <w:spacing w:after="0" w:line="220" w:lineRule="exact"/>
        <w:rPr>
          <w:sz w:val="20"/>
          <w:szCs w:val="20"/>
          <w:color w:val="auto"/>
        </w:rPr>
      </w:pPr>
    </w:p>
    <w:p>
      <w:pPr>
        <w:jc w:val="both"/>
        <w:ind w:left="540"/>
        <w:spacing w:after="0" w:line="246" w:lineRule="auto"/>
        <w:rPr>
          <w:sz w:val="20"/>
          <w:szCs w:val="20"/>
          <w:color w:val="auto"/>
        </w:rPr>
      </w:pPr>
      <w:r>
        <w:rPr>
          <w:rFonts w:ascii="Arial" w:cs="Arial" w:eastAsia="Arial" w:hAnsi="Arial"/>
          <w:sz w:val="18"/>
          <w:szCs w:val="18"/>
          <w:color w:val="auto"/>
        </w:rPr>
        <w:t>Any event or circumstance or series of events (including any Environmental Incident or any change of law) occurs which the Majority Lenders reasonably believe has, or is reasonably expected to have, a Material Adverse Effect.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29.17 Security enforceable</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Any Security Interest (other than a Permitted Maritime Lien) in respect of Charged Property becomes enforceable.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29.18 Arrest of Ship</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Any Mortgaged Ship is arrested, confiscated, seized, taken in execution, impounded, forfeited, detained in exercise or purported exercise of any possessory lien or other claim and the relevant Owner fails to procure the release of such Ship within a period of 30 days thereafter (or such longer period as may be approved).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29.19 Ship registration</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Except with approval of the Majority Lenders, the registration of any Mortgaged Ship under the laws and flag of its Flag State is cancelled or terminated or, where applicable, not renewed or, if such Mortgaged Ship is only provisionally registered on the date of its Mortgage, such Ship is not permanently registered under such laws within 90 days of such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29.20 Political risk</w:t>
      </w:r>
    </w:p>
    <w:p>
      <w:pPr>
        <w:spacing w:after="0" w:line="220" w:lineRule="exact"/>
        <w:rPr>
          <w:sz w:val="20"/>
          <w:szCs w:val="20"/>
          <w:color w:val="auto"/>
        </w:rPr>
      </w:pPr>
    </w:p>
    <w:p>
      <w:pPr>
        <w:jc w:val="both"/>
        <w:ind w:left="540"/>
        <w:spacing w:after="0" w:line="238" w:lineRule="auto"/>
        <w:rPr>
          <w:sz w:val="20"/>
          <w:szCs w:val="20"/>
          <w:color w:val="auto"/>
        </w:rPr>
      </w:pPr>
      <w:r>
        <w:rPr>
          <w:rFonts w:ascii="Arial" w:cs="Arial" w:eastAsia="Arial" w:hAnsi="Arial"/>
          <w:sz w:val="18"/>
          <w:szCs w:val="18"/>
          <w:color w:val="auto"/>
        </w:rPr>
        <w:t>The Flag State of any Mortgaged Ship or any Relevant Jurisdiction of an Obligor becomes involved in hostilities or civil war or there is a seizure of power in the Flag State or any such Relevant Jurisdiction by unconstitutional means if, in any such case, such event or circumstance, has or might reasonably be expected to have, a Material Adverse Effect and, within 14 days of notice from the Agent to do so (or such longer period as may be approved), such action as the Agent may require to ensure that such event or circumstance will not have such an effect has not been taken by the Borrowers.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29.21 Charters</w:t>
      </w:r>
    </w:p>
    <w:p>
      <w:pPr>
        <w:spacing w:after="0" w:line="220" w:lineRule="exact"/>
        <w:rPr>
          <w:sz w:val="20"/>
          <w:szCs w:val="20"/>
          <w:color w:val="auto"/>
        </w:rPr>
      </w:pPr>
    </w:p>
    <w:p>
      <w:pPr>
        <w:jc w:val="both"/>
        <w:ind w:left="540"/>
        <w:spacing w:after="0" w:line="238" w:lineRule="auto"/>
        <w:rPr>
          <w:sz w:val="20"/>
          <w:szCs w:val="20"/>
          <w:color w:val="auto"/>
        </w:rPr>
      </w:pPr>
      <w:r>
        <w:rPr>
          <w:rFonts w:ascii="Arial" w:cs="Arial" w:eastAsia="Arial" w:hAnsi="Arial"/>
          <w:sz w:val="18"/>
          <w:szCs w:val="18"/>
          <w:color w:val="auto"/>
        </w:rPr>
        <w:t xml:space="preserve">Except with approval of the Majority Lenders, a Charter of any Ship is cancelled or rescinded or (except as a result of the relevant Ship being a Total Loss) frustrated or any Ship is withdrawn from service under a Charter before the time that Charter was scheduled to expire (any such Ship, an </w:t>
      </w:r>
      <w:r>
        <w:rPr>
          <w:rFonts w:ascii="Arial" w:cs="Arial" w:eastAsia="Arial" w:hAnsi="Arial"/>
          <w:sz w:val="18"/>
          <w:szCs w:val="18"/>
          <w:b w:val="1"/>
          <w:bCs w:val="1"/>
          <w:color w:val="auto"/>
        </w:rPr>
        <w:t>Affected Ship</w:t>
      </w:r>
      <w:r>
        <w:rPr>
          <w:rFonts w:ascii="Arial" w:cs="Arial" w:eastAsia="Arial" w:hAnsi="Arial"/>
          <w:sz w:val="18"/>
          <w:szCs w:val="18"/>
          <w:color w:val="auto"/>
        </w:rPr>
        <w:t xml:space="preserve">), </w:t>
      </w:r>
      <w:r>
        <w:rPr>
          <w:rFonts w:ascii="Arial" w:cs="Arial" w:eastAsia="Arial" w:hAnsi="Arial"/>
          <w:sz w:val="18"/>
          <w:szCs w:val="18"/>
          <w:b w:val="1"/>
          <w:bCs w:val="1"/>
          <w:color w:val="auto"/>
        </w:rPr>
        <w:t>provided however that</w:t>
      </w:r>
      <w:r>
        <w:rPr>
          <w:rFonts w:ascii="Arial" w:cs="Arial" w:eastAsia="Arial" w:hAnsi="Arial"/>
          <w:sz w:val="18"/>
          <w:szCs w:val="18"/>
          <w:color w:val="auto"/>
        </w:rPr>
        <w:t xml:space="preserve"> no Event of Default shall occur under this clause 29.21 in relation to a Charter or Affected Ship, if the conditions under either paragraph (a) or paragraph (b) below are satisfied in respect of that Charter or (as the case may be) Affected Ship within ***** of such cancellation, rescission, frustration or withdrawal:</w:t>
      </w:r>
    </w:p>
    <w:p>
      <w:pPr>
        <w:spacing w:after="0" w:line="189" w:lineRule="exact"/>
        <w:rPr>
          <w:sz w:val="20"/>
          <w:szCs w:val="20"/>
          <w:color w:val="auto"/>
        </w:rPr>
      </w:pPr>
    </w:p>
    <w:p>
      <w:pPr>
        <w:ind w:left="1060" w:hanging="512"/>
        <w:spacing w:after="0"/>
        <w:tabs>
          <w:tab w:leader="none" w:pos="10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Borrowers:</w:t>
      </w:r>
    </w:p>
    <w:p>
      <w:pPr>
        <w:spacing w:after="0" w:line="180" w:lineRule="exact"/>
        <w:rPr>
          <w:rFonts w:ascii="Arial" w:cs="Arial" w:eastAsia="Arial" w:hAnsi="Arial"/>
          <w:sz w:val="18"/>
          <w:szCs w:val="18"/>
          <w:color w:val="auto"/>
        </w:rPr>
      </w:pPr>
    </w:p>
    <w:p>
      <w:pPr>
        <w:jc w:val="both"/>
        <w:ind w:left="1560" w:hanging="539"/>
        <w:spacing w:after="0" w:line="251" w:lineRule="auto"/>
        <w:tabs>
          <w:tab w:leader="none" w:pos="156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have prepaid in full the Ship Aggregate Loans relevant to such Affected Ship under clause 7.4 (</w:t>
      </w:r>
      <w:r>
        <w:rPr>
          <w:rFonts w:ascii="Arial" w:cs="Arial" w:eastAsia="Arial" w:hAnsi="Arial"/>
          <w:sz w:val="18"/>
          <w:szCs w:val="18"/>
          <w:i w:val="1"/>
          <w:iCs w:val="1"/>
          <w:color w:val="auto"/>
        </w:rPr>
        <w:t>Voluntary prepayment</w:t>
      </w:r>
      <w:r>
        <w:rPr>
          <w:rFonts w:ascii="Arial" w:cs="Arial" w:eastAsia="Arial" w:hAnsi="Arial"/>
          <w:sz w:val="18"/>
          <w:szCs w:val="18"/>
          <w:color w:val="auto"/>
        </w:rPr>
        <w:t>) and have cancelled in full the Ship Aggregate Commitments in respect of such Affected Ship under clause 7.3 (</w:t>
      </w:r>
      <w:r>
        <w:rPr>
          <w:rFonts w:ascii="Arial" w:cs="Arial" w:eastAsia="Arial" w:hAnsi="Arial"/>
          <w:sz w:val="18"/>
          <w:szCs w:val="18"/>
          <w:i w:val="1"/>
          <w:iCs w:val="1"/>
          <w:color w:val="auto"/>
        </w:rPr>
        <w:t>Voluntary</w:t>
      </w:r>
      <w:r>
        <w:rPr>
          <w:rFonts w:ascii="Arial" w:cs="Arial" w:eastAsia="Arial" w:hAnsi="Arial"/>
          <w:sz w:val="18"/>
          <w:szCs w:val="18"/>
          <w:color w:val="auto"/>
        </w:rPr>
        <w:t xml:space="preserve"> </w:t>
      </w:r>
      <w:r>
        <w:rPr>
          <w:rFonts w:ascii="Arial" w:cs="Arial" w:eastAsia="Arial" w:hAnsi="Arial"/>
          <w:sz w:val="18"/>
          <w:szCs w:val="18"/>
          <w:i w:val="1"/>
          <w:iCs w:val="1"/>
          <w:color w:val="auto"/>
        </w:rPr>
        <w:t>cancellation</w:t>
      </w:r>
      <w:r>
        <w:rPr>
          <w:rFonts w:ascii="Arial" w:cs="Arial" w:eastAsia="Arial" w:hAnsi="Arial"/>
          <w:sz w:val="18"/>
          <w:szCs w:val="18"/>
          <w:color w:val="auto"/>
        </w:rPr>
        <w:t>) (but on three (3) Business Day’s notice instead of the period required by such clauses); or</w:t>
      </w:r>
    </w:p>
    <w:p>
      <w:pPr>
        <w:spacing w:after="0" w:line="178" w:lineRule="exact"/>
        <w:rPr>
          <w:rFonts w:ascii="Arial" w:cs="Arial" w:eastAsia="Arial" w:hAnsi="Arial"/>
          <w:sz w:val="18"/>
          <w:szCs w:val="18"/>
          <w:color w:val="auto"/>
        </w:rPr>
      </w:pPr>
    </w:p>
    <w:p>
      <w:pPr>
        <w:jc w:val="both"/>
        <w:ind w:left="1560" w:hanging="539"/>
        <w:spacing w:after="0"/>
        <w:tabs>
          <w:tab w:leader="none" w:pos="156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 xml:space="preserve">have provided to the Finance Parties additional security over cash in an amount of dollars equal to such Ship Aggregate Loans in agreed form and have undertaken that, for as long as such security over cash remains in place, they will not utilise any part of the undrawn Revolving Loan Ship Commitment for that Ship (except Rollover Loans); </w:t>
      </w:r>
      <w:r>
        <w:rPr>
          <w:rFonts w:ascii="Arial" w:cs="Arial" w:eastAsia="Arial" w:hAnsi="Arial"/>
          <w:sz w:val="18"/>
          <w:szCs w:val="18"/>
          <w:b w:val="1"/>
          <w:bCs w:val="1"/>
          <w:i w:val="1"/>
          <w:iCs w:val="1"/>
          <w:u w:val="single" w:color="auto"/>
          <w:color w:val="auto"/>
        </w:rPr>
        <w:t>or</w:t>
      </w:r>
    </w:p>
    <w:p>
      <w:pPr>
        <w:spacing w:after="0" w:line="189" w:lineRule="exact"/>
        <w:rPr>
          <w:rFonts w:ascii="Arial" w:cs="Arial" w:eastAsia="Arial" w:hAnsi="Arial"/>
          <w:sz w:val="18"/>
          <w:szCs w:val="18"/>
          <w:color w:val="auto"/>
        </w:rPr>
      </w:pPr>
    </w:p>
    <w:p>
      <w:pPr>
        <w:jc w:val="both"/>
        <w:ind w:left="1060" w:hanging="512"/>
        <w:spacing w:after="0"/>
        <w:tabs>
          <w:tab w:leader="none" w:pos="10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relevant Owner has entered into a new charter commitment in respect of the Affected Ship in accordance with clause 26.7 (</w:t>
      </w:r>
      <w:r>
        <w:rPr>
          <w:rFonts w:ascii="Arial" w:cs="Arial" w:eastAsia="Arial" w:hAnsi="Arial"/>
          <w:sz w:val="18"/>
          <w:szCs w:val="18"/>
          <w:i w:val="1"/>
          <w:iCs w:val="1"/>
          <w:color w:val="auto"/>
        </w:rPr>
        <w:t>Termination Cure</w:t>
      </w:r>
      <w:r>
        <w:rPr>
          <w:rFonts w:ascii="Arial" w:cs="Arial" w:eastAsia="Arial" w:hAnsi="Arial"/>
          <w:sz w:val="18"/>
          <w:szCs w:val="18"/>
          <w:color w:val="auto"/>
        </w:rPr>
        <w:t>) and the Borrowers are otherwise in compliance with such clause 26.7 (</w:t>
      </w:r>
      <w:r>
        <w:rPr>
          <w:rFonts w:ascii="Arial" w:cs="Arial" w:eastAsia="Arial" w:hAnsi="Arial"/>
          <w:sz w:val="18"/>
          <w:szCs w:val="18"/>
          <w:i w:val="1"/>
          <w:iCs w:val="1"/>
          <w:color w:val="auto"/>
        </w:rPr>
        <w:t>Termination Cure</w:t>
      </w:r>
      <w:r>
        <w:rPr>
          <w:rFonts w:ascii="Arial" w:cs="Arial" w:eastAsia="Arial" w:hAnsi="Arial"/>
          <w:sz w:val="18"/>
          <w:szCs w:val="18"/>
          <w:color w:val="auto"/>
        </w:rPr>
        <w:t>) in respect of the same and which:</w:t>
      </w:r>
    </w:p>
    <w:p>
      <w:pPr>
        <w:spacing w:after="0" w:line="189" w:lineRule="exact"/>
        <w:rPr>
          <w:rFonts w:ascii="Arial" w:cs="Arial" w:eastAsia="Arial" w:hAnsi="Arial"/>
          <w:sz w:val="18"/>
          <w:szCs w:val="18"/>
          <w:color w:val="auto"/>
        </w:rPr>
      </w:pPr>
    </w:p>
    <w:p>
      <w:pPr>
        <w:ind w:left="1560" w:hanging="539"/>
        <w:spacing w:after="0" w:line="246" w:lineRule="auto"/>
        <w:tabs>
          <w:tab w:leader="none" w:pos="156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is with a charterer with a credit rating of not less than BBB- or its equivalent by at least one of Standard and Poor’s, Moody’s or Fitch; and</w:t>
      </w:r>
    </w:p>
    <w:p>
      <w:pPr>
        <w:spacing w:after="0" w:line="183" w:lineRule="exact"/>
        <w:rPr>
          <w:rFonts w:ascii="Arial" w:cs="Arial" w:eastAsia="Arial" w:hAnsi="Arial"/>
          <w:sz w:val="18"/>
          <w:szCs w:val="18"/>
          <w:color w:val="auto"/>
        </w:rPr>
      </w:pPr>
    </w:p>
    <w:p>
      <w:pPr>
        <w:jc w:val="both"/>
        <w:ind w:left="1560" w:hanging="539"/>
        <w:spacing w:after="0"/>
        <w:tabs>
          <w:tab w:leader="none" w:pos="156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provides to the satisfaction of the Majority Lenders for charter rates which shall, for each calendar month, exceed the aggregate of all amounts of operational costs of such Ship and debt service for the Ship Aggregate Loans (assuming the Revolving Loan Ship Commitment for that Ship was to be fully drawn) relevant to such Ship payable in such month; and</w:t>
      </w:r>
    </w:p>
    <w:p>
      <w:pPr>
        <w:spacing w:after="0" w:line="189" w:lineRule="exact"/>
        <w:rPr>
          <w:rFonts w:ascii="Arial" w:cs="Arial" w:eastAsia="Arial" w:hAnsi="Arial"/>
          <w:sz w:val="18"/>
          <w:szCs w:val="18"/>
          <w:color w:val="auto"/>
        </w:rPr>
      </w:pPr>
    </w:p>
    <w:p>
      <w:pPr>
        <w:ind w:left="1560" w:hanging="539"/>
        <w:spacing w:after="0"/>
        <w:tabs>
          <w:tab w:leader="none" w:pos="156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provides for a fixed charter tenor of no less than 60 months without taking into account any option to extend;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52" w:name="page153"/>
    <w:bookmarkEnd w:id="152"/>
    <w:p>
      <w:pPr>
        <w:ind w:left="1560" w:right="20" w:hanging="539"/>
        <w:spacing w:after="0" w:line="246" w:lineRule="auto"/>
        <w:tabs>
          <w:tab w:leader="none" w:pos="15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is not a bareboat or demise charter or other charter commitment which passes possession and operational control of the Affected Ship to another person; and</w:t>
      </w:r>
    </w:p>
    <w:p>
      <w:pPr>
        <w:spacing w:after="0" w:line="183" w:lineRule="exact"/>
        <w:rPr>
          <w:rFonts w:ascii="Arial" w:cs="Arial" w:eastAsia="Arial" w:hAnsi="Arial"/>
          <w:sz w:val="18"/>
          <w:szCs w:val="18"/>
          <w:color w:val="auto"/>
        </w:rPr>
      </w:pPr>
    </w:p>
    <w:p>
      <w:pPr>
        <w:ind w:left="1560" w:hanging="539"/>
        <w:spacing w:after="0"/>
        <w:tabs>
          <w:tab w:leader="none" w:pos="15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is otherwise in form and substance reasonably acceptable to the Majority Lenders,</w:t>
      </w:r>
    </w:p>
    <w:p>
      <w:pPr>
        <w:spacing w:after="0" w:line="19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or is otherwise acceptable in form and substance in all respects to the Majority Lenders in their absolute discretion.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29.22 Legal and beneficial ownership</w:t>
      </w:r>
    </w:p>
    <w:p>
      <w:pPr>
        <w:spacing w:after="0" w:line="220" w:lineRule="exact"/>
        <w:rPr>
          <w:sz w:val="20"/>
          <w:szCs w:val="20"/>
          <w:color w:val="auto"/>
        </w:rPr>
      </w:pPr>
    </w:p>
    <w:p>
      <w:pPr>
        <w:jc w:val="both"/>
        <w:ind w:left="1060" w:hanging="512"/>
        <w:spacing w:after="0"/>
        <w:tabs>
          <w:tab w:leader="none" w:pos="10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Any of the issued and outstanding shares (including the voting shares) of any Borrower cease to be legally and beneficially owned by GasLog Carriers unless all of the issued and outstanding shares (including the voting shares) of such Borrower are legally and beneficially (directly or indirectly through GPHL) owned by MLP; or</w:t>
      </w:r>
    </w:p>
    <w:p>
      <w:pPr>
        <w:spacing w:after="0" w:line="189" w:lineRule="exact"/>
        <w:rPr>
          <w:rFonts w:ascii="Arial" w:cs="Arial" w:eastAsia="Arial" w:hAnsi="Arial"/>
          <w:sz w:val="18"/>
          <w:szCs w:val="18"/>
          <w:color w:val="auto"/>
        </w:rPr>
      </w:pPr>
    </w:p>
    <w:p>
      <w:pPr>
        <w:jc w:val="both"/>
        <w:ind w:left="1060" w:hanging="512"/>
        <w:spacing w:after="0" w:line="239" w:lineRule="auto"/>
        <w:tabs>
          <w:tab w:leader="none" w:pos="10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any of the issued and outstanding shares (including the voting shares) of GasLog Carriers cease to be legally and beneficially owned by the Parent (and the Parties agree that such event, if an Event of Default, shall not also constitute a Change of Control under paragraph (a) of the definition of the same), unless all of the issued and outstanding shares (including the voting shares) of GasLog Carriers are legally and beneficially owned by MLP.</w:t>
      </w:r>
    </w:p>
    <w:p>
      <w:pPr>
        <w:spacing w:after="0" w:line="166" w:lineRule="exact"/>
        <w:rPr>
          <w:sz w:val="20"/>
          <w:szCs w:val="20"/>
          <w:color w:val="auto"/>
        </w:rPr>
      </w:pPr>
    </w:p>
    <w:p>
      <w:pPr>
        <w:jc w:val="both"/>
        <w:ind w:left="540"/>
        <w:spacing w:after="0" w:line="239" w:lineRule="auto"/>
        <w:rPr>
          <w:sz w:val="20"/>
          <w:szCs w:val="20"/>
          <w:color w:val="auto"/>
        </w:rPr>
      </w:pPr>
      <w:r>
        <w:rPr>
          <w:rFonts w:ascii="Arial" w:cs="Arial" w:eastAsia="Arial" w:hAnsi="Arial"/>
          <w:sz w:val="18"/>
          <w:szCs w:val="18"/>
          <w:b w:val="1"/>
          <w:bCs w:val="1"/>
          <w:color w:val="auto"/>
        </w:rPr>
        <w:t xml:space="preserve">Provided </w:t>
      </w:r>
      <w:r>
        <w:rPr>
          <w:rFonts w:ascii="Arial" w:cs="Arial" w:eastAsia="Arial" w:hAnsi="Arial"/>
          <w:sz w:val="18"/>
          <w:szCs w:val="18"/>
          <w:color w:val="auto"/>
        </w:rPr>
        <w:t>always that if either the shares in a Borrower and/or GasLog Carriers are to become legally and/or beneficially owned by MLP,</w:t>
      </w:r>
      <w:r>
        <w:rPr>
          <w:rFonts w:ascii="Arial" w:cs="Arial" w:eastAsia="Arial" w:hAnsi="Arial"/>
          <w:sz w:val="18"/>
          <w:szCs w:val="18"/>
          <w:b w:val="1"/>
          <w:bCs w:val="1"/>
          <w:color w:val="auto"/>
        </w:rPr>
        <w:t xml:space="preserve"> </w:t>
      </w:r>
      <w:r>
        <w:rPr>
          <w:rFonts w:ascii="Arial" w:cs="Arial" w:eastAsia="Arial" w:hAnsi="Arial"/>
          <w:sz w:val="18"/>
          <w:szCs w:val="18"/>
          <w:color w:val="auto"/>
        </w:rPr>
        <w:t>then each of MLP and GPHL must (as a condition of the transfer to the MLP) grant the MLP Guarantee and the GPHL Guarantee (subject to the terms of clause 21.15 (</w:t>
      </w:r>
      <w:r>
        <w:rPr>
          <w:rFonts w:ascii="Arial" w:cs="Arial" w:eastAsia="Arial" w:hAnsi="Arial"/>
          <w:sz w:val="18"/>
          <w:szCs w:val="18"/>
          <w:i w:val="1"/>
          <w:iCs w:val="1"/>
          <w:color w:val="auto"/>
        </w:rPr>
        <w:t>Guarantee limited recourse arrangements</w:t>
      </w:r>
      <w:r>
        <w:rPr>
          <w:rFonts w:ascii="Arial" w:cs="Arial" w:eastAsia="Arial" w:hAnsi="Arial"/>
          <w:sz w:val="18"/>
          <w:szCs w:val="18"/>
          <w:color w:val="auto"/>
        </w:rPr>
        <w:t>) and with the MLP Guarantee to include any financial covenants which may be required by the Lenders at their sole discretion as a condition of such approval) and duly executed replacement Share Security (in the form substantially similar to the existing Share Security) in respect of any such Borrower, and the Obligors will at the same time execute an amendment agreement to this Agreement in connection with the above matters in such form as the Majority Lenders may require, and will deliver to the Agent such documents as the Agent may (acting on the instructions of the Majority Lenders) so require, including (without limitation) any and all corporate authorisations for MLP and GPHL of the nature described in Schedule 3 Part 1, paragraph 1 (</w:t>
      </w:r>
      <w:r>
        <w:rPr>
          <w:rFonts w:ascii="Arial" w:cs="Arial" w:eastAsia="Arial" w:hAnsi="Arial"/>
          <w:sz w:val="18"/>
          <w:szCs w:val="18"/>
          <w:i w:val="1"/>
          <w:iCs w:val="1"/>
          <w:color w:val="auto"/>
        </w:rPr>
        <w:t>Obligors’ corporate documents</w:t>
      </w:r>
      <w:r>
        <w:rPr>
          <w:rFonts w:ascii="Arial" w:cs="Arial" w:eastAsia="Arial" w:hAnsi="Arial"/>
          <w:sz w:val="18"/>
          <w:szCs w:val="18"/>
          <w:color w:val="auto"/>
        </w:rPr>
        <w:t>) required by the Agent and any legal opinions required by the Agent.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29.23 Acceleration</w:t>
      </w:r>
    </w:p>
    <w:p>
      <w:pPr>
        <w:spacing w:after="0" w:line="220" w:lineRule="exact"/>
        <w:rPr>
          <w:sz w:val="20"/>
          <w:szCs w:val="20"/>
          <w:color w:val="auto"/>
        </w:rPr>
      </w:pPr>
    </w:p>
    <w:p>
      <w:pPr>
        <w:jc w:val="both"/>
        <w:ind w:left="540" w:right="20"/>
        <w:spacing w:after="0" w:line="246" w:lineRule="auto"/>
        <w:rPr>
          <w:sz w:val="20"/>
          <w:szCs w:val="20"/>
          <w:color w:val="auto"/>
        </w:rPr>
      </w:pPr>
      <w:r>
        <w:rPr>
          <w:rFonts w:ascii="Arial" w:cs="Arial" w:eastAsia="Arial" w:hAnsi="Arial"/>
          <w:sz w:val="18"/>
          <w:szCs w:val="18"/>
          <w:color w:val="auto"/>
        </w:rPr>
        <w:t>On and at any time after the occurrence of an Event of Default which is continuing the Agent shall, if so directed by the Majority Lenders, by notice to the Borrowers:</w:t>
      </w:r>
    </w:p>
    <w:p>
      <w:pPr>
        <w:spacing w:after="0" w:line="183" w:lineRule="exact"/>
        <w:rPr>
          <w:sz w:val="20"/>
          <w:szCs w:val="20"/>
          <w:color w:val="auto"/>
        </w:rPr>
      </w:pPr>
    </w:p>
    <w:p>
      <w:pPr>
        <w:ind w:left="1060" w:hanging="512"/>
        <w:spacing w:after="0"/>
        <w:tabs>
          <w:tab w:leader="none" w:pos="10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cancel the Total Commitments at which time they shall immediately be cancelled; and/or</w:t>
      </w:r>
    </w:p>
    <w:p>
      <w:pPr>
        <w:spacing w:after="0" w:line="198" w:lineRule="exact"/>
        <w:rPr>
          <w:rFonts w:ascii="Arial" w:cs="Arial" w:eastAsia="Arial" w:hAnsi="Arial"/>
          <w:sz w:val="18"/>
          <w:szCs w:val="18"/>
          <w:color w:val="auto"/>
        </w:rPr>
      </w:pPr>
    </w:p>
    <w:p>
      <w:pPr>
        <w:ind w:left="1060" w:right="20" w:hanging="512"/>
        <w:spacing w:after="0" w:line="246" w:lineRule="auto"/>
        <w:tabs>
          <w:tab w:leader="none" w:pos="10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declare that all or part of the Loans, together with accrued interest, and all other amounts accrued or outstanding under the Finance Documents be immediately due and payable, at which time they shall become immediately due and payable; and/or</w:t>
      </w:r>
    </w:p>
    <w:p>
      <w:pPr>
        <w:spacing w:after="0" w:line="183" w:lineRule="exact"/>
        <w:rPr>
          <w:rFonts w:ascii="Arial" w:cs="Arial" w:eastAsia="Arial" w:hAnsi="Arial"/>
          <w:sz w:val="18"/>
          <w:szCs w:val="18"/>
          <w:color w:val="auto"/>
        </w:rPr>
      </w:pPr>
    </w:p>
    <w:p>
      <w:pPr>
        <w:ind w:left="1060" w:hanging="512"/>
        <w:spacing w:after="0" w:line="246" w:lineRule="auto"/>
        <w:tabs>
          <w:tab w:leader="none" w:pos="10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declare that all or part of the Loans be payable on demand, at which time they shall immediately become payable on demand by the Agent on the instructions of the Majority Lenders; and/or</w:t>
      </w:r>
    </w:p>
    <w:p>
      <w:pPr>
        <w:spacing w:after="0" w:line="183" w:lineRule="exact"/>
        <w:rPr>
          <w:rFonts w:ascii="Arial" w:cs="Arial" w:eastAsia="Arial" w:hAnsi="Arial"/>
          <w:sz w:val="18"/>
          <w:szCs w:val="18"/>
          <w:color w:val="auto"/>
        </w:rPr>
      </w:pPr>
    </w:p>
    <w:p>
      <w:pPr>
        <w:ind w:left="1060" w:hanging="512"/>
        <w:spacing w:after="0"/>
        <w:tabs>
          <w:tab w:leader="none" w:pos="10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declare that no withdrawals be made from any Account; and/or</w:t>
      </w:r>
    </w:p>
    <w:p>
      <w:pPr>
        <w:spacing w:after="0" w:line="198" w:lineRule="exact"/>
        <w:rPr>
          <w:rFonts w:ascii="Arial" w:cs="Arial" w:eastAsia="Arial" w:hAnsi="Arial"/>
          <w:sz w:val="18"/>
          <w:szCs w:val="18"/>
          <w:color w:val="auto"/>
        </w:rPr>
      </w:pPr>
    </w:p>
    <w:p>
      <w:pPr>
        <w:ind w:left="1060" w:hanging="512"/>
        <w:spacing w:after="0" w:line="246" w:lineRule="auto"/>
        <w:tabs>
          <w:tab w:leader="none" w:pos="10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exercise or direct the Security Agent and/or any other beneficiary of the Security Documents to exercise any or all of its rights, remedies, powers or discretions under the Finance Documents.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53" w:name="page154"/>
    <w:bookmarkEnd w:id="153"/>
    <w:p>
      <w:pPr>
        <w:spacing w:after="0"/>
        <w:tabs>
          <w:tab w:leader="none" w:pos="520" w:val="left"/>
        </w:tabs>
        <w:rPr>
          <w:sz w:val="20"/>
          <w:szCs w:val="20"/>
          <w:color w:val="auto"/>
        </w:rPr>
      </w:pPr>
      <w:r>
        <w:rPr>
          <w:rFonts w:ascii="Arial" w:cs="Arial" w:eastAsia="Arial" w:hAnsi="Arial"/>
          <w:sz w:val="18"/>
          <w:szCs w:val="18"/>
          <w:b w:val="1"/>
          <w:bCs w:val="1"/>
          <w:color w:val="auto"/>
        </w:rPr>
        <w:t>30</w:t>
      </w:r>
      <w:r>
        <w:rPr>
          <w:sz w:val="20"/>
          <w:szCs w:val="20"/>
          <w:color w:val="auto"/>
        </w:rPr>
        <w:tab/>
      </w:r>
      <w:r>
        <w:rPr>
          <w:rFonts w:ascii="Arial" w:cs="Arial" w:eastAsia="Arial" w:hAnsi="Arial"/>
          <w:sz w:val="18"/>
          <w:szCs w:val="18"/>
          <w:b w:val="1"/>
          <w:bCs w:val="1"/>
          <w:color w:val="auto"/>
        </w:rPr>
        <w:t>Changes to the Lenders</w:t>
      </w:r>
    </w:p>
    <w:p>
      <w:pPr>
        <w:spacing w:after="0" w:line="23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30.1</w:t>
      </w:r>
      <w:r>
        <w:rPr>
          <w:sz w:val="20"/>
          <w:szCs w:val="20"/>
          <w:color w:val="auto"/>
        </w:rPr>
        <w:tab/>
      </w:r>
      <w:r>
        <w:rPr>
          <w:rFonts w:ascii="Arial" w:cs="Arial" w:eastAsia="Arial" w:hAnsi="Arial"/>
          <w:sz w:val="17"/>
          <w:szCs w:val="17"/>
          <w:b w:val="1"/>
          <w:bCs w:val="1"/>
          <w:color w:val="auto"/>
        </w:rPr>
        <w:t>Assignments by the Lenders</w:t>
      </w:r>
    </w:p>
    <w:p>
      <w:pPr>
        <w:spacing w:after="0" w:line="198" w:lineRule="exact"/>
        <w:rPr>
          <w:sz w:val="20"/>
          <w:szCs w:val="20"/>
          <w:color w:val="auto"/>
        </w:rPr>
      </w:pPr>
    </w:p>
    <w:p>
      <w:pPr>
        <w:jc w:val="both"/>
        <w:ind w:left="540"/>
        <w:spacing w:after="0" w:line="253" w:lineRule="auto"/>
        <w:rPr>
          <w:sz w:val="20"/>
          <w:szCs w:val="20"/>
          <w:color w:val="auto"/>
        </w:rPr>
      </w:pPr>
      <w:r>
        <w:rPr>
          <w:rFonts w:ascii="Arial" w:cs="Arial" w:eastAsia="Arial" w:hAnsi="Arial"/>
          <w:sz w:val="18"/>
          <w:szCs w:val="18"/>
          <w:color w:val="auto"/>
        </w:rPr>
        <w:t xml:space="preserve">Subject to this clause 30, a Lender (the </w:t>
      </w:r>
      <w:r>
        <w:rPr>
          <w:rFonts w:ascii="Arial" w:cs="Arial" w:eastAsia="Arial" w:hAnsi="Arial"/>
          <w:sz w:val="18"/>
          <w:szCs w:val="18"/>
          <w:b w:val="1"/>
          <w:bCs w:val="1"/>
          <w:color w:val="auto"/>
        </w:rPr>
        <w:t>Existing Lender</w:t>
      </w:r>
      <w:r>
        <w:rPr>
          <w:rFonts w:ascii="Arial" w:cs="Arial" w:eastAsia="Arial" w:hAnsi="Arial"/>
          <w:sz w:val="18"/>
          <w:szCs w:val="18"/>
          <w:color w:val="auto"/>
        </w:rPr>
        <w:t xml:space="preserve">) may assign any of its rights to another bank or financial institution or to a trust, fund or other entity which is regularly engaged in or established for the purpose of making, purchasing or investing in loans, securities or other financial assets (the </w:t>
      </w:r>
      <w:r>
        <w:rPr>
          <w:rFonts w:ascii="Arial" w:cs="Arial" w:eastAsia="Arial" w:hAnsi="Arial"/>
          <w:sz w:val="18"/>
          <w:szCs w:val="18"/>
          <w:b w:val="1"/>
          <w:bCs w:val="1"/>
          <w:color w:val="auto"/>
        </w:rPr>
        <w:t>New Lender</w:t>
      </w:r>
      <w:r>
        <w:rPr>
          <w:rFonts w:ascii="Arial" w:cs="Arial" w:eastAsia="Arial" w:hAnsi="Arial"/>
          <w:sz w:val="18"/>
          <w:szCs w:val="18"/>
          <w:color w:val="auto"/>
        </w:rPr>
        <w:t>).</w:t>
      </w:r>
    </w:p>
    <w:p>
      <w:pPr>
        <w:spacing w:after="0" w:line="1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30.2</w:t>
        <w:tab/>
        <w:t>Conditions of assignment</w:t>
      </w:r>
    </w:p>
    <w:p>
      <w:pPr>
        <w:spacing w:after="0" w:line="220" w:lineRule="exact"/>
        <w:rPr>
          <w:sz w:val="20"/>
          <w:szCs w:val="20"/>
          <w:color w:val="auto"/>
        </w:rPr>
      </w:pPr>
    </w:p>
    <w:p>
      <w:pPr>
        <w:jc w:val="both"/>
        <w:ind w:left="1060" w:hanging="512"/>
        <w:spacing w:after="0"/>
        <w:tabs>
          <w:tab w:leader="none" w:pos="106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prior written consent of the Borrowers is required for an assignment by a Lender, unless (i) the assignment is to another Lender or an Affiliate of a Lender or (ii) an Event of Default is continuing. The Agent will immediately advise the Borrowers of the assignment.</w:t>
      </w:r>
    </w:p>
    <w:p>
      <w:pPr>
        <w:spacing w:after="0" w:line="189" w:lineRule="exact"/>
        <w:rPr>
          <w:rFonts w:ascii="Arial" w:cs="Arial" w:eastAsia="Arial" w:hAnsi="Arial"/>
          <w:sz w:val="18"/>
          <w:szCs w:val="18"/>
          <w:color w:val="auto"/>
        </w:rPr>
      </w:pPr>
    </w:p>
    <w:p>
      <w:pPr>
        <w:jc w:val="both"/>
        <w:ind w:left="1060" w:hanging="512"/>
        <w:spacing w:after="0"/>
        <w:tabs>
          <w:tab w:leader="none" w:pos="106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Borrowers’ consent may not be unreasonably withheld or delayed and will be deemed to have been given five (5) Business Days after the Lender has requested consent unless consent is expressly refused within that time. Provided however that the Borrowers shall be entitled to withhold consent in their discretion if the assignment is to a trust or fund.</w:t>
      </w:r>
    </w:p>
    <w:p>
      <w:pPr>
        <w:spacing w:after="0" w:line="189" w:lineRule="exact"/>
        <w:rPr>
          <w:rFonts w:ascii="Arial" w:cs="Arial" w:eastAsia="Arial" w:hAnsi="Arial"/>
          <w:sz w:val="18"/>
          <w:szCs w:val="18"/>
          <w:color w:val="auto"/>
        </w:rPr>
      </w:pPr>
    </w:p>
    <w:p>
      <w:pPr>
        <w:ind w:left="1060" w:hanging="512"/>
        <w:spacing w:after="0"/>
        <w:tabs>
          <w:tab w:leader="none" w:pos="106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An assignment will only be effective:</w:t>
      </w:r>
    </w:p>
    <w:p>
      <w:pPr>
        <w:spacing w:after="0" w:line="198" w:lineRule="exact"/>
        <w:rPr>
          <w:rFonts w:ascii="Arial" w:cs="Arial" w:eastAsia="Arial" w:hAnsi="Arial"/>
          <w:sz w:val="18"/>
          <w:szCs w:val="18"/>
          <w:color w:val="auto"/>
        </w:rPr>
      </w:pPr>
    </w:p>
    <w:p>
      <w:pPr>
        <w:jc w:val="both"/>
        <w:ind w:left="1560" w:hanging="539"/>
        <w:spacing w:after="0"/>
        <w:tabs>
          <w:tab w:leader="none" w:pos="156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on receipt by the Agent of written confirmation from the New Lender (in form and substance satisfactory to the Agent) that the New Lender will assume the same obligations to the Borrowers and the other Finance Parties as it would have been under if it was the Existing Lender;</w:t>
      </w:r>
    </w:p>
    <w:p>
      <w:pPr>
        <w:spacing w:after="0" w:line="189" w:lineRule="exact"/>
        <w:rPr>
          <w:rFonts w:ascii="Arial" w:cs="Arial" w:eastAsia="Arial" w:hAnsi="Arial"/>
          <w:sz w:val="18"/>
          <w:szCs w:val="18"/>
          <w:color w:val="auto"/>
        </w:rPr>
      </w:pPr>
    </w:p>
    <w:p>
      <w:pPr>
        <w:jc w:val="both"/>
        <w:ind w:left="1560" w:hanging="539"/>
        <w:spacing w:after="0"/>
        <w:tabs>
          <w:tab w:leader="none" w:pos="156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on the New Lender entering into any documentation required for it to accede as a party to any Security Document to which the Existing Lender is a party in its capacity as a Lender and, in relation to such Security Documents, completing any filing, registration or notice requirements;</w:t>
      </w:r>
    </w:p>
    <w:p>
      <w:pPr>
        <w:spacing w:after="0" w:line="189" w:lineRule="exact"/>
        <w:rPr>
          <w:rFonts w:ascii="Arial" w:cs="Arial" w:eastAsia="Arial" w:hAnsi="Arial"/>
          <w:sz w:val="18"/>
          <w:szCs w:val="18"/>
          <w:color w:val="auto"/>
        </w:rPr>
      </w:pPr>
    </w:p>
    <w:p>
      <w:pPr>
        <w:jc w:val="both"/>
        <w:ind w:left="1560" w:hanging="539"/>
        <w:spacing w:after="0"/>
        <w:tabs>
          <w:tab w:leader="none" w:pos="156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on the performance by the Agent of all necessary “know your customer” or other similar checks under all applicable laws and regulations relating to any person that it is required to carry out in relation to such assignment to a New Lender, the completion of which the Agent shall promptly notify to the New Lender and the Existing Lender; and</w:t>
      </w:r>
    </w:p>
    <w:p>
      <w:pPr>
        <w:spacing w:after="0" w:line="189" w:lineRule="exact"/>
        <w:rPr>
          <w:rFonts w:ascii="Arial" w:cs="Arial" w:eastAsia="Arial" w:hAnsi="Arial"/>
          <w:sz w:val="18"/>
          <w:szCs w:val="18"/>
          <w:color w:val="auto"/>
        </w:rPr>
      </w:pPr>
    </w:p>
    <w:p>
      <w:pPr>
        <w:jc w:val="both"/>
        <w:ind w:left="1560" w:hanging="539"/>
        <w:spacing w:after="0"/>
        <w:tabs>
          <w:tab w:leader="none" w:pos="156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if an assignment takes effect after there has been a Utilisation, the assignment of an Existing Lender’s participation in the Utilisations (if any) under a Facility shall take effect in respect of the same fraction of each such Utilisation under that Facility;</w:t>
      </w:r>
    </w:p>
    <w:p>
      <w:pPr>
        <w:spacing w:after="0" w:line="189" w:lineRule="exact"/>
        <w:rPr>
          <w:rFonts w:ascii="Arial" w:cs="Arial" w:eastAsia="Arial" w:hAnsi="Arial"/>
          <w:sz w:val="18"/>
          <w:szCs w:val="18"/>
          <w:color w:val="auto"/>
        </w:rPr>
      </w:pPr>
    </w:p>
    <w:p>
      <w:pPr>
        <w:ind w:left="1560" w:hanging="539"/>
        <w:spacing w:after="0" w:line="246" w:lineRule="auto"/>
        <w:tabs>
          <w:tab w:leader="none" w:pos="156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if that Existing Lender assigns equal fractions of its Commitment and participation in a Facility and each Utilisation (if any) under the same Facility; and</w:t>
      </w:r>
    </w:p>
    <w:p>
      <w:pPr>
        <w:spacing w:after="0" w:line="183" w:lineRule="exact"/>
        <w:rPr>
          <w:rFonts w:ascii="Arial" w:cs="Arial" w:eastAsia="Arial" w:hAnsi="Arial"/>
          <w:sz w:val="18"/>
          <w:szCs w:val="18"/>
          <w:color w:val="auto"/>
        </w:rPr>
      </w:pPr>
    </w:p>
    <w:p>
      <w:pPr>
        <w:ind w:left="1560" w:hanging="539"/>
        <w:spacing w:after="0" w:line="246" w:lineRule="auto"/>
        <w:tabs>
          <w:tab w:leader="none" w:pos="156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if the total amount of participations and Commitments of the Existing Lender being assigned is not less than $10,000,000 (or its entire participations and Commitments if lower than $10,000,000).</w:t>
      </w:r>
    </w:p>
    <w:p>
      <w:pPr>
        <w:spacing w:after="0" w:line="183" w:lineRule="exact"/>
        <w:rPr>
          <w:rFonts w:ascii="Arial" w:cs="Arial" w:eastAsia="Arial" w:hAnsi="Arial"/>
          <w:sz w:val="18"/>
          <w:szCs w:val="18"/>
          <w:color w:val="auto"/>
        </w:rPr>
      </w:pPr>
    </w:p>
    <w:p>
      <w:pPr>
        <w:jc w:val="both"/>
        <w:ind w:left="1060" w:hanging="512"/>
        <w:spacing w:after="0" w:line="238" w:lineRule="auto"/>
        <w:tabs>
          <w:tab w:leader="none" w:pos="106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Each New Lender, by executing the relevant Transfer Certificate, confirms, for the avoidance of doubt, that the Agent has authority to execute on its behalf any amendment or waiver that has been approved by or on behalf of the requisite Lender or Lenders in accordance with the Finance Documents on or prior to the date on which the assignment becomes effective in accordance with the Finance Documents and that it is bound by that decision to the same extent as the Existing Lender would have been had it remained a Lender.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154" w:name="page155"/>
    <w:bookmarkEnd w:id="154"/>
    <w:p>
      <w:pPr>
        <w:ind w:left="1060" w:hanging="512"/>
        <w:spacing w:after="0"/>
        <w:tabs>
          <w:tab w:leader="none" w:pos="10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If:</w:t>
      </w:r>
    </w:p>
    <w:p>
      <w:pPr>
        <w:spacing w:after="0" w:line="198" w:lineRule="exact"/>
        <w:rPr>
          <w:rFonts w:ascii="Arial" w:cs="Arial" w:eastAsia="Arial" w:hAnsi="Arial"/>
          <w:sz w:val="18"/>
          <w:szCs w:val="18"/>
          <w:color w:val="auto"/>
        </w:rPr>
      </w:pPr>
    </w:p>
    <w:p>
      <w:pPr>
        <w:ind w:left="1560" w:right="20" w:hanging="539"/>
        <w:spacing w:after="0" w:line="246" w:lineRule="auto"/>
        <w:tabs>
          <w:tab w:leader="none" w:pos="156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a Lender transfers any of its rights or obligations or assigns any of its rights under the Finance Documents or changes its Facility Office; and</w:t>
      </w:r>
    </w:p>
    <w:p>
      <w:pPr>
        <w:spacing w:after="0" w:line="183" w:lineRule="exact"/>
        <w:rPr>
          <w:rFonts w:ascii="Arial" w:cs="Arial" w:eastAsia="Arial" w:hAnsi="Arial"/>
          <w:sz w:val="18"/>
          <w:szCs w:val="18"/>
          <w:color w:val="auto"/>
        </w:rPr>
      </w:pPr>
    </w:p>
    <w:p>
      <w:pPr>
        <w:jc w:val="both"/>
        <w:ind w:left="1560" w:hanging="539"/>
        <w:spacing w:after="0"/>
        <w:tabs>
          <w:tab w:leader="none" w:pos="156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as a result of circumstances existing at the date the transfer, assignment or change occurs, an Obligor would be obliged to make a payment to the New Lender or Lender acting through its new Facility Office under clause 12 (</w:t>
      </w:r>
      <w:r>
        <w:rPr>
          <w:rFonts w:ascii="Arial" w:cs="Arial" w:eastAsia="Arial" w:hAnsi="Arial"/>
          <w:sz w:val="18"/>
          <w:szCs w:val="18"/>
          <w:i w:val="1"/>
          <w:iCs w:val="1"/>
          <w:color w:val="auto"/>
        </w:rPr>
        <w:t>Tax gross-up and</w:t>
      </w:r>
      <w:r>
        <w:rPr>
          <w:rFonts w:ascii="Arial" w:cs="Arial" w:eastAsia="Arial" w:hAnsi="Arial"/>
          <w:sz w:val="18"/>
          <w:szCs w:val="18"/>
          <w:color w:val="auto"/>
        </w:rPr>
        <w:t xml:space="preserve"> </w:t>
      </w:r>
      <w:r>
        <w:rPr>
          <w:rFonts w:ascii="Arial" w:cs="Arial" w:eastAsia="Arial" w:hAnsi="Arial"/>
          <w:sz w:val="18"/>
          <w:szCs w:val="18"/>
          <w:i w:val="1"/>
          <w:iCs w:val="1"/>
          <w:color w:val="auto"/>
        </w:rPr>
        <w:t>indemnities</w:t>
      </w:r>
      <w:r>
        <w:rPr>
          <w:rFonts w:ascii="Arial" w:cs="Arial" w:eastAsia="Arial" w:hAnsi="Arial"/>
          <w:sz w:val="18"/>
          <w:szCs w:val="18"/>
          <w:color w:val="auto"/>
        </w:rPr>
        <w:t>) or clause 13 (</w:t>
      </w:r>
      <w:r>
        <w:rPr>
          <w:rFonts w:ascii="Arial" w:cs="Arial" w:eastAsia="Arial" w:hAnsi="Arial"/>
          <w:sz w:val="18"/>
          <w:szCs w:val="18"/>
          <w:i w:val="1"/>
          <w:iCs w:val="1"/>
          <w:color w:val="auto"/>
        </w:rPr>
        <w:t>Increased Costs</w:t>
      </w:r>
      <w:r>
        <w:rPr>
          <w:rFonts w:ascii="Arial" w:cs="Arial" w:eastAsia="Arial" w:hAnsi="Arial"/>
          <w:sz w:val="18"/>
          <w:szCs w:val="18"/>
          <w:color w:val="auto"/>
        </w:rPr>
        <w:t>),</w:t>
      </w:r>
    </w:p>
    <w:p>
      <w:pPr>
        <w:spacing w:after="0" w:line="189" w:lineRule="exact"/>
        <w:rPr>
          <w:sz w:val="20"/>
          <w:szCs w:val="20"/>
          <w:color w:val="auto"/>
        </w:rPr>
      </w:pPr>
    </w:p>
    <w:p>
      <w:pPr>
        <w:jc w:val="both"/>
        <w:ind w:left="1020"/>
        <w:spacing w:after="0" w:line="238" w:lineRule="auto"/>
        <w:rPr>
          <w:sz w:val="20"/>
          <w:szCs w:val="20"/>
          <w:color w:val="auto"/>
        </w:rPr>
      </w:pPr>
      <w:r>
        <w:rPr>
          <w:rFonts w:ascii="Arial" w:cs="Arial" w:eastAsia="Arial" w:hAnsi="Arial"/>
          <w:sz w:val="18"/>
          <w:szCs w:val="18"/>
          <w:color w:val="auto"/>
        </w:rPr>
        <w:t>then the New Lender or Lender acting through its new Facility Office is only entitled to receive payment under those clauses to the same extent as the Existing Lender or Lender acting through its previous Facility Office would have been if the transfer, assignment or change had not occurred unless the transfer, assignment or change is made by the Lender with the Borrowers’ agreement to mitigate any circumstances giving rise to a Tax Payment or increased cost, or a right to be prepaid and/or cancelled by reason of illegality.</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30.3</w:t>
        <w:tab/>
        <w:t>Fee</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New Lender shall, on the date upon which an assignment takes effect, pay to the Agent (for its own account) a fee of $5,000.</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30.4</w:t>
      </w:r>
      <w:r>
        <w:rPr>
          <w:sz w:val="20"/>
          <w:szCs w:val="20"/>
          <w:color w:val="auto"/>
        </w:rPr>
        <w:tab/>
      </w:r>
      <w:r>
        <w:rPr>
          <w:rFonts w:ascii="Arial" w:cs="Arial" w:eastAsia="Arial" w:hAnsi="Arial"/>
          <w:sz w:val="17"/>
          <w:szCs w:val="17"/>
          <w:b w:val="1"/>
          <w:bCs w:val="1"/>
          <w:color w:val="auto"/>
        </w:rPr>
        <w:t>Limitation of responsibility of Existing Lenders</w:t>
      </w:r>
    </w:p>
    <w:p>
      <w:pPr>
        <w:spacing w:after="0" w:line="220" w:lineRule="exact"/>
        <w:rPr>
          <w:sz w:val="20"/>
          <w:szCs w:val="20"/>
          <w:color w:val="auto"/>
        </w:rPr>
      </w:pPr>
    </w:p>
    <w:p>
      <w:pPr>
        <w:ind w:left="1060" w:hanging="512"/>
        <w:spacing w:after="0" w:line="246" w:lineRule="auto"/>
        <w:tabs>
          <w:tab w:leader="none" w:pos="10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Unless expressly agreed to the contrary, an Existing Lender makes no representation or warranty and assumes no responsibility to a New Lender for:</w:t>
      </w:r>
    </w:p>
    <w:p>
      <w:pPr>
        <w:spacing w:after="0" w:line="183" w:lineRule="exact"/>
        <w:rPr>
          <w:rFonts w:ascii="Arial" w:cs="Arial" w:eastAsia="Arial" w:hAnsi="Arial"/>
          <w:sz w:val="18"/>
          <w:szCs w:val="18"/>
          <w:color w:val="auto"/>
        </w:rPr>
      </w:pPr>
    </w:p>
    <w:p>
      <w:pPr>
        <w:ind w:left="1560" w:hanging="539"/>
        <w:spacing w:after="0"/>
        <w:tabs>
          <w:tab w:leader="none" w:pos="156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the Finance Documents or any other documents;</w:t>
      </w:r>
    </w:p>
    <w:p>
      <w:pPr>
        <w:spacing w:after="0" w:line="198" w:lineRule="exact"/>
        <w:rPr>
          <w:rFonts w:ascii="Arial" w:cs="Arial" w:eastAsia="Arial" w:hAnsi="Arial"/>
          <w:sz w:val="18"/>
          <w:szCs w:val="18"/>
          <w:color w:val="auto"/>
        </w:rPr>
      </w:pPr>
    </w:p>
    <w:p>
      <w:pPr>
        <w:ind w:left="1560" w:hanging="539"/>
        <w:spacing w:after="0"/>
        <w:tabs>
          <w:tab w:leader="none" w:pos="156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the financial condition of any Obligor;</w:t>
      </w:r>
    </w:p>
    <w:p>
      <w:pPr>
        <w:spacing w:after="0" w:line="198" w:lineRule="exact"/>
        <w:rPr>
          <w:rFonts w:ascii="Arial" w:cs="Arial" w:eastAsia="Arial" w:hAnsi="Arial"/>
          <w:sz w:val="18"/>
          <w:szCs w:val="18"/>
          <w:color w:val="auto"/>
        </w:rPr>
      </w:pPr>
    </w:p>
    <w:p>
      <w:pPr>
        <w:ind w:left="1560" w:hanging="539"/>
        <w:spacing w:after="0" w:line="246" w:lineRule="auto"/>
        <w:tabs>
          <w:tab w:leader="none" w:pos="156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the performance and observance by any Obligor or any other person of its obligations under the Finance Documents or any other documents;</w:t>
      </w:r>
    </w:p>
    <w:p>
      <w:pPr>
        <w:spacing w:after="0" w:line="183" w:lineRule="exact"/>
        <w:rPr>
          <w:rFonts w:ascii="Arial" w:cs="Arial" w:eastAsia="Arial" w:hAnsi="Arial"/>
          <w:sz w:val="18"/>
          <w:szCs w:val="18"/>
          <w:color w:val="auto"/>
        </w:rPr>
      </w:pPr>
    </w:p>
    <w:p>
      <w:pPr>
        <w:ind w:left="1560" w:right="20" w:hanging="539"/>
        <w:spacing w:after="0" w:line="246" w:lineRule="auto"/>
        <w:tabs>
          <w:tab w:leader="none" w:pos="156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the application of any Basel II Regulation or any Basel III Regulation to the transactions contemplated by the Finance Documents; or</w:t>
      </w:r>
    </w:p>
    <w:p>
      <w:pPr>
        <w:spacing w:after="0" w:line="183" w:lineRule="exact"/>
        <w:rPr>
          <w:rFonts w:ascii="Arial" w:cs="Arial" w:eastAsia="Arial" w:hAnsi="Arial"/>
          <w:sz w:val="18"/>
          <w:szCs w:val="18"/>
          <w:color w:val="auto"/>
        </w:rPr>
      </w:pPr>
    </w:p>
    <w:p>
      <w:pPr>
        <w:ind w:left="1560" w:hanging="539"/>
        <w:spacing w:after="0" w:line="246" w:lineRule="auto"/>
        <w:tabs>
          <w:tab w:leader="none" w:pos="156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the accuracy of any statements (whether written or oral) made in or in connection with any Finance Document or any other document,</w:t>
      </w:r>
    </w:p>
    <w:p>
      <w:pPr>
        <w:spacing w:after="0" w:line="18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and any representations or warranties implied by law are excluded.</w:t>
      </w:r>
    </w:p>
    <w:p>
      <w:pPr>
        <w:spacing w:after="0" w:line="198" w:lineRule="exact"/>
        <w:rPr>
          <w:sz w:val="20"/>
          <w:szCs w:val="20"/>
          <w:color w:val="auto"/>
        </w:rPr>
      </w:pPr>
    </w:p>
    <w:p>
      <w:pPr>
        <w:ind w:left="1060" w:hanging="512"/>
        <w:spacing w:after="0"/>
        <w:tabs>
          <w:tab w:leader="none" w:pos="106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Each New Lender confirms to the Existing Lender and the other Finance Parties that it:</w:t>
      </w:r>
    </w:p>
    <w:p>
      <w:pPr>
        <w:spacing w:after="0" w:line="198" w:lineRule="exact"/>
        <w:rPr>
          <w:rFonts w:ascii="Arial" w:cs="Arial" w:eastAsia="Arial" w:hAnsi="Arial"/>
          <w:sz w:val="18"/>
          <w:szCs w:val="18"/>
          <w:color w:val="auto"/>
        </w:rPr>
      </w:pPr>
    </w:p>
    <w:p>
      <w:pPr>
        <w:ind w:left="1560" w:hanging="539"/>
        <w:spacing w:after="0"/>
        <w:tabs>
          <w:tab w:leader="none" w:pos="156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has made (and shall continue to make) its own independent investigation and assessment of:</w:t>
      </w:r>
    </w:p>
    <w:p>
      <w:pPr>
        <w:spacing w:after="0" w:line="198" w:lineRule="exact"/>
        <w:rPr>
          <w:rFonts w:ascii="Arial" w:cs="Arial" w:eastAsia="Arial" w:hAnsi="Arial"/>
          <w:sz w:val="18"/>
          <w:szCs w:val="18"/>
          <w:color w:val="auto"/>
        </w:rPr>
      </w:pPr>
    </w:p>
    <w:p>
      <w:pPr>
        <w:ind w:left="2080" w:hanging="546"/>
        <w:spacing w:after="0" w:line="246" w:lineRule="auto"/>
        <w:tabs>
          <w:tab w:leader="none" w:pos="2080" w:val="left"/>
        </w:tabs>
        <w:numPr>
          <w:ilvl w:val="2"/>
          <w:numId w:val="311"/>
        </w:numPr>
        <w:rPr>
          <w:rFonts w:ascii="Arial" w:cs="Arial" w:eastAsia="Arial" w:hAnsi="Arial"/>
          <w:sz w:val="18"/>
          <w:szCs w:val="18"/>
          <w:color w:val="auto"/>
        </w:rPr>
      </w:pPr>
      <w:r>
        <w:rPr>
          <w:rFonts w:ascii="Arial" w:cs="Arial" w:eastAsia="Arial" w:hAnsi="Arial"/>
          <w:sz w:val="18"/>
          <w:szCs w:val="18"/>
          <w:color w:val="auto"/>
        </w:rPr>
        <w:t>the financial condition and affairs of the Obligors and their related entities in connection with its participation in this Agreement; and</w:t>
      </w:r>
    </w:p>
    <w:p>
      <w:pPr>
        <w:spacing w:after="0" w:line="183" w:lineRule="exact"/>
        <w:rPr>
          <w:rFonts w:ascii="Arial" w:cs="Arial" w:eastAsia="Arial" w:hAnsi="Arial"/>
          <w:sz w:val="18"/>
          <w:szCs w:val="18"/>
          <w:color w:val="auto"/>
        </w:rPr>
      </w:pPr>
    </w:p>
    <w:p>
      <w:pPr>
        <w:ind w:left="2080" w:right="20" w:hanging="546"/>
        <w:spacing w:after="0" w:line="246" w:lineRule="auto"/>
        <w:tabs>
          <w:tab w:leader="none" w:pos="2080" w:val="left"/>
        </w:tabs>
        <w:numPr>
          <w:ilvl w:val="2"/>
          <w:numId w:val="311"/>
        </w:numPr>
        <w:rPr>
          <w:rFonts w:ascii="Arial" w:cs="Arial" w:eastAsia="Arial" w:hAnsi="Arial"/>
          <w:sz w:val="18"/>
          <w:szCs w:val="18"/>
          <w:color w:val="auto"/>
        </w:rPr>
      </w:pPr>
      <w:r>
        <w:rPr>
          <w:rFonts w:ascii="Arial" w:cs="Arial" w:eastAsia="Arial" w:hAnsi="Arial"/>
          <w:sz w:val="18"/>
          <w:szCs w:val="18"/>
          <w:color w:val="auto"/>
        </w:rPr>
        <w:t>the application of any Basel II Regulation or any Basel III Regulation to the transactions contemplated by the Finance Documents;</w:t>
      </w:r>
    </w:p>
    <w:p>
      <w:pPr>
        <w:spacing w:after="0" w:line="183" w:lineRule="exact"/>
        <w:rPr>
          <w:sz w:val="20"/>
          <w:szCs w:val="20"/>
          <w:color w:val="auto"/>
        </w:rPr>
      </w:pPr>
    </w:p>
    <w:p>
      <w:pPr>
        <w:ind w:left="1020"/>
        <w:spacing w:after="0" w:line="246" w:lineRule="auto"/>
        <w:rPr>
          <w:sz w:val="20"/>
          <w:szCs w:val="20"/>
          <w:color w:val="auto"/>
        </w:rPr>
      </w:pPr>
      <w:r>
        <w:rPr>
          <w:rFonts w:ascii="Arial" w:cs="Arial" w:eastAsia="Arial" w:hAnsi="Arial"/>
          <w:sz w:val="18"/>
          <w:szCs w:val="18"/>
          <w:color w:val="auto"/>
        </w:rPr>
        <w:t>and has not relied exclusively on any information provided to it by the Existing Lender or any other Finance Party in connection with any Finance Document;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55" w:name="page156"/>
    <w:bookmarkEnd w:id="155"/>
    <w:p>
      <w:pPr>
        <w:ind w:left="1560" w:hanging="539"/>
        <w:spacing w:after="0" w:line="246" w:lineRule="auto"/>
        <w:tabs>
          <w:tab w:leader="none" w:pos="156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will continue to make its own independent appraisal of the application of any Basel II Regulation or Basel III Regulation to the transactions contemplated by the Finance Documents; and</w:t>
      </w:r>
    </w:p>
    <w:p>
      <w:pPr>
        <w:spacing w:after="0" w:line="183" w:lineRule="exact"/>
        <w:rPr>
          <w:rFonts w:ascii="Arial" w:cs="Arial" w:eastAsia="Arial" w:hAnsi="Arial"/>
          <w:sz w:val="18"/>
          <w:szCs w:val="18"/>
          <w:color w:val="auto"/>
        </w:rPr>
      </w:pPr>
    </w:p>
    <w:p>
      <w:pPr>
        <w:ind w:left="1560" w:hanging="539"/>
        <w:spacing w:after="0" w:line="246" w:lineRule="auto"/>
        <w:tabs>
          <w:tab w:leader="none" w:pos="156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will continue to make its own independent appraisal of the creditworthiness of each Obligor and its related entities whilst any amount is or may be outstanding under the Finance Documents or any Commitment is in force.</w:t>
      </w:r>
    </w:p>
    <w:p>
      <w:pPr>
        <w:spacing w:after="0" w:line="183" w:lineRule="exact"/>
        <w:rPr>
          <w:rFonts w:ascii="Arial" w:cs="Arial" w:eastAsia="Arial" w:hAnsi="Arial"/>
          <w:sz w:val="18"/>
          <w:szCs w:val="18"/>
          <w:color w:val="auto"/>
        </w:rPr>
      </w:pPr>
    </w:p>
    <w:p>
      <w:pPr>
        <w:ind w:left="1060" w:hanging="512"/>
        <w:spacing w:after="0"/>
        <w:tabs>
          <w:tab w:leader="none" w:pos="106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Nothing in any Finance Document obliges an Existing Lender to:</w:t>
      </w:r>
    </w:p>
    <w:p>
      <w:pPr>
        <w:spacing w:after="0" w:line="198" w:lineRule="exact"/>
        <w:rPr>
          <w:rFonts w:ascii="Arial" w:cs="Arial" w:eastAsia="Arial" w:hAnsi="Arial"/>
          <w:sz w:val="18"/>
          <w:szCs w:val="18"/>
          <w:color w:val="auto"/>
        </w:rPr>
      </w:pPr>
    </w:p>
    <w:p>
      <w:pPr>
        <w:ind w:left="1560" w:hanging="539"/>
        <w:spacing w:after="0"/>
        <w:tabs>
          <w:tab w:leader="none" w:pos="156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accept a re-assignment from a New Lender of any of the rights assigned under this clause 30; or</w:t>
      </w:r>
    </w:p>
    <w:p>
      <w:pPr>
        <w:spacing w:after="0" w:line="198" w:lineRule="exact"/>
        <w:rPr>
          <w:rFonts w:ascii="Arial" w:cs="Arial" w:eastAsia="Arial" w:hAnsi="Arial"/>
          <w:sz w:val="18"/>
          <w:szCs w:val="18"/>
          <w:color w:val="auto"/>
        </w:rPr>
      </w:pPr>
    </w:p>
    <w:p>
      <w:pPr>
        <w:jc w:val="both"/>
        <w:ind w:left="1560" w:hanging="539"/>
        <w:spacing w:after="0"/>
        <w:tabs>
          <w:tab w:leader="none" w:pos="156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support any Losses directly or indirectly incurred by the New Lender by reason of the non-performance by any Obligor of its obligations under the Finance Documents or by reason of the application of any Basel II Regulation or Basel III Regulation to the transactions contemplated by the Finance Documents or otherwise.</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30.5</w:t>
        <w:tab/>
        <w:t>Procedure for assignment</w:t>
      </w:r>
    </w:p>
    <w:p>
      <w:pPr>
        <w:spacing w:after="0" w:line="202" w:lineRule="exact"/>
        <w:rPr>
          <w:sz w:val="20"/>
          <w:szCs w:val="20"/>
          <w:color w:val="auto"/>
        </w:rPr>
      </w:pPr>
    </w:p>
    <w:p>
      <w:pPr>
        <w:jc w:val="both"/>
        <w:ind w:left="1060" w:hanging="512"/>
        <w:spacing w:after="0" w:line="239" w:lineRule="auto"/>
        <w:tabs>
          <w:tab w:leader="none" w:pos="10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Subject to the conditions set out in clause 30.2 (</w:t>
      </w:r>
      <w:r>
        <w:rPr>
          <w:rFonts w:ascii="Arial" w:cs="Arial" w:eastAsia="Arial" w:hAnsi="Arial"/>
          <w:sz w:val="18"/>
          <w:szCs w:val="18"/>
          <w:i w:val="1"/>
          <w:iCs w:val="1"/>
          <w:color w:val="auto"/>
        </w:rPr>
        <w:t>Conditions of assignment</w:t>
      </w:r>
      <w:r>
        <w:rPr>
          <w:rFonts w:ascii="Arial" w:cs="Arial" w:eastAsia="Arial" w:hAnsi="Arial"/>
          <w:sz w:val="18"/>
          <w:szCs w:val="18"/>
          <w:color w:val="auto"/>
        </w:rPr>
        <w:t>) an assignment may be effected in accordance with clause 30.5(d) below when (a) the Agent executes an otherwise duly completed Transfer Certificate and (b) the Agent executes any document required under clause 30.2(c) which it may be necessary for it to execute in each case delivered to it by the Existing Lender and the New Lender duly executed by them and, in the case of any such other document, any other relevant person. The Agent shall, subject to clause 30.5(b) as soon as reasonably practicable after receipt by it of a Transfer Certificate and any such other document each duly completed, appearing on its face to comply with the terms of this Agreement and delivered in accordance with the terms of this Agreement, execute that Transfer Certificate and such other document. The Obligors and the other Finance Parties irrevocably authorise the Agent to execute any Transfer Certificate on their behalf without any consultation with them.</w:t>
      </w:r>
    </w:p>
    <w:p>
      <w:pPr>
        <w:spacing w:after="0" w:line="188" w:lineRule="exact"/>
        <w:rPr>
          <w:rFonts w:ascii="Arial" w:cs="Arial" w:eastAsia="Arial" w:hAnsi="Arial"/>
          <w:sz w:val="18"/>
          <w:szCs w:val="18"/>
          <w:color w:val="auto"/>
        </w:rPr>
      </w:pPr>
    </w:p>
    <w:p>
      <w:pPr>
        <w:jc w:val="both"/>
        <w:ind w:left="1060" w:hanging="512"/>
        <w:spacing w:after="0"/>
        <w:tabs>
          <w:tab w:leader="none" w:pos="10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Agent shall only be obliged to execute a Transfer Certificate delivered to it by the Existing Lender and the New Lender once it is satisfied it has complied with all necessary “know your customer” or other similar checks under all applicable laws and regulations in relation to the assignment to such New Lender.</w:t>
      </w:r>
    </w:p>
    <w:p>
      <w:pPr>
        <w:spacing w:after="0" w:line="189" w:lineRule="exact"/>
        <w:rPr>
          <w:rFonts w:ascii="Arial" w:cs="Arial" w:eastAsia="Arial" w:hAnsi="Arial"/>
          <w:sz w:val="18"/>
          <w:szCs w:val="18"/>
          <w:color w:val="auto"/>
        </w:rPr>
      </w:pPr>
    </w:p>
    <w:p>
      <w:pPr>
        <w:ind w:left="1060" w:hanging="512"/>
        <w:spacing w:after="0" w:line="246" w:lineRule="auto"/>
        <w:tabs>
          <w:tab w:leader="none" w:pos="10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Obligors and the other Finance Parties irrevocably authorise the Agent to execute any Transfer Certificate on their behalf without any consultations with them.</w:t>
      </w:r>
    </w:p>
    <w:p>
      <w:pPr>
        <w:spacing w:after="0" w:line="165" w:lineRule="exact"/>
        <w:rPr>
          <w:rFonts w:ascii="Arial" w:cs="Arial" w:eastAsia="Arial" w:hAnsi="Arial"/>
          <w:sz w:val="18"/>
          <w:szCs w:val="18"/>
          <w:color w:val="auto"/>
        </w:rPr>
      </w:pPr>
    </w:p>
    <w:p>
      <w:pPr>
        <w:ind w:left="1060" w:hanging="512"/>
        <w:spacing w:after="0"/>
        <w:tabs>
          <w:tab w:leader="none" w:pos="10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Subject to clause 30.8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on the Transfer Date:</w:t>
      </w:r>
    </w:p>
    <w:p>
      <w:pPr>
        <w:spacing w:after="0" w:line="216" w:lineRule="exact"/>
        <w:rPr>
          <w:rFonts w:ascii="Arial" w:cs="Arial" w:eastAsia="Arial" w:hAnsi="Arial"/>
          <w:sz w:val="18"/>
          <w:szCs w:val="18"/>
          <w:color w:val="auto"/>
        </w:rPr>
      </w:pPr>
    </w:p>
    <w:p>
      <w:pPr>
        <w:ind w:left="1560" w:hanging="539"/>
        <w:spacing w:after="0" w:line="246" w:lineRule="auto"/>
        <w:tabs>
          <w:tab w:leader="none" w:pos="156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the Existing Lender will assign absolutely to the New Lender the rights under the Finance Documents expressed to be the subject of the assignment in the Transfer Certificate;</w:t>
      </w:r>
    </w:p>
    <w:p>
      <w:pPr>
        <w:spacing w:after="0" w:line="183" w:lineRule="exact"/>
        <w:rPr>
          <w:rFonts w:ascii="Arial" w:cs="Arial" w:eastAsia="Arial" w:hAnsi="Arial"/>
          <w:sz w:val="18"/>
          <w:szCs w:val="18"/>
          <w:color w:val="auto"/>
        </w:rPr>
      </w:pPr>
    </w:p>
    <w:p>
      <w:pPr>
        <w:jc w:val="both"/>
        <w:ind w:left="1560" w:hanging="539"/>
        <w:spacing w:after="0"/>
        <w:tabs>
          <w:tab w:leader="none" w:pos="156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 xml:space="preserve">the Existing Lender will be released by each Obligor and the other Finance Parties from the obligations owed by it (the </w:t>
      </w:r>
      <w:r>
        <w:rPr>
          <w:rFonts w:ascii="Arial" w:cs="Arial" w:eastAsia="Arial" w:hAnsi="Arial"/>
          <w:sz w:val="18"/>
          <w:szCs w:val="18"/>
          <w:b w:val="1"/>
          <w:bCs w:val="1"/>
          <w:color w:val="auto"/>
        </w:rPr>
        <w:t>Relevant Obligations</w:t>
      </w:r>
      <w:r>
        <w:rPr>
          <w:rFonts w:ascii="Arial" w:cs="Arial" w:eastAsia="Arial" w:hAnsi="Arial"/>
          <w:sz w:val="18"/>
          <w:szCs w:val="18"/>
          <w:color w:val="auto"/>
        </w:rPr>
        <w:t>) and expressed to be the subject of the release in the Transfer Certificate (but the obligations owed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Obligors under the Finance Documents shall not be released); and</w:t>
      </w:r>
    </w:p>
    <w:p>
      <w:pPr>
        <w:spacing w:after="0" w:line="189" w:lineRule="exact"/>
        <w:rPr>
          <w:rFonts w:ascii="Arial" w:cs="Arial" w:eastAsia="Arial" w:hAnsi="Arial"/>
          <w:sz w:val="18"/>
          <w:szCs w:val="18"/>
          <w:color w:val="auto"/>
        </w:rPr>
      </w:pPr>
    </w:p>
    <w:p>
      <w:pPr>
        <w:ind w:left="1560" w:hanging="539"/>
        <w:spacing w:after="0" w:line="246" w:lineRule="auto"/>
        <w:tabs>
          <w:tab w:leader="none" w:pos="156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the New Lender shall become a Party to the Finance Documents as a “Lender for the purposes of all the Finance Documents and will be bound by obligations equivalent to the Relevant Obligations.</w:t>
      </w:r>
    </w:p>
    <w:p>
      <w:pPr>
        <w:spacing w:after="0" w:line="165" w:lineRule="exact"/>
        <w:rPr>
          <w:rFonts w:ascii="Arial" w:cs="Arial" w:eastAsia="Arial" w:hAnsi="Arial"/>
          <w:sz w:val="18"/>
          <w:szCs w:val="18"/>
          <w:color w:val="auto"/>
        </w:rPr>
      </w:pPr>
    </w:p>
    <w:p>
      <w:pPr>
        <w:jc w:val="both"/>
        <w:ind w:left="1060" w:hanging="512"/>
        <w:spacing w:after="0" w:line="251" w:lineRule="auto"/>
        <w:tabs>
          <w:tab w:leader="none" w:pos="10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Lenders may utilise procedures other than those set out in this clause 30.5 (</w:t>
      </w:r>
      <w:r>
        <w:rPr>
          <w:rFonts w:ascii="Arial" w:cs="Arial" w:eastAsia="Arial" w:hAnsi="Arial"/>
          <w:sz w:val="18"/>
          <w:szCs w:val="18"/>
          <w:i w:val="1"/>
          <w:iCs w:val="1"/>
          <w:color w:val="auto"/>
        </w:rPr>
        <w:t>Procedure for assignment</w:t>
      </w:r>
      <w:r>
        <w:rPr>
          <w:rFonts w:ascii="Arial" w:cs="Arial" w:eastAsia="Arial" w:hAnsi="Arial"/>
          <w:sz w:val="18"/>
          <w:szCs w:val="18"/>
          <w:color w:val="auto"/>
        </w:rPr>
        <w:t>) to assign their rights under the Finance Documents (but not, without the consent of the relevant Obligor or unless in accordance with clauses 30.5 (</w:t>
      </w:r>
      <w:r>
        <w:rPr>
          <w:rFonts w:ascii="Arial" w:cs="Arial" w:eastAsia="Arial" w:hAnsi="Arial"/>
          <w:sz w:val="18"/>
          <w:szCs w:val="18"/>
          <w:i w:val="1"/>
          <w:iCs w:val="1"/>
          <w:color w:val="auto"/>
        </w:rPr>
        <w:t>Procedure</w:t>
      </w:r>
      <w:r>
        <w:rPr>
          <w:rFonts w:ascii="Arial" w:cs="Arial" w:eastAsia="Arial" w:hAnsi="Arial"/>
          <w:sz w:val="18"/>
          <w:szCs w:val="18"/>
          <w:color w:val="auto"/>
        </w:rPr>
        <w:t xml:space="preserve"> </w:t>
      </w:r>
      <w:r>
        <w:rPr>
          <w:rFonts w:ascii="Arial" w:cs="Arial" w:eastAsia="Arial" w:hAnsi="Arial"/>
          <w:sz w:val="18"/>
          <w:szCs w:val="18"/>
          <w:i w:val="1"/>
          <w:iCs w:val="1"/>
          <w:color w:val="auto"/>
        </w:rPr>
        <w:t>for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56" w:name="page157"/>
    <w:bookmarkEnd w:id="156"/>
    <w:p>
      <w:pPr>
        <w:jc w:val="both"/>
        <w:ind w:left="1020"/>
        <w:spacing w:after="0" w:line="251" w:lineRule="auto"/>
        <w:rPr>
          <w:sz w:val="20"/>
          <w:szCs w:val="20"/>
          <w:color w:val="auto"/>
        </w:rPr>
      </w:pPr>
      <w:r>
        <w:rPr>
          <w:rFonts w:ascii="Arial" w:cs="Arial" w:eastAsia="Arial" w:hAnsi="Arial"/>
          <w:sz w:val="18"/>
          <w:szCs w:val="18"/>
          <w:i w:val="1"/>
          <w:iCs w:val="1"/>
          <w:color w:val="auto"/>
        </w:rPr>
        <w:t>assignment</w:t>
      </w:r>
      <w:r>
        <w:rPr>
          <w:rFonts w:ascii="Arial" w:cs="Arial" w:eastAsia="Arial" w:hAnsi="Arial"/>
          <w:sz w:val="18"/>
          <w:szCs w:val="18"/>
          <w:color w:val="auto"/>
        </w:rPr>
        <w:t>) to obtain a release by that Obligor from the obligations owed to that Obligor by the Lenders nor the assumption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 obligations by a New Lender) provided that they comply with the conditions set out in clause 30.2 (</w:t>
      </w:r>
      <w:r>
        <w:rPr>
          <w:rFonts w:ascii="Arial" w:cs="Arial" w:eastAsia="Arial" w:hAnsi="Arial"/>
          <w:sz w:val="18"/>
          <w:szCs w:val="18"/>
          <w:i w:val="1"/>
          <w:iCs w:val="1"/>
          <w:color w:val="auto"/>
        </w:rPr>
        <w:t>Conditions of</w:t>
      </w:r>
      <w:r>
        <w:rPr>
          <w:rFonts w:ascii="Arial" w:cs="Arial" w:eastAsia="Arial" w:hAnsi="Arial"/>
          <w:sz w:val="18"/>
          <w:szCs w:val="18"/>
          <w:color w:val="auto"/>
        </w:rPr>
        <w:t xml:space="preserve"> </w:t>
      </w:r>
      <w:r>
        <w:rPr>
          <w:rFonts w:ascii="Arial" w:cs="Arial" w:eastAsia="Arial" w:hAnsi="Arial"/>
          <w:sz w:val="18"/>
          <w:szCs w:val="18"/>
          <w:i w:val="1"/>
          <w:iCs w:val="1"/>
          <w:color w:val="auto"/>
        </w:rPr>
        <w:t>assignment</w:t>
      </w:r>
      <w:r>
        <w:rPr>
          <w:rFonts w:ascii="Arial" w:cs="Arial" w:eastAsia="Arial" w:hAnsi="Arial"/>
          <w:sz w:val="18"/>
          <w:szCs w:val="18"/>
          <w:color w:val="auto"/>
        </w:rPr>
        <w:t>).</w:t>
      </w:r>
    </w:p>
    <w:p>
      <w:pPr>
        <w:spacing w:after="0" w:line="15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30.6</w:t>
      </w:r>
      <w:r>
        <w:rPr>
          <w:sz w:val="20"/>
          <w:szCs w:val="20"/>
          <w:color w:val="auto"/>
        </w:rPr>
        <w:tab/>
      </w:r>
      <w:r>
        <w:rPr>
          <w:rFonts w:ascii="Arial" w:cs="Arial" w:eastAsia="Arial" w:hAnsi="Arial"/>
          <w:sz w:val="17"/>
          <w:szCs w:val="17"/>
          <w:b w:val="1"/>
          <w:bCs w:val="1"/>
          <w:color w:val="auto"/>
        </w:rPr>
        <w:t>Copy of Transfer Certificate to Borrowers</w:t>
      </w:r>
    </w:p>
    <w:p>
      <w:pPr>
        <w:spacing w:after="0" w:line="220" w:lineRule="exact"/>
        <w:rPr>
          <w:sz w:val="20"/>
          <w:szCs w:val="20"/>
          <w:color w:val="auto"/>
        </w:rPr>
      </w:pPr>
    </w:p>
    <w:p>
      <w:pPr>
        <w:jc w:val="both"/>
        <w:ind w:left="540"/>
        <w:spacing w:after="0" w:line="246" w:lineRule="auto"/>
        <w:rPr>
          <w:sz w:val="20"/>
          <w:szCs w:val="20"/>
          <w:color w:val="auto"/>
        </w:rPr>
      </w:pPr>
      <w:r>
        <w:rPr>
          <w:rFonts w:ascii="Arial" w:cs="Arial" w:eastAsia="Arial" w:hAnsi="Arial"/>
          <w:sz w:val="18"/>
          <w:szCs w:val="18"/>
          <w:color w:val="auto"/>
        </w:rPr>
        <w:t>The Agent shall, as soon as reasonably practicable after it has executed a Transfer Certificate and any other document required under clause 30.2(c), send a copy of that Transfer Certificate and such other documents to the Borrowers.</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30.7</w:t>
        <w:tab/>
        <w:t>Security over Lenders’ rights</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In addition to the other rights provided to Lenders under this clause 30.7, each Lender may without consulting with or obtaining consent from an Obligor, at any time charge, assign or otherwise create a Security Interest in or over (whether by way of collateral or otherwise) all or any of its rights under any Finance Document to secure obligations of that Lender including, without limitation:</w:t>
      </w:r>
    </w:p>
    <w:p>
      <w:pPr>
        <w:spacing w:after="0" w:line="189" w:lineRule="exact"/>
        <w:rPr>
          <w:sz w:val="20"/>
          <w:szCs w:val="20"/>
          <w:color w:val="auto"/>
        </w:rPr>
      </w:pPr>
    </w:p>
    <w:p>
      <w:pPr>
        <w:ind w:left="1060" w:hanging="512"/>
        <w:spacing w:after="0"/>
        <w:tabs>
          <w:tab w:leader="none" w:pos="10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any charge, assignment or other Security Interest to secure obligations to a federal reserve or central bank; and</w:t>
      </w:r>
    </w:p>
    <w:p>
      <w:pPr>
        <w:spacing w:after="0" w:line="198" w:lineRule="exact"/>
        <w:rPr>
          <w:rFonts w:ascii="Arial" w:cs="Arial" w:eastAsia="Arial" w:hAnsi="Arial"/>
          <w:sz w:val="18"/>
          <w:szCs w:val="18"/>
          <w:color w:val="auto"/>
        </w:rPr>
      </w:pPr>
    </w:p>
    <w:p>
      <w:pPr>
        <w:ind w:left="1060" w:hanging="512"/>
        <w:spacing w:after="0" w:line="246" w:lineRule="auto"/>
        <w:tabs>
          <w:tab w:leader="none" w:pos="10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in the case of any Lender which is a fund, any charge, assignment or other Security Interest granted to any holders (or trustee or representatives of holders) of obligations owed, or securities issued, by that Lender as security for those obligations or securities,</w:t>
      </w:r>
    </w:p>
    <w:p>
      <w:pPr>
        <w:spacing w:after="0" w:line="18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except that no such charge, assignment or Security Interest shall:</w:t>
      </w:r>
    </w:p>
    <w:p>
      <w:pPr>
        <w:spacing w:after="0" w:line="198" w:lineRule="exact"/>
        <w:rPr>
          <w:sz w:val="20"/>
          <w:szCs w:val="20"/>
          <w:color w:val="auto"/>
        </w:rPr>
      </w:pPr>
    </w:p>
    <w:p>
      <w:pPr>
        <w:ind w:left="1560" w:hanging="539"/>
        <w:spacing w:after="0" w:line="246" w:lineRule="auto"/>
        <w:tabs>
          <w:tab w:leader="none" w:pos="15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release a Lender from any of its obligations under the Finance Documents or substitute the beneficiary of the relevant charge, assignment or Security Interest for the Lender as a party to any of the Finance Documents; or</w:t>
      </w:r>
    </w:p>
    <w:p>
      <w:pPr>
        <w:spacing w:after="0" w:line="183" w:lineRule="exact"/>
        <w:rPr>
          <w:rFonts w:ascii="Arial" w:cs="Arial" w:eastAsia="Arial" w:hAnsi="Arial"/>
          <w:sz w:val="18"/>
          <w:szCs w:val="18"/>
          <w:color w:val="auto"/>
        </w:rPr>
      </w:pPr>
    </w:p>
    <w:p>
      <w:pPr>
        <w:ind w:left="1560" w:hanging="539"/>
        <w:spacing w:after="0" w:line="246" w:lineRule="auto"/>
        <w:tabs>
          <w:tab w:leader="none" w:pos="15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require any payments to be made by an Obligor other than or in excess of, or grant to any person any more extensive rights than, those required to be made or granted to the relevant Lender under the Finance Documents.</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30.8</w:t>
        <w:tab/>
        <w:t>Pro rata interest settlement</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If the Agent has notified the Lenders that it is able to distribute interest payments on a “pro rata basis” to Existing Lenders and New Lenders then (in respect of any assignment pursuant to clause 30.5 (</w:t>
      </w:r>
      <w:r>
        <w:rPr>
          <w:rFonts w:ascii="Arial" w:cs="Arial" w:eastAsia="Arial" w:hAnsi="Arial"/>
          <w:sz w:val="18"/>
          <w:szCs w:val="18"/>
          <w:i w:val="1"/>
          <w:iCs w:val="1"/>
          <w:color w:val="auto"/>
        </w:rPr>
        <w:t>Procedure for assignment</w:t>
      </w:r>
      <w:r>
        <w:rPr>
          <w:rFonts w:ascii="Arial" w:cs="Arial" w:eastAsia="Arial" w:hAnsi="Arial"/>
          <w:sz w:val="18"/>
          <w:szCs w:val="18"/>
          <w:color w:val="auto"/>
        </w:rPr>
        <w:t>) the Transfer Date of which, in each case, is after the date of such notification and is not on the last day of an Interest Period):</w:t>
      </w:r>
    </w:p>
    <w:p>
      <w:pPr>
        <w:spacing w:after="0" w:line="189" w:lineRule="exact"/>
        <w:rPr>
          <w:sz w:val="20"/>
          <w:szCs w:val="20"/>
          <w:color w:val="auto"/>
        </w:rPr>
      </w:pPr>
    </w:p>
    <w:p>
      <w:pPr>
        <w:jc w:val="both"/>
        <w:ind w:left="1060" w:hanging="512"/>
        <w:spacing w:after="0" w:line="238" w:lineRule="auto"/>
        <w:tabs>
          <w:tab w:leader="none" w:pos="10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any interest or fees in respect of the relevant participation which are expressed to accrue by reference to the lapse of time shall continue to accrue in favour of the Existing Lender up to but excluding the Transfer Date (</w:t>
      </w:r>
      <w:r>
        <w:rPr>
          <w:rFonts w:ascii="Arial" w:cs="Arial" w:eastAsia="Arial" w:hAnsi="Arial"/>
          <w:sz w:val="18"/>
          <w:szCs w:val="18"/>
          <w:b w:val="1"/>
          <w:bCs w:val="1"/>
          <w:color w:val="auto"/>
        </w:rPr>
        <w:t>Accrued Amounts</w:t>
      </w:r>
      <w:r>
        <w:rPr>
          <w:rFonts w:ascii="Arial" w:cs="Arial" w:eastAsia="Arial" w:hAnsi="Arial"/>
          <w:sz w:val="18"/>
          <w:szCs w:val="18"/>
          <w:color w:val="auto"/>
        </w:rPr>
        <w:t>) and shall become due and payable to the Existing Lender (without further interest accruing on them) on the last day of the current Interest Period (or, if the Interest Period is longer than six months, on the next of the dates which falls at six monthly intervals after the first day of that Interest Period); and</w:t>
      </w:r>
    </w:p>
    <w:p>
      <w:pPr>
        <w:spacing w:after="0" w:line="189" w:lineRule="exact"/>
        <w:rPr>
          <w:rFonts w:ascii="Arial" w:cs="Arial" w:eastAsia="Arial" w:hAnsi="Arial"/>
          <w:sz w:val="18"/>
          <w:szCs w:val="18"/>
          <w:color w:val="auto"/>
        </w:rPr>
      </w:pPr>
    </w:p>
    <w:p>
      <w:pPr>
        <w:ind w:left="1060" w:right="20" w:hanging="512"/>
        <w:spacing w:after="0" w:line="246" w:lineRule="auto"/>
        <w:tabs>
          <w:tab w:leader="none" w:pos="10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rights assigned or transferred by the Existing Lender will not include the right to the Accrued Amounts, so that, for the avoidance of doubt:</w:t>
      </w:r>
    </w:p>
    <w:p>
      <w:pPr>
        <w:spacing w:after="0" w:line="183" w:lineRule="exact"/>
        <w:rPr>
          <w:rFonts w:ascii="Arial" w:cs="Arial" w:eastAsia="Arial" w:hAnsi="Arial"/>
          <w:sz w:val="18"/>
          <w:szCs w:val="18"/>
          <w:color w:val="auto"/>
        </w:rPr>
      </w:pPr>
    </w:p>
    <w:p>
      <w:pPr>
        <w:ind w:left="1560" w:hanging="539"/>
        <w:spacing w:after="0"/>
        <w:tabs>
          <w:tab w:leader="none" w:pos="156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when the Accrued Amounts become payable, those Accrued Amounts will be payable to the Existing Lender; and</w:t>
      </w:r>
    </w:p>
    <w:p>
      <w:pPr>
        <w:spacing w:after="0" w:line="198" w:lineRule="exact"/>
        <w:rPr>
          <w:rFonts w:ascii="Arial" w:cs="Arial" w:eastAsia="Arial" w:hAnsi="Arial"/>
          <w:sz w:val="18"/>
          <w:szCs w:val="18"/>
          <w:color w:val="auto"/>
        </w:rPr>
      </w:pPr>
    </w:p>
    <w:p>
      <w:pPr>
        <w:ind w:left="1560" w:hanging="539"/>
        <w:spacing w:after="0" w:line="246" w:lineRule="auto"/>
        <w:tabs>
          <w:tab w:leader="none" w:pos="156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the amount payable to the New Lender on that date will be the amount which would, but for the application of this clause 30.8, have been payable to it on that date, but after deduction of the Accrued Amounts.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157" w:name="page158"/>
    <w:bookmarkEnd w:id="157"/>
    <w:p>
      <w:pPr>
        <w:spacing w:after="0"/>
        <w:tabs>
          <w:tab w:leader="none" w:pos="52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b w:val="1"/>
          <w:bCs w:val="1"/>
          <w:color w:val="auto"/>
        </w:rPr>
        <w:t>Changes to the Obligors/Restriction on Debt Purchase Transactions</w:t>
      </w:r>
    </w:p>
    <w:p>
      <w:pPr>
        <w:spacing w:after="0" w:line="23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31.1</w:t>
        <w:tab/>
        <w:t>Changes to the Obligors</w:t>
      </w:r>
    </w:p>
    <w:p>
      <w:pPr>
        <w:spacing w:after="0" w:line="220" w:lineRule="exact"/>
        <w:rPr>
          <w:sz w:val="20"/>
          <w:szCs w:val="20"/>
          <w:color w:val="auto"/>
        </w:rPr>
      </w:pPr>
    </w:p>
    <w:p>
      <w:pPr>
        <w:jc w:val="both"/>
        <w:ind w:left="540"/>
        <w:spacing w:after="0" w:line="246" w:lineRule="auto"/>
        <w:rPr>
          <w:sz w:val="20"/>
          <w:szCs w:val="20"/>
          <w:color w:val="auto"/>
        </w:rPr>
      </w:pPr>
      <w:r>
        <w:rPr>
          <w:rFonts w:ascii="Arial" w:cs="Arial" w:eastAsia="Arial" w:hAnsi="Arial"/>
          <w:sz w:val="18"/>
          <w:szCs w:val="18"/>
          <w:color w:val="auto"/>
        </w:rPr>
        <w:t>No Obligor may assign any of its rights or transfer any of its rights or obligations under the Finance Documents without the prior written consent of all the Lenders.</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7"/>
          <w:szCs w:val="17"/>
          <w:b w:val="1"/>
          <w:bCs w:val="1"/>
          <w:color w:val="auto"/>
        </w:rPr>
        <w:t>Prohibition on Debt Purchase Transactions by the Group</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The Obligors shall not, and each Guarantor shall procure that each Group Member shall not, enter into any Debt Purchase Transaction or be a Lender or beneficially own all or any part of the share capital of a company that is or is to be a Lender or a party to a Debt Purchase Transaction of the type referred to in the definition of Debt Purchase Transaction.</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7"/>
          <w:szCs w:val="17"/>
          <w:b w:val="1"/>
          <w:bCs w:val="1"/>
          <w:color w:val="auto"/>
        </w:rPr>
        <w:t>Disenfranchisement of Debt Purchase Transactions entered into by Affiliates</w:t>
      </w:r>
    </w:p>
    <w:p>
      <w:pPr>
        <w:spacing w:after="0" w:line="220" w:lineRule="exact"/>
        <w:rPr>
          <w:sz w:val="20"/>
          <w:szCs w:val="20"/>
          <w:color w:val="auto"/>
        </w:rPr>
      </w:pPr>
    </w:p>
    <w:p>
      <w:pPr>
        <w:jc w:val="both"/>
        <w:ind w:left="1060" w:hanging="512"/>
        <w:spacing w:after="0"/>
        <w:tabs>
          <w:tab w:leader="none" w:pos="10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For so long as a Parent Affiliate (i) beneficially owns a Commitment or (ii) has entered into a sub-participation agreement relating to a Commitment or other agreement or arrangement having a substantially similar economic effect and such agreement or arrangement has not been terminated:</w:t>
      </w:r>
    </w:p>
    <w:p>
      <w:pPr>
        <w:spacing w:after="0" w:line="189" w:lineRule="exact"/>
        <w:rPr>
          <w:rFonts w:ascii="Arial" w:cs="Arial" w:eastAsia="Arial" w:hAnsi="Arial"/>
          <w:sz w:val="18"/>
          <w:szCs w:val="18"/>
          <w:color w:val="auto"/>
        </w:rPr>
      </w:pPr>
    </w:p>
    <w:p>
      <w:pPr>
        <w:jc w:val="both"/>
        <w:ind w:left="1560" w:hanging="539"/>
        <w:spacing w:after="0" w:line="239" w:lineRule="auto"/>
        <w:tabs>
          <w:tab w:leader="none" w:pos="156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in ascertaining the Majority Lenders or whether any given percentage (including, for the avoidance of doubt, unanimity) of the Total Commitments or any agreement of any specified group of Lenders (whether Majority Lenders, all Lenders or otherwise) has been obtained to approve any request for a consent, waiver, amendment or other vote under the Finance Documents, such Commitment shall be deemed to be zero; and</w:t>
      </w:r>
    </w:p>
    <w:p>
      <w:pPr>
        <w:spacing w:after="0" w:line="170" w:lineRule="exact"/>
        <w:rPr>
          <w:rFonts w:ascii="Arial" w:cs="Arial" w:eastAsia="Arial" w:hAnsi="Arial"/>
          <w:sz w:val="18"/>
          <w:szCs w:val="18"/>
          <w:color w:val="auto"/>
        </w:rPr>
      </w:pPr>
    </w:p>
    <w:p>
      <w:pPr>
        <w:jc w:val="both"/>
        <w:ind w:left="1560" w:hanging="539"/>
        <w:spacing w:after="0" w:line="245" w:lineRule="auto"/>
        <w:tabs>
          <w:tab w:leader="none" w:pos="156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for the purposes of clause 41.2 (</w:t>
      </w:r>
      <w:r>
        <w:rPr>
          <w:rFonts w:ascii="Arial" w:cs="Arial" w:eastAsia="Arial" w:hAnsi="Arial"/>
          <w:sz w:val="18"/>
          <w:szCs w:val="18"/>
          <w:i w:val="1"/>
          <w:iCs w:val="1"/>
          <w:color w:val="auto"/>
        </w:rPr>
        <w:t>All Lender matters</w:t>
      </w:r>
      <w:r>
        <w:rPr>
          <w:rFonts w:ascii="Arial" w:cs="Arial" w:eastAsia="Arial" w:hAnsi="Arial"/>
          <w:sz w:val="18"/>
          <w:szCs w:val="18"/>
          <w:color w:val="auto"/>
        </w:rPr>
        <w:t>), such Parent Affiliate or the person with whom it has entered into such sub-participation, other agreement or arrangement shall be deemed not to be a Lender for the purpose of paragraph (i) above (unless, in the case of a person not being a Parent Affiliate, it is a Lender by virtue otherwise than by beneficially owning the relevant Commitment).</w:t>
      </w:r>
    </w:p>
    <w:p>
      <w:pPr>
        <w:spacing w:after="0" w:line="185" w:lineRule="exact"/>
        <w:rPr>
          <w:rFonts w:ascii="Arial" w:cs="Arial" w:eastAsia="Arial" w:hAnsi="Arial"/>
          <w:sz w:val="18"/>
          <w:szCs w:val="18"/>
          <w:color w:val="auto"/>
        </w:rPr>
      </w:pPr>
    </w:p>
    <w:p>
      <w:pPr>
        <w:jc w:val="both"/>
        <w:ind w:left="1060" w:hanging="512"/>
        <w:spacing w:after="0"/>
        <w:tabs>
          <w:tab w:leader="none" w:pos="10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 xml:space="preserve">Each Lender shall, unless such Debt Purchase Transaction is an assignment or transfer, promptly notify the Agent in writing if it knowingly enters into a Debt Purchase Transaction with a Parent Affiliate (a </w:t>
      </w:r>
      <w:r>
        <w:rPr>
          <w:rFonts w:ascii="Arial" w:cs="Arial" w:eastAsia="Arial" w:hAnsi="Arial"/>
          <w:sz w:val="18"/>
          <w:szCs w:val="18"/>
          <w:b w:val="1"/>
          <w:bCs w:val="1"/>
          <w:color w:val="auto"/>
        </w:rPr>
        <w:t>Notifiable Debt Purchase Transaction</w:t>
      </w:r>
      <w:r>
        <w:rPr>
          <w:rFonts w:ascii="Arial" w:cs="Arial" w:eastAsia="Arial" w:hAnsi="Arial"/>
          <w:sz w:val="18"/>
          <w:szCs w:val="18"/>
          <w:color w:val="auto"/>
        </w:rPr>
        <w:t>), such notification to be substantially in the form set out in Part 1 of Schedule 8 (</w:t>
      </w:r>
      <w:r>
        <w:rPr>
          <w:rFonts w:ascii="Arial" w:cs="Arial" w:eastAsia="Arial" w:hAnsi="Arial"/>
          <w:sz w:val="18"/>
          <w:szCs w:val="18"/>
          <w:i w:val="1"/>
          <w:iCs w:val="1"/>
          <w:color w:val="auto"/>
        </w:rPr>
        <w:t>Forms of Notifiable Debt Purchase Transaction Notice</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1060" w:right="20" w:hanging="512"/>
        <w:spacing w:after="0" w:line="246" w:lineRule="auto"/>
        <w:tabs>
          <w:tab w:leader="none" w:pos="10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No Lender shall knowingly enter into any Notifiable Debt Purchase Transaction unless such Notifiable Debt Purchase Transaction relates to the entirety of its Commitment in all Facilities.</w:t>
      </w:r>
    </w:p>
    <w:p>
      <w:pPr>
        <w:spacing w:after="0" w:line="183" w:lineRule="exact"/>
        <w:rPr>
          <w:rFonts w:ascii="Arial" w:cs="Arial" w:eastAsia="Arial" w:hAnsi="Arial"/>
          <w:sz w:val="18"/>
          <w:szCs w:val="18"/>
          <w:color w:val="auto"/>
        </w:rPr>
      </w:pPr>
    </w:p>
    <w:p>
      <w:pPr>
        <w:ind w:left="1060" w:hanging="512"/>
        <w:spacing w:after="0"/>
        <w:tabs>
          <w:tab w:leader="none" w:pos="10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 Lender shall promptly notify the Agent if a Notifiable Debt Purchase Transaction to which it is a party:</w:t>
      </w:r>
    </w:p>
    <w:p>
      <w:pPr>
        <w:spacing w:after="0" w:line="198" w:lineRule="exact"/>
        <w:rPr>
          <w:rFonts w:ascii="Arial" w:cs="Arial" w:eastAsia="Arial" w:hAnsi="Arial"/>
          <w:sz w:val="18"/>
          <w:szCs w:val="18"/>
          <w:color w:val="auto"/>
        </w:rPr>
      </w:pPr>
    </w:p>
    <w:p>
      <w:pPr>
        <w:ind w:left="1560" w:hanging="539"/>
        <w:spacing w:after="0"/>
        <w:tabs>
          <w:tab w:leader="none" w:pos="156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is terminated; or</w:t>
      </w:r>
    </w:p>
    <w:p>
      <w:pPr>
        <w:spacing w:after="0" w:line="198" w:lineRule="exact"/>
        <w:rPr>
          <w:rFonts w:ascii="Arial" w:cs="Arial" w:eastAsia="Arial" w:hAnsi="Arial"/>
          <w:sz w:val="18"/>
          <w:szCs w:val="18"/>
          <w:color w:val="auto"/>
        </w:rPr>
      </w:pPr>
    </w:p>
    <w:p>
      <w:pPr>
        <w:ind w:left="1560" w:hanging="539"/>
        <w:spacing w:after="0"/>
        <w:tabs>
          <w:tab w:leader="none" w:pos="156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ceases to be with a Parent Affiliate,</w:t>
      </w:r>
    </w:p>
    <w:p>
      <w:pPr>
        <w:spacing w:after="0" w:line="180" w:lineRule="exact"/>
        <w:rPr>
          <w:sz w:val="20"/>
          <w:szCs w:val="20"/>
          <w:color w:val="auto"/>
        </w:rPr>
      </w:pPr>
    </w:p>
    <w:p>
      <w:pPr>
        <w:ind w:left="1020"/>
        <w:spacing w:after="0" w:line="267" w:lineRule="auto"/>
        <w:rPr>
          <w:sz w:val="20"/>
          <w:szCs w:val="20"/>
          <w:color w:val="auto"/>
        </w:rPr>
      </w:pPr>
      <w:r>
        <w:rPr>
          <w:rFonts w:ascii="Arial" w:cs="Arial" w:eastAsia="Arial" w:hAnsi="Arial"/>
          <w:sz w:val="18"/>
          <w:szCs w:val="18"/>
          <w:color w:val="auto"/>
        </w:rPr>
        <w:t>such notification to be substantially in the form set out in Schedule 8 , Part 2 (</w:t>
      </w:r>
      <w:r>
        <w:rPr>
          <w:rFonts w:ascii="Arial" w:cs="Arial" w:eastAsia="Arial" w:hAnsi="Arial"/>
          <w:sz w:val="18"/>
          <w:szCs w:val="18"/>
          <w:i w:val="1"/>
          <w:iCs w:val="1"/>
          <w:color w:val="auto"/>
        </w:rPr>
        <w:t>Forms of Notifiable Debt Purchase Transaction</w:t>
      </w:r>
      <w:r>
        <w:rPr>
          <w:rFonts w:ascii="Arial" w:cs="Arial" w:eastAsia="Arial" w:hAnsi="Arial"/>
          <w:sz w:val="18"/>
          <w:szCs w:val="18"/>
          <w:color w:val="auto"/>
        </w:rPr>
        <w:t xml:space="preserve"> </w:t>
      </w:r>
      <w:r>
        <w:rPr>
          <w:rFonts w:ascii="Arial" w:cs="Arial" w:eastAsia="Arial" w:hAnsi="Arial"/>
          <w:sz w:val="18"/>
          <w:szCs w:val="18"/>
          <w:i w:val="1"/>
          <w:iCs w:val="1"/>
          <w:color w:val="auto"/>
        </w:rPr>
        <w:t>Notice</w:t>
      </w:r>
      <w:r>
        <w:rPr>
          <w:rFonts w:ascii="Arial" w:cs="Arial" w:eastAsia="Arial" w:hAnsi="Arial"/>
          <w:sz w:val="18"/>
          <w:szCs w:val="18"/>
          <w:color w:val="auto"/>
        </w:rPr>
        <w:t>).</w:t>
      </w:r>
    </w:p>
    <w:p>
      <w:pPr>
        <w:spacing w:after="0" w:line="165" w:lineRule="exact"/>
        <w:rPr>
          <w:sz w:val="20"/>
          <w:szCs w:val="20"/>
          <w:color w:val="auto"/>
        </w:rPr>
      </w:pPr>
    </w:p>
    <w:p>
      <w:pPr>
        <w:ind w:left="1060" w:hanging="512"/>
        <w:spacing w:after="0"/>
        <w:tabs>
          <w:tab w:leader="none" w:pos="10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Each Parent Affiliate that is a Lender agrees that:</w:t>
      </w:r>
    </w:p>
    <w:p>
      <w:pPr>
        <w:spacing w:after="0" w:line="198" w:lineRule="exact"/>
        <w:rPr>
          <w:sz w:val="20"/>
          <w:szCs w:val="20"/>
          <w:color w:val="auto"/>
        </w:rPr>
      </w:pPr>
    </w:p>
    <w:p>
      <w:pPr>
        <w:ind w:left="1560" w:hanging="539"/>
        <w:spacing w:after="0" w:line="246" w:lineRule="auto"/>
        <w:tabs>
          <w:tab w:leader="none" w:pos="15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in relation to any meeting or conference call to which all the Lenders are invited to attend or participate, it shall not attend or participate in the same if so requested by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58" w:name="page159"/>
    <w:bookmarkEnd w:id="158"/>
    <w:p>
      <w:pPr>
        <w:ind w:left="1540"/>
        <w:spacing w:after="0"/>
        <w:rPr>
          <w:sz w:val="20"/>
          <w:szCs w:val="20"/>
          <w:color w:val="auto"/>
        </w:rPr>
      </w:pPr>
      <w:r>
        <w:rPr>
          <w:rFonts w:ascii="Arial" w:cs="Arial" w:eastAsia="Arial" w:hAnsi="Arial"/>
          <w:sz w:val="18"/>
          <w:szCs w:val="18"/>
          <w:color w:val="auto"/>
        </w:rPr>
        <w:t>the Agent or, unless the Agent otherwise agrees, be entitled to receive the agenda or any minutes of the same; and</w:t>
      </w:r>
    </w:p>
    <w:p>
      <w:pPr>
        <w:spacing w:after="0" w:line="198" w:lineRule="exact"/>
        <w:rPr>
          <w:sz w:val="20"/>
          <w:szCs w:val="20"/>
          <w:color w:val="auto"/>
        </w:rPr>
      </w:pPr>
    </w:p>
    <w:p>
      <w:pPr>
        <w:jc w:val="both"/>
        <w:ind w:left="1560" w:hanging="539"/>
        <w:spacing w:after="0" w:line="239" w:lineRule="auto"/>
        <w:tabs>
          <w:tab w:leader="none" w:pos="15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in its capacity as Lender, unless the Agent otherwise agrees, it shall not be entitled to receive any report or other document prepared at the behest of, or on the instructions of or addressed to, the Agent or one or more of the Lenders. For the avoidance of doubt the only information the Lender is entitled to receive are operational notices for that Lender in connection with their Commitment.</w:t>
      </w:r>
    </w:p>
    <w:p>
      <w:pPr>
        <w:spacing w:after="0" w:line="16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31.4</w:t>
      </w:r>
      <w:r>
        <w:rPr>
          <w:sz w:val="20"/>
          <w:szCs w:val="20"/>
          <w:color w:val="auto"/>
        </w:rPr>
        <w:tab/>
      </w:r>
      <w:r>
        <w:rPr>
          <w:rFonts w:ascii="Arial" w:cs="Arial" w:eastAsia="Arial" w:hAnsi="Arial"/>
          <w:sz w:val="17"/>
          <w:szCs w:val="17"/>
          <w:b w:val="1"/>
          <w:bCs w:val="1"/>
          <w:color w:val="auto"/>
        </w:rPr>
        <w:t>Parent Affiliates’ notification to other Lenders of Debt Purchase Transactions</w:t>
      </w:r>
    </w:p>
    <w:p>
      <w:pPr>
        <w:spacing w:after="0" w:line="220" w:lineRule="exact"/>
        <w:rPr>
          <w:sz w:val="20"/>
          <w:szCs w:val="20"/>
          <w:color w:val="auto"/>
        </w:rPr>
      </w:pPr>
    </w:p>
    <w:p>
      <w:pPr>
        <w:jc w:val="both"/>
        <w:ind w:left="540"/>
        <w:spacing w:after="0" w:line="239" w:lineRule="auto"/>
        <w:rPr>
          <w:sz w:val="20"/>
          <w:szCs w:val="20"/>
          <w:color w:val="auto"/>
        </w:rPr>
      </w:pPr>
      <w:r>
        <w:rPr>
          <w:rFonts w:ascii="Arial" w:cs="Arial" w:eastAsia="Arial" w:hAnsi="Arial"/>
          <w:sz w:val="18"/>
          <w:szCs w:val="18"/>
          <w:color w:val="auto"/>
        </w:rPr>
        <w:t>Any Parent Affiliate which is or becomes a Lender and which enters into a Debt Purchase Transaction as a purchaser or a participant shall, by 5.00 pm on the Business Day following the day on which it entered into the Debt Purchase Transaction, notify the Agent of the extent of the Commitment(s) or amount outstanding to which that Debt Purchase Transaction relates. The Agent shall promptly disclose such information to the Lenders.</w:t>
      </w:r>
    </w:p>
    <w:p>
      <w:pPr>
        <w:spacing w:after="0" w:line="16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8"/>
          <w:szCs w:val="18"/>
          <w:b w:val="1"/>
          <w:bCs w:val="1"/>
          <w:color w:val="auto"/>
        </w:rPr>
        <w:t>Roles of Agent, Security Agent and Arrangers</w:t>
      </w:r>
    </w:p>
    <w:p>
      <w:pPr>
        <w:spacing w:after="0" w:line="23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32.1</w:t>
        <w:tab/>
        <w:t>Appointment of the Agent</w:t>
      </w:r>
    </w:p>
    <w:p>
      <w:pPr>
        <w:spacing w:after="0" w:line="220" w:lineRule="exact"/>
        <w:rPr>
          <w:sz w:val="20"/>
          <w:szCs w:val="20"/>
          <w:color w:val="auto"/>
        </w:rPr>
      </w:pPr>
    </w:p>
    <w:p>
      <w:pPr>
        <w:ind w:left="1060" w:right="20" w:hanging="512"/>
        <w:spacing w:after="0" w:line="246" w:lineRule="auto"/>
        <w:tabs>
          <w:tab w:leader="none" w:pos="10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Each other Finance Party (other than the Security Agent) appoints the Agent to act as its agent under and in connection with the Finance Documents.</w:t>
      </w:r>
    </w:p>
    <w:p>
      <w:pPr>
        <w:spacing w:after="0" w:line="183" w:lineRule="exact"/>
        <w:rPr>
          <w:rFonts w:ascii="Arial" w:cs="Arial" w:eastAsia="Arial" w:hAnsi="Arial"/>
          <w:sz w:val="18"/>
          <w:szCs w:val="18"/>
          <w:color w:val="auto"/>
        </w:rPr>
      </w:pPr>
    </w:p>
    <w:p>
      <w:pPr>
        <w:ind w:left="1060" w:hanging="512"/>
        <w:spacing w:after="0"/>
        <w:tabs>
          <w:tab w:leader="none" w:pos="10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Each other Finance Party (other than the Security Agent) authorises the Agent:</w:t>
      </w:r>
    </w:p>
    <w:p>
      <w:pPr>
        <w:spacing w:after="0" w:line="198" w:lineRule="exact"/>
        <w:rPr>
          <w:rFonts w:ascii="Arial" w:cs="Arial" w:eastAsia="Arial" w:hAnsi="Arial"/>
          <w:sz w:val="18"/>
          <w:szCs w:val="18"/>
          <w:color w:val="auto"/>
        </w:rPr>
      </w:pPr>
    </w:p>
    <w:p>
      <w:pPr>
        <w:jc w:val="both"/>
        <w:ind w:left="1560" w:hanging="539"/>
        <w:spacing w:after="0"/>
        <w:tabs>
          <w:tab w:leader="none" w:pos="156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to perform the duties, obligations and responsibilities and to exercise the rights, powers, authorities and discretions specifically given to the Agent under or in connection with the Finance Documents together with any other incidental rights, powers, authorities and discretions; and</w:t>
      </w:r>
    </w:p>
    <w:p>
      <w:pPr>
        <w:spacing w:after="0" w:line="189" w:lineRule="exact"/>
        <w:rPr>
          <w:rFonts w:ascii="Arial" w:cs="Arial" w:eastAsia="Arial" w:hAnsi="Arial"/>
          <w:sz w:val="18"/>
          <w:szCs w:val="18"/>
          <w:color w:val="auto"/>
        </w:rPr>
      </w:pPr>
    </w:p>
    <w:p>
      <w:pPr>
        <w:ind w:left="1560" w:right="20" w:hanging="539"/>
        <w:spacing w:after="0" w:line="246" w:lineRule="auto"/>
        <w:tabs>
          <w:tab w:leader="none" w:pos="156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to execute each of the Security Documents and all other documents that may be approved by the Majority Lenders for execution by it.</w:t>
      </w:r>
    </w:p>
    <w:p>
      <w:pPr>
        <w:spacing w:after="0" w:line="183" w:lineRule="exact"/>
        <w:rPr>
          <w:rFonts w:ascii="Arial" w:cs="Arial" w:eastAsia="Arial" w:hAnsi="Arial"/>
          <w:sz w:val="18"/>
          <w:szCs w:val="18"/>
          <w:color w:val="auto"/>
        </w:rPr>
      </w:pPr>
    </w:p>
    <w:p>
      <w:pPr>
        <w:ind w:left="1060" w:hanging="512"/>
        <w:spacing w:after="0" w:line="246" w:lineRule="auto"/>
        <w:tabs>
          <w:tab w:leader="none" w:pos="10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Agent accepts its appointment under clause 32.1(a) as agent for the Finance Parties (for so long as they are Finance Parties) on and subject to the terms of this clause 32, and any Finance Documents to which it is a Party.</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32.2</w:t>
        <w:tab/>
        <w:t>Instructions to Agent</w:t>
      </w:r>
    </w:p>
    <w:p>
      <w:pPr>
        <w:spacing w:after="0" w:line="220" w:lineRule="exact"/>
        <w:rPr>
          <w:sz w:val="20"/>
          <w:szCs w:val="20"/>
          <w:color w:val="auto"/>
        </w:rPr>
      </w:pPr>
    </w:p>
    <w:p>
      <w:pPr>
        <w:ind w:left="1060" w:hanging="512"/>
        <w:spacing w:after="0"/>
        <w:tabs>
          <w:tab w:leader="none" w:pos="106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Agent shall:</w:t>
      </w:r>
    </w:p>
    <w:p>
      <w:pPr>
        <w:spacing w:after="0" w:line="198" w:lineRule="exact"/>
        <w:rPr>
          <w:rFonts w:ascii="Arial" w:cs="Arial" w:eastAsia="Arial" w:hAnsi="Arial"/>
          <w:sz w:val="18"/>
          <w:szCs w:val="18"/>
          <w:color w:val="auto"/>
        </w:rPr>
      </w:pPr>
    </w:p>
    <w:p>
      <w:pPr>
        <w:ind w:left="1560" w:hanging="539"/>
        <w:spacing w:after="0" w:line="246" w:lineRule="auto"/>
        <w:tabs>
          <w:tab w:leader="none" w:pos="156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unless a contrary indication appears in a Finance Document, exercise or refrain from exercising any right, power, authority or discretion vested in it as Agent in accordance with any instructions given to it by:</w:t>
      </w:r>
    </w:p>
    <w:p>
      <w:pPr>
        <w:spacing w:after="0" w:line="183" w:lineRule="exact"/>
        <w:rPr>
          <w:rFonts w:ascii="Arial" w:cs="Arial" w:eastAsia="Arial" w:hAnsi="Arial"/>
          <w:sz w:val="18"/>
          <w:szCs w:val="18"/>
          <w:color w:val="auto"/>
        </w:rPr>
      </w:pPr>
    </w:p>
    <w:p>
      <w:pPr>
        <w:ind w:left="2080" w:hanging="546"/>
        <w:spacing w:after="0" w:line="246" w:lineRule="auto"/>
        <w:tabs>
          <w:tab w:leader="none" w:pos="2080" w:val="left"/>
        </w:tabs>
        <w:numPr>
          <w:ilvl w:val="2"/>
          <w:numId w:val="323"/>
        </w:numPr>
        <w:rPr>
          <w:rFonts w:ascii="Arial" w:cs="Arial" w:eastAsia="Arial" w:hAnsi="Arial"/>
          <w:sz w:val="18"/>
          <w:szCs w:val="18"/>
          <w:color w:val="auto"/>
        </w:rPr>
      </w:pPr>
      <w:r>
        <w:rPr>
          <w:rFonts w:ascii="Arial" w:cs="Arial" w:eastAsia="Arial" w:hAnsi="Arial"/>
          <w:sz w:val="18"/>
          <w:szCs w:val="18"/>
          <w:color w:val="auto"/>
        </w:rPr>
        <w:t>all Lenders or the Majority Lenders (as the case may be) if the relevant Finance Document stipulates the matter requires such decision; and</w:t>
      </w:r>
    </w:p>
    <w:p>
      <w:pPr>
        <w:spacing w:after="0" w:line="183" w:lineRule="exact"/>
        <w:rPr>
          <w:rFonts w:ascii="Arial" w:cs="Arial" w:eastAsia="Arial" w:hAnsi="Arial"/>
          <w:sz w:val="18"/>
          <w:szCs w:val="18"/>
          <w:color w:val="auto"/>
        </w:rPr>
      </w:pPr>
    </w:p>
    <w:p>
      <w:pPr>
        <w:ind w:left="2080" w:hanging="546"/>
        <w:spacing w:after="0"/>
        <w:tabs>
          <w:tab w:leader="none" w:pos="2080" w:val="left"/>
        </w:tabs>
        <w:numPr>
          <w:ilvl w:val="2"/>
          <w:numId w:val="323"/>
        </w:numPr>
        <w:rPr>
          <w:rFonts w:ascii="Arial" w:cs="Arial" w:eastAsia="Arial" w:hAnsi="Arial"/>
          <w:sz w:val="18"/>
          <w:szCs w:val="18"/>
          <w:color w:val="auto"/>
        </w:rPr>
      </w:pPr>
      <w:r>
        <w:rPr>
          <w:rFonts w:ascii="Arial" w:cs="Arial" w:eastAsia="Arial" w:hAnsi="Arial"/>
          <w:sz w:val="18"/>
          <w:szCs w:val="18"/>
          <w:color w:val="auto"/>
        </w:rPr>
        <w:t>in all other cases, the Majority Lenders; and</w:t>
      </w:r>
    </w:p>
    <w:p>
      <w:pPr>
        <w:spacing w:after="0" w:line="198" w:lineRule="exact"/>
        <w:rPr>
          <w:rFonts w:ascii="Arial" w:cs="Arial" w:eastAsia="Arial" w:hAnsi="Arial"/>
          <w:sz w:val="18"/>
          <w:szCs w:val="18"/>
          <w:color w:val="auto"/>
        </w:rPr>
      </w:pPr>
    </w:p>
    <w:p>
      <w:pPr>
        <w:ind w:left="1560" w:hanging="539"/>
        <w:spacing w:after="0"/>
        <w:tabs>
          <w:tab w:leader="none" w:pos="156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not be liable for any act (or omission) if it acts (or refrains from acting) in accordance with paragraph 32.2(a)(i) above.</w:t>
      </w:r>
    </w:p>
    <w:p>
      <w:pPr>
        <w:spacing w:after="0" w:line="198" w:lineRule="exact"/>
        <w:rPr>
          <w:rFonts w:ascii="Arial" w:cs="Arial" w:eastAsia="Arial" w:hAnsi="Arial"/>
          <w:sz w:val="18"/>
          <w:szCs w:val="18"/>
          <w:color w:val="auto"/>
        </w:rPr>
      </w:pPr>
    </w:p>
    <w:p>
      <w:pPr>
        <w:jc w:val="both"/>
        <w:ind w:left="1060" w:hanging="512"/>
        <w:spacing w:after="0"/>
        <w:tabs>
          <w:tab w:leader="none" w:pos="106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Agent shall be entitled to request instructions, or clarification of any instruction, from the Majority Lenders (or, if the relevant Finance Document stipulates the matter is a decision for any other Lender or group of Lenders, from that Lender or group of Lenders) as to whether, and in what manner, it should exercise or refrain from exercising any right,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3" w:right="239" w:bottom="1440" w:gutter="0" w:footer="0" w:header="0"/>
        </w:sectPr>
      </w:pPr>
    </w:p>
    <w:bookmarkStart w:id="159" w:name="page160"/>
    <w:bookmarkEnd w:id="159"/>
    <w:p>
      <w:pPr>
        <w:ind w:left="1080"/>
        <w:spacing w:after="0" w:line="246" w:lineRule="auto"/>
        <w:rPr>
          <w:sz w:val="20"/>
          <w:szCs w:val="20"/>
          <w:color w:val="auto"/>
        </w:rPr>
      </w:pPr>
      <w:r>
        <w:rPr>
          <w:rFonts w:ascii="Arial" w:cs="Arial" w:eastAsia="Arial" w:hAnsi="Arial"/>
          <w:sz w:val="18"/>
          <w:szCs w:val="18"/>
          <w:color w:val="auto"/>
        </w:rPr>
        <w:t>power, authority or discretion and the Agent may refrain from acting unless and until it receives those instructions or that clarification.</w:t>
      </w:r>
    </w:p>
    <w:p>
      <w:pPr>
        <w:spacing w:after="0" w:line="183" w:lineRule="exact"/>
        <w:rPr>
          <w:sz w:val="20"/>
          <w:szCs w:val="20"/>
          <w:color w:val="auto"/>
        </w:rPr>
      </w:pPr>
    </w:p>
    <w:p>
      <w:pPr>
        <w:jc w:val="both"/>
        <w:ind w:left="1060" w:hanging="512"/>
        <w:spacing w:after="0" w:line="239" w:lineRule="auto"/>
        <w:tabs>
          <w:tab w:leader="none" w:pos="10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Save in the case of decisions stipulated to be a matter for any other Lender or group of Lenders under the relevant Finance Document and unless a contrary indication appears in a Finance Document, any instructions given to the Agent by the Majority Lenders shall override any conflicting instructions given by any other Parties and will be binding on all Finance Parties save for the Security Agent.</w:t>
      </w:r>
    </w:p>
    <w:p>
      <w:pPr>
        <w:spacing w:after="0" w:line="188" w:lineRule="exact"/>
        <w:rPr>
          <w:rFonts w:ascii="Arial" w:cs="Arial" w:eastAsia="Arial" w:hAnsi="Arial"/>
          <w:sz w:val="18"/>
          <w:szCs w:val="18"/>
          <w:color w:val="auto"/>
        </w:rPr>
      </w:pPr>
    </w:p>
    <w:p>
      <w:pPr>
        <w:jc w:val="both"/>
        <w:ind w:left="1060" w:hanging="512"/>
        <w:spacing w:after="0" w:line="239" w:lineRule="auto"/>
        <w:tabs>
          <w:tab w:leader="none" w:pos="10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Agent may refrain from acting in accordance with any instructions of any Lender or group of Lenders until it has received any indemnification and/or security that it may in its discretion require (which may be greater in extent than that contained in the Finance Documents and which may include payment in advance) for any cost, loss or liability which it may incur in complying with those instructions.</w:t>
      </w:r>
    </w:p>
    <w:p>
      <w:pPr>
        <w:spacing w:after="0" w:line="188" w:lineRule="exact"/>
        <w:rPr>
          <w:rFonts w:ascii="Arial" w:cs="Arial" w:eastAsia="Arial" w:hAnsi="Arial"/>
          <w:sz w:val="18"/>
          <w:szCs w:val="18"/>
          <w:color w:val="auto"/>
        </w:rPr>
      </w:pPr>
    </w:p>
    <w:p>
      <w:pPr>
        <w:ind w:left="1060" w:hanging="512"/>
        <w:spacing w:after="0"/>
        <w:tabs>
          <w:tab w:leader="none" w:pos="10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In the absence of instructions, the Agent may act (or refrain from acting) as it considers to be in the best interest of the Lenders.</w:t>
      </w:r>
    </w:p>
    <w:p>
      <w:pPr>
        <w:spacing w:after="0" w:line="198" w:lineRule="exact"/>
        <w:rPr>
          <w:rFonts w:ascii="Arial" w:cs="Arial" w:eastAsia="Arial" w:hAnsi="Arial"/>
          <w:sz w:val="18"/>
          <w:szCs w:val="18"/>
          <w:color w:val="auto"/>
        </w:rPr>
      </w:pPr>
    </w:p>
    <w:p>
      <w:pPr>
        <w:jc w:val="both"/>
        <w:ind w:left="1060" w:hanging="512"/>
        <w:spacing w:after="0"/>
        <w:tabs>
          <w:tab w:leader="none" w:pos="10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Agent is not authorised to act on behalf of a Lender (without first obtaining that Lender’s consent) in any legal or arbitration proceedings relating to any Finance Document. This clause (f) shall not apply to any legal or arbitration proceeding relating to the perfection, preservation or protection of rights under the Security Documents or enforcement of the Security Documents.</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32.3</w:t>
        <w:tab/>
        <w:t>Duties of the Agent</w:t>
      </w:r>
    </w:p>
    <w:p>
      <w:pPr>
        <w:spacing w:after="0" w:line="220" w:lineRule="exact"/>
        <w:rPr>
          <w:sz w:val="20"/>
          <w:szCs w:val="20"/>
          <w:color w:val="auto"/>
        </w:rPr>
      </w:pPr>
    </w:p>
    <w:p>
      <w:pPr>
        <w:ind w:left="1060" w:hanging="512"/>
        <w:spacing w:after="0"/>
        <w:tabs>
          <w:tab w:leader="none" w:pos="10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Agent’s duties under the Finance Documents are solely mechanical and administrative in nature.</w:t>
      </w:r>
    </w:p>
    <w:p>
      <w:pPr>
        <w:spacing w:after="0" w:line="198" w:lineRule="exact"/>
        <w:rPr>
          <w:rFonts w:ascii="Arial" w:cs="Arial" w:eastAsia="Arial" w:hAnsi="Arial"/>
          <w:sz w:val="18"/>
          <w:szCs w:val="18"/>
          <w:color w:val="auto"/>
        </w:rPr>
      </w:pPr>
    </w:p>
    <w:p>
      <w:pPr>
        <w:ind w:left="1060" w:hanging="512"/>
        <w:spacing w:after="0" w:line="246" w:lineRule="auto"/>
        <w:tabs>
          <w:tab w:leader="none" w:pos="10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Agent shall promptly forward to a Party the original or a copy of any document which is delivered to the Agent for that Party by any other Party.</w:t>
      </w:r>
    </w:p>
    <w:p>
      <w:pPr>
        <w:spacing w:after="0" w:line="165" w:lineRule="exact"/>
        <w:rPr>
          <w:rFonts w:ascii="Arial" w:cs="Arial" w:eastAsia="Arial" w:hAnsi="Arial"/>
          <w:sz w:val="18"/>
          <w:szCs w:val="18"/>
          <w:color w:val="auto"/>
        </w:rPr>
      </w:pPr>
    </w:p>
    <w:p>
      <w:pPr>
        <w:ind w:left="1060" w:right="20" w:hanging="512"/>
        <w:spacing w:after="0" w:line="267" w:lineRule="auto"/>
        <w:tabs>
          <w:tab w:leader="none" w:pos="10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Without prejudice to clause 30.6 (</w:t>
      </w:r>
      <w:r>
        <w:rPr>
          <w:rFonts w:ascii="Arial" w:cs="Arial" w:eastAsia="Arial" w:hAnsi="Arial"/>
          <w:sz w:val="18"/>
          <w:szCs w:val="18"/>
          <w:i w:val="1"/>
          <w:iCs w:val="1"/>
          <w:color w:val="auto"/>
        </w:rPr>
        <w:t>Copy of Transfer Certificate to Borrowers</w:t>
      </w:r>
      <w:r>
        <w:rPr>
          <w:rFonts w:ascii="Arial" w:cs="Arial" w:eastAsia="Arial" w:hAnsi="Arial"/>
          <w:sz w:val="18"/>
          <w:szCs w:val="18"/>
          <w:color w:val="auto"/>
        </w:rPr>
        <w:t>), clause 32.3(b) shall not apply to any Transfer Certificate.</w:t>
      </w:r>
    </w:p>
    <w:p>
      <w:pPr>
        <w:spacing w:after="0" w:line="165" w:lineRule="exact"/>
        <w:rPr>
          <w:rFonts w:ascii="Arial" w:cs="Arial" w:eastAsia="Arial" w:hAnsi="Arial"/>
          <w:sz w:val="18"/>
          <w:szCs w:val="18"/>
          <w:color w:val="auto"/>
        </w:rPr>
      </w:pPr>
    </w:p>
    <w:p>
      <w:pPr>
        <w:ind w:left="1060" w:hanging="512"/>
        <w:spacing w:after="0" w:line="246" w:lineRule="auto"/>
        <w:tabs>
          <w:tab w:leader="none" w:pos="10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Except where a Finance Document specifically provides otherwise, the Agent is not obliged to review or check the adequacy, accuracy or completeness of any document it forwards to another Party.</w:t>
      </w:r>
    </w:p>
    <w:p>
      <w:pPr>
        <w:spacing w:after="0" w:line="183" w:lineRule="exact"/>
        <w:rPr>
          <w:rFonts w:ascii="Arial" w:cs="Arial" w:eastAsia="Arial" w:hAnsi="Arial"/>
          <w:sz w:val="18"/>
          <w:szCs w:val="18"/>
          <w:color w:val="auto"/>
        </w:rPr>
      </w:pPr>
    </w:p>
    <w:p>
      <w:pPr>
        <w:ind w:left="1060" w:right="20" w:hanging="512"/>
        <w:spacing w:after="0" w:line="246" w:lineRule="auto"/>
        <w:tabs>
          <w:tab w:leader="none" w:pos="10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If the Agent receives notice from a Party referring to this Agreement, describing a Default and stating that the circumstance described is a Default, it shall promptly notify the other Finance Parties.</w:t>
      </w:r>
    </w:p>
    <w:p>
      <w:pPr>
        <w:spacing w:after="0" w:line="183" w:lineRule="exact"/>
        <w:rPr>
          <w:rFonts w:ascii="Arial" w:cs="Arial" w:eastAsia="Arial" w:hAnsi="Arial"/>
          <w:sz w:val="18"/>
          <w:szCs w:val="18"/>
          <w:color w:val="auto"/>
        </w:rPr>
      </w:pPr>
    </w:p>
    <w:p>
      <w:pPr>
        <w:jc w:val="both"/>
        <w:ind w:left="1060" w:hanging="512"/>
        <w:spacing w:after="0"/>
        <w:tabs>
          <w:tab w:leader="none" w:pos="10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If the Agent is aware of the non-payment of any principal, interest, commitment fee or other fee payable to a Finance Party (other than the Agent or an Arranger or the Security Agent for their own account) under this Agreement it shall promptly notify the other Finance Parties.</w:t>
      </w:r>
    </w:p>
    <w:p>
      <w:pPr>
        <w:spacing w:after="0" w:line="189" w:lineRule="exact"/>
        <w:rPr>
          <w:rFonts w:ascii="Arial" w:cs="Arial" w:eastAsia="Arial" w:hAnsi="Arial"/>
          <w:sz w:val="18"/>
          <w:szCs w:val="18"/>
          <w:color w:val="auto"/>
        </w:rPr>
      </w:pPr>
    </w:p>
    <w:p>
      <w:pPr>
        <w:ind w:left="1060" w:hanging="512"/>
        <w:spacing w:after="0" w:line="246" w:lineRule="auto"/>
        <w:tabs>
          <w:tab w:leader="none" w:pos="10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Agent shall have only those duties, obligations and responsibilities expressly specified in the Finance Documents to which it is expressed to be a party (and no others shall be implied).</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32.4</w:t>
      </w:r>
      <w:r>
        <w:rPr>
          <w:sz w:val="20"/>
          <w:szCs w:val="20"/>
          <w:color w:val="auto"/>
        </w:rPr>
        <w:tab/>
      </w:r>
      <w:r>
        <w:rPr>
          <w:rFonts w:ascii="Arial" w:cs="Arial" w:eastAsia="Arial" w:hAnsi="Arial"/>
          <w:sz w:val="17"/>
          <w:szCs w:val="17"/>
          <w:b w:val="1"/>
          <w:bCs w:val="1"/>
          <w:color w:val="auto"/>
        </w:rPr>
        <w:t>Role of the Arrangers, Bookrunner and Global Co-ordinator</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Except as specifically provided in the Finance Documents, the Arrangers, the Bookrunner and the Global Co-ordinator have no obligations of any kind to any other Party under or in connection with any Finance Document or the transactions contemplated by the Finance Documents.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60" w:name="page161"/>
    <w:bookmarkEnd w:id="160"/>
    <w:p>
      <w:pPr>
        <w:spacing w:after="0"/>
        <w:tabs>
          <w:tab w:leader="none" w:pos="520" w:val="left"/>
        </w:tabs>
        <w:rPr>
          <w:sz w:val="20"/>
          <w:szCs w:val="20"/>
          <w:color w:val="auto"/>
        </w:rPr>
      </w:pPr>
      <w:r>
        <w:rPr>
          <w:rFonts w:ascii="Arial" w:cs="Arial" w:eastAsia="Arial" w:hAnsi="Arial"/>
          <w:sz w:val="18"/>
          <w:szCs w:val="18"/>
          <w:b w:val="1"/>
          <w:bCs w:val="1"/>
          <w:color w:val="auto"/>
        </w:rPr>
        <w:t>32.5</w:t>
      </w:r>
      <w:r>
        <w:rPr>
          <w:sz w:val="20"/>
          <w:szCs w:val="20"/>
          <w:color w:val="auto"/>
        </w:rPr>
        <w:tab/>
      </w:r>
      <w:r>
        <w:rPr>
          <w:rFonts w:ascii="Arial" w:cs="Arial" w:eastAsia="Arial" w:hAnsi="Arial"/>
          <w:sz w:val="17"/>
          <w:szCs w:val="17"/>
          <w:b w:val="1"/>
          <w:bCs w:val="1"/>
          <w:color w:val="auto"/>
        </w:rPr>
        <w:t>No fiduciary duties</w:t>
      </w:r>
    </w:p>
    <w:p>
      <w:pPr>
        <w:spacing w:after="0" w:line="220" w:lineRule="exact"/>
        <w:rPr>
          <w:sz w:val="20"/>
          <w:szCs w:val="20"/>
          <w:color w:val="auto"/>
        </w:rPr>
      </w:pPr>
    </w:p>
    <w:p>
      <w:pPr>
        <w:ind w:left="1060" w:hanging="512"/>
        <w:spacing w:after="0" w:line="246" w:lineRule="auto"/>
        <w:tabs>
          <w:tab w:leader="none" w:pos="106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Nothing in this Agreement constitutes the Agent, the Arrangers, the Bookrunner and the Global Co-ordinator as a trustee or fiduciary of any other person.</w:t>
      </w:r>
    </w:p>
    <w:p>
      <w:pPr>
        <w:spacing w:after="0" w:line="183" w:lineRule="exact"/>
        <w:rPr>
          <w:rFonts w:ascii="Arial" w:cs="Arial" w:eastAsia="Arial" w:hAnsi="Arial"/>
          <w:sz w:val="18"/>
          <w:szCs w:val="18"/>
          <w:color w:val="auto"/>
        </w:rPr>
      </w:pPr>
    </w:p>
    <w:p>
      <w:pPr>
        <w:jc w:val="both"/>
        <w:ind w:left="1060" w:right="20" w:hanging="512"/>
        <w:spacing w:after="0"/>
        <w:tabs>
          <w:tab w:leader="none" w:pos="106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None of the Agent, the Security Agent, the Arrangers, the Bookrunner and the Global Co-ordinator shall be bound to account to any Lender for any sum or the profit element of any sum received by it for its own account or have any obligations to the other Finance Parties beyond those expressly stated in the Finance Documents.</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32.6</w:t>
      </w:r>
      <w:r>
        <w:rPr>
          <w:sz w:val="20"/>
          <w:szCs w:val="20"/>
          <w:color w:val="auto"/>
        </w:rPr>
        <w:tab/>
      </w:r>
      <w:r>
        <w:rPr>
          <w:rFonts w:ascii="Arial" w:cs="Arial" w:eastAsia="Arial" w:hAnsi="Arial"/>
          <w:sz w:val="17"/>
          <w:szCs w:val="17"/>
          <w:b w:val="1"/>
          <w:bCs w:val="1"/>
          <w:color w:val="auto"/>
        </w:rPr>
        <w:t>Business with the Group</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The Agent, the Security Agent, the Arrangers, the Bookrunner and the Global Co-ordinator may accept deposits from, lend money to and generally engage in any kind of banking or other business with any Obligor or other Group Member or their Affiliates and shall not be obliged to account to the other Finance Parties for any profits.</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32.7</w:t>
      </w:r>
      <w:r>
        <w:rPr>
          <w:sz w:val="20"/>
          <w:szCs w:val="20"/>
          <w:color w:val="auto"/>
        </w:rPr>
        <w:tab/>
      </w:r>
      <w:r>
        <w:rPr>
          <w:rFonts w:ascii="Arial" w:cs="Arial" w:eastAsia="Arial" w:hAnsi="Arial"/>
          <w:sz w:val="17"/>
          <w:szCs w:val="17"/>
          <w:b w:val="1"/>
          <w:bCs w:val="1"/>
          <w:color w:val="auto"/>
        </w:rPr>
        <w:t>Rights and discretions of the Agent</w:t>
      </w:r>
    </w:p>
    <w:p>
      <w:pPr>
        <w:spacing w:after="0" w:line="220" w:lineRule="exact"/>
        <w:rPr>
          <w:sz w:val="20"/>
          <w:szCs w:val="20"/>
          <w:color w:val="auto"/>
        </w:rPr>
      </w:pPr>
    </w:p>
    <w:p>
      <w:pPr>
        <w:ind w:left="1080" w:hanging="532"/>
        <w:spacing w:after="0"/>
        <w:tabs>
          <w:tab w:leader="none" w:pos="10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Agent may:</w:t>
      </w:r>
    </w:p>
    <w:p>
      <w:pPr>
        <w:spacing w:after="0" w:line="198" w:lineRule="exact"/>
        <w:rPr>
          <w:rFonts w:ascii="Arial" w:cs="Arial" w:eastAsia="Arial" w:hAnsi="Arial"/>
          <w:sz w:val="18"/>
          <w:szCs w:val="18"/>
          <w:color w:val="auto"/>
        </w:rPr>
      </w:pPr>
    </w:p>
    <w:p>
      <w:pPr>
        <w:jc w:val="both"/>
        <w:ind w:left="1620" w:hanging="532"/>
        <w:spacing w:after="0" w:line="238" w:lineRule="auto"/>
        <w:tabs>
          <w:tab w:leader="none" w:pos="162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rely on any representation, communication, notice or document (including, without limitation, any notice given by a Lender pursuant to clauses 31.3(b) and 31.3(d) (</w:t>
      </w:r>
      <w:r>
        <w:rPr>
          <w:rFonts w:ascii="Arial" w:cs="Arial" w:eastAsia="Arial" w:hAnsi="Arial"/>
          <w:sz w:val="18"/>
          <w:szCs w:val="18"/>
          <w:i w:val="1"/>
          <w:iCs w:val="1"/>
          <w:color w:val="auto"/>
        </w:rPr>
        <w:t>Disenfranchisement on Debt Purchase Transactions entered into by Affiliates</w:t>
      </w:r>
      <w:r>
        <w:rPr>
          <w:rFonts w:ascii="Arial" w:cs="Arial" w:eastAsia="Arial" w:hAnsi="Arial"/>
          <w:sz w:val="18"/>
          <w:szCs w:val="18"/>
          <w:color w:val="auto"/>
        </w:rPr>
        <w:t>)) believed by it to be genuine, correct and appropriately authorised and on any statement made by a director, authorised signatory or employee of any person regarding any matters which may reasonably be assumed to be within his/her knowledge or within his/her power to verify; and</w:t>
      </w:r>
    </w:p>
    <w:p>
      <w:pPr>
        <w:spacing w:after="0" w:line="189" w:lineRule="exact"/>
        <w:rPr>
          <w:rFonts w:ascii="Arial" w:cs="Arial" w:eastAsia="Arial" w:hAnsi="Arial"/>
          <w:sz w:val="18"/>
          <w:szCs w:val="18"/>
          <w:color w:val="auto"/>
        </w:rPr>
      </w:pPr>
    </w:p>
    <w:p>
      <w:pPr>
        <w:ind w:left="1620" w:hanging="532"/>
        <w:spacing w:after="0"/>
        <w:tabs>
          <w:tab w:leader="none" w:pos="162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assume that:</w:t>
      </w:r>
    </w:p>
    <w:p>
      <w:pPr>
        <w:spacing w:after="0" w:line="198" w:lineRule="exact"/>
        <w:rPr>
          <w:rFonts w:ascii="Arial" w:cs="Arial" w:eastAsia="Arial" w:hAnsi="Arial"/>
          <w:sz w:val="18"/>
          <w:szCs w:val="18"/>
          <w:color w:val="auto"/>
        </w:rPr>
      </w:pPr>
    </w:p>
    <w:p>
      <w:pPr>
        <w:ind w:left="2160" w:hanging="531"/>
        <w:spacing w:after="0" w:line="246" w:lineRule="auto"/>
        <w:tabs>
          <w:tab w:leader="none" w:pos="2160" w:val="left"/>
        </w:tabs>
        <w:numPr>
          <w:ilvl w:val="2"/>
          <w:numId w:val="327"/>
        </w:numPr>
        <w:rPr>
          <w:rFonts w:ascii="Arial" w:cs="Arial" w:eastAsia="Arial" w:hAnsi="Arial"/>
          <w:sz w:val="18"/>
          <w:szCs w:val="18"/>
          <w:color w:val="auto"/>
        </w:rPr>
      </w:pPr>
      <w:r>
        <w:rPr>
          <w:rFonts w:ascii="Arial" w:cs="Arial" w:eastAsia="Arial" w:hAnsi="Arial"/>
          <w:sz w:val="18"/>
          <w:szCs w:val="18"/>
          <w:color w:val="auto"/>
        </w:rPr>
        <w:t>any instructions received by it from the Majority Lenders, any Lenders or any group of Lenders are duly given in accordance with the terms of the Finance Documents; and</w:t>
      </w:r>
    </w:p>
    <w:p>
      <w:pPr>
        <w:spacing w:after="0" w:line="183" w:lineRule="exact"/>
        <w:rPr>
          <w:rFonts w:ascii="Arial" w:cs="Arial" w:eastAsia="Arial" w:hAnsi="Arial"/>
          <w:sz w:val="18"/>
          <w:szCs w:val="18"/>
          <w:color w:val="auto"/>
        </w:rPr>
      </w:pPr>
    </w:p>
    <w:p>
      <w:pPr>
        <w:ind w:left="2160" w:hanging="531"/>
        <w:spacing w:after="0"/>
        <w:tabs>
          <w:tab w:leader="none" w:pos="2160" w:val="left"/>
        </w:tabs>
        <w:numPr>
          <w:ilvl w:val="2"/>
          <w:numId w:val="327"/>
        </w:numPr>
        <w:rPr>
          <w:rFonts w:ascii="Arial" w:cs="Arial" w:eastAsia="Arial" w:hAnsi="Arial"/>
          <w:sz w:val="18"/>
          <w:szCs w:val="18"/>
          <w:color w:val="auto"/>
        </w:rPr>
      </w:pPr>
      <w:r>
        <w:rPr>
          <w:rFonts w:ascii="Arial" w:cs="Arial" w:eastAsia="Arial" w:hAnsi="Arial"/>
          <w:sz w:val="18"/>
          <w:szCs w:val="18"/>
          <w:color w:val="auto"/>
        </w:rPr>
        <w:t>unless it has received notice of revocation, that those instructions have not been revoked; and</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rely on a certificate from any person:</w:t>
      </w:r>
    </w:p>
    <w:p>
      <w:pPr>
        <w:spacing w:after="0" w:line="198" w:lineRule="exact"/>
        <w:rPr>
          <w:rFonts w:ascii="Arial" w:cs="Arial" w:eastAsia="Arial" w:hAnsi="Arial"/>
          <w:sz w:val="18"/>
          <w:szCs w:val="18"/>
          <w:color w:val="auto"/>
        </w:rPr>
      </w:pPr>
    </w:p>
    <w:p>
      <w:pPr>
        <w:ind w:left="2160" w:right="20" w:hanging="531"/>
        <w:spacing w:after="0" w:line="246" w:lineRule="auto"/>
        <w:tabs>
          <w:tab w:leader="none" w:pos="2160" w:val="left"/>
        </w:tabs>
        <w:numPr>
          <w:ilvl w:val="2"/>
          <w:numId w:val="327"/>
        </w:numPr>
        <w:rPr>
          <w:rFonts w:ascii="Arial" w:cs="Arial" w:eastAsia="Arial" w:hAnsi="Arial"/>
          <w:sz w:val="18"/>
          <w:szCs w:val="18"/>
          <w:color w:val="auto"/>
        </w:rPr>
      </w:pPr>
      <w:r>
        <w:rPr>
          <w:rFonts w:ascii="Arial" w:cs="Arial" w:eastAsia="Arial" w:hAnsi="Arial"/>
          <w:sz w:val="18"/>
          <w:szCs w:val="18"/>
          <w:color w:val="auto"/>
        </w:rPr>
        <w:t>as to any matter of fact or circumstance which might reasonably be expected to be within the knowledge of that person; or</w:t>
      </w:r>
    </w:p>
    <w:p>
      <w:pPr>
        <w:spacing w:after="0" w:line="183" w:lineRule="exact"/>
        <w:rPr>
          <w:rFonts w:ascii="Arial" w:cs="Arial" w:eastAsia="Arial" w:hAnsi="Arial"/>
          <w:sz w:val="18"/>
          <w:szCs w:val="18"/>
          <w:color w:val="auto"/>
        </w:rPr>
      </w:pPr>
    </w:p>
    <w:p>
      <w:pPr>
        <w:ind w:left="2160" w:hanging="531"/>
        <w:spacing w:after="0"/>
        <w:tabs>
          <w:tab w:leader="none" w:pos="2160" w:val="left"/>
        </w:tabs>
        <w:numPr>
          <w:ilvl w:val="2"/>
          <w:numId w:val="327"/>
        </w:numPr>
        <w:rPr>
          <w:rFonts w:ascii="Arial" w:cs="Arial" w:eastAsia="Arial" w:hAnsi="Arial"/>
          <w:sz w:val="18"/>
          <w:szCs w:val="18"/>
          <w:color w:val="auto"/>
        </w:rPr>
      </w:pPr>
      <w:r>
        <w:rPr>
          <w:rFonts w:ascii="Arial" w:cs="Arial" w:eastAsia="Arial" w:hAnsi="Arial"/>
          <w:sz w:val="18"/>
          <w:szCs w:val="18"/>
          <w:color w:val="auto"/>
        </w:rPr>
        <w:t>to the effect that such person approves of any particular dealing, transaction, step, action or thing,</w:t>
      </w:r>
    </w:p>
    <w:p>
      <w:pPr>
        <w:spacing w:after="0" w:line="198" w:lineRule="exact"/>
        <w:rPr>
          <w:sz w:val="20"/>
          <w:szCs w:val="20"/>
          <w:color w:val="auto"/>
        </w:rPr>
      </w:pPr>
    </w:p>
    <w:p>
      <w:pPr>
        <w:ind w:left="1620"/>
        <w:spacing w:after="0" w:line="246" w:lineRule="auto"/>
        <w:rPr>
          <w:sz w:val="20"/>
          <w:szCs w:val="20"/>
          <w:color w:val="auto"/>
        </w:rPr>
      </w:pPr>
      <w:r>
        <w:rPr>
          <w:rFonts w:ascii="Arial" w:cs="Arial" w:eastAsia="Arial" w:hAnsi="Arial"/>
          <w:sz w:val="18"/>
          <w:szCs w:val="18"/>
          <w:color w:val="auto"/>
        </w:rPr>
        <w:t>as sufficient evidence that that is the case and, in the case of paragraph (i) above, may assume the truth and accuracy of that certificate.</w:t>
      </w:r>
    </w:p>
    <w:p>
      <w:pPr>
        <w:spacing w:after="0" w:line="183" w:lineRule="exact"/>
        <w:rPr>
          <w:sz w:val="20"/>
          <w:szCs w:val="20"/>
          <w:color w:val="auto"/>
        </w:rPr>
      </w:pPr>
    </w:p>
    <w:p>
      <w:pPr>
        <w:ind w:left="1060" w:hanging="512"/>
        <w:spacing w:after="0"/>
        <w:tabs>
          <w:tab w:leader="none" w:pos="10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Agent may assume (unless it has received notice to the contrary in its capacity as agent for the other Finance Parties) that:</w:t>
      </w:r>
    </w:p>
    <w:p>
      <w:pPr>
        <w:spacing w:after="0" w:line="180" w:lineRule="exact"/>
        <w:rPr>
          <w:rFonts w:ascii="Arial" w:cs="Arial" w:eastAsia="Arial" w:hAnsi="Arial"/>
          <w:sz w:val="18"/>
          <w:szCs w:val="18"/>
          <w:color w:val="auto"/>
        </w:rPr>
      </w:pPr>
    </w:p>
    <w:p>
      <w:pPr>
        <w:ind w:left="1620" w:hanging="532"/>
        <w:spacing w:after="0"/>
        <w:tabs>
          <w:tab w:leader="none" w:pos="162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no Default has occurred (unless it has actual knowledge of a Default arising under clause 29.1 (</w:t>
      </w:r>
      <w:r>
        <w:rPr>
          <w:rFonts w:ascii="Arial" w:cs="Arial" w:eastAsia="Arial" w:hAnsi="Arial"/>
          <w:sz w:val="18"/>
          <w:szCs w:val="18"/>
          <w:i w:val="1"/>
          <w:iCs w:val="1"/>
          <w:color w:val="auto"/>
        </w:rPr>
        <w:t>Non-payment</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any right, power, authority or discretion vested in any Party or any group of Lenders (whether Majority Lenders or all the Lenders or otherwise) has not been exercised;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61" w:name="page162"/>
    <w:bookmarkEnd w:id="161"/>
    <w:p>
      <w:pPr>
        <w:ind w:left="1080" w:hanging="532"/>
        <w:spacing w:after="0" w:line="246" w:lineRule="auto"/>
        <w:tabs>
          <w:tab w:leader="none" w:pos="108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any notice or request made by a Borrower (other than a Utilisation Request or Selection Notice) is made on behalf of and with the consent and knowledge of all the Obligors; and</w:t>
      </w:r>
    </w:p>
    <w:p>
      <w:pPr>
        <w:spacing w:after="0" w:line="183" w:lineRule="exact"/>
        <w:rPr>
          <w:rFonts w:ascii="Arial" w:cs="Arial" w:eastAsia="Arial" w:hAnsi="Arial"/>
          <w:sz w:val="18"/>
          <w:szCs w:val="18"/>
          <w:color w:val="auto"/>
        </w:rPr>
      </w:pPr>
    </w:p>
    <w:p>
      <w:pPr>
        <w:ind w:left="1080" w:hanging="532"/>
        <w:spacing w:after="0"/>
        <w:tabs>
          <w:tab w:leader="none" w:pos="108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no Notifiable Debt Purchase Transaction:</w:t>
      </w:r>
    </w:p>
    <w:p>
      <w:pPr>
        <w:spacing w:after="0" w:line="198" w:lineRule="exact"/>
        <w:rPr>
          <w:rFonts w:ascii="Arial" w:cs="Arial" w:eastAsia="Arial" w:hAnsi="Arial"/>
          <w:sz w:val="18"/>
          <w:szCs w:val="18"/>
          <w:color w:val="auto"/>
        </w:rPr>
      </w:pPr>
    </w:p>
    <w:p>
      <w:pPr>
        <w:ind w:left="1620" w:hanging="531"/>
        <w:spacing w:after="0"/>
        <w:tabs>
          <w:tab w:leader="none" w:pos="1620" w:val="left"/>
        </w:tabs>
        <w:numPr>
          <w:ilvl w:val="2"/>
          <w:numId w:val="329"/>
        </w:numPr>
        <w:rPr>
          <w:rFonts w:ascii="Arial" w:cs="Arial" w:eastAsia="Arial" w:hAnsi="Arial"/>
          <w:sz w:val="18"/>
          <w:szCs w:val="18"/>
          <w:color w:val="auto"/>
        </w:rPr>
      </w:pPr>
      <w:r>
        <w:rPr>
          <w:rFonts w:ascii="Arial" w:cs="Arial" w:eastAsia="Arial" w:hAnsi="Arial"/>
          <w:sz w:val="18"/>
          <w:szCs w:val="18"/>
          <w:color w:val="auto"/>
        </w:rPr>
        <w:t>has been entered into;</w:t>
      </w:r>
    </w:p>
    <w:p>
      <w:pPr>
        <w:spacing w:after="0" w:line="198" w:lineRule="exact"/>
        <w:rPr>
          <w:rFonts w:ascii="Arial" w:cs="Arial" w:eastAsia="Arial" w:hAnsi="Arial"/>
          <w:sz w:val="18"/>
          <w:szCs w:val="18"/>
          <w:color w:val="auto"/>
        </w:rPr>
      </w:pPr>
    </w:p>
    <w:p>
      <w:pPr>
        <w:ind w:left="1620" w:hanging="531"/>
        <w:spacing w:after="0"/>
        <w:tabs>
          <w:tab w:leader="none" w:pos="1620" w:val="left"/>
        </w:tabs>
        <w:numPr>
          <w:ilvl w:val="2"/>
          <w:numId w:val="329"/>
        </w:numPr>
        <w:rPr>
          <w:rFonts w:ascii="Arial" w:cs="Arial" w:eastAsia="Arial" w:hAnsi="Arial"/>
          <w:sz w:val="18"/>
          <w:szCs w:val="18"/>
          <w:color w:val="auto"/>
        </w:rPr>
      </w:pPr>
      <w:r>
        <w:rPr>
          <w:rFonts w:ascii="Arial" w:cs="Arial" w:eastAsia="Arial" w:hAnsi="Arial"/>
          <w:sz w:val="18"/>
          <w:szCs w:val="18"/>
          <w:color w:val="auto"/>
        </w:rPr>
        <w:t>has been terminated; or</w:t>
      </w:r>
    </w:p>
    <w:p>
      <w:pPr>
        <w:spacing w:after="0" w:line="198" w:lineRule="exact"/>
        <w:rPr>
          <w:rFonts w:ascii="Arial" w:cs="Arial" w:eastAsia="Arial" w:hAnsi="Arial"/>
          <w:sz w:val="18"/>
          <w:szCs w:val="18"/>
          <w:color w:val="auto"/>
        </w:rPr>
      </w:pPr>
    </w:p>
    <w:p>
      <w:pPr>
        <w:ind w:left="1620" w:hanging="531"/>
        <w:spacing w:after="0"/>
        <w:tabs>
          <w:tab w:leader="none" w:pos="1620" w:val="left"/>
        </w:tabs>
        <w:numPr>
          <w:ilvl w:val="2"/>
          <w:numId w:val="329"/>
        </w:numPr>
        <w:rPr>
          <w:rFonts w:ascii="Arial" w:cs="Arial" w:eastAsia="Arial" w:hAnsi="Arial"/>
          <w:sz w:val="18"/>
          <w:szCs w:val="18"/>
          <w:color w:val="auto"/>
        </w:rPr>
      </w:pPr>
      <w:r>
        <w:rPr>
          <w:rFonts w:ascii="Arial" w:cs="Arial" w:eastAsia="Arial" w:hAnsi="Arial"/>
          <w:sz w:val="18"/>
          <w:szCs w:val="18"/>
          <w:color w:val="auto"/>
        </w:rPr>
        <w:t>has ceased to be with a Parent Affiliate.</w:t>
      </w:r>
    </w:p>
    <w:p>
      <w:pPr>
        <w:spacing w:after="0" w:line="198" w:lineRule="exact"/>
        <w:rPr>
          <w:rFonts w:ascii="Arial" w:cs="Arial" w:eastAsia="Arial" w:hAnsi="Arial"/>
          <w:sz w:val="18"/>
          <w:szCs w:val="18"/>
          <w:color w:val="auto"/>
        </w:rPr>
      </w:pPr>
    </w:p>
    <w:p>
      <w:pPr>
        <w:ind w:left="540" w:right="20" w:hanging="532"/>
        <w:spacing w:after="0" w:line="246" w:lineRule="auto"/>
        <w:tabs>
          <w:tab w:leader="none" w:pos="5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Agent may engage and pay for the advice or services of any lawyers, accountants, tax advisers, surveyors or other professional advisers or experts in the conduct of its obligations and responsibilities under the Finance Documents.</w:t>
      </w:r>
    </w:p>
    <w:p>
      <w:pPr>
        <w:spacing w:after="0" w:line="183" w:lineRule="exact"/>
        <w:rPr>
          <w:rFonts w:ascii="Arial" w:cs="Arial" w:eastAsia="Arial" w:hAnsi="Arial"/>
          <w:sz w:val="18"/>
          <w:szCs w:val="18"/>
          <w:color w:val="auto"/>
        </w:rPr>
      </w:pPr>
    </w:p>
    <w:p>
      <w:pPr>
        <w:jc w:val="both"/>
        <w:ind w:left="540" w:right="20" w:hanging="532"/>
        <w:spacing w:after="0"/>
        <w:tabs>
          <w:tab w:leader="none" w:pos="5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Without prejudice to the generality of clause 32.7(c) or clause 32.7(e), the Agent may at any time engage and pay for the services of any lawyers to act as independent counsel to the Agent (and so separate from any lawyers instructed by the Lenders) if the Agent in its reasonable opinion deems this to be necessary.</w:t>
      </w:r>
    </w:p>
    <w:p>
      <w:pPr>
        <w:spacing w:after="0" w:line="189" w:lineRule="exact"/>
        <w:rPr>
          <w:rFonts w:ascii="Arial" w:cs="Arial" w:eastAsia="Arial" w:hAnsi="Arial"/>
          <w:sz w:val="18"/>
          <w:szCs w:val="18"/>
          <w:color w:val="auto"/>
        </w:rPr>
      </w:pPr>
    </w:p>
    <w:p>
      <w:pPr>
        <w:jc w:val="both"/>
        <w:ind w:left="540" w:hanging="532"/>
        <w:spacing w:after="0" w:line="237" w:lineRule="auto"/>
        <w:tabs>
          <w:tab w:leader="none" w:pos="5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Agent may rely on the advice or services of any lawyers, accountants, tax advisers, surveyors or other professional advisers or experts (whether obtained by the Agent or by any other Party and whether or not liability thereunder is limited by reference to monetary cap or otherwise) and shall not be liable for any damages, costs or losses to any person, any diminution in value or any liability whatsoever arising as a result of its so relying except where such damages, costs or losses to any person, such diminuation in value or such liability are directly caused by the gross negligence or wilful misconduct of the Agent acting alone and on its own discretion without instructions from any Lender under the provisions of the Finance Documents.</w:t>
      </w:r>
    </w:p>
    <w:p>
      <w:pPr>
        <w:spacing w:after="0" w:line="191" w:lineRule="exact"/>
        <w:rPr>
          <w:rFonts w:ascii="Arial" w:cs="Arial" w:eastAsia="Arial" w:hAnsi="Arial"/>
          <w:sz w:val="18"/>
          <w:szCs w:val="18"/>
          <w:color w:val="auto"/>
        </w:rPr>
      </w:pPr>
    </w:p>
    <w:p>
      <w:pPr>
        <w:ind w:left="540" w:hanging="532"/>
        <w:spacing w:after="0"/>
        <w:tabs>
          <w:tab w:leader="none" w:pos="5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Agent may act in relation to the Finance Documents through its personnel and agents.</w:t>
      </w:r>
    </w:p>
    <w:p>
      <w:pPr>
        <w:spacing w:after="0" w:line="198" w:lineRule="exact"/>
        <w:rPr>
          <w:rFonts w:ascii="Arial" w:cs="Arial" w:eastAsia="Arial" w:hAnsi="Arial"/>
          <w:sz w:val="18"/>
          <w:szCs w:val="18"/>
          <w:color w:val="auto"/>
        </w:rPr>
      </w:pPr>
    </w:p>
    <w:p>
      <w:pPr>
        <w:ind w:left="540" w:hanging="532"/>
        <w:spacing w:after="0" w:line="246" w:lineRule="auto"/>
        <w:tabs>
          <w:tab w:leader="none" w:pos="5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Unless a Finance Document expressly provides otherwise, the Agent may disclose to any other Party any information it reasonably believes it has received as agent under this Agreement.</w:t>
      </w:r>
    </w:p>
    <w:p>
      <w:pPr>
        <w:spacing w:after="0" w:line="183" w:lineRule="exact"/>
        <w:rPr>
          <w:rFonts w:ascii="Arial" w:cs="Arial" w:eastAsia="Arial" w:hAnsi="Arial"/>
          <w:sz w:val="18"/>
          <w:szCs w:val="18"/>
          <w:color w:val="auto"/>
        </w:rPr>
      </w:pPr>
    </w:p>
    <w:p>
      <w:pPr>
        <w:jc w:val="both"/>
        <w:ind w:left="540" w:hanging="532"/>
        <w:spacing w:after="0" w:line="239" w:lineRule="auto"/>
        <w:tabs>
          <w:tab w:leader="none" w:pos="5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Notwithstanding any other provision of any Finance Document to the contrary, neither the Agent nor any Arranger is obliged to do or omit to do anything if it would or might in its reasonable opinion constitute a breach of any law or regulation or a breach of a fiduciary duty or duty of confidentiality. The Agent and any Arranger may do anything which in its opinion, is necessary or desirable to comply with any law or regulation of any jurisdiction.</w:t>
      </w:r>
    </w:p>
    <w:p>
      <w:pPr>
        <w:spacing w:after="0" w:line="188" w:lineRule="exact"/>
        <w:rPr>
          <w:rFonts w:ascii="Arial" w:cs="Arial" w:eastAsia="Arial" w:hAnsi="Arial"/>
          <w:sz w:val="18"/>
          <w:szCs w:val="18"/>
          <w:color w:val="auto"/>
        </w:rPr>
      </w:pPr>
    </w:p>
    <w:p>
      <w:pPr>
        <w:jc w:val="both"/>
        <w:ind w:left="540" w:hanging="532"/>
        <w:spacing w:after="0"/>
        <w:tabs>
          <w:tab w:leader="none" w:pos="5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Without prejudice to the generality of clause 32.7(h), the Agent may (but is not obliged) disclose the identity of a Defaulting Lender to the other Finance Parties and the Borrowers and the Agent shall disclose the same upon the written request of the Majority Lenders</w:t>
      </w:r>
    </w:p>
    <w:p>
      <w:pPr>
        <w:spacing w:after="0" w:line="189" w:lineRule="exact"/>
        <w:rPr>
          <w:rFonts w:ascii="Arial" w:cs="Arial" w:eastAsia="Arial" w:hAnsi="Arial"/>
          <w:sz w:val="18"/>
          <w:szCs w:val="18"/>
          <w:color w:val="auto"/>
        </w:rPr>
      </w:pPr>
    </w:p>
    <w:p>
      <w:pPr>
        <w:jc w:val="both"/>
        <w:ind w:left="540" w:hanging="532"/>
        <w:spacing w:after="0" w:line="239" w:lineRule="auto"/>
        <w:tabs>
          <w:tab w:leader="none" w:pos="5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Notwithstanding any provision of any Finance Document to the contrary, the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188" w:lineRule="exact"/>
        <w:rPr>
          <w:rFonts w:ascii="Arial" w:cs="Arial" w:eastAsia="Arial" w:hAnsi="Arial"/>
          <w:sz w:val="18"/>
          <w:szCs w:val="18"/>
          <w:color w:val="auto"/>
        </w:rPr>
      </w:pPr>
    </w:p>
    <w:p>
      <w:pPr>
        <w:jc w:val="both"/>
        <w:ind w:left="540" w:hanging="532"/>
        <w:spacing w:after="0"/>
        <w:tabs>
          <w:tab w:leader="none" w:pos="5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Neither the Agent nor any Arranger shall be obliged to request any certificate, opinion or other information under clause 19 (</w:t>
      </w:r>
      <w:r>
        <w:rPr>
          <w:rFonts w:ascii="Arial" w:cs="Arial" w:eastAsia="Arial" w:hAnsi="Arial"/>
          <w:sz w:val="18"/>
          <w:szCs w:val="18"/>
          <w:i w:val="1"/>
          <w:iCs w:val="1"/>
          <w:color w:val="auto"/>
        </w:rPr>
        <w:t>Information undertakings</w:t>
      </w:r>
      <w:r>
        <w:rPr>
          <w:rFonts w:ascii="Arial" w:cs="Arial" w:eastAsia="Arial" w:hAnsi="Arial"/>
          <w:sz w:val="18"/>
          <w:szCs w:val="18"/>
          <w:color w:val="auto"/>
        </w:rPr>
        <w:t>) unless so required in writing by a Lender, in which case the Agent shall promptly make the appropriate request of the Borrowers if such request would be in accordance with the terms of this Agreement.</w:t>
      </w:r>
    </w:p>
    <w:p>
      <w:pPr>
        <w:spacing w:after="0" w:line="17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135255</wp:posOffset>
            </wp:positionV>
            <wp:extent cx="7246620" cy="34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80"/>
          </w:cols>
          <w:pgMar w:left="780" w:top="422" w:right="239" w:bottom="1440" w:gutter="0" w:footer="0" w:header="0"/>
        </w:sectPr>
      </w:pPr>
    </w:p>
    <w:bookmarkStart w:id="162" w:name="page163"/>
    <w:bookmarkEnd w:id="162"/>
    <w:p>
      <w:pPr>
        <w:spacing w:after="0"/>
        <w:tabs>
          <w:tab w:leader="none" w:pos="520" w:val="left"/>
        </w:tabs>
        <w:rPr>
          <w:sz w:val="20"/>
          <w:szCs w:val="20"/>
          <w:color w:val="auto"/>
        </w:rPr>
      </w:pPr>
      <w:r>
        <w:rPr>
          <w:rFonts w:ascii="Arial" w:cs="Arial" w:eastAsia="Arial" w:hAnsi="Arial"/>
          <w:sz w:val="18"/>
          <w:szCs w:val="18"/>
          <w:b w:val="1"/>
          <w:bCs w:val="1"/>
          <w:color w:val="auto"/>
        </w:rPr>
        <w:t>32.8</w:t>
        <w:tab/>
        <w:t>Responsibility for documentation and other matters</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Neither the Agent nor any Arranger is responsible or liable for:</w:t>
      </w:r>
    </w:p>
    <w:p>
      <w:pPr>
        <w:spacing w:after="0" w:line="198" w:lineRule="exact"/>
        <w:rPr>
          <w:sz w:val="20"/>
          <w:szCs w:val="20"/>
          <w:color w:val="auto"/>
        </w:rPr>
      </w:pPr>
    </w:p>
    <w:p>
      <w:pPr>
        <w:jc w:val="both"/>
        <w:ind w:left="1080" w:hanging="532"/>
        <w:spacing w:after="0" w:line="238" w:lineRule="auto"/>
        <w:tabs>
          <w:tab w:leader="none" w:pos="10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adequacy, accuracy and/or completeness of any information (whether oral or written) supplied by the Agent, any Arranger, an Obligor or any other person given in or in connection with any Finance Document or the transactions contemplated in the Finance Documents or any other agreement, arrangement or document entered into, made or executed in anticipation of, under or in connection with any Finance Document or of any representations in any Finance Document or of any copy of any document delivered under any Finance Document;</w:t>
      </w:r>
    </w:p>
    <w:p>
      <w:pPr>
        <w:spacing w:after="0" w:line="189" w:lineRule="exact"/>
        <w:rPr>
          <w:rFonts w:ascii="Arial" w:cs="Arial" w:eastAsia="Arial" w:hAnsi="Arial"/>
          <w:sz w:val="18"/>
          <w:szCs w:val="18"/>
          <w:color w:val="auto"/>
        </w:rPr>
      </w:pPr>
    </w:p>
    <w:p>
      <w:pPr>
        <w:jc w:val="both"/>
        <w:ind w:left="1080" w:hanging="532"/>
        <w:spacing w:after="0"/>
        <w:tabs>
          <w:tab w:leader="none" w:pos="10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any Finance Document, any Charter Document or any other agreement, arrangement or document entered into, made or executed in anticipation of, under or in connection with any Finance Document or any Charter Document;</w:t>
      </w:r>
    </w:p>
    <w:p>
      <w:pPr>
        <w:spacing w:after="0" w:line="189" w:lineRule="exact"/>
        <w:rPr>
          <w:rFonts w:ascii="Arial" w:cs="Arial" w:eastAsia="Arial" w:hAnsi="Arial"/>
          <w:sz w:val="18"/>
          <w:szCs w:val="18"/>
          <w:color w:val="auto"/>
        </w:rPr>
      </w:pPr>
    </w:p>
    <w:p>
      <w:pPr>
        <w:ind w:left="1080" w:hanging="532"/>
        <w:spacing w:after="0"/>
        <w:tabs>
          <w:tab w:leader="none" w:pos="10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application of any Basel II Regulation or Basel III Regulation to the transactions contemplated by the Finance Documents;</w:t>
      </w:r>
    </w:p>
    <w:p>
      <w:pPr>
        <w:spacing w:after="0" w:line="19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any loss to the Trust Property arising in consequence of the failure, depreciation or loss of any Charged Property or any investments made or retained in good faith or by reason of any other matter or thing;</w:t>
      </w:r>
    </w:p>
    <w:p>
      <w:pPr>
        <w:spacing w:after="0" w:line="183" w:lineRule="exact"/>
        <w:rPr>
          <w:rFonts w:ascii="Arial" w:cs="Arial" w:eastAsia="Arial" w:hAnsi="Arial"/>
          <w:sz w:val="18"/>
          <w:szCs w:val="18"/>
          <w:color w:val="auto"/>
        </w:rPr>
      </w:pPr>
    </w:p>
    <w:p>
      <w:pPr>
        <w:ind w:left="1080" w:hanging="532"/>
        <w:spacing w:after="0"/>
        <w:tabs>
          <w:tab w:leader="none" w:pos="10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accounting to any person for any sum or the profit element of any sum received by it for its own account;</w:t>
      </w:r>
    </w:p>
    <w:p>
      <w:pPr>
        <w:spacing w:after="0" w:line="198"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failure of any Obligor or any other party to perform its obligations under any Finance Document, any Charter Document or the financial condition of any such person;</w:t>
      </w:r>
    </w:p>
    <w:p>
      <w:pPr>
        <w:spacing w:after="0" w:line="183"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ascertaining whether all deeds and documents which should have been deposited with it (or the Security Agent and/or any other beneficiary of a Security Document) under or pursuant to any of the Security Documents have been so deposited;</w:t>
      </w:r>
    </w:p>
    <w:p>
      <w:pPr>
        <w:spacing w:after="0" w:line="183"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investigating or making any enquiry into the title of any Obligor to any of the Charged Property or any of its other property or assets;</w:t>
      </w:r>
    </w:p>
    <w:p>
      <w:pPr>
        <w:spacing w:after="0" w:line="183" w:lineRule="exact"/>
        <w:rPr>
          <w:rFonts w:ascii="Arial" w:cs="Arial" w:eastAsia="Arial" w:hAnsi="Arial"/>
          <w:sz w:val="18"/>
          <w:szCs w:val="18"/>
          <w:color w:val="auto"/>
        </w:rPr>
      </w:pPr>
    </w:p>
    <w:p>
      <w:pPr>
        <w:ind w:left="1080" w:hanging="532"/>
        <w:spacing w:after="0"/>
        <w:tabs>
          <w:tab w:leader="none" w:pos="10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failing to register any of the Security Documents with the Registrar of Companies or any other public office;</w:t>
      </w:r>
    </w:p>
    <w:p>
      <w:pPr>
        <w:spacing w:after="0" w:line="19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failing to register any of the Security Documents in accordance with the provisions of the documents of title of any Obligor to any of the Charged Property;</w:t>
      </w:r>
    </w:p>
    <w:p>
      <w:pPr>
        <w:spacing w:after="0" w:line="183"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failing to take or require any Obligor to take any steps to render any of the Security Documents effective as regards property or assets outside England or Wales or to secure the creation of any ancillary charge under the laws of the jurisdiction concerned;</w:t>
      </w:r>
    </w:p>
    <w:p>
      <w:pPr>
        <w:spacing w:after="0" w:line="183"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(unless it is the same entity as the Security Agent) the Security Agent and/or any other beneficiary of a Security Document failing to perform or discharge any of its duties or obligations under the Security Documents;</w:t>
      </w:r>
    </w:p>
    <w:p>
      <w:pPr>
        <w:spacing w:after="0" w:line="183"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any determination as to whether any information provided or to be provided to any Finance Party is non-public information the use of which may be regulated or prohibited by any applicable law or regulation relating to insider dealing or otherwise;</w:t>
      </w:r>
    </w:p>
    <w:p>
      <w:pPr>
        <w:spacing w:after="0" w:line="183" w:lineRule="exact"/>
        <w:rPr>
          <w:rFonts w:ascii="Arial" w:cs="Arial" w:eastAsia="Arial" w:hAnsi="Arial"/>
          <w:sz w:val="18"/>
          <w:szCs w:val="18"/>
          <w:color w:val="auto"/>
        </w:rPr>
      </w:pPr>
    </w:p>
    <w:p>
      <w:pPr>
        <w:jc w:val="both"/>
        <w:ind w:left="1080" w:hanging="532"/>
        <w:spacing w:after="0"/>
        <w:tabs>
          <w:tab w:leader="none" w:pos="10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making any investigation in respect of or in any way be liable whatsoever for the existence, accuracy or sufficiency of any legal or other opinions, reports, certificates or investigations delivered or obtained or required to be delivered or obtained at any time in connection herewith;</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63" w:name="page164"/>
    <w:bookmarkEnd w:id="163"/>
    <w:p>
      <w:pPr>
        <w:jc w:val="both"/>
        <w:ind w:left="1080" w:hanging="532"/>
        <w:spacing w:after="0"/>
        <w:tabs>
          <w:tab w:leader="none" w:pos="10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any unsuitability, inadequacy or unfitness of any Charged Property as security for the Loans and shall not be obliged to make any investigation into, and shall be entitled to assume, the suitability, adequacy and fitness of the Charged Property as security for the Loans; or</w:t>
      </w:r>
    </w:p>
    <w:p>
      <w:pPr>
        <w:spacing w:after="0" w:line="189" w:lineRule="exact"/>
        <w:rPr>
          <w:rFonts w:ascii="Arial" w:cs="Arial" w:eastAsia="Arial" w:hAnsi="Arial"/>
          <w:sz w:val="18"/>
          <w:szCs w:val="18"/>
          <w:color w:val="auto"/>
        </w:rPr>
      </w:pPr>
    </w:p>
    <w:p>
      <w:pPr>
        <w:jc w:val="both"/>
        <w:ind w:left="1080" w:hanging="532"/>
        <w:spacing w:after="0"/>
        <w:tabs>
          <w:tab w:leader="none" w:pos="10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any damage to or any unauthorised dealing with the Charged Property nor shall it have any responsibility or liability arising from the fact that the Charged Property, or documents relating thereto, may be registered in its name or held by it or any other bank or agent selected by the Agent or the Security Agent.</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32.9</w:t>
        <w:tab/>
        <w:t>No duty to monitor</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Agent shall not be bound to enquire:</w:t>
      </w:r>
    </w:p>
    <w:p>
      <w:pPr>
        <w:spacing w:after="0" w:line="198" w:lineRule="exact"/>
        <w:rPr>
          <w:sz w:val="20"/>
          <w:szCs w:val="20"/>
          <w:color w:val="auto"/>
        </w:rPr>
      </w:pPr>
    </w:p>
    <w:p>
      <w:pPr>
        <w:ind w:left="1080" w:hanging="532"/>
        <w:spacing w:after="0"/>
        <w:tabs>
          <w:tab w:leader="none" w:pos="108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whether or not any Default has occurred;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as to the performance, default or any breach by any Party of its obligations under any Finance Document; or</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whether any other event specified in any Finance Document has occurred.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32.10 Exclusion of liability</w:t>
      </w:r>
    </w:p>
    <w:p>
      <w:pPr>
        <w:spacing w:after="0" w:line="220" w:lineRule="exact"/>
        <w:rPr>
          <w:sz w:val="20"/>
          <w:szCs w:val="20"/>
          <w:color w:val="auto"/>
        </w:rPr>
      </w:pPr>
    </w:p>
    <w:p>
      <w:pPr>
        <w:jc w:val="both"/>
        <w:ind w:left="1080" w:hanging="532"/>
        <w:spacing w:after="0"/>
        <w:tabs>
          <w:tab w:leader="none" w:pos="10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Without limiting clause 32.10(b) (and without prejudice to any other provision of the Finance Documents excluding or limiting the liability of the Agent) the Agent will not be liable (including, without limitation, for negligence or any other category of liability whatsoever and other than as specified below) for:</w:t>
      </w:r>
    </w:p>
    <w:p>
      <w:pPr>
        <w:spacing w:after="0" w:line="189" w:lineRule="exact"/>
        <w:rPr>
          <w:rFonts w:ascii="Arial" w:cs="Arial" w:eastAsia="Arial" w:hAnsi="Arial"/>
          <w:sz w:val="18"/>
          <w:szCs w:val="18"/>
          <w:color w:val="auto"/>
        </w:rPr>
      </w:pPr>
    </w:p>
    <w:p>
      <w:pPr>
        <w:jc w:val="both"/>
        <w:ind w:left="1620" w:hanging="532"/>
        <w:spacing w:after="0" w:line="237" w:lineRule="auto"/>
        <w:tabs>
          <w:tab w:leader="none" w:pos="162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any damages, costs or losses to any person, any diminution in value, or any liability whatsoever arising as a result of taking or not taking any action under or in connection with any Finance Document or the Charged Property, unless directly caused by its gross negligence or wilful default. For the avoidance of doubt and notwithstanding anything contained in the Finance Documents, the Agent shall not in any event be liable for any indirect or consequential loss (including, without limitation, loss of profit, business or goodwill) regardless of whether it was informed of the likelihood of such loss and irrespective of whether any such claim is made for breach of contract, in tort or otherwise;</w:t>
      </w:r>
    </w:p>
    <w:p>
      <w:pPr>
        <w:spacing w:after="0" w:line="191" w:lineRule="exact"/>
        <w:rPr>
          <w:rFonts w:ascii="Arial" w:cs="Arial" w:eastAsia="Arial" w:hAnsi="Arial"/>
          <w:sz w:val="18"/>
          <w:szCs w:val="18"/>
          <w:color w:val="auto"/>
        </w:rPr>
      </w:pPr>
    </w:p>
    <w:p>
      <w:pPr>
        <w:jc w:val="both"/>
        <w:ind w:left="1620" w:hanging="532"/>
        <w:spacing w:after="0" w:line="238" w:lineRule="auto"/>
        <w:tabs>
          <w:tab w:leader="none" w:pos="162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exercising, or not exercising, any right, power, authority or discretion given to it by, or in connection with, any Finance Document, the Charged Property or any other agreement, arrangement or document entered into, made or executed in anticipation of, under or in connection with, any Finance Document or the Charged Property unless directly caused by the gross negligence or wilful default of the Agent and in the course of the exercise or non exercise by it of any right, power, authority or discretion given to it expressly under a Finance Document; or</w:t>
      </w:r>
    </w:p>
    <w:p>
      <w:pPr>
        <w:spacing w:after="0" w:line="189"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without prejudice to the generality of paragraphs (a) and (b) above, any damages, costs or losses to any person, any diminution in value or any liability whatsoever arising as a result of:</w:t>
      </w:r>
    </w:p>
    <w:p>
      <w:pPr>
        <w:spacing w:after="0" w:line="183" w:lineRule="exact"/>
        <w:rPr>
          <w:rFonts w:ascii="Arial" w:cs="Arial" w:eastAsia="Arial" w:hAnsi="Arial"/>
          <w:sz w:val="18"/>
          <w:szCs w:val="18"/>
          <w:color w:val="auto"/>
        </w:rPr>
      </w:pPr>
    </w:p>
    <w:p>
      <w:pPr>
        <w:ind w:left="2160" w:hanging="531"/>
        <w:spacing w:after="0"/>
        <w:tabs>
          <w:tab w:leader="none" w:pos="2160" w:val="left"/>
        </w:tabs>
        <w:numPr>
          <w:ilvl w:val="2"/>
          <w:numId w:val="334"/>
        </w:numPr>
        <w:rPr>
          <w:rFonts w:ascii="Arial" w:cs="Arial" w:eastAsia="Arial" w:hAnsi="Arial"/>
          <w:sz w:val="18"/>
          <w:szCs w:val="18"/>
          <w:color w:val="auto"/>
        </w:rPr>
      </w:pPr>
      <w:r>
        <w:rPr>
          <w:rFonts w:ascii="Arial" w:cs="Arial" w:eastAsia="Arial" w:hAnsi="Arial"/>
          <w:sz w:val="18"/>
          <w:szCs w:val="18"/>
          <w:color w:val="auto"/>
        </w:rPr>
        <w:t>any act, event or circumstance not reasonably within its control; or</w:t>
      </w:r>
    </w:p>
    <w:p>
      <w:pPr>
        <w:spacing w:after="0" w:line="198" w:lineRule="exact"/>
        <w:rPr>
          <w:rFonts w:ascii="Arial" w:cs="Arial" w:eastAsia="Arial" w:hAnsi="Arial"/>
          <w:sz w:val="18"/>
          <w:szCs w:val="18"/>
          <w:color w:val="auto"/>
        </w:rPr>
      </w:pPr>
    </w:p>
    <w:p>
      <w:pPr>
        <w:ind w:left="2160" w:hanging="531"/>
        <w:spacing w:after="0"/>
        <w:tabs>
          <w:tab w:leader="none" w:pos="2160" w:val="left"/>
        </w:tabs>
        <w:numPr>
          <w:ilvl w:val="2"/>
          <w:numId w:val="334"/>
        </w:numPr>
        <w:rPr>
          <w:rFonts w:ascii="Arial" w:cs="Arial" w:eastAsia="Arial" w:hAnsi="Arial"/>
          <w:sz w:val="18"/>
          <w:szCs w:val="18"/>
          <w:color w:val="auto"/>
        </w:rPr>
      </w:pPr>
      <w:r>
        <w:rPr>
          <w:rFonts w:ascii="Arial" w:cs="Arial" w:eastAsia="Arial" w:hAnsi="Arial"/>
          <w:sz w:val="18"/>
          <w:szCs w:val="18"/>
          <w:color w:val="auto"/>
        </w:rPr>
        <w:t>the general risks of investment in, or the holding of assets in, any jurisdiction,</w:t>
      </w:r>
    </w:p>
    <w:p>
      <w:pPr>
        <w:spacing w:after="0" w:line="198" w:lineRule="exact"/>
        <w:rPr>
          <w:sz w:val="20"/>
          <w:szCs w:val="20"/>
          <w:color w:val="auto"/>
        </w:rPr>
      </w:pPr>
    </w:p>
    <w:p>
      <w:pPr>
        <w:jc w:val="both"/>
        <w:ind w:left="1620"/>
        <w:spacing w:after="0" w:line="239" w:lineRule="auto"/>
        <w:rPr>
          <w:sz w:val="20"/>
          <w:szCs w:val="20"/>
          <w:color w:val="auto"/>
        </w:rPr>
      </w:pPr>
      <w:r>
        <w:rPr>
          <w:rFonts w:ascii="Arial" w:cs="Arial" w:eastAsia="Arial" w:hAnsi="Arial"/>
          <w:sz w:val="18"/>
          <w:szCs w:val="18"/>
          <w:color w:val="auto"/>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Payment Disruption Event); breakdown,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3" w:right="239" w:bottom="1440" w:gutter="0" w:footer="0" w:header="0"/>
        </w:sectPr>
      </w:pPr>
    </w:p>
    <w:bookmarkStart w:id="164" w:name="page165"/>
    <w:bookmarkEnd w:id="164"/>
    <w:p>
      <w:pPr>
        <w:ind w:left="1620"/>
        <w:spacing w:after="0" w:line="246" w:lineRule="auto"/>
        <w:rPr>
          <w:sz w:val="20"/>
          <w:szCs w:val="20"/>
          <w:color w:val="auto"/>
        </w:rPr>
      </w:pPr>
      <w:r>
        <w:rPr>
          <w:rFonts w:ascii="Arial" w:cs="Arial" w:eastAsia="Arial" w:hAnsi="Arial"/>
          <w:sz w:val="18"/>
          <w:szCs w:val="18"/>
          <w:color w:val="auto"/>
        </w:rPr>
        <w:t>failure or malfunction of any third party transport, telecommunications, computer services or systems; natural disasters or acts of God; war, terrorism, insurrection or revolution; or strikes or industrial action.</w:t>
      </w:r>
    </w:p>
    <w:p>
      <w:pPr>
        <w:spacing w:after="0" w:line="183" w:lineRule="exact"/>
        <w:rPr>
          <w:sz w:val="20"/>
          <w:szCs w:val="20"/>
          <w:color w:val="auto"/>
        </w:rPr>
      </w:pPr>
    </w:p>
    <w:p>
      <w:pPr>
        <w:jc w:val="both"/>
        <w:ind w:left="1080" w:hanging="532"/>
        <w:spacing w:after="0" w:line="239" w:lineRule="auto"/>
        <w:tabs>
          <w:tab w:leader="none" w:pos="108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 xml:space="preserve">No Party (other than the Agent) may take any proceedings against any officer, employee or agent of the Agent in respect of any claim it might have against the Agent or in respect of any act or omission of any kind by that officer, employee or agent in relation to any Finance Document and any officer, employee or agent of the Agent may rely on this clause 32.10 subject to clause 1.3 </w:t>
      </w:r>
      <w:r>
        <w:rPr>
          <w:rFonts w:ascii="Arial" w:cs="Arial" w:eastAsia="Arial" w:hAnsi="Arial"/>
          <w:sz w:val="18"/>
          <w:szCs w:val="18"/>
          <w:i w:val="1"/>
          <w:iCs w:val="1"/>
          <w:color w:val="auto"/>
        </w:rPr>
        <w:t xml:space="preserve">(Third party rights) </w:t>
      </w:r>
      <w:r>
        <w:rPr>
          <w:rFonts w:ascii="Arial" w:cs="Arial" w:eastAsia="Arial" w:hAnsi="Arial"/>
          <w:sz w:val="18"/>
          <w:szCs w:val="18"/>
          <w:color w:val="auto"/>
        </w:rPr>
        <w:t>and the provisions of the Third Parties Act.</w:t>
      </w:r>
    </w:p>
    <w:p>
      <w:pPr>
        <w:spacing w:after="0" w:line="188" w:lineRule="exact"/>
        <w:rPr>
          <w:rFonts w:ascii="Arial" w:cs="Arial" w:eastAsia="Arial" w:hAnsi="Arial"/>
          <w:sz w:val="18"/>
          <w:szCs w:val="18"/>
          <w:color w:val="auto"/>
        </w:rPr>
      </w:pPr>
    </w:p>
    <w:p>
      <w:pPr>
        <w:jc w:val="both"/>
        <w:ind w:left="1080" w:hanging="532"/>
        <w:spacing w:after="0" w:line="239" w:lineRule="auto"/>
        <w:tabs>
          <w:tab w:leader="none" w:pos="108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Agent will not be liable for any delay (or any related consequences) in crediting an account with an amount required under the Finance Documents to be paid by the Agent if the Agent has taken all necessary steps as soon as reasonably practicable to comply with the regulations or operating procedures of any recognised clearing or settlement system used by the Agent for that purpose.</w:t>
      </w:r>
    </w:p>
    <w:p>
      <w:pPr>
        <w:spacing w:after="0" w:line="188" w:lineRule="exact"/>
        <w:rPr>
          <w:rFonts w:ascii="Arial" w:cs="Arial" w:eastAsia="Arial" w:hAnsi="Arial"/>
          <w:sz w:val="18"/>
          <w:szCs w:val="18"/>
          <w:color w:val="auto"/>
        </w:rPr>
      </w:pPr>
    </w:p>
    <w:p>
      <w:pPr>
        <w:ind w:left="1080" w:hanging="532"/>
        <w:spacing w:after="0"/>
        <w:tabs>
          <w:tab w:leader="none" w:pos="108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Nothing in this Agreement shall oblige the Agent or any Arranger to carry out:</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any “know your customer” or other checks in relation to any person; or</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any check on the extent to which any transaction contemplated by this Agreement might be unlawful for any Lender,</w:t>
      </w:r>
    </w:p>
    <w:p>
      <w:pPr>
        <w:spacing w:after="0" w:line="198" w:lineRule="exact"/>
        <w:rPr>
          <w:sz w:val="20"/>
          <w:szCs w:val="20"/>
          <w:color w:val="auto"/>
        </w:rPr>
      </w:pPr>
    </w:p>
    <w:p>
      <w:pPr>
        <w:ind w:left="1080"/>
        <w:spacing w:after="0" w:line="246" w:lineRule="auto"/>
        <w:rPr>
          <w:sz w:val="20"/>
          <w:szCs w:val="20"/>
          <w:color w:val="auto"/>
        </w:rPr>
      </w:pPr>
      <w:r>
        <w:rPr>
          <w:rFonts w:ascii="Arial" w:cs="Arial" w:eastAsia="Arial" w:hAnsi="Arial"/>
          <w:sz w:val="18"/>
          <w:szCs w:val="18"/>
          <w:color w:val="auto"/>
        </w:rPr>
        <w:t>on behalf of any Lender and each Lender confirms to the Agent and the Arrangers that it is solely responsible for any such checks it is required to carry out and that it may not rely on any statement in relation to such checks made by the Agent or any Arranger.</w:t>
      </w:r>
    </w:p>
    <w:p>
      <w:pPr>
        <w:spacing w:after="0" w:line="183" w:lineRule="exact"/>
        <w:rPr>
          <w:sz w:val="20"/>
          <w:szCs w:val="20"/>
          <w:color w:val="auto"/>
        </w:rPr>
      </w:pPr>
    </w:p>
    <w:p>
      <w:pPr>
        <w:jc w:val="both"/>
        <w:ind w:left="1080" w:hanging="532"/>
        <w:spacing w:after="0" w:line="237" w:lineRule="auto"/>
        <w:tabs>
          <w:tab w:leader="none" w:pos="108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Without prejudice to any provision of any Finance Document excluding or limiting the Agent’s liability, any liability of the Agent arising under or in connection with any Finance Document or the Charged Property shall be limited to the amount of actual loss which has been finally judicially determined to have been suffered (as determined by reference to the date of default of the Agent or, if later, the date on which the loss arises as a result of such default) but without reference to any special conditions or circumstances known to the Agent at any time which increase the amount of that loss. In no event shall the Agent be liable for any loss of profits, goodwill, reputation, business opportunity or anticipated saving, or for special, punitive, indirect or consequential damages, whether or not the Agent has been advised of the possibility of such loss or damages.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32.11 Lenders’ indemnity to the Agent</w:t>
      </w:r>
    </w:p>
    <w:p>
      <w:pPr>
        <w:spacing w:after="0" w:line="220" w:lineRule="exact"/>
        <w:rPr>
          <w:sz w:val="20"/>
          <w:szCs w:val="20"/>
          <w:color w:val="auto"/>
        </w:rPr>
      </w:pPr>
    </w:p>
    <w:p>
      <w:pPr>
        <w:ind w:left="1080" w:hanging="532"/>
        <w:spacing w:after="0" w:line="246" w:lineRule="auto"/>
        <w:tabs>
          <w:tab w:leader="none" w:pos="108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Each Lender shall (in proportion (if no part of the Loans is then outstanding) to its share of the Total Commitments or (at any other time) to its participation in the Loans) indemnify the Agent, within five Business Days of demand, against:</w:t>
      </w:r>
    </w:p>
    <w:p>
      <w:pPr>
        <w:spacing w:after="0" w:line="183" w:lineRule="exact"/>
        <w:rPr>
          <w:rFonts w:ascii="Arial" w:cs="Arial" w:eastAsia="Arial" w:hAnsi="Arial"/>
          <w:sz w:val="18"/>
          <w:szCs w:val="18"/>
          <w:color w:val="auto"/>
        </w:rPr>
      </w:pPr>
    </w:p>
    <w:p>
      <w:pPr>
        <w:jc w:val="both"/>
        <w:ind w:left="1620" w:hanging="532"/>
        <w:spacing w:after="0" w:line="239" w:lineRule="auto"/>
        <w:tabs>
          <w:tab w:leader="none" w:pos="162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any Losses for negligence or any other category of liability whatsoever incurred by the Agent in the circumstances contemplated pursuant to clause 35.11 (</w:t>
      </w:r>
      <w:r>
        <w:rPr>
          <w:rFonts w:ascii="Arial" w:cs="Arial" w:eastAsia="Arial" w:hAnsi="Arial"/>
          <w:sz w:val="18"/>
          <w:szCs w:val="18"/>
          <w:i w:val="1"/>
          <w:iCs w:val="1"/>
          <w:color w:val="auto"/>
        </w:rPr>
        <w:t>Disruption to Payment Systems etc.</w:t>
      </w:r>
      <w:r>
        <w:rPr>
          <w:rFonts w:ascii="Arial" w:cs="Arial" w:eastAsia="Arial" w:hAnsi="Arial"/>
          <w:sz w:val="18"/>
          <w:szCs w:val="18"/>
          <w:color w:val="auto"/>
        </w:rPr>
        <w:t>) (except if caused solely by the Agent’s gross negligence or wilful misconduct or any claim based on the fraud of the Agent) notwithstanding the Agent’s negligence or any other category of liability whatsoever but not including any claim based on the fraud of the Agent; and</w:t>
      </w:r>
    </w:p>
    <w:p>
      <w:pPr>
        <w:spacing w:after="0" w:line="188" w:lineRule="exact"/>
        <w:rPr>
          <w:rFonts w:ascii="Arial" w:cs="Arial" w:eastAsia="Arial" w:hAnsi="Arial"/>
          <w:sz w:val="18"/>
          <w:szCs w:val="18"/>
          <w:color w:val="auto"/>
        </w:rPr>
      </w:pPr>
    </w:p>
    <w:p>
      <w:pPr>
        <w:jc w:val="both"/>
        <w:ind w:left="1620" w:hanging="532"/>
        <w:spacing w:after="0"/>
        <w:tabs>
          <w:tab w:leader="none" w:pos="162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any other Losses (otherwise than by reason of the Agent’s gross negligence or wilful default) including the costs of any person engaged in accordance with clause 32.7 (</w:t>
      </w:r>
      <w:r>
        <w:rPr>
          <w:rFonts w:ascii="Arial" w:cs="Arial" w:eastAsia="Arial" w:hAnsi="Arial"/>
          <w:sz w:val="18"/>
          <w:szCs w:val="18"/>
          <w:i w:val="1"/>
          <w:iCs w:val="1"/>
          <w:color w:val="auto"/>
        </w:rPr>
        <w:t>Rights and discretions of the Agent</w:t>
      </w:r>
      <w:r>
        <w:rPr>
          <w:rFonts w:ascii="Arial" w:cs="Arial" w:eastAsia="Arial" w:hAnsi="Arial"/>
          <w:sz w:val="18"/>
          <w:szCs w:val="18"/>
          <w:color w:val="auto"/>
        </w:rPr>
        <w:t>) and any Receiver and any Delegate in acting as its agent under the Finance Documents,</w:t>
      </w:r>
    </w:p>
    <w:p>
      <w:pPr>
        <w:spacing w:after="0" w:line="189" w:lineRule="exact"/>
        <w:rPr>
          <w:sz w:val="20"/>
          <w:szCs w:val="20"/>
          <w:color w:val="auto"/>
        </w:rPr>
      </w:pPr>
    </w:p>
    <w:p>
      <w:pPr>
        <w:jc w:val="both"/>
        <w:ind w:left="1080"/>
        <w:spacing w:after="0"/>
        <w:rPr>
          <w:sz w:val="20"/>
          <w:szCs w:val="20"/>
          <w:color w:val="auto"/>
        </w:rPr>
      </w:pPr>
      <w:r>
        <w:rPr>
          <w:rFonts w:ascii="Arial" w:cs="Arial" w:eastAsia="Arial" w:hAnsi="Arial"/>
          <w:sz w:val="18"/>
          <w:szCs w:val="18"/>
          <w:color w:val="auto"/>
        </w:rPr>
        <w:t>in each case incurred by the Agent in acting as such under the Finance Documents (unless the Agent has been reimbursed by an Obligor pursuant to a Finance Document or out of the Trust Property) and this clause 32.11 as applied in favour of the Security Agent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65" w:name="page166"/>
    <w:bookmarkEnd w:id="165"/>
    <w:p>
      <w:pPr>
        <w:jc w:val="both"/>
        <w:ind w:left="1080"/>
        <w:spacing w:after="0" w:line="267" w:lineRule="auto"/>
        <w:rPr>
          <w:sz w:val="20"/>
          <w:szCs w:val="20"/>
          <w:color w:val="auto"/>
        </w:rPr>
      </w:pPr>
      <w:r>
        <w:rPr>
          <w:rFonts w:ascii="Arial" w:cs="Arial" w:eastAsia="Arial" w:hAnsi="Arial"/>
          <w:sz w:val="18"/>
          <w:szCs w:val="18"/>
          <w:color w:val="auto"/>
        </w:rPr>
        <w:t>pursuant to clause 32.21 (</w:t>
      </w:r>
      <w:r>
        <w:rPr>
          <w:rFonts w:ascii="Arial" w:cs="Arial" w:eastAsia="Arial" w:hAnsi="Arial"/>
          <w:sz w:val="18"/>
          <w:szCs w:val="18"/>
          <w:i w:val="1"/>
          <w:iCs w:val="1"/>
          <w:color w:val="auto"/>
        </w:rPr>
        <w:t>Application of certain clauses to Security Agent</w:t>
      </w:r>
      <w:r>
        <w:rPr>
          <w:rFonts w:ascii="Arial" w:cs="Arial" w:eastAsia="Arial" w:hAnsi="Arial"/>
          <w:sz w:val="18"/>
          <w:szCs w:val="18"/>
          <w:color w:val="auto"/>
        </w:rPr>
        <w:t>) shall be without prejudice to any right to indemnity by law given to trustees generally and any other indemnity in the Security Agent’s favour in any other Finance Document.</w:t>
      </w:r>
    </w:p>
    <w:p>
      <w:pPr>
        <w:spacing w:after="0" w:line="165" w:lineRule="exact"/>
        <w:rPr>
          <w:sz w:val="20"/>
          <w:szCs w:val="20"/>
          <w:color w:val="auto"/>
        </w:rPr>
      </w:pPr>
    </w:p>
    <w:p>
      <w:pPr>
        <w:jc w:val="both"/>
        <w:ind w:left="1080"/>
        <w:spacing w:after="0"/>
        <w:rPr>
          <w:sz w:val="20"/>
          <w:szCs w:val="20"/>
          <w:color w:val="auto"/>
        </w:rPr>
      </w:pPr>
      <w:r>
        <w:rPr>
          <w:rFonts w:ascii="Arial" w:cs="Arial" w:eastAsia="Arial" w:hAnsi="Arial"/>
          <w:sz w:val="18"/>
          <w:szCs w:val="18"/>
          <w:color w:val="auto"/>
        </w:rPr>
        <w:t>The indemnities contained in this clause 32.11 shall survive the termination or discharge of this Agreement for a period of four calendar years from the irrevocable and unconditional payment of all sums owing by the Obligors to the Finance Parties under this Agreement and the other Finance Documents.</w:t>
      </w:r>
    </w:p>
    <w:p>
      <w:pPr>
        <w:spacing w:after="0" w:line="189" w:lineRule="exact"/>
        <w:rPr>
          <w:sz w:val="20"/>
          <w:szCs w:val="20"/>
          <w:color w:val="auto"/>
        </w:rPr>
      </w:pPr>
    </w:p>
    <w:p>
      <w:pPr>
        <w:ind w:left="1080" w:hanging="532"/>
        <w:spacing w:after="0" w:line="246" w:lineRule="auto"/>
        <w:tabs>
          <w:tab w:leader="none" w:pos="10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Subject to clause 32.11(c), the Borrowers shall immediately on demand reimburse any Lender for any payment that Lender makes to the Agent pursuant to clause 32.11(a).</w:t>
      </w:r>
    </w:p>
    <w:p>
      <w:pPr>
        <w:spacing w:after="0" w:line="183"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Clause 32.11(b) shall not apply to the extent that the indemnity payment in respect of which the Lender claims reimbursement relates to a liability of the Agent to an Obligor.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32.12 Resignation of the Agent</w:t>
      </w:r>
    </w:p>
    <w:p>
      <w:pPr>
        <w:spacing w:after="0" w:line="220" w:lineRule="exact"/>
        <w:rPr>
          <w:sz w:val="20"/>
          <w:szCs w:val="20"/>
          <w:color w:val="auto"/>
        </w:rPr>
      </w:pPr>
    </w:p>
    <w:p>
      <w:pPr>
        <w:ind w:left="1080" w:right="20" w:hanging="532"/>
        <w:spacing w:after="0" w:line="246" w:lineRule="auto"/>
        <w:tabs>
          <w:tab w:leader="none" w:pos="10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Agent may without giving any reason therefor resign and appoint one of its Affiliates as successor by giving notice to the Lenders, the Security Agent and the Borrowers.</w:t>
      </w:r>
    </w:p>
    <w:p>
      <w:pPr>
        <w:spacing w:after="0" w:line="183" w:lineRule="exact"/>
        <w:rPr>
          <w:rFonts w:ascii="Arial" w:cs="Arial" w:eastAsia="Arial" w:hAnsi="Arial"/>
          <w:sz w:val="18"/>
          <w:szCs w:val="18"/>
          <w:color w:val="auto"/>
        </w:rPr>
      </w:pPr>
    </w:p>
    <w:p>
      <w:pPr>
        <w:jc w:val="both"/>
        <w:ind w:left="1080" w:hanging="532"/>
        <w:spacing w:after="0"/>
        <w:tabs>
          <w:tab w:leader="none" w:pos="10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Alternatively the Agent may without giving any reason therefor resign by giving 30 days’ notice to the other Finance Parties and the Borrowers, in which case the Majority Lenders (after consultation with the Borrowers) may appoint a successor Agent acting through an office in London.</w:t>
      </w:r>
    </w:p>
    <w:p>
      <w:pPr>
        <w:spacing w:after="0" w:line="189"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If the Majority Lenders have not appointed a successor Agent in accordance with clause 32.12(b) above within 30 days after notice of resignation was given, the retiring Agent (after consultation with the Borrowers) may appoint a successor Agent.</w:t>
      </w:r>
    </w:p>
    <w:p>
      <w:pPr>
        <w:spacing w:after="0" w:line="165" w:lineRule="exact"/>
        <w:rPr>
          <w:rFonts w:ascii="Arial" w:cs="Arial" w:eastAsia="Arial" w:hAnsi="Arial"/>
          <w:sz w:val="18"/>
          <w:szCs w:val="18"/>
          <w:color w:val="auto"/>
        </w:rPr>
      </w:pPr>
    </w:p>
    <w:p>
      <w:pPr>
        <w:jc w:val="both"/>
        <w:ind w:left="1080" w:hanging="532"/>
        <w:spacing w:after="0" w:line="241" w:lineRule="auto"/>
        <w:tabs>
          <w:tab w:leader="none" w:pos="10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retiring Agent shall, either at the Lenders’ expense if it has been required to resign pursuant to clause 32.13 (</w:t>
      </w:r>
      <w:r>
        <w:rPr>
          <w:rFonts w:ascii="Arial" w:cs="Arial" w:eastAsia="Arial" w:hAnsi="Arial"/>
          <w:sz w:val="18"/>
          <w:szCs w:val="18"/>
          <w:i w:val="1"/>
          <w:iCs w:val="1"/>
          <w:color w:val="auto"/>
        </w:rPr>
        <w:t>Replacement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the Agent</w:t>
      </w:r>
      <w:r>
        <w:rPr>
          <w:rFonts w:ascii="Arial" w:cs="Arial" w:eastAsia="Arial" w:hAnsi="Arial"/>
          <w:sz w:val="18"/>
          <w:szCs w:val="18"/>
          <w:color w:val="auto"/>
        </w:rPr>
        <w:t>) or otherwise at its own cost, make available to the successor Agent such documents and records and provide such</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assistance as the successor Agent may reasonably request for the purposes of performing its functions as Agent under the Finance Documents. The Borrowers shall, within three Business Days of demand, reimburse the retiring Agent for the amount of all costs and expenses (including legal fees) properly incurred by it in making available such documents and records and providing such assistance.</w:t>
      </w:r>
    </w:p>
    <w:p>
      <w:pPr>
        <w:spacing w:after="0" w:line="188" w:lineRule="exact"/>
        <w:rPr>
          <w:rFonts w:ascii="Arial" w:cs="Arial" w:eastAsia="Arial" w:hAnsi="Arial"/>
          <w:sz w:val="18"/>
          <w:szCs w:val="18"/>
          <w:color w:val="auto"/>
        </w:rPr>
      </w:pPr>
    </w:p>
    <w:p>
      <w:pPr>
        <w:ind w:left="1080" w:hanging="532"/>
        <w:spacing w:after="0"/>
        <w:tabs>
          <w:tab w:leader="none" w:pos="10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Agent’s resignation notice shall only take effect upon the appointment of a successor.</w:t>
      </w:r>
    </w:p>
    <w:p>
      <w:pPr>
        <w:spacing w:after="0" w:line="198" w:lineRule="exact"/>
        <w:rPr>
          <w:rFonts w:ascii="Arial" w:cs="Arial" w:eastAsia="Arial" w:hAnsi="Arial"/>
          <w:sz w:val="18"/>
          <w:szCs w:val="18"/>
          <w:color w:val="auto"/>
        </w:rPr>
      </w:pPr>
    </w:p>
    <w:p>
      <w:pPr>
        <w:jc w:val="both"/>
        <w:ind w:left="1080" w:hanging="532"/>
        <w:spacing w:after="0" w:line="237" w:lineRule="auto"/>
        <w:tabs>
          <w:tab w:leader="none" w:pos="10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appointment of the successor Agent shall take effect on the date specified in the notice from the Majority Lenders to the retiring Agent. As from this date, the retiring Agent shall be discharged from any further obligation in respect of the Finance Documents (other than its obligations under clause 32.12(d)) but shall remain entitled to the benefit of clause 14.3 (</w:t>
      </w:r>
      <w:r>
        <w:rPr>
          <w:rFonts w:ascii="Arial" w:cs="Arial" w:eastAsia="Arial" w:hAnsi="Arial"/>
          <w:sz w:val="18"/>
          <w:szCs w:val="18"/>
          <w:i w:val="1"/>
          <w:iCs w:val="1"/>
          <w:color w:val="auto"/>
        </w:rPr>
        <w:t>Indemnity to</w:t>
      </w:r>
      <w:r>
        <w:rPr>
          <w:rFonts w:ascii="Arial" w:cs="Arial" w:eastAsia="Arial" w:hAnsi="Arial"/>
          <w:sz w:val="18"/>
          <w:szCs w:val="18"/>
          <w:color w:val="auto"/>
        </w:rPr>
        <w:t xml:space="preserve"> </w:t>
      </w:r>
      <w:r>
        <w:rPr>
          <w:rFonts w:ascii="Arial" w:cs="Arial" w:eastAsia="Arial" w:hAnsi="Arial"/>
          <w:sz w:val="18"/>
          <w:szCs w:val="18"/>
          <w:i w:val="1"/>
          <w:iCs w:val="1"/>
          <w:color w:val="auto"/>
        </w:rPr>
        <w:t>the Agent, Security Agent</w:t>
      </w:r>
      <w:r>
        <w:rPr>
          <w:rFonts w:ascii="Arial" w:cs="Arial" w:eastAsia="Arial" w:hAnsi="Arial"/>
          <w:sz w:val="18"/>
          <w:szCs w:val="18"/>
          <w:color w:val="auto"/>
        </w:rPr>
        <w:t>) and this clause 32 (and any agency fees for the account of the retiring Agent shall cease to accrue</w:t>
      </w:r>
      <w:r>
        <w:rPr>
          <w:rFonts w:ascii="Arial" w:cs="Arial" w:eastAsia="Arial" w:hAnsi="Arial"/>
          <w:sz w:val="18"/>
          <w:szCs w:val="18"/>
          <w:i w:val="1"/>
          <w:iCs w:val="1"/>
          <w:color w:val="auto"/>
        </w:rPr>
        <w:t xml:space="preserve"> </w:t>
      </w:r>
      <w:r>
        <w:rPr>
          <w:rFonts w:ascii="Arial" w:cs="Arial" w:eastAsia="Arial" w:hAnsi="Arial"/>
          <w:sz w:val="18"/>
          <w:szCs w:val="18"/>
          <w:color w:val="auto"/>
        </w:rPr>
        <w:t>from (and shall be payable on) that date). Any successor and each of the other Parties shall have the same rights and obligations amongst themselves as they would have had if such successor had been an original Party.</w:t>
      </w:r>
    </w:p>
    <w:p>
      <w:pPr>
        <w:spacing w:after="0" w:line="191" w:lineRule="exact"/>
        <w:rPr>
          <w:rFonts w:ascii="Arial" w:cs="Arial" w:eastAsia="Arial" w:hAnsi="Arial"/>
          <w:sz w:val="18"/>
          <w:szCs w:val="18"/>
          <w:color w:val="auto"/>
        </w:rPr>
      </w:pPr>
    </w:p>
    <w:p>
      <w:pPr>
        <w:jc w:val="both"/>
        <w:ind w:left="1080" w:hanging="532"/>
        <w:spacing w:after="0"/>
        <w:tabs>
          <w:tab w:leader="none" w:pos="10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Agent shall resign in accordance with paragraph 32.12(b) above (and, to the extent applicable, shall use reasonable endeavours to appoint a successor Agent pursuant to paragraph 32.12(c) above) if on or after the date which is three months before the earliest FATCA Application Date relating to any payment to the Agent under the Finance Documents, either:</w:t>
      </w:r>
    </w:p>
    <w:p>
      <w:pPr>
        <w:spacing w:after="0" w:line="171" w:lineRule="exact"/>
        <w:rPr>
          <w:rFonts w:ascii="Arial" w:cs="Arial" w:eastAsia="Arial" w:hAnsi="Arial"/>
          <w:sz w:val="18"/>
          <w:szCs w:val="18"/>
          <w:color w:val="auto"/>
        </w:rPr>
      </w:pPr>
    </w:p>
    <w:p>
      <w:pPr>
        <w:jc w:val="both"/>
        <w:ind w:left="1620" w:right="20" w:hanging="532"/>
        <w:spacing w:after="0" w:line="251" w:lineRule="auto"/>
        <w:tabs>
          <w:tab w:leader="none" w:pos="162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the Agent fails to respond to a request under clause 12.5 (</w:t>
      </w:r>
      <w:r>
        <w:rPr>
          <w:rFonts w:ascii="Arial" w:cs="Arial" w:eastAsia="Arial" w:hAnsi="Arial"/>
          <w:sz w:val="18"/>
          <w:szCs w:val="18"/>
          <w:i w:val="1"/>
          <w:iCs w:val="1"/>
          <w:color w:val="auto"/>
        </w:rPr>
        <w:t>FATCA Information</w:t>
      </w:r>
      <w:r>
        <w:rPr>
          <w:rFonts w:ascii="Arial" w:cs="Arial" w:eastAsia="Arial" w:hAnsi="Arial"/>
          <w:sz w:val="18"/>
          <w:szCs w:val="18"/>
          <w:color w:val="auto"/>
        </w:rPr>
        <w:t>) and a Borrower or a Lender reasonably believes that the Agent will not be (or will have ceased to be) a FATCA Exempt Party on or after that FATCA Application Date;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166" w:name="page167"/>
    <w:bookmarkEnd w:id="166"/>
    <w:p>
      <w:pPr>
        <w:ind w:left="1620" w:hanging="532"/>
        <w:spacing w:after="0" w:line="267" w:lineRule="auto"/>
        <w:tabs>
          <w:tab w:leader="none" w:pos="162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information supplied by the Agent pursuant to clause 12.5 (</w:t>
      </w:r>
      <w:r>
        <w:rPr>
          <w:rFonts w:ascii="Arial" w:cs="Arial" w:eastAsia="Arial" w:hAnsi="Arial"/>
          <w:sz w:val="18"/>
          <w:szCs w:val="18"/>
          <w:i w:val="1"/>
          <w:iCs w:val="1"/>
          <w:color w:val="auto"/>
        </w:rPr>
        <w:t>FATCA Information</w:t>
      </w:r>
      <w:r>
        <w:rPr>
          <w:rFonts w:ascii="Arial" w:cs="Arial" w:eastAsia="Arial" w:hAnsi="Arial"/>
          <w:sz w:val="18"/>
          <w:szCs w:val="18"/>
          <w:color w:val="auto"/>
        </w:rPr>
        <w:t>) indicates that the Agent will not be (or will have ceased to be) a FATCA Exempt Party on or after that FATCA Application Date; or</w:t>
      </w:r>
    </w:p>
    <w:p>
      <w:pPr>
        <w:spacing w:after="0" w:line="165" w:lineRule="exact"/>
        <w:rPr>
          <w:rFonts w:ascii="Arial" w:cs="Arial" w:eastAsia="Arial" w:hAnsi="Arial"/>
          <w:sz w:val="18"/>
          <w:szCs w:val="18"/>
          <w:color w:val="auto"/>
        </w:rPr>
      </w:pPr>
    </w:p>
    <w:p>
      <w:pPr>
        <w:ind w:left="1620" w:hanging="532"/>
        <w:spacing w:after="0" w:line="246" w:lineRule="auto"/>
        <w:tabs>
          <w:tab w:leader="none" w:pos="162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Agent notifies the Borrowers and the Lenders that the Agent will not be (or will have ceased to be) a FATCA Exempt Party on or after that FATCA Application Date;</w:t>
      </w:r>
    </w:p>
    <w:p>
      <w:pPr>
        <w:spacing w:after="0" w:line="183" w:lineRule="exact"/>
        <w:rPr>
          <w:sz w:val="20"/>
          <w:szCs w:val="20"/>
          <w:color w:val="auto"/>
        </w:rPr>
      </w:pPr>
    </w:p>
    <w:p>
      <w:pPr>
        <w:jc w:val="both"/>
        <w:ind w:left="1080"/>
        <w:spacing w:after="0"/>
        <w:rPr>
          <w:sz w:val="20"/>
          <w:szCs w:val="20"/>
          <w:color w:val="auto"/>
        </w:rPr>
      </w:pPr>
      <w:r>
        <w:rPr>
          <w:rFonts w:ascii="Arial" w:cs="Arial" w:eastAsia="Arial" w:hAnsi="Arial"/>
          <w:sz w:val="18"/>
          <w:szCs w:val="18"/>
          <w:color w:val="auto"/>
        </w:rPr>
        <w:t>and (in each case) a Borrower or a Lender reasonably believes that a Party will be required to make a FATCA Deduction that would not be required if the Agent were a FATCA Exempt Party, and a Borrower or that Lender, by notice to the Agent, requires it to resign.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32.13 Replacement of the Agent</w:t>
      </w:r>
    </w:p>
    <w:p>
      <w:pPr>
        <w:spacing w:after="0" w:line="220" w:lineRule="exact"/>
        <w:rPr>
          <w:sz w:val="20"/>
          <w:szCs w:val="20"/>
          <w:color w:val="auto"/>
        </w:rPr>
      </w:pPr>
    </w:p>
    <w:p>
      <w:pPr>
        <w:jc w:val="both"/>
        <w:ind w:left="1080" w:right="20" w:hanging="532"/>
        <w:spacing w:after="0"/>
        <w:tabs>
          <w:tab w:leader="none" w:pos="108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After consultation with the Borrowers, the Majority Lenders may, by giving 30 days’ notice to the Agent (or, at any time the Agent is an Impaired Agent, by giving any shorter notice determined by the Majority Lenders) replace the Agent by appointing a successor Agent.</w:t>
      </w:r>
    </w:p>
    <w:p>
      <w:pPr>
        <w:spacing w:after="0" w:line="189" w:lineRule="exact"/>
        <w:rPr>
          <w:rFonts w:ascii="Arial" w:cs="Arial" w:eastAsia="Arial" w:hAnsi="Arial"/>
          <w:sz w:val="18"/>
          <w:szCs w:val="18"/>
          <w:color w:val="auto"/>
        </w:rPr>
      </w:pPr>
    </w:p>
    <w:p>
      <w:pPr>
        <w:jc w:val="both"/>
        <w:ind w:left="1080" w:hanging="532"/>
        <w:spacing w:after="0"/>
        <w:tabs>
          <w:tab w:leader="none" w:pos="108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retiring Agent shall (at its own cost if it is an Impaired Agent and otherwise at the expense of the Lenders) make available to the successor Agent such documents and records and provide such assistance as the successor Agent may reasonably request for the purposes of performing its functions as Agent under the Finance Documents.</w:t>
      </w:r>
    </w:p>
    <w:p>
      <w:pPr>
        <w:spacing w:after="0" w:line="189" w:lineRule="exact"/>
        <w:rPr>
          <w:rFonts w:ascii="Arial" w:cs="Arial" w:eastAsia="Arial" w:hAnsi="Arial"/>
          <w:sz w:val="18"/>
          <w:szCs w:val="18"/>
          <w:color w:val="auto"/>
        </w:rPr>
      </w:pPr>
    </w:p>
    <w:p>
      <w:pPr>
        <w:jc w:val="both"/>
        <w:ind w:left="1080" w:hanging="532"/>
        <w:spacing w:after="0" w:line="239" w:lineRule="auto"/>
        <w:tabs>
          <w:tab w:leader="none" w:pos="108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appointment of the successor Agent shall take effect on the date specified in the notice from the Majority Lenders to the retiring Agent. As from this date, the retiring Agent shall be discharged from any further obligation in respect of the Finance Documents (other than its obligations under clause 32.13(b)) (and any agency fees for the account of the retiring Agent shall cease to accrue from (and shall be payable on) that date).</w:t>
      </w:r>
    </w:p>
    <w:p>
      <w:pPr>
        <w:spacing w:after="0" w:line="188" w:lineRule="exact"/>
        <w:rPr>
          <w:rFonts w:ascii="Arial" w:cs="Arial" w:eastAsia="Arial" w:hAnsi="Arial"/>
          <w:sz w:val="18"/>
          <w:szCs w:val="18"/>
          <w:color w:val="auto"/>
        </w:rPr>
      </w:pPr>
    </w:p>
    <w:p>
      <w:pPr>
        <w:ind w:left="1060" w:right="20" w:hanging="512"/>
        <w:spacing w:after="0" w:line="246" w:lineRule="auto"/>
        <w:tabs>
          <w:tab w:leader="none" w:pos="106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Any successor Agent and each of the other Parties shall have the same rights and obligations amongst themselves as they would have had if such successor had been an original Party.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32.14 Confidentiality</w:t>
      </w:r>
    </w:p>
    <w:p>
      <w:pPr>
        <w:spacing w:after="0" w:line="220" w:lineRule="exact"/>
        <w:rPr>
          <w:sz w:val="20"/>
          <w:szCs w:val="20"/>
          <w:color w:val="auto"/>
        </w:rPr>
      </w:pPr>
    </w:p>
    <w:p>
      <w:pPr>
        <w:jc w:val="both"/>
        <w:ind w:left="1060" w:hanging="512"/>
        <w:spacing w:after="0"/>
        <w:tabs>
          <w:tab w:leader="none" w:pos="106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In acting as agent for the Finance Parties, the Agent shall be regarded as acting through its department, division or team directly responsible for the management of the Finance Documents which shall be treated as a separate entity from any other of its divisions, departments or teams.</w:t>
      </w:r>
    </w:p>
    <w:p>
      <w:pPr>
        <w:spacing w:after="0" w:line="189" w:lineRule="exact"/>
        <w:rPr>
          <w:rFonts w:ascii="Arial" w:cs="Arial" w:eastAsia="Arial" w:hAnsi="Arial"/>
          <w:sz w:val="18"/>
          <w:szCs w:val="18"/>
          <w:color w:val="auto"/>
        </w:rPr>
      </w:pPr>
    </w:p>
    <w:p>
      <w:pPr>
        <w:ind w:left="1060" w:hanging="512"/>
        <w:spacing w:after="0" w:line="246" w:lineRule="auto"/>
        <w:tabs>
          <w:tab w:leader="none" w:pos="106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If information is received by another division or department of the Agent, it may be treated as confidential to that division or department and the Agent shall not be deemed to have notice of it.</w:t>
      </w:r>
    </w:p>
    <w:p>
      <w:pPr>
        <w:spacing w:after="0" w:line="183" w:lineRule="exact"/>
        <w:rPr>
          <w:rFonts w:ascii="Arial" w:cs="Arial" w:eastAsia="Arial" w:hAnsi="Arial"/>
          <w:sz w:val="18"/>
          <w:szCs w:val="18"/>
          <w:color w:val="auto"/>
        </w:rPr>
      </w:pPr>
    </w:p>
    <w:p>
      <w:pPr>
        <w:jc w:val="both"/>
        <w:ind w:left="1060" w:hanging="512"/>
        <w:spacing w:after="0"/>
        <w:tabs>
          <w:tab w:leader="none" w:pos="106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Notwithstanding any other provision of any Finance Document to the contrary, neither the Agent nor any Arranger is obliged to disclose to any other person (i) any Confidential Information or (ii) any other information if the disclosure would, or might in its reasonable opinion, constitute a breach of any law or regulation or a breach of a fiduciary duty.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32.15 Relationship with the Lenders</w:t>
      </w:r>
    </w:p>
    <w:p>
      <w:pPr>
        <w:spacing w:after="0" w:line="202" w:lineRule="exact"/>
        <w:rPr>
          <w:sz w:val="20"/>
          <w:szCs w:val="20"/>
          <w:color w:val="auto"/>
        </w:rPr>
      </w:pPr>
    </w:p>
    <w:p>
      <w:pPr>
        <w:jc w:val="both"/>
        <w:ind w:left="1060" w:hanging="512"/>
        <w:spacing w:after="0" w:line="251" w:lineRule="auto"/>
        <w:tabs>
          <w:tab w:leader="none" w:pos="106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Subject to clause 30.8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the Agent may treat the person shown in its records as each Lender at the opening of business (in the place of the Agent’s principal office as notified to the Finance Parties from time to time) as a Lender acting through its Facility Office:</w:t>
      </w:r>
    </w:p>
    <w:p>
      <w:pPr>
        <w:spacing w:after="0" w:line="179" w:lineRule="exact"/>
        <w:rPr>
          <w:sz w:val="20"/>
          <w:szCs w:val="20"/>
          <w:color w:val="auto"/>
        </w:rPr>
      </w:pPr>
    </w:p>
    <w:p>
      <w:pPr>
        <w:ind w:left="5560" w:right="2880" w:hanging="4472"/>
        <w:spacing w:after="0" w:line="465" w:lineRule="auto"/>
        <w:tabs>
          <w:tab w:leader="none" w:pos="1625" w:val="left"/>
        </w:tabs>
        <w:numPr>
          <w:ilvl w:val="0"/>
          <w:numId w:val="344"/>
        </w:numPr>
        <w:rPr>
          <w:rFonts w:ascii="Arial" w:cs="Arial" w:eastAsia="Arial" w:hAnsi="Arial"/>
          <w:sz w:val="18"/>
          <w:szCs w:val="18"/>
          <w:color w:val="auto"/>
        </w:rPr>
      </w:pPr>
      <w:r>
        <w:rPr>
          <w:rFonts w:ascii="Arial" w:cs="Arial" w:eastAsia="Arial" w:hAnsi="Arial"/>
          <w:sz w:val="18"/>
          <w:szCs w:val="18"/>
          <w:color w:val="auto"/>
        </w:rPr>
        <w:t>entitled to or liable for any payment due under any Finance Document on that day; and 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167" w:name="page168"/>
    <w:bookmarkEnd w:id="167"/>
    <w:p>
      <w:pPr>
        <w:ind w:left="1620" w:right="20" w:hanging="532"/>
        <w:spacing w:after="0" w:line="246" w:lineRule="auto"/>
        <w:tabs>
          <w:tab w:leader="none" w:pos="162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entitled to receive and act upon any notice, request, document or communication or make any decision or determination under any Finance Document made or delivered on that day,</w:t>
      </w:r>
    </w:p>
    <w:p>
      <w:pPr>
        <w:spacing w:after="0" w:line="183" w:lineRule="exact"/>
        <w:rPr>
          <w:sz w:val="20"/>
          <w:szCs w:val="20"/>
          <w:color w:val="auto"/>
        </w:rPr>
      </w:pPr>
    </w:p>
    <w:p>
      <w:pPr>
        <w:ind w:left="1080" w:right="20"/>
        <w:spacing w:after="0" w:line="246" w:lineRule="auto"/>
        <w:rPr>
          <w:sz w:val="20"/>
          <w:szCs w:val="20"/>
          <w:color w:val="auto"/>
        </w:rPr>
      </w:pPr>
      <w:r>
        <w:rPr>
          <w:rFonts w:ascii="Arial" w:cs="Arial" w:eastAsia="Arial" w:hAnsi="Arial"/>
          <w:sz w:val="18"/>
          <w:szCs w:val="18"/>
          <w:color w:val="auto"/>
        </w:rPr>
        <w:t>unless it has received not less than five Business Days prior notice from that Lender to the contrary in accordance with the terms of this Agreement.</w:t>
      </w:r>
    </w:p>
    <w:p>
      <w:pPr>
        <w:spacing w:after="0" w:line="183" w:lineRule="exact"/>
        <w:rPr>
          <w:sz w:val="20"/>
          <w:szCs w:val="20"/>
          <w:color w:val="auto"/>
        </w:rPr>
      </w:pPr>
    </w:p>
    <w:p>
      <w:pPr>
        <w:jc w:val="both"/>
        <w:ind w:left="1080" w:hanging="532"/>
        <w:spacing w:after="0" w:line="236" w:lineRule="auto"/>
        <w:tabs>
          <w:tab w:leader="none" w:pos="108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Any Lender may by notice to the Agent appoint a person to receive on its behalf all notices, communications, information and documents to be made or despatched to that Lender or (as the case may be) under the Finance Documents. Such notice shall contain the address, fax number and (where communication by electronic mail or other electronic means is permitted under clause 37.5 (</w:t>
      </w:r>
      <w:r>
        <w:rPr>
          <w:rFonts w:ascii="Arial" w:cs="Arial" w:eastAsia="Arial" w:hAnsi="Arial"/>
          <w:sz w:val="18"/>
          <w:szCs w:val="18"/>
          <w:i w:val="1"/>
          <w:iCs w:val="1"/>
          <w:color w:val="auto"/>
        </w:rPr>
        <w:t>Electronic communication</w:t>
      </w:r>
      <w:r>
        <w:rPr>
          <w:rFonts w:ascii="Arial" w:cs="Arial" w:eastAsia="Arial" w:hAnsi="Arial"/>
          <w:sz w:val="18"/>
          <w:szCs w:val="18"/>
          <w:color w:val="auto"/>
        </w:rPr>
        <w:t>)) electronic mail address and/or any other information required to enable the sending and receipt of information by that means (and, in each case, the department or officer, if any, for whose attention communication is to be made) and be treated as a notification of a substitute address, fax number, electronic mail address, department and officer by that Lender for the purposes of clause 37.2 (</w:t>
      </w:r>
      <w:r>
        <w:rPr>
          <w:rFonts w:ascii="Arial" w:cs="Arial" w:eastAsia="Arial" w:hAnsi="Arial"/>
          <w:sz w:val="18"/>
          <w:szCs w:val="18"/>
          <w:i w:val="1"/>
          <w:iCs w:val="1"/>
          <w:color w:val="auto"/>
        </w:rPr>
        <w:t>Addresses</w:t>
      </w:r>
      <w:r>
        <w:rPr>
          <w:rFonts w:ascii="Arial" w:cs="Arial" w:eastAsia="Arial" w:hAnsi="Arial"/>
          <w:sz w:val="18"/>
          <w:szCs w:val="18"/>
          <w:color w:val="auto"/>
        </w:rPr>
        <w:t>) and clause 37.5 (</w:t>
      </w:r>
      <w:r>
        <w:rPr>
          <w:rFonts w:ascii="Arial" w:cs="Arial" w:eastAsia="Arial" w:hAnsi="Arial"/>
          <w:sz w:val="18"/>
          <w:szCs w:val="18"/>
          <w:i w:val="1"/>
          <w:iCs w:val="1"/>
          <w:color w:val="auto"/>
        </w:rPr>
        <w:t>Electronic communication</w:t>
      </w:r>
      <w:r>
        <w:rPr>
          <w:rFonts w:ascii="Arial" w:cs="Arial" w:eastAsia="Arial" w:hAnsi="Arial"/>
          <w:sz w:val="18"/>
          <w:szCs w:val="18"/>
          <w:color w:val="auto"/>
        </w:rPr>
        <w:t>) and the Agent shall be entitled to treat such person as the person entitled to receive all such notices, communications, information and documents as though that person were that Lender.</w:t>
      </w:r>
    </w:p>
    <w:p>
      <w:pPr>
        <w:spacing w:after="0" w:line="193"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Each Lender shall supply the Agent with any information that the Agent may reasonably specify as being necessary or desirable to enable the Agent or the Security Agent to perform its functions as Agent or Security Agent.</w:t>
      </w:r>
    </w:p>
    <w:p>
      <w:pPr>
        <w:spacing w:after="0" w:line="183" w:lineRule="exact"/>
        <w:rPr>
          <w:rFonts w:ascii="Arial" w:cs="Arial" w:eastAsia="Arial" w:hAnsi="Arial"/>
          <w:sz w:val="18"/>
          <w:szCs w:val="18"/>
          <w:color w:val="auto"/>
        </w:rPr>
      </w:pPr>
    </w:p>
    <w:p>
      <w:pPr>
        <w:ind w:left="1080" w:hanging="532"/>
        <w:spacing w:after="0"/>
        <w:tabs>
          <w:tab w:leader="none" w:pos="108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Each Lender shall deal with the Security Agent exclusively through the Agent and shall not deal directly with the Security Agent.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32.16 Credit appraisal by the Lenders</w:t>
      </w:r>
    </w:p>
    <w:p>
      <w:pPr>
        <w:spacing w:after="0" w:line="220" w:lineRule="exact"/>
        <w:rPr>
          <w:sz w:val="20"/>
          <w:szCs w:val="20"/>
          <w:color w:val="auto"/>
        </w:rPr>
      </w:pPr>
    </w:p>
    <w:p>
      <w:pPr>
        <w:jc w:val="both"/>
        <w:ind w:left="540"/>
        <w:spacing w:after="0" w:line="239" w:lineRule="auto"/>
        <w:rPr>
          <w:sz w:val="20"/>
          <w:szCs w:val="20"/>
          <w:color w:val="auto"/>
        </w:rPr>
      </w:pPr>
      <w:r>
        <w:rPr>
          <w:rFonts w:ascii="Arial" w:cs="Arial" w:eastAsia="Arial" w:hAnsi="Arial"/>
          <w:sz w:val="18"/>
          <w:szCs w:val="18"/>
          <w:color w:val="auto"/>
        </w:rPr>
        <w:t>Without affecting the responsibility of any Obligor for information supplied by it or on its behalf in connection with any Finance Document, each Lender confirms to each other Finance Party that it has been, and will continue to be, solely responsible for making its own independent appraisal and investigation of all risks arising under or in connection with any Finance Document including but not limited to:</w:t>
      </w:r>
    </w:p>
    <w:p>
      <w:pPr>
        <w:spacing w:after="0" w:line="188" w:lineRule="exact"/>
        <w:rPr>
          <w:sz w:val="20"/>
          <w:szCs w:val="20"/>
          <w:color w:val="auto"/>
        </w:rPr>
      </w:pPr>
    </w:p>
    <w:p>
      <w:pPr>
        <w:ind w:left="1060" w:hanging="512"/>
        <w:spacing w:after="0"/>
        <w:tabs>
          <w:tab w:leader="none" w:pos="106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financial condition, status and nature of each Obligor and other Group Member;</w:t>
      </w:r>
    </w:p>
    <w:p>
      <w:pPr>
        <w:spacing w:after="0" w:line="198" w:lineRule="exact"/>
        <w:rPr>
          <w:rFonts w:ascii="Arial" w:cs="Arial" w:eastAsia="Arial" w:hAnsi="Arial"/>
          <w:sz w:val="18"/>
          <w:szCs w:val="18"/>
          <w:color w:val="auto"/>
        </w:rPr>
      </w:pPr>
    </w:p>
    <w:p>
      <w:pPr>
        <w:jc w:val="both"/>
        <w:ind w:left="1060" w:hanging="512"/>
        <w:spacing w:after="0"/>
        <w:tabs>
          <w:tab w:leader="none" w:pos="106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any Finance Document , any Charter Document and any other agreement, arrangement or document entered into, made or executed in anticipation of, under or in connection with any Finance Document or any Charter Document;</w:t>
      </w:r>
    </w:p>
    <w:p>
      <w:pPr>
        <w:spacing w:after="0" w:line="189" w:lineRule="exact"/>
        <w:rPr>
          <w:rFonts w:ascii="Arial" w:cs="Arial" w:eastAsia="Arial" w:hAnsi="Arial"/>
          <w:sz w:val="18"/>
          <w:szCs w:val="18"/>
          <w:color w:val="auto"/>
        </w:rPr>
      </w:pPr>
    </w:p>
    <w:p>
      <w:pPr>
        <w:ind w:left="1060" w:hanging="512"/>
        <w:spacing w:after="0"/>
        <w:tabs>
          <w:tab w:leader="none" w:pos="106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application of any Basel II Regulation or Basel III Regulation to the transactions contemplated by the Finance Documents;</w:t>
      </w:r>
    </w:p>
    <w:p>
      <w:pPr>
        <w:spacing w:after="0" w:line="198" w:lineRule="exact"/>
        <w:rPr>
          <w:rFonts w:ascii="Arial" w:cs="Arial" w:eastAsia="Arial" w:hAnsi="Arial"/>
          <w:sz w:val="18"/>
          <w:szCs w:val="18"/>
          <w:color w:val="auto"/>
        </w:rPr>
      </w:pPr>
    </w:p>
    <w:p>
      <w:pPr>
        <w:jc w:val="both"/>
        <w:ind w:left="1060" w:hanging="512"/>
        <w:spacing w:after="0" w:line="239" w:lineRule="auto"/>
        <w:tabs>
          <w:tab w:leader="none" w:pos="106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whether any Finance Party has recourse, and the nature and extent of that recourse, against any Party or any of its respective assets under or in connection with any Finance Document, the transactions contemplated by the Finance Documents or any other agreement, arrangement or document entered into, made or executed in anticipation of, under or in connection with any Finance Document or the Charged Property;</w:t>
      </w:r>
    </w:p>
    <w:p>
      <w:pPr>
        <w:spacing w:after="0" w:line="188" w:lineRule="exact"/>
        <w:rPr>
          <w:rFonts w:ascii="Arial" w:cs="Arial" w:eastAsia="Arial" w:hAnsi="Arial"/>
          <w:sz w:val="18"/>
          <w:szCs w:val="18"/>
          <w:color w:val="auto"/>
        </w:rPr>
      </w:pPr>
    </w:p>
    <w:p>
      <w:pPr>
        <w:jc w:val="both"/>
        <w:ind w:left="1060" w:hanging="512"/>
        <w:spacing w:after="0" w:line="239" w:lineRule="auto"/>
        <w:tabs>
          <w:tab w:leader="none" w:pos="106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adequacy, accuracy and/or completeness of any information provided by the Agent, any Party or by any other person under or in connection with any Finance Document or any Charter Document, the transactions contemplated by the Finance Documents or any other agreement, arrangement or document entered into, made or executed in anticipation of, under or in connection with any Finance Document or any Charter Document; and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3" w:right="239" w:bottom="1440" w:gutter="0" w:footer="0" w:header="0"/>
        </w:sectPr>
      </w:pPr>
    </w:p>
    <w:bookmarkStart w:id="168" w:name="page169"/>
    <w:bookmarkEnd w:id="168"/>
    <w:p>
      <w:pPr>
        <w:ind w:left="1060" w:right="20" w:hanging="512"/>
        <w:spacing w:after="0" w:line="246" w:lineRule="auto"/>
        <w:tabs>
          <w:tab w:leader="none" w:pos="106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right or title of any person in or to, or the value or sufficiency of, any part of the Charged Property, the priority of the Security Documents or the existence of any Security Interest affecting the Charged Property.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32.17 Agent’s management time and additional remuneration</w:t>
      </w:r>
    </w:p>
    <w:p>
      <w:pPr>
        <w:spacing w:after="0" w:line="202" w:lineRule="exact"/>
        <w:rPr>
          <w:sz w:val="20"/>
          <w:szCs w:val="20"/>
          <w:color w:val="auto"/>
        </w:rPr>
      </w:pPr>
    </w:p>
    <w:p>
      <w:pPr>
        <w:jc w:val="both"/>
        <w:ind w:left="1060" w:hanging="512"/>
        <w:spacing w:after="0" w:line="242" w:lineRule="auto"/>
        <w:tabs>
          <w:tab w:leader="none" w:pos="106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Any amount payable to the Agent under clause 14.3 (</w:t>
      </w:r>
      <w:r>
        <w:rPr>
          <w:rFonts w:ascii="Arial" w:cs="Arial" w:eastAsia="Arial" w:hAnsi="Arial"/>
          <w:sz w:val="18"/>
          <w:szCs w:val="18"/>
          <w:i w:val="1"/>
          <w:iCs w:val="1"/>
          <w:color w:val="auto"/>
        </w:rPr>
        <w:t>Indemnity to the Agent and Security Agent</w:t>
      </w:r>
      <w:r>
        <w:rPr>
          <w:rFonts w:ascii="Arial" w:cs="Arial" w:eastAsia="Arial" w:hAnsi="Arial"/>
          <w:sz w:val="18"/>
          <w:szCs w:val="18"/>
          <w:color w:val="auto"/>
        </w:rPr>
        <w:t>), clause 16 (</w:t>
      </w:r>
      <w:r>
        <w:rPr>
          <w:rFonts w:ascii="Arial" w:cs="Arial" w:eastAsia="Arial" w:hAnsi="Arial"/>
          <w:sz w:val="18"/>
          <w:szCs w:val="18"/>
          <w:i w:val="1"/>
          <w:iCs w:val="1"/>
          <w:color w:val="auto"/>
        </w:rPr>
        <w:t>Costs and expenses</w:t>
      </w:r>
      <w:r>
        <w:rPr>
          <w:rFonts w:ascii="Arial" w:cs="Arial" w:eastAsia="Arial" w:hAnsi="Arial"/>
          <w:sz w:val="18"/>
          <w:szCs w:val="18"/>
          <w:color w:val="auto"/>
        </w:rPr>
        <w:t>) and clause 32.11 (</w:t>
      </w:r>
      <w:r>
        <w:rPr>
          <w:rFonts w:ascii="Arial" w:cs="Arial" w:eastAsia="Arial" w:hAnsi="Arial"/>
          <w:sz w:val="18"/>
          <w:szCs w:val="18"/>
          <w:i w:val="1"/>
          <w:iCs w:val="1"/>
          <w:color w:val="auto"/>
        </w:rPr>
        <w:t>Lenders’ indemnity to the Agent</w:t>
      </w:r>
      <w:r>
        <w:rPr>
          <w:rFonts w:ascii="Arial" w:cs="Arial" w:eastAsia="Arial" w:hAnsi="Arial"/>
          <w:sz w:val="18"/>
          <w:szCs w:val="18"/>
          <w:color w:val="auto"/>
        </w:rPr>
        <w:t>) (and in the case of the Security Agent, as extended to it by virtue of clause 32.21 (</w:t>
      </w:r>
      <w:r>
        <w:rPr>
          <w:rFonts w:ascii="Arial" w:cs="Arial" w:eastAsia="Arial" w:hAnsi="Arial"/>
          <w:sz w:val="18"/>
          <w:szCs w:val="18"/>
          <w:i w:val="1"/>
          <w:iCs w:val="1"/>
          <w:color w:val="auto"/>
        </w:rPr>
        <w:t>Application of certain clauses to Security Agent</w:t>
      </w:r>
      <w:r>
        <w:rPr>
          <w:rFonts w:ascii="Arial" w:cs="Arial" w:eastAsia="Arial" w:hAnsi="Arial"/>
          <w:sz w:val="18"/>
          <w:szCs w:val="18"/>
          <w:color w:val="auto"/>
        </w:rPr>
        <w:t>)) shall include the cost of utilising the Agent’s management time or other resources and will be calculated on the basis of such reasonable daily or hourly rates as the Agent may notify to the Borrowers and the Lenders, and is in addition to any fee paid or payable to the Agent under clause 11 (</w:t>
      </w:r>
      <w:r>
        <w:rPr>
          <w:rFonts w:ascii="Arial" w:cs="Arial" w:eastAsia="Arial" w:hAnsi="Arial"/>
          <w:sz w:val="18"/>
          <w:szCs w:val="18"/>
          <w:i w:val="1"/>
          <w:iCs w:val="1"/>
          <w:color w:val="auto"/>
        </w:rPr>
        <w:t>Fees</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1060" w:hanging="512"/>
        <w:spacing w:after="0"/>
        <w:tabs>
          <w:tab w:leader="none" w:pos="106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Without prejudice to clause (a), in the event of:</w:t>
      </w:r>
    </w:p>
    <w:p>
      <w:pPr>
        <w:spacing w:after="0" w:line="198" w:lineRule="exact"/>
        <w:rPr>
          <w:rFonts w:ascii="Arial" w:cs="Arial" w:eastAsia="Arial" w:hAnsi="Arial"/>
          <w:sz w:val="18"/>
          <w:szCs w:val="18"/>
          <w:color w:val="auto"/>
        </w:rPr>
      </w:pPr>
    </w:p>
    <w:p>
      <w:pPr>
        <w:ind w:left="1560" w:hanging="539"/>
        <w:spacing w:after="0"/>
        <w:tabs>
          <w:tab w:leader="none" w:pos="156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a Default;</w:t>
      </w:r>
    </w:p>
    <w:p>
      <w:pPr>
        <w:spacing w:after="0" w:line="198" w:lineRule="exact"/>
        <w:rPr>
          <w:rFonts w:ascii="Arial" w:cs="Arial" w:eastAsia="Arial" w:hAnsi="Arial"/>
          <w:sz w:val="18"/>
          <w:szCs w:val="18"/>
          <w:color w:val="auto"/>
        </w:rPr>
      </w:pPr>
    </w:p>
    <w:p>
      <w:pPr>
        <w:jc w:val="both"/>
        <w:ind w:left="1560" w:hanging="539"/>
        <w:spacing w:after="0"/>
        <w:tabs>
          <w:tab w:leader="none" w:pos="156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the Agent being requested by an Obligor or the Majority Lenders to undertake duties which the Agent and the Borrowers agree to be of an exceptional nature or outside the scope of the normal duties of the Agent under the Finance Documents; or</w:t>
      </w:r>
    </w:p>
    <w:p>
      <w:pPr>
        <w:spacing w:after="0" w:line="189" w:lineRule="exact"/>
        <w:rPr>
          <w:rFonts w:ascii="Arial" w:cs="Arial" w:eastAsia="Arial" w:hAnsi="Arial"/>
          <w:sz w:val="18"/>
          <w:szCs w:val="18"/>
          <w:color w:val="auto"/>
        </w:rPr>
      </w:pPr>
    </w:p>
    <w:p>
      <w:pPr>
        <w:ind w:left="1560" w:hanging="539"/>
        <w:spacing w:after="0"/>
        <w:tabs>
          <w:tab w:leader="none" w:pos="156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the Agent and the Borrowers agreeing that it is otherwise appropriate in the circumstances,</w:t>
      </w:r>
    </w:p>
    <w:p>
      <w:pPr>
        <w:spacing w:after="0" w:line="198" w:lineRule="exact"/>
        <w:rPr>
          <w:sz w:val="20"/>
          <w:szCs w:val="20"/>
          <w:color w:val="auto"/>
        </w:rPr>
      </w:pPr>
    </w:p>
    <w:p>
      <w:pPr>
        <w:ind w:left="1020"/>
        <w:spacing w:after="0" w:line="246" w:lineRule="auto"/>
        <w:rPr>
          <w:sz w:val="20"/>
          <w:szCs w:val="20"/>
          <w:color w:val="auto"/>
        </w:rPr>
      </w:pPr>
      <w:r>
        <w:rPr>
          <w:rFonts w:ascii="Arial" w:cs="Arial" w:eastAsia="Arial" w:hAnsi="Arial"/>
          <w:sz w:val="18"/>
          <w:szCs w:val="18"/>
          <w:color w:val="auto"/>
        </w:rPr>
        <w:t>the Borrowers shall pay to the Agent any additional remuneration that may be agreed between them or determined pursuant to clause 32.17(c).</w:t>
      </w:r>
    </w:p>
    <w:p>
      <w:pPr>
        <w:spacing w:after="0" w:line="183" w:lineRule="exact"/>
        <w:rPr>
          <w:sz w:val="20"/>
          <w:szCs w:val="20"/>
          <w:color w:val="auto"/>
        </w:rPr>
      </w:pPr>
    </w:p>
    <w:p>
      <w:pPr>
        <w:jc w:val="both"/>
        <w:ind w:left="1060" w:hanging="512"/>
        <w:spacing w:after="0" w:line="237" w:lineRule="auto"/>
        <w:tabs>
          <w:tab w:leader="none" w:pos="106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If the Agent and the Borrowers fail to agree upon the nature of the duties, or upon the additional remuneration referred to in clause 32.17(b) or whether additional remuneration is appropriate in the circumstances, any dispute shall be determined by an investment bank (acting as an expert and not as an arbitrator) selected by the Agent and approved by the Borrowers or, failing approval, nominated (on the application of the Agent) by the President for the time being of the Law Society of England and Wales (the costs of the nomination and of the investment bank being payable by the Borrowers) and the determination of any investment bank shall be final and binding upon the 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32.18 Deduction from amounts payable by the Agent</w:t>
      </w:r>
    </w:p>
    <w:p>
      <w:pPr>
        <w:spacing w:after="0" w:line="220" w:lineRule="exact"/>
        <w:rPr>
          <w:sz w:val="20"/>
          <w:szCs w:val="20"/>
          <w:color w:val="auto"/>
        </w:rPr>
      </w:pPr>
    </w:p>
    <w:p>
      <w:pPr>
        <w:jc w:val="both"/>
        <w:ind w:left="540"/>
        <w:spacing w:after="0" w:line="239" w:lineRule="auto"/>
        <w:rPr>
          <w:sz w:val="20"/>
          <w:szCs w:val="20"/>
          <w:color w:val="auto"/>
        </w:rPr>
      </w:pPr>
      <w:r>
        <w:rPr>
          <w:rFonts w:ascii="Arial" w:cs="Arial" w:eastAsia="Arial" w:hAnsi="Arial"/>
          <w:sz w:val="18"/>
          <w:szCs w:val="18"/>
          <w:color w:val="auto"/>
        </w:rPr>
        <w:t>If any Party owes an amount to the Agent under the Finance Documents the Agent may, after giving notice to that Party, deduct an amount not exceeding that amount from any payment to that Party which the Agent would otherwise be obliged to make under the Finance Documents and apply the amount deducted in or towards satisfaction of the amount owed. For the purposes of the Finance Documents that Party shall be regarded as having received any amount so deducted.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32.19 Common parties</w:t>
      </w:r>
    </w:p>
    <w:p>
      <w:pPr>
        <w:spacing w:after="0" w:line="220" w:lineRule="exact"/>
        <w:rPr>
          <w:sz w:val="20"/>
          <w:szCs w:val="20"/>
          <w:color w:val="auto"/>
        </w:rPr>
      </w:pPr>
    </w:p>
    <w:p>
      <w:pPr>
        <w:jc w:val="both"/>
        <w:ind w:left="540"/>
        <w:spacing w:after="0" w:line="239" w:lineRule="auto"/>
        <w:rPr>
          <w:sz w:val="20"/>
          <w:szCs w:val="20"/>
          <w:color w:val="auto"/>
        </w:rPr>
      </w:pPr>
      <w:r>
        <w:rPr>
          <w:rFonts w:ascii="Arial" w:cs="Arial" w:eastAsia="Arial" w:hAnsi="Arial"/>
          <w:sz w:val="18"/>
          <w:szCs w:val="18"/>
          <w:color w:val="auto"/>
        </w:rPr>
        <w:t>Although the Agent and the Security Agent may from time to time be the same entity, that entity will have entered into the Finance Documents (to which it is party) in its separate capacities as agent for the Finance Parties and (as appropriate) security agent and trustee for the Finance Parties. Where any Finance Document provides for the Agent or Security Agent to communicate with or provide instructions to the other, while they are the same entity, such communication or instructions will not be necessary.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color w:val="auto"/>
        </w:rPr>
        <w:t>32.20 Security Agent</w:t>
      </w:r>
    </w:p>
    <w:p>
      <w:pPr>
        <w:spacing w:after="0" w:line="220" w:lineRule="exact"/>
        <w:rPr>
          <w:sz w:val="20"/>
          <w:szCs w:val="20"/>
          <w:color w:val="auto"/>
        </w:rPr>
      </w:pPr>
    </w:p>
    <w:p>
      <w:pPr>
        <w:jc w:val="both"/>
        <w:ind w:left="1080" w:hanging="532"/>
        <w:spacing w:after="0" w:line="239" w:lineRule="auto"/>
        <w:tabs>
          <w:tab w:leader="none" w:pos="108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Each other Finance Party appoints the Security Agent to act as its agent and (to the extent permitted under any applicable law) trustee under and in connection with the Security Documents and confirms that the Security Agent shall have a lien on the Security Documents and the proceeds of the enforcement of those Security Documents for all moneys payable to the beneficiaries of those Security Documents.</w:t>
      </w:r>
    </w:p>
    <w:p>
      <w:pPr>
        <w:spacing w:after="0" w:line="188" w:lineRule="exact"/>
        <w:rPr>
          <w:rFonts w:ascii="Arial" w:cs="Arial" w:eastAsia="Arial" w:hAnsi="Arial"/>
          <w:sz w:val="18"/>
          <w:szCs w:val="18"/>
          <w:color w:val="auto"/>
        </w:rPr>
      </w:pPr>
    </w:p>
    <w:p>
      <w:pPr>
        <w:ind w:left="1080" w:hanging="532"/>
        <w:spacing w:after="0"/>
        <w:tabs>
          <w:tab w:leader="none" w:pos="108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Each other Finance Party authorises the Security Agent:</w:t>
      </w:r>
    </w:p>
    <w:p>
      <w:pPr>
        <w:spacing w:after="0" w:line="198" w:lineRule="exact"/>
        <w:rPr>
          <w:rFonts w:ascii="Arial" w:cs="Arial" w:eastAsia="Arial" w:hAnsi="Arial"/>
          <w:sz w:val="18"/>
          <w:szCs w:val="18"/>
          <w:color w:val="auto"/>
        </w:rPr>
      </w:pPr>
    </w:p>
    <w:p>
      <w:pPr>
        <w:jc w:val="both"/>
        <w:ind w:left="1620" w:hanging="532"/>
        <w:spacing w:after="0"/>
        <w:tabs>
          <w:tab w:leader="none" w:pos="162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to perform the duties, obligations and responsibilities and to exercise the rights, powers, authorities and discretions specifically given to the Security Agent under or in connection with the Finance Documents together with any other incidental rights, powers, authorities and discretions; and</w:t>
      </w:r>
    </w:p>
    <w:p>
      <w:pPr>
        <w:spacing w:after="0" w:line="189"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to execute each of the Security Documents and all other documents that may be approved by the Agent and/or the Majority Lenders for execution by it.</w:t>
      </w:r>
    </w:p>
    <w:p>
      <w:pPr>
        <w:spacing w:after="0" w:line="165" w:lineRule="exact"/>
        <w:rPr>
          <w:rFonts w:ascii="Arial" w:cs="Arial" w:eastAsia="Arial" w:hAnsi="Arial"/>
          <w:sz w:val="18"/>
          <w:szCs w:val="18"/>
          <w:color w:val="auto"/>
        </w:rPr>
      </w:pPr>
    </w:p>
    <w:p>
      <w:pPr>
        <w:jc w:val="both"/>
        <w:ind w:left="1080" w:hanging="532"/>
        <w:spacing w:after="0" w:line="245" w:lineRule="auto"/>
        <w:tabs>
          <w:tab w:leader="none" w:pos="108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Security Agent accepts its appointment under this clause 32.20 (</w:t>
      </w:r>
      <w:r>
        <w:rPr>
          <w:rFonts w:ascii="Arial" w:cs="Arial" w:eastAsia="Arial" w:hAnsi="Arial"/>
          <w:sz w:val="18"/>
          <w:szCs w:val="18"/>
          <w:i w:val="1"/>
          <w:iCs w:val="1"/>
          <w:color w:val="auto"/>
        </w:rPr>
        <w:t>Security Agent</w:t>
      </w:r>
      <w:r>
        <w:rPr>
          <w:rFonts w:ascii="Arial" w:cs="Arial" w:eastAsia="Arial" w:hAnsi="Arial"/>
          <w:sz w:val="18"/>
          <w:szCs w:val="18"/>
          <w:color w:val="auto"/>
        </w:rPr>
        <w:t>) as trustee of the Trust Property with effect from the date of this Agreement and declares that it holds the Trust Property on trust for itself, the other Finance Parties (for so long as they are Finance Parties) on and subject to the terms set out in clauses 32.20 - 32.32 (</w:t>
      </w:r>
      <w:r>
        <w:rPr>
          <w:rFonts w:ascii="Arial" w:cs="Arial" w:eastAsia="Arial" w:hAnsi="Arial"/>
          <w:sz w:val="18"/>
          <w:szCs w:val="18"/>
          <w:i w:val="1"/>
          <w:iCs w:val="1"/>
          <w:color w:val="auto"/>
        </w:rPr>
        <w:t>Indemnity from Trust Property</w:t>
      </w:r>
      <w:r>
        <w:rPr>
          <w:rFonts w:ascii="Arial" w:cs="Arial" w:eastAsia="Arial" w:hAnsi="Arial"/>
          <w:sz w:val="18"/>
          <w:szCs w:val="18"/>
          <w:color w:val="auto"/>
        </w:rPr>
        <w:t>) (inclusive) and the Security Documents to which it is a party.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32.21 Application of certain clauses to Security Agent</w:t>
      </w:r>
    </w:p>
    <w:p>
      <w:pPr>
        <w:spacing w:after="0" w:line="202" w:lineRule="exact"/>
        <w:rPr>
          <w:sz w:val="20"/>
          <w:szCs w:val="20"/>
          <w:color w:val="auto"/>
        </w:rPr>
      </w:pPr>
    </w:p>
    <w:p>
      <w:pPr>
        <w:jc w:val="both"/>
        <w:ind w:left="1080" w:hanging="532"/>
        <w:spacing w:after="0"/>
        <w:tabs>
          <w:tab w:leader="none" w:pos="108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Clauses 32.7 (</w:t>
      </w:r>
      <w:r>
        <w:rPr>
          <w:rFonts w:ascii="Arial" w:cs="Arial" w:eastAsia="Arial" w:hAnsi="Arial"/>
          <w:sz w:val="18"/>
          <w:szCs w:val="18"/>
          <w:i w:val="1"/>
          <w:iCs w:val="1"/>
          <w:color w:val="auto"/>
        </w:rPr>
        <w:t>Rights and discretions of the Agent</w:t>
      </w:r>
      <w:r>
        <w:rPr>
          <w:rFonts w:ascii="Arial" w:cs="Arial" w:eastAsia="Arial" w:hAnsi="Arial"/>
          <w:sz w:val="18"/>
          <w:szCs w:val="18"/>
          <w:color w:val="auto"/>
        </w:rPr>
        <w:t>), 32.8 (</w:t>
      </w:r>
      <w:r>
        <w:rPr>
          <w:rFonts w:ascii="Arial" w:cs="Arial" w:eastAsia="Arial" w:hAnsi="Arial"/>
          <w:sz w:val="18"/>
          <w:szCs w:val="18"/>
          <w:i w:val="1"/>
          <w:iCs w:val="1"/>
          <w:color w:val="auto"/>
        </w:rPr>
        <w:t>Responsibility for documentation and other matters</w:t>
      </w:r>
      <w:r>
        <w:rPr>
          <w:rFonts w:ascii="Arial" w:cs="Arial" w:eastAsia="Arial" w:hAnsi="Arial"/>
          <w:sz w:val="18"/>
          <w:szCs w:val="18"/>
          <w:color w:val="auto"/>
        </w:rPr>
        <w:t xml:space="preserve">), 32.9 </w:t>
      </w:r>
      <w:r>
        <w:rPr>
          <w:rFonts w:ascii="Arial" w:cs="Arial" w:eastAsia="Arial" w:hAnsi="Arial"/>
          <w:sz w:val="18"/>
          <w:szCs w:val="18"/>
          <w:i w:val="1"/>
          <w:iCs w:val="1"/>
          <w:color w:val="auto"/>
        </w:rPr>
        <w:t>(No duty to</w:t>
      </w:r>
      <w:r>
        <w:rPr>
          <w:rFonts w:ascii="Arial" w:cs="Arial" w:eastAsia="Arial" w:hAnsi="Arial"/>
          <w:sz w:val="18"/>
          <w:szCs w:val="18"/>
          <w:color w:val="auto"/>
        </w:rPr>
        <w:t xml:space="preserve"> </w:t>
      </w:r>
      <w:r>
        <w:rPr>
          <w:rFonts w:ascii="Arial" w:cs="Arial" w:eastAsia="Arial" w:hAnsi="Arial"/>
          <w:sz w:val="18"/>
          <w:szCs w:val="18"/>
          <w:i w:val="1"/>
          <w:iCs w:val="1"/>
          <w:color w:val="auto"/>
        </w:rPr>
        <w:t>monitor)</w:t>
      </w:r>
      <w:r>
        <w:rPr>
          <w:rFonts w:ascii="Arial" w:cs="Arial" w:eastAsia="Arial" w:hAnsi="Arial"/>
          <w:sz w:val="18"/>
          <w:szCs w:val="18"/>
          <w:color w:val="auto"/>
        </w:rPr>
        <w:t>, 32.10 (</w:t>
      </w:r>
      <w:r>
        <w:rPr>
          <w:rFonts w:ascii="Arial" w:cs="Arial" w:eastAsia="Arial" w:hAnsi="Arial"/>
          <w:sz w:val="18"/>
          <w:szCs w:val="18"/>
          <w:i w:val="1"/>
          <w:iCs w:val="1"/>
          <w:color w:val="auto"/>
        </w:rPr>
        <w:t>Exclusion of liability</w:t>
      </w:r>
      <w:r>
        <w:rPr>
          <w:rFonts w:ascii="Arial" w:cs="Arial" w:eastAsia="Arial" w:hAnsi="Arial"/>
          <w:sz w:val="18"/>
          <w:szCs w:val="18"/>
          <w:color w:val="auto"/>
        </w:rPr>
        <w:t>), 32.11 (</w:t>
      </w:r>
      <w:r>
        <w:rPr>
          <w:rFonts w:ascii="Arial" w:cs="Arial" w:eastAsia="Arial" w:hAnsi="Arial"/>
          <w:sz w:val="18"/>
          <w:szCs w:val="18"/>
          <w:i w:val="1"/>
          <w:iCs w:val="1"/>
          <w:color w:val="auto"/>
        </w:rPr>
        <w:t>Lenders’ indemnity to the Agent</w:t>
      </w:r>
      <w:r>
        <w:rPr>
          <w:rFonts w:ascii="Arial" w:cs="Arial" w:eastAsia="Arial" w:hAnsi="Arial"/>
          <w:sz w:val="18"/>
          <w:szCs w:val="18"/>
          <w:color w:val="auto"/>
        </w:rPr>
        <w:t>), 32.12 (</w:t>
      </w:r>
      <w:r>
        <w:rPr>
          <w:rFonts w:ascii="Arial" w:cs="Arial" w:eastAsia="Arial" w:hAnsi="Arial"/>
          <w:sz w:val="18"/>
          <w:szCs w:val="18"/>
          <w:i w:val="1"/>
          <w:iCs w:val="1"/>
          <w:color w:val="auto"/>
        </w:rPr>
        <w:t>Resignation of the Agent</w:t>
      </w:r>
      <w:r>
        <w:rPr>
          <w:rFonts w:ascii="Arial" w:cs="Arial" w:eastAsia="Arial" w:hAnsi="Arial"/>
          <w:sz w:val="18"/>
          <w:szCs w:val="18"/>
          <w:color w:val="auto"/>
        </w:rPr>
        <w:t>), 32.13</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Replacement of the Agent</w:t>
      </w:r>
      <w:r>
        <w:rPr>
          <w:rFonts w:ascii="Arial" w:cs="Arial" w:eastAsia="Arial" w:hAnsi="Arial"/>
          <w:sz w:val="18"/>
          <w:szCs w:val="18"/>
          <w:color w:val="auto"/>
        </w:rPr>
        <w:t>), 32.14 (</w:t>
      </w:r>
      <w:r>
        <w:rPr>
          <w:rFonts w:ascii="Arial" w:cs="Arial" w:eastAsia="Arial" w:hAnsi="Arial"/>
          <w:sz w:val="18"/>
          <w:szCs w:val="18"/>
          <w:i w:val="1"/>
          <w:iCs w:val="1"/>
          <w:color w:val="auto"/>
        </w:rPr>
        <w:t>Confidentiality</w:t>
      </w:r>
      <w:r>
        <w:rPr>
          <w:rFonts w:ascii="Arial" w:cs="Arial" w:eastAsia="Arial" w:hAnsi="Arial"/>
          <w:sz w:val="18"/>
          <w:szCs w:val="18"/>
          <w:color w:val="auto"/>
        </w:rPr>
        <w:t>), 32.15 (</w:t>
      </w:r>
      <w:r>
        <w:rPr>
          <w:rFonts w:ascii="Arial" w:cs="Arial" w:eastAsia="Arial" w:hAnsi="Arial"/>
          <w:sz w:val="18"/>
          <w:szCs w:val="18"/>
          <w:i w:val="1"/>
          <w:iCs w:val="1"/>
          <w:color w:val="auto"/>
        </w:rPr>
        <w:t>Relationship with the Lenders</w:t>
      </w:r>
      <w:r>
        <w:rPr>
          <w:rFonts w:ascii="Arial" w:cs="Arial" w:eastAsia="Arial" w:hAnsi="Arial"/>
          <w:sz w:val="18"/>
          <w:szCs w:val="18"/>
          <w:color w:val="auto"/>
        </w:rPr>
        <w:t>), 32.16 (</w:t>
      </w:r>
      <w:r>
        <w:rPr>
          <w:rFonts w:ascii="Arial" w:cs="Arial" w:eastAsia="Arial" w:hAnsi="Arial"/>
          <w:sz w:val="18"/>
          <w:szCs w:val="18"/>
          <w:i w:val="1"/>
          <w:iCs w:val="1"/>
          <w:color w:val="auto"/>
        </w:rPr>
        <w:t>Credit appraisal by the</w:t>
      </w:r>
      <w:r>
        <w:rPr>
          <w:rFonts w:ascii="Arial" w:cs="Arial" w:eastAsia="Arial" w:hAnsi="Arial"/>
          <w:sz w:val="18"/>
          <w:szCs w:val="18"/>
          <w:color w:val="auto"/>
        </w:rPr>
        <w:t xml:space="preserve"> </w:t>
      </w:r>
      <w:r>
        <w:rPr>
          <w:rFonts w:ascii="Arial" w:cs="Arial" w:eastAsia="Arial" w:hAnsi="Arial"/>
          <w:sz w:val="18"/>
          <w:szCs w:val="18"/>
          <w:i w:val="1"/>
          <w:iCs w:val="1"/>
          <w:color w:val="auto"/>
        </w:rPr>
        <w:t>Lenders</w:t>
      </w:r>
      <w:r>
        <w:rPr>
          <w:rFonts w:ascii="Arial" w:cs="Arial" w:eastAsia="Arial" w:hAnsi="Arial"/>
          <w:sz w:val="18"/>
          <w:szCs w:val="18"/>
          <w:color w:val="auto"/>
        </w:rPr>
        <w:t>), 32.17</w:t>
      </w:r>
      <w:r>
        <w:rPr>
          <w:rFonts w:ascii="Arial" w:cs="Arial" w:eastAsia="Arial" w:hAnsi="Arial"/>
          <w:sz w:val="18"/>
          <w:szCs w:val="18"/>
          <w:i w:val="1"/>
          <w:iCs w:val="1"/>
          <w:color w:val="auto"/>
        </w:rPr>
        <w:t xml:space="preserve"> (Agent’s management time and additional remuneration) </w:t>
      </w:r>
      <w:r>
        <w:rPr>
          <w:rFonts w:ascii="Arial" w:cs="Arial" w:eastAsia="Arial" w:hAnsi="Arial"/>
          <w:sz w:val="18"/>
          <w:szCs w:val="18"/>
          <w:color w:val="auto"/>
        </w:rPr>
        <w:t>and 32.18 (</w:t>
      </w:r>
      <w:r>
        <w:rPr>
          <w:rFonts w:ascii="Arial" w:cs="Arial" w:eastAsia="Arial" w:hAnsi="Arial"/>
          <w:sz w:val="18"/>
          <w:szCs w:val="18"/>
          <w:i w:val="1"/>
          <w:iCs w:val="1"/>
          <w:color w:val="auto"/>
        </w:rPr>
        <w:t>Deduction from amounts payable by the Agent</w:t>
      </w:r>
      <w:r>
        <w:rPr>
          <w:rFonts w:ascii="Arial" w:cs="Arial" w:eastAsia="Arial" w:hAnsi="Arial"/>
          <w:sz w:val="18"/>
          <w:szCs w:val="18"/>
          <w:color w:val="auto"/>
        </w:rPr>
        <w:t>) shall each extend so as to apply to the Security Agent in its capacity as such and for that purpose each reference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“Agent” in these clauses shall extend to include in addition a reference to the “Security Agent” in its capacity as such and, in clause 32.7 (</w:t>
      </w:r>
      <w:r>
        <w:rPr>
          <w:rFonts w:ascii="Arial" w:cs="Arial" w:eastAsia="Arial" w:hAnsi="Arial"/>
          <w:sz w:val="18"/>
          <w:szCs w:val="18"/>
          <w:i w:val="1"/>
          <w:iCs w:val="1"/>
          <w:color w:val="auto"/>
        </w:rPr>
        <w:t>Rights and discretions of the Agent</w:t>
      </w:r>
      <w:r>
        <w:rPr>
          <w:rFonts w:ascii="Arial" w:cs="Arial" w:eastAsia="Arial" w:hAnsi="Arial"/>
          <w:sz w:val="18"/>
          <w:szCs w:val="18"/>
          <w:color w:val="auto"/>
        </w:rPr>
        <w:t>), references to the Lenders and a group of Lenders shall refer to the Agent.</w:t>
      </w:r>
    </w:p>
    <w:p>
      <w:pPr>
        <w:spacing w:after="0" w:line="171" w:lineRule="exact"/>
        <w:rPr>
          <w:rFonts w:ascii="Arial" w:cs="Arial" w:eastAsia="Arial" w:hAnsi="Arial"/>
          <w:sz w:val="18"/>
          <w:szCs w:val="18"/>
          <w:color w:val="auto"/>
        </w:rPr>
      </w:pPr>
    </w:p>
    <w:p>
      <w:pPr>
        <w:ind w:left="1080" w:hanging="532"/>
        <w:spacing w:after="0" w:line="267" w:lineRule="auto"/>
        <w:tabs>
          <w:tab w:leader="none" w:pos="108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In addition, clause 32.12 (</w:t>
      </w:r>
      <w:r>
        <w:rPr>
          <w:rFonts w:ascii="Arial" w:cs="Arial" w:eastAsia="Arial" w:hAnsi="Arial"/>
          <w:sz w:val="18"/>
          <w:szCs w:val="18"/>
          <w:i w:val="1"/>
          <w:iCs w:val="1"/>
          <w:color w:val="auto"/>
        </w:rPr>
        <w:t>Resignation of the Agent</w:t>
      </w:r>
      <w:r>
        <w:rPr>
          <w:rFonts w:ascii="Arial" w:cs="Arial" w:eastAsia="Arial" w:hAnsi="Arial"/>
          <w:sz w:val="18"/>
          <w:szCs w:val="18"/>
          <w:color w:val="auto"/>
        </w:rPr>
        <w:t>) and clause 32.13 (</w:t>
      </w:r>
      <w:r>
        <w:rPr>
          <w:rFonts w:ascii="Arial" w:cs="Arial" w:eastAsia="Arial" w:hAnsi="Arial"/>
          <w:sz w:val="18"/>
          <w:szCs w:val="18"/>
          <w:i w:val="1"/>
          <w:iCs w:val="1"/>
          <w:color w:val="auto"/>
        </w:rPr>
        <w:t>Replacement of the Agent</w:t>
      </w:r>
      <w:r>
        <w:rPr>
          <w:rFonts w:ascii="Arial" w:cs="Arial" w:eastAsia="Arial" w:hAnsi="Arial"/>
          <w:sz w:val="18"/>
          <w:szCs w:val="18"/>
          <w:color w:val="auto"/>
        </w:rPr>
        <w:t>) shall, for the purposes of its application to the Security Agent pursuant to clause 32.21(a), have the following additional sub-clause inserted after them:</w:t>
      </w:r>
    </w:p>
    <w:p>
      <w:pPr>
        <w:spacing w:after="0" w:line="165" w:lineRule="exact"/>
        <w:rPr>
          <w:rFonts w:ascii="Arial" w:cs="Arial" w:eastAsia="Arial" w:hAnsi="Arial"/>
          <w:sz w:val="18"/>
          <w:szCs w:val="18"/>
          <w:color w:val="auto"/>
        </w:rPr>
      </w:pPr>
    </w:p>
    <w:p>
      <w:pPr>
        <w:jc w:val="both"/>
        <w:ind w:left="1080"/>
        <w:spacing w:after="0" w:line="237" w:lineRule="auto"/>
        <w:rPr>
          <w:rFonts w:ascii="Arial" w:cs="Arial" w:eastAsia="Arial" w:hAnsi="Arial"/>
          <w:sz w:val="18"/>
          <w:szCs w:val="18"/>
          <w:color w:val="auto"/>
        </w:rPr>
      </w:pPr>
      <w:r>
        <w:rPr>
          <w:rFonts w:ascii="Arial" w:cs="Arial" w:eastAsia="Arial" w:hAnsi="Arial"/>
          <w:sz w:val="18"/>
          <w:szCs w:val="18"/>
          <w:color w:val="auto"/>
        </w:rPr>
        <w:t>“At any time after the appointment of a successor, the retiring Security Agent shall do and execute all acts, deeds and documents reasonably required by its successor to transfer to it (or its nominee, as it may direct) any property, assets and rights previously vested in the retiring Security Agent pursuant to the Security Documents and which shall not have vested in its successor by operation of law. All such acts, deeds and documents shall be done or, as the case may be, executed at the cost of the Borrowers (except where the Security Agent is retiring under clause 32.12(a) as extended to it by clause 32.21(a), in which case such costs shall be borne by the Lenders (in proportion to its share of the Total Commitments or, if the Total Commitments are then zero, to its share of the Total Commitments immediately prior to their reduction to zero)).”.</w:t>
      </w:r>
    </w:p>
    <w:p>
      <w:pPr>
        <w:spacing w:after="0" w:line="189" w:lineRule="exact"/>
        <w:rPr>
          <w:rFonts w:ascii="Arial" w:cs="Arial" w:eastAsia="Arial" w:hAnsi="Arial"/>
          <w:sz w:val="18"/>
          <w:szCs w:val="18"/>
          <w:color w:val="auto"/>
        </w:rPr>
      </w:pPr>
    </w:p>
    <w:p>
      <w:pPr>
        <w:ind w:left="1080" w:hanging="532"/>
        <w:spacing w:after="0"/>
        <w:tabs>
          <w:tab w:leader="none" w:pos="108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Clause 32.7(e) shall, for the purposes of its application to the Security Agent pursuant to clause 32.21(a), read as follows:</w:t>
      </w:r>
    </w:p>
    <w:p>
      <w:pPr>
        <w:spacing w:after="0" w:line="198" w:lineRule="exact"/>
        <w:rPr>
          <w:sz w:val="20"/>
          <w:szCs w:val="20"/>
          <w:color w:val="auto"/>
        </w:rPr>
      </w:pPr>
    </w:p>
    <w:p>
      <w:pPr>
        <w:ind w:left="1080"/>
        <w:spacing w:after="0" w:line="246" w:lineRule="auto"/>
        <w:rPr>
          <w:sz w:val="20"/>
          <w:szCs w:val="20"/>
          <w:color w:val="auto"/>
        </w:rPr>
      </w:pPr>
      <w:r>
        <w:rPr>
          <w:rFonts w:ascii="Arial" w:cs="Arial" w:eastAsia="Arial" w:hAnsi="Arial"/>
          <w:sz w:val="18"/>
          <w:szCs w:val="18"/>
          <w:color w:val="auto"/>
        </w:rPr>
        <w:t>“The Security Agent may, at the cost of the Borrowers, rely on the advice or services of any lawyers, accountants, tax advisers, surveyors or other professional advisers or experts (whether obtained by the Security Agent or by any other Party), whether or not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70" w:name="page171"/>
    <w:bookmarkEnd w:id="170"/>
    <w:p>
      <w:pPr>
        <w:ind w:left="1080"/>
        <w:spacing w:after="0" w:line="246" w:lineRule="auto"/>
        <w:rPr>
          <w:sz w:val="20"/>
          <w:szCs w:val="20"/>
          <w:color w:val="auto"/>
        </w:rPr>
      </w:pPr>
      <w:r>
        <w:rPr>
          <w:rFonts w:ascii="Arial" w:cs="Arial" w:eastAsia="Arial" w:hAnsi="Arial"/>
          <w:sz w:val="18"/>
          <w:szCs w:val="18"/>
          <w:color w:val="auto"/>
        </w:rPr>
        <w:t>liability thereunder is limited by reference to monetary cap or otherwise, and shall not be liable for any damages, costs or losses to any person, any diminution in value or any liability whatsoever arising as a result of its so relying.”.</w:t>
      </w:r>
    </w:p>
    <w:p>
      <w:pPr>
        <w:spacing w:after="0" w:line="165" w:lineRule="exact"/>
        <w:rPr>
          <w:sz w:val="20"/>
          <w:szCs w:val="20"/>
          <w:color w:val="auto"/>
        </w:rPr>
      </w:pPr>
    </w:p>
    <w:p>
      <w:pPr>
        <w:ind w:left="1080" w:hanging="532"/>
        <w:spacing w:after="0" w:line="267" w:lineRule="auto"/>
        <w:tabs>
          <w:tab w:leader="none" w:pos="108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Clause 32.10 (</w:t>
      </w:r>
      <w:r>
        <w:rPr>
          <w:rFonts w:ascii="Arial" w:cs="Arial" w:eastAsia="Arial" w:hAnsi="Arial"/>
          <w:sz w:val="18"/>
          <w:szCs w:val="18"/>
          <w:i w:val="1"/>
          <w:iCs w:val="1"/>
          <w:color w:val="auto"/>
        </w:rPr>
        <w:t>Exclusion of liability)</w:t>
      </w:r>
      <w:r>
        <w:rPr>
          <w:rFonts w:ascii="Arial" w:cs="Arial" w:eastAsia="Arial" w:hAnsi="Arial"/>
          <w:sz w:val="18"/>
          <w:szCs w:val="18"/>
          <w:color w:val="auto"/>
        </w:rPr>
        <w:t xml:space="preserve"> shall, for the purposes of its application to the Security Agent pursuant to clause 32.21(a), include the following after sub clause 32.10(a)(iii)(B):</w:t>
      </w:r>
    </w:p>
    <w:p>
      <w:pPr>
        <w:spacing w:after="0" w:line="165" w:lineRule="exact"/>
        <w:rPr>
          <w:sz w:val="20"/>
          <w:szCs w:val="20"/>
          <w:color w:val="auto"/>
        </w:rPr>
      </w:pPr>
    </w:p>
    <w:p>
      <w:pPr>
        <w:ind w:left="1080"/>
        <w:spacing w:after="0"/>
        <w:tabs>
          <w:tab w:leader="none" w:pos="1600" w:val="left"/>
        </w:tabs>
        <w:rPr>
          <w:sz w:val="20"/>
          <w:szCs w:val="20"/>
          <w:color w:val="auto"/>
        </w:rPr>
      </w:pPr>
      <w:r>
        <w:rPr>
          <w:rFonts w:ascii="Arial" w:cs="Arial" w:eastAsia="Arial" w:hAnsi="Arial"/>
          <w:sz w:val="18"/>
          <w:szCs w:val="18"/>
          <w:color w:val="auto"/>
        </w:rPr>
        <w:t>“(C)</w:t>
        <w:tab/>
        <w:t>any shortfall which arises on the enforcement or realisation of the Security Interests created by the Finance Documents.”.</w:t>
      </w:r>
    </w:p>
    <w:p>
      <w:pPr>
        <w:spacing w:after="0" w:line="180" w:lineRule="exact"/>
        <w:rPr>
          <w:sz w:val="20"/>
          <w:szCs w:val="20"/>
          <w:color w:val="auto"/>
        </w:rPr>
      </w:pPr>
    </w:p>
    <w:p>
      <w:pPr>
        <w:jc w:val="both"/>
        <w:ind w:left="1080" w:right="20" w:hanging="532"/>
        <w:spacing w:after="0" w:line="251" w:lineRule="auto"/>
        <w:tabs>
          <w:tab w:leader="none" w:pos="108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Clause 32.14 (</w:t>
      </w:r>
      <w:r>
        <w:rPr>
          <w:rFonts w:ascii="Arial" w:cs="Arial" w:eastAsia="Arial" w:hAnsi="Arial"/>
          <w:sz w:val="18"/>
          <w:szCs w:val="18"/>
          <w:i w:val="1"/>
          <w:iCs w:val="1"/>
          <w:color w:val="auto"/>
        </w:rPr>
        <w:t>Confidentiality</w:t>
      </w:r>
      <w:r>
        <w:rPr>
          <w:rFonts w:ascii="Arial" w:cs="Arial" w:eastAsia="Arial" w:hAnsi="Arial"/>
          <w:sz w:val="18"/>
          <w:szCs w:val="18"/>
          <w:color w:val="auto"/>
        </w:rPr>
        <w:t>) shall, for the purposes of its application to the Security Agent pursuant to clause 32.21(a), be read and construed as to refer to “its agency and trust department” instead of “its department, division or team directly responsible for the management of the Finance Documents”.</w:t>
      </w:r>
    </w:p>
    <w:p>
      <w:pPr>
        <w:spacing w:after="0" w:line="178" w:lineRule="exact"/>
        <w:rPr>
          <w:rFonts w:ascii="Arial" w:cs="Arial" w:eastAsia="Arial" w:hAnsi="Arial"/>
          <w:sz w:val="18"/>
          <w:szCs w:val="18"/>
          <w:color w:val="auto"/>
        </w:rPr>
      </w:pPr>
    </w:p>
    <w:p>
      <w:pPr>
        <w:jc w:val="both"/>
        <w:ind w:left="1080" w:hanging="532"/>
        <w:spacing w:after="0" w:line="237" w:lineRule="auto"/>
        <w:tabs>
          <w:tab w:leader="none" w:pos="108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Without prejudice to the generality of any other provision of this Agreement or any other Security Document, the entry into possession of the Charged Property shall not render the Security Agent or any Receiver or any Delegate liable to account as mortgagee in possession thereunder (or its equivalent in any other applicable jurisdiction) or take any action which would expose it to any liability in respect of Environmental Claims in respect of which it has not been indemnified and/or secured and/or pre-funded to its satisfaction or to be liable for any loss on realisation or for any default or omission on realisation or for any default or omission for which a mortgagee in possession might be liable unless such loss, default or omission is caused by its own gross negligence or wilful default.</w:t>
      </w:r>
    </w:p>
    <w:p>
      <w:pPr>
        <w:spacing w:after="0" w:line="189" w:lineRule="exact"/>
        <w:rPr>
          <w:rFonts w:ascii="Arial" w:cs="Arial" w:eastAsia="Arial" w:hAnsi="Arial"/>
          <w:sz w:val="18"/>
          <w:szCs w:val="18"/>
          <w:color w:val="auto"/>
        </w:rPr>
      </w:pPr>
    </w:p>
    <w:p>
      <w:pPr>
        <w:jc w:val="both"/>
        <w:ind w:left="1080" w:hanging="532"/>
        <w:spacing w:after="0" w:line="237" w:lineRule="auto"/>
        <w:tabs>
          <w:tab w:leader="none" w:pos="108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 Security Agent shall not be bound to take any steps to ascertain whether any event, condition or act, the happening of which would cause a right or remedy to become exercisable by the Security Agent or any agent under this Agreement or the other Security Documents has happened or to monitor or supervise the observance and performance by the Borrowers, any agent or any of the other parties thereto of their respective obligations thereunder and, until it shall have actual knowledge or express notice to the contrary, the Security Agent shall be entitled to assume that no such event, condition or act has happened and that the Borrowers, the agents and the other parties thereto are observing and performing all their respective obligations thereunder.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32.22 Instructions to Security Agent</w:t>
      </w:r>
    </w:p>
    <w:p>
      <w:pPr>
        <w:spacing w:after="0" w:line="220" w:lineRule="exact"/>
        <w:rPr>
          <w:sz w:val="20"/>
          <w:szCs w:val="20"/>
          <w:color w:val="auto"/>
        </w:rPr>
      </w:pPr>
    </w:p>
    <w:p>
      <w:pPr>
        <w:ind w:left="1080" w:hanging="532"/>
        <w:spacing w:after="0"/>
        <w:tabs>
          <w:tab w:leader="none" w:pos="108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Security Agent shall:</w:t>
      </w:r>
    </w:p>
    <w:p>
      <w:pPr>
        <w:spacing w:after="0" w:line="198"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unless a contrary indication appears in a Finance Document, exercise or refrain from exercising any right, power, authority or discretion vested in it as Security Agent in accordance with any written instructions given to it by the Agent; and</w:t>
      </w:r>
    </w:p>
    <w:p>
      <w:pPr>
        <w:spacing w:after="0" w:line="183"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not be liable for any act (or omission) if it acts (or refrains from acting) in accordance with paragraph (i) above even though it may subsequently be found that there was a defect on the giving of such instruction.</w:t>
      </w:r>
    </w:p>
    <w:p>
      <w:pPr>
        <w:spacing w:after="0" w:line="183" w:lineRule="exact"/>
        <w:rPr>
          <w:rFonts w:ascii="Arial" w:cs="Arial" w:eastAsia="Arial" w:hAnsi="Arial"/>
          <w:sz w:val="18"/>
          <w:szCs w:val="18"/>
          <w:color w:val="auto"/>
        </w:rPr>
      </w:pPr>
    </w:p>
    <w:p>
      <w:pPr>
        <w:jc w:val="both"/>
        <w:ind w:left="1080" w:hanging="532"/>
        <w:spacing w:after="0"/>
        <w:tabs>
          <w:tab w:leader="none" w:pos="108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Security Agent shall be entitled (but not obliged) to request instructions, or clarification of any instruction, from the Agent as to whether, and in what manner, it should exercise or refrain from exercising any right, power, authority or discretion and the Security Agent may refrain from acting unless and until it receives those instructions or that clarification.</w:t>
      </w:r>
    </w:p>
    <w:p>
      <w:pPr>
        <w:spacing w:after="0" w:line="189"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Unless a contrary indication appears in a Finance Document, any instructions given to the Security Agent by the Agent shall override any conflicting instructions given by any other Parties and will be binding on all Finance Parties.</w:t>
      </w:r>
    </w:p>
    <w:p>
      <w:pPr>
        <w:spacing w:after="0" w:line="183"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Security Agent may refrain from acting in accordance with any instructions of the Agent until it has received any indemnification and/or security and/or pre-funding that it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71" w:name="page172"/>
    <w:bookmarkEnd w:id="171"/>
    <w:p>
      <w:pPr>
        <w:ind w:left="1080" w:right="20"/>
        <w:spacing w:after="0" w:line="246" w:lineRule="auto"/>
        <w:rPr>
          <w:sz w:val="20"/>
          <w:szCs w:val="20"/>
          <w:color w:val="auto"/>
        </w:rPr>
      </w:pPr>
      <w:r>
        <w:rPr>
          <w:rFonts w:ascii="Arial" w:cs="Arial" w:eastAsia="Arial" w:hAnsi="Arial"/>
          <w:sz w:val="18"/>
          <w:szCs w:val="18"/>
          <w:color w:val="auto"/>
        </w:rPr>
        <w:t>may require (which may include payment in advance) for any cost, loss or liability (together with any associated VAT or other applicable tax) which it may incur in complying with those instructions.</w:t>
      </w:r>
    </w:p>
    <w:p>
      <w:pPr>
        <w:spacing w:after="0" w:line="183" w:lineRule="exact"/>
        <w:rPr>
          <w:sz w:val="20"/>
          <w:szCs w:val="20"/>
          <w:color w:val="auto"/>
        </w:rPr>
      </w:pPr>
    </w:p>
    <w:p>
      <w:pPr>
        <w:jc w:val="both"/>
        <w:ind w:left="1080" w:hanging="532"/>
        <w:spacing w:after="0" w:line="239" w:lineRule="auto"/>
        <w:tabs>
          <w:tab w:leader="none" w:pos="108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For the avoidance of doubt, no provision of this Agreement shall require the Security Agent to expend or risk its own funds or otherwise incur any financial liability in the performance of any of its duties, or in the exercise of any of its rights or powers, if it shall have reasonable grounds for believing that repayment of such funds or adequate indemnity and/or security and/or prefunding against such risk or liability is not assured to it.</w:t>
      </w:r>
    </w:p>
    <w:p>
      <w:pPr>
        <w:spacing w:after="0" w:line="18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In the absence of instructions, the Security Agent may act (or refrain from acting) as it considers to be in the best interest of the Finance Parties.</w:t>
      </w:r>
    </w:p>
    <w:p>
      <w:pPr>
        <w:spacing w:after="0" w:line="183" w:lineRule="exact"/>
        <w:rPr>
          <w:rFonts w:ascii="Arial" w:cs="Arial" w:eastAsia="Arial" w:hAnsi="Arial"/>
          <w:sz w:val="18"/>
          <w:szCs w:val="18"/>
          <w:color w:val="auto"/>
        </w:rPr>
      </w:pPr>
    </w:p>
    <w:p>
      <w:pPr>
        <w:jc w:val="both"/>
        <w:ind w:left="1080" w:hanging="532"/>
        <w:spacing w:after="0" w:line="239" w:lineRule="auto"/>
        <w:tabs>
          <w:tab w:leader="none" w:pos="108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Security Agent is not authorised to act on behalf of a Lender (without first obtaining that Lender’s consent) in any legal or arbitration proceedings relating to any Finance Document. This clause (g) shall not apply to any legal or arbitration proceeding relating to the perfection, preservation or protection of rights under the Security Documents or enforcement of the Security Documents.</w:t>
      </w:r>
    </w:p>
    <w:p>
      <w:pPr>
        <w:spacing w:after="0" w:line="188" w:lineRule="exact"/>
        <w:rPr>
          <w:rFonts w:ascii="Arial" w:cs="Arial" w:eastAsia="Arial" w:hAnsi="Arial"/>
          <w:sz w:val="18"/>
          <w:szCs w:val="18"/>
          <w:color w:val="auto"/>
        </w:rPr>
      </w:pPr>
    </w:p>
    <w:p>
      <w:pPr>
        <w:jc w:val="both"/>
        <w:ind w:left="1080" w:hanging="532"/>
        <w:spacing w:after="0"/>
        <w:tabs>
          <w:tab w:leader="none" w:pos="108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Security Agent shall have no responsibility whatsoever to the Borrowers, the Agent, or any Finance Party as regards any deficiency which might arise because the Security Agent is subject to any Tax in respect of all or any of the Charged Property, the income therefrom or the proceeds thereof.</w:t>
      </w:r>
    </w:p>
    <w:p>
      <w:pPr>
        <w:spacing w:after="0" w:line="171" w:lineRule="exact"/>
        <w:rPr>
          <w:rFonts w:ascii="Arial" w:cs="Arial" w:eastAsia="Arial" w:hAnsi="Arial"/>
          <w:sz w:val="18"/>
          <w:szCs w:val="18"/>
          <w:color w:val="auto"/>
        </w:rPr>
      </w:pPr>
    </w:p>
    <w:p>
      <w:pPr>
        <w:jc w:val="both"/>
        <w:ind w:left="1080" w:hanging="532"/>
        <w:spacing w:after="0" w:line="242" w:lineRule="auto"/>
        <w:tabs>
          <w:tab w:leader="none" w:pos="108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Until the delivery of an enforcement notice pursuant to clause 29.23 (</w:t>
      </w:r>
      <w:r>
        <w:rPr>
          <w:rFonts w:ascii="Arial" w:cs="Arial" w:eastAsia="Arial" w:hAnsi="Arial"/>
          <w:sz w:val="18"/>
          <w:szCs w:val="18"/>
          <w:i w:val="1"/>
          <w:iCs w:val="1"/>
          <w:color w:val="auto"/>
        </w:rPr>
        <w:t>Acceleration</w:t>
      </w:r>
      <w:r>
        <w:rPr>
          <w:rFonts w:ascii="Arial" w:cs="Arial" w:eastAsia="Arial" w:hAnsi="Arial"/>
          <w:sz w:val="18"/>
          <w:szCs w:val="18"/>
          <w:color w:val="auto"/>
        </w:rPr>
        <w:t>), the moneys standing to the credit of any accounts comprised in the Security Documents shall be dealt with in accordance with the provisions of this Agreement and the Security Documents and the Security Agent shall not be responsible in such circumstances or at any other time for any liabilities (howsoever described) suffered by any person, whether by reason of depreciation in value or by fluctuation in exchange rates or otherwise.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32.23 Security Agent’s actions</w:t>
      </w:r>
    </w:p>
    <w:p>
      <w:pPr>
        <w:spacing w:after="0" w:line="202" w:lineRule="exact"/>
        <w:rPr>
          <w:sz w:val="20"/>
          <w:szCs w:val="20"/>
          <w:color w:val="auto"/>
        </w:rPr>
      </w:pPr>
    </w:p>
    <w:p>
      <w:pPr>
        <w:jc w:val="both"/>
        <w:ind w:left="540"/>
        <w:spacing w:after="0" w:line="251" w:lineRule="auto"/>
        <w:rPr>
          <w:sz w:val="20"/>
          <w:szCs w:val="20"/>
          <w:color w:val="auto"/>
        </w:rPr>
      </w:pPr>
      <w:r>
        <w:rPr>
          <w:rFonts w:ascii="Arial" w:cs="Arial" w:eastAsia="Arial" w:hAnsi="Arial"/>
          <w:sz w:val="18"/>
          <w:szCs w:val="18"/>
          <w:color w:val="auto"/>
        </w:rPr>
        <w:t>Without prejudice to the provisions of clause 32.22 (</w:t>
      </w:r>
      <w:r>
        <w:rPr>
          <w:rFonts w:ascii="Arial" w:cs="Arial" w:eastAsia="Arial" w:hAnsi="Arial"/>
          <w:sz w:val="18"/>
          <w:szCs w:val="18"/>
          <w:i w:val="1"/>
          <w:iCs w:val="1"/>
          <w:color w:val="auto"/>
        </w:rPr>
        <w:t>Instructions to Security Agent</w:t>
      </w:r>
      <w:r>
        <w:rPr>
          <w:rFonts w:ascii="Arial" w:cs="Arial" w:eastAsia="Arial" w:hAnsi="Arial"/>
          <w:sz w:val="18"/>
          <w:szCs w:val="18"/>
          <w:color w:val="auto"/>
        </w:rPr>
        <w:t>) the Security Agent may (but shall not be obliged to), in the absence of any instructions to the contrary, take such action in the exercise of any of its powers and duties under the Finance Documents as it considers in its discretion to be appropriate and in the best interests of the Finance Parties.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32.24 Order of application</w:t>
      </w:r>
    </w:p>
    <w:p>
      <w:pPr>
        <w:spacing w:after="0" w:line="220" w:lineRule="exact"/>
        <w:rPr>
          <w:sz w:val="20"/>
          <w:szCs w:val="20"/>
          <w:color w:val="auto"/>
        </w:rPr>
      </w:pPr>
    </w:p>
    <w:p>
      <w:pPr>
        <w:jc w:val="both"/>
        <w:ind w:left="1080" w:hanging="532"/>
        <w:spacing w:after="0"/>
        <w:tabs>
          <w:tab w:leader="none" w:pos="108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Security Agent agrees to apply the Trust Property and each other beneficiary of the Security Documents agrees to apply all moneys received by it in the exercise of its rights under the Security Documents in accordance with the following respective claims:</w:t>
      </w:r>
    </w:p>
    <w:p>
      <w:pPr>
        <w:spacing w:after="0" w:line="167" w:lineRule="exact"/>
        <w:rPr>
          <w:rFonts w:ascii="Arial" w:cs="Arial" w:eastAsia="Arial" w:hAnsi="Arial"/>
          <w:sz w:val="18"/>
          <w:szCs w:val="18"/>
          <w:color w:val="auto"/>
        </w:rPr>
      </w:pPr>
    </w:p>
    <w:p>
      <w:pPr>
        <w:jc w:val="both"/>
        <w:ind w:left="1620" w:hanging="532"/>
        <w:spacing w:after="0" w:line="244" w:lineRule="auto"/>
        <w:tabs>
          <w:tab w:leader="none" w:pos="1620" w:val="left"/>
        </w:tabs>
        <w:numPr>
          <w:ilvl w:val="1"/>
          <w:numId w:val="357"/>
        </w:numPr>
        <w:rPr>
          <w:rFonts w:ascii="Arial" w:cs="Arial" w:eastAsia="Arial" w:hAnsi="Arial"/>
          <w:sz w:val="18"/>
          <w:szCs w:val="18"/>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as to a sum equivalent to the amounts due and payable (i) to the Security Agent under the Finance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any amounts received by the Security Agent pursuant to clause 32.11 (</w:t>
      </w:r>
      <w:r>
        <w:rPr>
          <w:rFonts w:ascii="Arial" w:cs="Arial" w:eastAsia="Arial" w:hAnsi="Arial"/>
          <w:sz w:val="18"/>
          <w:szCs w:val="18"/>
          <w:i w:val="1"/>
          <w:iCs w:val="1"/>
          <w:color w:val="auto"/>
        </w:rPr>
        <w:t>Lenders’ indemnity to the Agent</w:t>
      </w:r>
      <w:r>
        <w:rPr>
          <w:rFonts w:ascii="Arial" w:cs="Arial" w:eastAsia="Arial" w:hAnsi="Arial"/>
          <w:sz w:val="18"/>
          <w:szCs w:val="18"/>
          <w:color w:val="auto"/>
        </w:rPr>
        <w:t>) as extended to the Security Agent pursuant to clause 32.21 (</w:t>
      </w:r>
      <w:r>
        <w:rPr>
          <w:rFonts w:ascii="Arial" w:cs="Arial" w:eastAsia="Arial" w:hAnsi="Arial"/>
          <w:sz w:val="18"/>
          <w:szCs w:val="18"/>
          <w:i w:val="1"/>
          <w:iCs w:val="1"/>
          <w:color w:val="auto"/>
        </w:rPr>
        <w:t>Application of certain clauses to Security Agent</w:t>
      </w:r>
      <w:r>
        <w:rPr>
          <w:rFonts w:ascii="Arial" w:cs="Arial" w:eastAsia="Arial" w:hAnsi="Arial"/>
          <w:sz w:val="18"/>
          <w:szCs w:val="18"/>
          <w:color w:val="auto"/>
        </w:rPr>
        <w:t>)), for the Security Agent absolutely and (ii) to the Agent under the Finance Documents (excluding any amounts received by the Agent pursuant to clause 32.11 (</w:t>
      </w:r>
      <w:r>
        <w:rPr>
          <w:rFonts w:ascii="Arial" w:cs="Arial" w:eastAsia="Arial" w:hAnsi="Arial"/>
          <w:sz w:val="18"/>
          <w:szCs w:val="18"/>
          <w:i w:val="1"/>
          <w:iCs w:val="1"/>
          <w:color w:val="auto"/>
        </w:rPr>
        <w:t>Lenders’ indemnity to the Agent))</w:t>
      </w:r>
      <w:r>
        <w:rPr>
          <w:rFonts w:ascii="Arial" w:cs="Arial" w:eastAsia="Arial" w:hAnsi="Arial"/>
          <w:sz w:val="18"/>
          <w:szCs w:val="18"/>
          <w:color w:val="auto"/>
        </w:rPr>
        <w:t xml:space="preserve"> for the Agent absolutely;</w:t>
      </w:r>
    </w:p>
    <w:p>
      <w:pPr>
        <w:spacing w:after="0" w:line="163" w:lineRule="exact"/>
        <w:rPr>
          <w:rFonts w:ascii="Arial" w:cs="Arial" w:eastAsia="Arial" w:hAnsi="Arial"/>
          <w:sz w:val="18"/>
          <w:szCs w:val="18"/>
          <w:color w:val="auto"/>
        </w:rPr>
      </w:pPr>
    </w:p>
    <w:p>
      <w:pPr>
        <w:jc w:val="both"/>
        <w:ind w:left="1620" w:hanging="532"/>
        <w:spacing w:after="0" w:line="253" w:lineRule="auto"/>
        <w:tabs>
          <w:tab w:leader="none" w:pos="1620" w:val="left"/>
        </w:tabs>
        <w:numPr>
          <w:ilvl w:val="1"/>
          <w:numId w:val="357"/>
        </w:numPr>
        <w:rPr>
          <w:rFonts w:ascii="Arial" w:cs="Arial" w:eastAsia="Arial" w:hAnsi="Arial"/>
          <w:sz w:val="18"/>
          <w:szCs w:val="18"/>
          <w:color w:val="auto"/>
        </w:rPr>
      </w:pPr>
      <w:r>
        <w:rPr>
          <w:rFonts w:ascii="Arial" w:cs="Arial" w:eastAsia="Arial" w:hAnsi="Arial"/>
          <w:sz w:val="18"/>
          <w:szCs w:val="18"/>
          <w:b w:val="1"/>
          <w:bCs w:val="1"/>
          <w:color w:val="auto"/>
        </w:rPr>
        <w:t>secondly</w:t>
      </w:r>
      <w:r>
        <w:rPr>
          <w:rFonts w:ascii="Arial" w:cs="Arial" w:eastAsia="Arial" w:hAnsi="Arial"/>
          <w:sz w:val="18"/>
          <w:szCs w:val="18"/>
          <w:color w:val="auto"/>
        </w:rPr>
        <w:t>, as to a sum equivalent to the aggregate amount then due and owing to the other Finance Parties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Documents, for those Finance Parties absolutely for application between them in accordance with clause 35.5 (</w:t>
      </w:r>
      <w:r>
        <w:rPr>
          <w:rFonts w:ascii="Arial" w:cs="Arial" w:eastAsia="Arial" w:hAnsi="Arial"/>
          <w:sz w:val="18"/>
          <w:szCs w:val="18"/>
          <w:i w:val="1"/>
          <w:iCs w:val="1"/>
          <w:color w:val="auto"/>
        </w:rPr>
        <w:t>Partial payments</w:t>
      </w:r>
      <w:r>
        <w:rPr>
          <w:rFonts w:ascii="Arial" w:cs="Arial" w:eastAsia="Arial" w:hAnsi="Arial"/>
          <w:sz w:val="18"/>
          <w:szCs w:val="18"/>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72" w:name="page173"/>
    <w:bookmarkEnd w:id="172"/>
    <w:p>
      <w:pPr>
        <w:jc w:val="both"/>
        <w:ind w:left="1620" w:hanging="532"/>
        <w:spacing w:after="0" w:line="247" w:lineRule="auto"/>
        <w:tabs>
          <w:tab w:leader="none" w:pos="1620" w:val="left"/>
        </w:tabs>
        <w:numPr>
          <w:ilvl w:val="1"/>
          <w:numId w:val="358"/>
        </w:numPr>
        <w:rPr>
          <w:rFonts w:ascii="Arial" w:cs="Arial" w:eastAsia="Arial" w:hAnsi="Arial"/>
          <w:sz w:val="18"/>
          <w:szCs w:val="18"/>
          <w:color w:val="auto"/>
        </w:rPr>
      </w:pPr>
      <w:r>
        <w:rPr>
          <w:rFonts w:ascii="Arial" w:cs="Arial" w:eastAsia="Arial" w:hAnsi="Arial"/>
          <w:sz w:val="18"/>
          <w:szCs w:val="18"/>
          <w:b w:val="1"/>
          <w:bCs w:val="1"/>
          <w:color w:val="auto"/>
        </w:rPr>
        <w:t>thirdly</w:t>
      </w:r>
      <w:r>
        <w:rPr>
          <w:rFonts w:ascii="Arial" w:cs="Arial" w:eastAsia="Arial" w:hAnsi="Arial"/>
          <w:sz w:val="18"/>
          <w:szCs w:val="18"/>
          <w:color w:val="auto"/>
        </w:rPr>
        <w:t>, until such time as the Security Agent is satisfied that all obligations owed to the Finance Parties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irrevocably and unconditionally discharged in full, held by the Security Agent on a suspense account for payment of any further amounts owing to the Finance Parties under the Finance Documents and further application in accordance with this clause 32.24(a) as and when any such amounts later fall due;</w:t>
      </w:r>
    </w:p>
    <w:p>
      <w:pPr>
        <w:spacing w:after="0" w:line="160" w:lineRule="exact"/>
        <w:rPr>
          <w:rFonts w:ascii="Arial" w:cs="Arial" w:eastAsia="Arial" w:hAnsi="Arial"/>
          <w:sz w:val="18"/>
          <w:szCs w:val="18"/>
          <w:color w:val="auto"/>
        </w:rPr>
      </w:pPr>
    </w:p>
    <w:p>
      <w:pPr>
        <w:ind w:left="1620" w:hanging="532"/>
        <w:spacing w:after="0"/>
        <w:tabs>
          <w:tab w:leader="none" w:pos="1620" w:val="left"/>
        </w:tabs>
        <w:numPr>
          <w:ilvl w:val="1"/>
          <w:numId w:val="358"/>
        </w:numPr>
        <w:rPr>
          <w:rFonts w:ascii="Arial" w:cs="Arial" w:eastAsia="Arial" w:hAnsi="Arial"/>
          <w:sz w:val="18"/>
          <w:szCs w:val="18"/>
          <w:color w:val="auto"/>
        </w:rPr>
      </w:pPr>
      <w:r>
        <w:rPr>
          <w:rFonts w:ascii="Arial" w:cs="Arial" w:eastAsia="Arial" w:hAnsi="Arial"/>
          <w:sz w:val="18"/>
          <w:szCs w:val="18"/>
          <w:b w:val="1"/>
          <w:bCs w:val="1"/>
          <w:color w:val="auto"/>
        </w:rPr>
        <w:t>fourthly</w:t>
      </w:r>
      <w:r>
        <w:rPr>
          <w:rFonts w:ascii="Arial" w:cs="Arial" w:eastAsia="Arial" w:hAnsi="Arial"/>
          <w:sz w:val="18"/>
          <w:szCs w:val="18"/>
          <w:color w:val="auto"/>
        </w:rPr>
        <w:t>, to such other persons (if any) as are legally entitled thereto in priority to the Obligors; and</w:t>
      </w:r>
    </w:p>
    <w:p>
      <w:pPr>
        <w:spacing w:after="0" w:line="198" w:lineRule="exact"/>
        <w:rPr>
          <w:rFonts w:ascii="Arial" w:cs="Arial" w:eastAsia="Arial" w:hAnsi="Arial"/>
          <w:sz w:val="18"/>
          <w:szCs w:val="18"/>
          <w:color w:val="auto"/>
        </w:rPr>
      </w:pPr>
    </w:p>
    <w:p>
      <w:pPr>
        <w:ind w:left="1620" w:hanging="532"/>
        <w:spacing w:after="0" w:line="271" w:lineRule="auto"/>
        <w:tabs>
          <w:tab w:leader="none" w:pos="1620" w:val="left"/>
        </w:tabs>
        <w:numPr>
          <w:ilvl w:val="1"/>
          <w:numId w:val="358"/>
        </w:numPr>
        <w:rPr>
          <w:rFonts w:ascii="Arial" w:cs="Arial" w:eastAsia="Arial" w:hAnsi="Arial"/>
          <w:sz w:val="18"/>
          <w:szCs w:val="18"/>
          <w:color w:val="auto"/>
        </w:rPr>
      </w:pPr>
      <w:r>
        <w:rPr>
          <w:rFonts w:ascii="Arial" w:cs="Arial" w:eastAsia="Arial" w:hAnsi="Arial"/>
          <w:sz w:val="18"/>
          <w:szCs w:val="18"/>
          <w:b w:val="1"/>
          <w:bCs w:val="1"/>
          <w:color w:val="auto"/>
        </w:rPr>
        <w:t>fifthly</w:t>
      </w:r>
      <w:r>
        <w:rPr>
          <w:rFonts w:ascii="Arial" w:cs="Arial" w:eastAsia="Arial" w:hAnsi="Arial"/>
          <w:sz w:val="18"/>
          <w:szCs w:val="18"/>
          <w:color w:val="auto"/>
        </w:rPr>
        <w:t>, as to the balance (if any), for the Obligors by or from whom or from whose assets the relevant amounts were paid,</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or recovered or other person entitled to them.</w:t>
      </w:r>
    </w:p>
    <w:p>
      <w:pPr>
        <w:spacing w:after="0" w:line="162" w:lineRule="exact"/>
        <w:rPr>
          <w:rFonts w:ascii="Arial" w:cs="Arial" w:eastAsia="Arial" w:hAnsi="Arial"/>
          <w:sz w:val="18"/>
          <w:szCs w:val="18"/>
          <w:color w:val="auto"/>
        </w:rPr>
      </w:pPr>
    </w:p>
    <w:p>
      <w:pPr>
        <w:jc w:val="both"/>
        <w:ind w:left="1080" w:hanging="532"/>
        <w:spacing w:after="0" w:line="237" w:lineRule="auto"/>
        <w:tabs>
          <w:tab w:leader="none" w:pos="108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Security Agent and each other beneficiary of the Security Documents shall make each application as soon as is practicable after the relevant moneys are received by, or otherwise become available to, it save that (without prejudice to any other provision contained in any of the Security Documents) the Security Agent (acting on the instructions of the Agent), any other beneficiary of the Security Documents or any receiver or administrator may credit any moneys received by it to a suspense account for so long and in such manner as the Security Agent, such other beneficiary of the Security Documents or such receiver or administrator may from time to time determine with a view to preserving the rights of the Finance Parties or any of them to prove for the whole of their respective claims against the Borrowers or any other person liable.</w:t>
      </w:r>
    </w:p>
    <w:p>
      <w:pPr>
        <w:spacing w:after="0" w:line="189" w:lineRule="exact"/>
        <w:rPr>
          <w:rFonts w:ascii="Arial" w:cs="Arial" w:eastAsia="Arial" w:hAnsi="Arial"/>
          <w:sz w:val="18"/>
          <w:szCs w:val="18"/>
          <w:color w:val="auto"/>
        </w:rPr>
      </w:pPr>
    </w:p>
    <w:p>
      <w:pPr>
        <w:jc w:val="both"/>
        <w:ind w:left="1080" w:hanging="532"/>
        <w:spacing w:after="0"/>
        <w:tabs>
          <w:tab w:leader="none" w:pos="108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Security Agent and/or any other beneficiary of the Security Documents shall obtain a good discharge in respect of the amounts expressed to be due to the other Finance Parties as referred to in this clause 32.24 by paying such amounts to the Agent for distribution in accordance with clause 35 (</w:t>
      </w:r>
      <w:r>
        <w:rPr>
          <w:rFonts w:ascii="Arial" w:cs="Arial" w:eastAsia="Arial" w:hAnsi="Arial"/>
          <w:sz w:val="18"/>
          <w:szCs w:val="18"/>
          <w:i w:val="1"/>
          <w:iCs w:val="1"/>
          <w:color w:val="auto"/>
        </w:rPr>
        <w:t>Payment mechanics</w:t>
      </w:r>
      <w:r>
        <w:rPr>
          <w:rFonts w:ascii="Arial" w:cs="Arial" w:eastAsia="Arial" w:hAnsi="Arial"/>
          <w:sz w:val="18"/>
          <w:szCs w:val="18"/>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32.25 Powers and duties of the Security Agent as trustee of the security</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its capacity as trustee in relation to the Trust Property, the Security Agent:</w:t>
      </w:r>
    </w:p>
    <w:p>
      <w:pPr>
        <w:spacing w:after="0" w:line="198" w:lineRule="exact"/>
        <w:rPr>
          <w:sz w:val="20"/>
          <w:szCs w:val="20"/>
          <w:color w:val="auto"/>
        </w:rPr>
      </w:pPr>
    </w:p>
    <w:p>
      <w:pPr>
        <w:jc w:val="both"/>
        <w:ind w:left="1080" w:hanging="532"/>
        <w:spacing w:after="0" w:line="238" w:lineRule="auto"/>
        <w:tabs>
          <w:tab w:leader="none" w:pos="10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shall, without prejudice to any of the powers, discretions and immunities conferred upon trustees by law (and to the extent not inconsistent with the provisions of this Agreement or any of the Security Documents), have all the same powers and discretions as a natural person acting as the beneficial owner of such property and/or as are conferred upon the Security Agent by this Agreement and/or any Security Document but so that the Security Agent may only exercise such powers and discretions to the extent that it is authorised to do so by the provisions of this Agreement;</w:t>
      </w:r>
    </w:p>
    <w:p>
      <w:pPr>
        <w:spacing w:after="0" w:line="171" w:lineRule="exact"/>
        <w:rPr>
          <w:rFonts w:ascii="Arial" w:cs="Arial" w:eastAsia="Arial" w:hAnsi="Arial"/>
          <w:sz w:val="18"/>
          <w:szCs w:val="18"/>
          <w:color w:val="auto"/>
        </w:rPr>
      </w:pPr>
    </w:p>
    <w:p>
      <w:pPr>
        <w:jc w:val="both"/>
        <w:ind w:left="1080" w:hanging="532"/>
        <w:spacing w:after="0" w:line="239" w:lineRule="auto"/>
        <w:tabs>
          <w:tab w:leader="none" w:pos="10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shall (subject to clause 32.24(a) (</w:t>
      </w:r>
      <w:r>
        <w:rPr>
          <w:rFonts w:ascii="Arial" w:cs="Arial" w:eastAsia="Arial" w:hAnsi="Arial"/>
          <w:sz w:val="18"/>
          <w:szCs w:val="18"/>
          <w:i w:val="1"/>
          <w:iCs w:val="1"/>
          <w:color w:val="auto"/>
        </w:rPr>
        <w:t>Order of application</w:t>
      </w:r>
      <w:r>
        <w:rPr>
          <w:rFonts w:ascii="Arial" w:cs="Arial" w:eastAsia="Arial" w:hAnsi="Arial"/>
          <w:sz w:val="18"/>
          <w:szCs w:val="18"/>
          <w:color w:val="auto"/>
        </w:rPr>
        <w:t>)) be entitled (in its own name or in the names of nominees) to invest moneys from time to time forming part of the Trust Property or otherwise held by it as a consequence of any enforcement of the security constituted by any Finance Document which, in the reasonable opinion of the Security Agent, it would not be practicable to distribute immediately, by placing the same on deposit in the name or under the control of the Security Agent as the Security Agent may think fit without being under any duty to diversify the same and the Security Agent shall not be responsible for any loss due to interest rate or exchange rate fluctuations except for any loss arising from the Security Agent’s gross negligence or wilful default and shall not be liable to account for an amount of interest greater than the standard amount that would be payable to an independent customer;</w:t>
      </w:r>
    </w:p>
    <w:p>
      <w:pPr>
        <w:spacing w:after="0" w:line="192" w:lineRule="exact"/>
        <w:rPr>
          <w:rFonts w:ascii="Arial" w:cs="Arial" w:eastAsia="Arial" w:hAnsi="Arial"/>
          <w:sz w:val="18"/>
          <w:szCs w:val="18"/>
          <w:color w:val="auto"/>
        </w:rPr>
      </w:pPr>
    </w:p>
    <w:p>
      <w:pPr>
        <w:jc w:val="both"/>
        <w:ind w:left="1080" w:hanging="532"/>
        <w:spacing w:after="0" w:line="239" w:lineRule="auto"/>
        <w:tabs>
          <w:tab w:leader="none" w:pos="10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may, in the conduct of its obligations under and in respect of the Security Documents, instead of acting personally, employ and pay any agent (whether being a lawyer or any other person) to transact or concur in transacting any business and to do or concur in doing any acts required to be done by the Security Agent (including the receipt and payment of money) or may delegate to any person on any terms (including the power to sub-delegate) and on the basis that (i) any such agent or delegate engaged in any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173" w:name="page174"/>
    <w:bookmarkEnd w:id="173"/>
    <w:p>
      <w:pPr>
        <w:jc w:val="both"/>
        <w:ind w:left="540"/>
        <w:spacing w:after="0" w:line="239" w:lineRule="auto"/>
        <w:rPr>
          <w:sz w:val="20"/>
          <w:szCs w:val="20"/>
          <w:color w:val="auto"/>
        </w:rPr>
      </w:pPr>
      <w:r>
        <w:rPr>
          <w:rFonts w:ascii="Arial" w:cs="Arial" w:eastAsia="Arial" w:hAnsi="Arial"/>
          <w:sz w:val="18"/>
          <w:szCs w:val="18"/>
          <w:color w:val="auto"/>
        </w:rPr>
        <w:t>profession or business shall be entitled to be paid all usual professional and other charges for business transacted and acts done by him or any partner or employee of his or her in connection with such employment and (ii) the Security Agent shall not be bound to supervise, or be responsible for any loss incurred by reason of any act or omission of, any such agent or delegate if the Security Agent shall have exercised reasonable care in the selection of such agent;</w:t>
      </w:r>
    </w:p>
    <w:p>
      <w:pPr>
        <w:spacing w:after="0" w:line="188" w:lineRule="exact"/>
        <w:rPr>
          <w:sz w:val="20"/>
          <w:szCs w:val="20"/>
          <w:color w:val="auto"/>
        </w:rPr>
      </w:pPr>
    </w:p>
    <w:p>
      <w:pPr>
        <w:jc w:val="both"/>
        <w:ind w:left="540" w:hanging="532"/>
        <w:spacing w:after="0" w:line="237" w:lineRule="auto"/>
        <w:tabs>
          <w:tab w:leader="none" w:pos="54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may place all deeds and other documents relating to the Trust Property which are from time to time deposited with it pursuant to the Security Documents in any safe deposit, safe or receptacle selected by the Security Agent or with any firm of solicitors or company whose business includes undertaking the safe custody of documents selected by the Security Agent and may make any such arrangements as it thinks fit for allowing Obligors access to, or its solicitors or auditors possession of, such documents when necessary or convenient and the Security Agent shall not be responsible for any loss incurred in connection with any such deposit, access or possession if it has exercised reasonable care in the selection of a safe deposit, safe, receptacle or firm of solicitors or company;</w:t>
      </w:r>
    </w:p>
    <w:p>
      <w:pPr>
        <w:spacing w:after="0" w:line="189" w:lineRule="exact"/>
        <w:rPr>
          <w:rFonts w:ascii="Arial" w:cs="Arial" w:eastAsia="Arial" w:hAnsi="Arial"/>
          <w:sz w:val="18"/>
          <w:szCs w:val="18"/>
          <w:color w:val="auto"/>
        </w:rPr>
      </w:pPr>
    </w:p>
    <w:p>
      <w:pPr>
        <w:jc w:val="both"/>
        <w:ind w:left="540" w:hanging="532"/>
        <w:spacing w:after="0"/>
        <w:tabs>
          <w:tab w:leader="none" w:pos="54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may, unless and to the extent the express provisions of any Security Document provide otherwise, do any act or thing in the exercise of any of its duties under the Finance Documents which in its absolute discretion (in the absence of any instructions of the Agent as to the doing of such act or thing) it deems advisable for the protection and benefit of all the Finance Parties;</w:t>
      </w:r>
    </w:p>
    <w:p>
      <w:pPr>
        <w:spacing w:after="0" w:line="189" w:lineRule="exact"/>
        <w:rPr>
          <w:rFonts w:ascii="Arial" w:cs="Arial" w:eastAsia="Arial" w:hAnsi="Arial"/>
          <w:sz w:val="18"/>
          <w:szCs w:val="18"/>
          <w:color w:val="auto"/>
        </w:rPr>
      </w:pPr>
    </w:p>
    <w:p>
      <w:pPr>
        <w:jc w:val="both"/>
        <w:ind w:left="540" w:hanging="532"/>
        <w:spacing w:after="0" w:line="238" w:lineRule="auto"/>
        <w:tabs>
          <w:tab w:leader="none" w:pos="54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may, unless the express provisions of any such Security Document provide otherwise, if authorised by the Agent following instructions of all the Lenders or the Majority Lenders (as the case may be), amend or vary the terms of or waive breaches of or defaults under, or otherwise excuse performance of any provision of, or grant consents under any of the Security Documents to which it is a party, any such amendment, variation, waiver or consent so authorised to be binding on all the parties hereto and that Security Agent to be under no liability whatsoever in respect thereof;</w:t>
      </w:r>
    </w:p>
    <w:p>
      <w:pPr>
        <w:spacing w:after="0" w:line="189" w:lineRule="exact"/>
        <w:rPr>
          <w:rFonts w:ascii="Arial" w:cs="Arial" w:eastAsia="Arial" w:hAnsi="Arial"/>
          <w:sz w:val="18"/>
          <w:szCs w:val="18"/>
          <w:color w:val="auto"/>
        </w:rPr>
      </w:pPr>
    </w:p>
    <w:p>
      <w:pPr>
        <w:jc w:val="both"/>
        <w:ind w:left="540" w:hanging="532"/>
        <w:spacing w:after="0"/>
        <w:tabs>
          <w:tab w:leader="none" w:pos="54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shall not be bound to disclose to any other person (including but not limited to any other Finance Party) (i) any Confidential Information or (ii) any other information if disclosure would, or might in its reasonable opinion, constitute a breach of any law or be a breach of fiduciary duty;</w:t>
      </w:r>
    </w:p>
    <w:p>
      <w:pPr>
        <w:spacing w:after="0" w:line="189" w:lineRule="exact"/>
        <w:rPr>
          <w:rFonts w:ascii="Arial" w:cs="Arial" w:eastAsia="Arial" w:hAnsi="Arial"/>
          <w:sz w:val="18"/>
          <w:szCs w:val="18"/>
          <w:color w:val="auto"/>
        </w:rPr>
      </w:pPr>
    </w:p>
    <w:p>
      <w:pPr>
        <w:jc w:val="both"/>
        <w:ind w:left="540" w:hanging="532"/>
        <w:spacing w:after="0"/>
        <w:tabs>
          <w:tab w:leader="none" w:pos="54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shall have no responsibility to make any payment, deduction or withholding of any Tax or governmental charge as a result of the Security Agent (i) holding the Security Interests created by the Finance Documents or (ii) enforcing such Security Interests created by the Finance Documents;</w:t>
      </w:r>
    </w:p>
    <w:p>
      <w:pPr>
        <w:spacing w:after="0" w:line="189" w:lineRule="exact"/>
        <w:rPr>
          <w:rFonts w:ascii="Arial" w:cs="Arial" w:eastAsia="Arial" w:hAnsi="Arial"/>
          <w:sz w:val="18"/>
          <w:szCs w:val="18"/>
          <w:color w:val="auto"/>
        </w:rPr>
      </w:pPr>
    </w:p>
    <w:p>
      <w:pPr>
        <w:ind w:left="540" w:hanging="532"/>
        <w:spacing w:after="0"/>
        <w:tabs>
          <w:tab w:leader="none" w:pos="54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shall not have or be deemed to have any relationship of trust or agency with, any Obligor; and</w:t>
      </w:r>
    </w:p>
    <w:p>
      <w:pPr>
        <w:spacing w:after="0" w:line="198" w:lineRule="exact"/>
        <w:rPr>
          <w:rFonts w:ascii="Arial" w:cs="Arial" w:eastAsia="Arial" w:hAnsi="Arial"/>
          <w:sz w:val="18"/>
          <w:szCs w:val="18"/>
          <w:color w:val="auto"/>
        </w:rPr>
      </w:pPr>
    </w:p>
    <w:p>
      <w:pPr>
        <w:jc w:val="both"/>
        <w:ind w:left="540" w:hanging="532"/>
        <w:spacing w:after="0" w:line="239" w:lineRule="auto"/>
        <w:tabs>
          <w:tab w:leader="none" w:pos="54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shall have only those duties, obligations and responsibilities expressly specified in the Finance Documents to which it is expressed to be a party (and no others shall be implied) and the role and functions of the Security Agent under this Agreement shall be purely mechanical and administrative in nature and, subject to the terms of this Agreement, acting on the instructions of the Agent.</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rights, powers and discretions conferred upon the Security Agent by this Agreement shall be supplemental to the Trustee Act 1925 and the Trustee Act 2000 and in addition to any which may be vested in the Security Agent by general law or otherwise.</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Section 1 of the Trustee Act 2000 shall not apply to the duties of the Security Agent in relation to the trusts constituted by this Agreement. Where there are any inconsistencies between the Trustee Act 1925 or the Trustee Act 2000 and the provisions of this Agreement, the provisions of this Agreement shall, to the extent allowed by law, prevail and, in the case of any inconsistency with the Trustee Act 2000, the provisions of this Agreement shall constitute a restriction or exclusion for the purposes of that Act.</w:t>
      </w:r>
    </w:p>
    <w:p>
      <w:pPr>
        <w:spacing w:after="0" w:line="17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135255</wp:posOffset>
            </wp:positionV>
            <wp:extent cx="7246620" cy="342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80"/>
          </w:cols>
          <w:pgMar w:left="780" w:top="422" w:right="2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color w:val="auto"/>
        </w:rPr>
        <w:t>32.26 Insurance by Security Agent</w:t>
      </w:r>
    </w:p>
    <w:p>
      <w:pPr>
        <w:spacing w:after="0" w:line="220" w:lineRule="exact"/>
        <w:rPr>
          <w:sz w:val="20"/>
          <w:szCs w:val="20"/>
          <w:color w:val="auto"/>
        </w:rPr>
      </w:pPr>
    </w:p>
    <w:p>
      <w:pPr>
        <w:jc w:val="both"/>
        <w:ind w:left="540"/>
        <w:spacing w:after="0" w:line="238" w:lineRule="auto"/>
        <w:rPr>
          <w:sz w:val="20"/>
          <w:szCs w:val="20"/>
          <w:color w:val="auto"/>
        </w:rPr>
      </w:pPr>
      <w:r>
        <w:rPr>
          <w:rFonts w:ascii="Arial" w:cs="Arial" w:eastAsia="Arial" w:hAnsi="Arial"/>
          <w:sz w:val="18"/>
          <w:szCs w:val="18"/>
          <w:color w:val="auto"/>
        </w:rPr>
        <w:t>Where the Security Agent is named on any insurance policy (including the Insurances) as an insured party and/or loss payee, the Security Agent shall not be responsible for any loss which may be suffered by reason of, directly or indirectly, its failure to notify the insurers of any material fact relating to the risk assumed by such insurers or any other information of any kind, unless the Agent shall have requested it to do so in writing and the Security Agent shall have failed to do so within 14 days after receipt of that request. The Security Agent shall have no obligation to, or any liability for any failure to, insure any of the Charged Property.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32.27 Custodians and nominees</w:t>
      </w:r>
    </w:p>
    <w:p>
      <w:pPr>
        <w:spacing w:after="0" w:line="220" w:lineRule="exact"/>
        <w:rPr>
          <w:sz w:val="20"/>
          <w:szCs w:val="20"/>
          <w:color w:val="auto"/>
        </w:rPr>
      </w:pPr>
    </w:p>
    <w:p>
      <w:pPr>
        <w:jc w:val="both"/>
        <w:ind w:left="540"/>
        <w:spacing w:after="0" w:line="237" w:lineRule="auto"/>
        <w:rPr>
          <w:sz w:val="20"/>
          <w:szCs w:val="20"/>
          <w:color w:val="auto"/>
        </w:rPr>
      </w:pPr>
      <w:r>
        <w:rPr>
          <w:rFonts w:ascii="Arial" w:cs="Arial" w:eastAsia="Arial" w:hAnsi="Arial"/>
          <w:sz w:val="18"/>
          <w:szCs w:val="18"/>
          <w:color w:val="auto"/>
        </w:rPr>
        <w:t>The Security Agent may (to the extent legally permitted) appoint and pay any person to act as a custodian or nominee on any terms in relation to any assets of the trust as the Security Agent may determine, including for the purpose of depositing with a custodian this Agreement or any document relating to the trust created under this Agreement and the Security Agent shall not be responsible for any loss, liability, expense, demand, cost, claim or proceedings incurred by reason of the misconduct, omission or default on the part of any person appointed by it under this Agreement or be bound to supervise the proceedings or acts of any person if it has exercised reasonable care in the selection of such person.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32.28 Acceptance of title</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The Security Agent shall be entitled to accept without enquiry, and shall not be obliged to investigate, any right and title that any of the Obligors have to any of the Charged Property and shall not be liable for or bound to require any debtor to remedy any defect in its right or title.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32.29 Refrain from illegality</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Notwithstanding anything to the contrary expressed or implied in the Finance Documents, the Security Agent may refrain from doing anything which in its opinion will or may be contrary to any relevant law, directive or regulation of any applicable jurisdiction and the Security Agent may do anything which is, in its opinion, necessary to comply with any such law, directive or regulation.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32.30 All enforcement action through the Security Agent</w:t>
      </w:r>
    </w:p>
    <w:p>
      <w:pPr>
        <w:spacing w:after="0" w:line="220" w:lineRule="exact"/>
        <w:rPr>
          <w:sz w:val="20"/>
          <w:szCs w:val="20"/>
          <w:color w:val="auto"/>
        </w:rPr>
      </w:pPr>
    </w:p>
    <w:p>
      <w:pPr>
        <w:jc w:val="both"/>
        <w:ind w:left="1080" w:hanging="532"/>
        <w:spacing w:after="0" w:line="239" w:lineRule="auto"/>
        <w:tabs>
          <w:tab w:leader="none" w:pos="108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None of the other Finance Parties shall have any independent power to enforce any of those Security Documents which are executed in favour of the Security Agent only, or to exercise any rights, discretions or powers or to grant any consents or releases under or pursuant to such Security Documents or otherwise have direct recourse to the security and/or guarantees constituted by such Security Documents except through the Security Agent.</w:t>
      </w:r>
    </w:p>
    <w:p>
      <w:pPr>
        <w:spacing w:after="0" w:line="188" w:lineRule="exact"/>
        <w:rPr>
          <w:rFonts w:ascii="Arial" w:cs="Arial" w:eastAsia="Arial" w:hAnsi="Arial"/>
          <w:sz w:val="18"/>
          <w:szCs w:val="18"/>
          <w:color w:val="auto"/>
        </w:rPr>
      </w:pPr>
    </w:p>
    <w:p>
      <w:pPr>
        <w:jc w:val="both"/>
        <w:ind w:left="1080" w:hanging="532"/>
        <w:spacing w:after="0" w:line="237" w:lineRule="auto"/>
        <w:tabs>
          <w:tab w:leader="none" w:pos="108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None of the other Finance Parties shall have any independent power to enforce any of those Security Documents which are executed in their favour or to exercise any rights, discretions or powers or to grant any consents or releases under or pursuant to such Security Documents or otherwise have direct recourse to the security and/or guarantees constituted by such Security Documents except with the prior written consent of the Agent (acting through the Security Agent and on the instructions of the Majority Lenders). If any Finance Party (other than the Security Agent) is a party to any Security Document it shall promptly upon being requested by the Agent to do so grant a power of attorney or other sufficient authority to the Security Agent to enable the Security Agent to exercise any rights, discretions or powers or to grant any consents or releases under such Security Document.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32.31 Co-operation to achieve agreed priorities of application</w:t>
      </w:r>
    </w:p>
    <w:p>
      <w:pPr>
        <w:spacing w:after="0" w:line="220" w:lineRule="exact"/>
        <w:rPr>
          <w:sz w:val="20"/>
          <w:szCs w:val="20"/>
          <w:color w:val="auto"/>
        </w:rPr>
      </w:pPr>
    </w:p>
    <w:p>
      <w:pPr>
        <w:ind w:left="540"/>
        <w:spacing w:after="0" w:line="246" w:lineRule="auto"/>
        <w:rPr>
          <w:sz w:val="20"/>
          <w:szCs w:val="20"/>
          <w:color w:val="auto"/>
        </w:rPr>
      </w:pPr>
      <w:r>
        <w:rPr>
          <w:rFonts w:ascii="Arial" w:cs="Arial" w:eastAsia="Arial" w:hAnsi="Arial"/>
          <w:sz w:val="18"/>
          <w:szCs w:val="18"/>
          <w:color w:val="auto"/>
        </w:rPr>
        <w:t>The other Finance Parties shall co-operate with each other and with the Security Agent and any receiver or administrator under the Security Documents in realising the property and assets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175" w:name="page176"/>
    <w:bookmarkEnd w:id="175"/>
    <w:p>
      <w:pPr>
        <w:ind w:left="540"/>
        <w:spacing w:after="0" w:line="246" w:lineRule="auto"/>
        <w:rPr>
          <w:sz w:val="20"/>
          <w:szCs w:val="20"/>
          <w:color w:val="auto"/>
        </w:rPr>
      </w:pPr>
      <w:r>
        <w:rPr>
          <w:rFonts w:ascii="Arial" w:cs="Arial" w:eastAsia="Arial" w:hAnsi="Arial"/>
          <w:sz w:val="18"/>
          <w:szCs w:val="18"/>
          <w:color w:val="auto"/>
        </w:rPr>
        <w:t>subject to the Security Documents and in ensuring that the net proceeds realised under the Security Documents after deduction of the expenses of realisation are applied in accordance with clause 32.24(a) (</w:t>
      </w:r>
      <w:r>
        <w:rPr>
          <w:rFonts w:ascii="Arial" w:cs="Arial" w:eastAsia="Arial" w:hAnsi="Arial"/>
          <w:sz w:val="18"/>
          <w:szCs w:val="18"/>
          <w:i w:val="1"/>
          <w:iCs w:val="1"/>
          <w:color w:val="auto"/>
        </w:rPr>
        <w:t>Order of application</w:t>
      </w:r>
      <w:r>
        <w:rPr>
          <w:rFonts w:ascii="Arial" w:cs="Arial" w:eastAsia="Arial" w:hAnsi="Arial"/>
          <w:sz w:val="18"/>
          <w:szCs w:val="18"/>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32.32 Indemnity from Trust Property</w:t>
      </w:r>
    </w:p>
    <w:p>
      <w:pPr>
        <w:spacing w:after="0" w:line="220" w:lineRule="exact"/>
        <w:rPr>
          <w:sz w:val="20"/>
          <w:szCs w:val="20"/>
          <w:color w:val="auto"/>
        </w:rPr>
      </w:pPr>
    </w:p>
    <w:p>
      <w:pPr>
        <w:jc w:val="both"/>
        <w:ind w:left="1080" w:hanging="532"/>
        <w:spacing w:after="0" w:line="239" w:lineRule="auto"/>
        <w:tabs>
          <w:tab w:leader="none" w:pos="108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 xml:space="preserve">In respect of all liabilities, costs or expenses for which the Obligors are liable under this Agreement, the Security Agent and each Affiliate of the Security Agent and each officer or employee of the Security Agent or its Affiliate (each a </w:t>
      </w:r>
      <w:r>
        <w:rPr>
          <w:rFonts w:ascii="Arial" w:cs="Arial" w:eastAsia="Arial" w:hAnsi="Arial"/>
          <w:sz w:val="18"/>
          <w:szCs w:val="18"/>
          <w:b w:val="1"/>
          <w:bCs w:val="1"/>
          <w:color w:val="auto"/>
        </w:rPr>
        <w:t>Relevant Person</w:t>
      </w:r>
      <w:r>
        <w:rPr>
          <w:rFonts w:ascii="Arial" w:cs="Arial" w:eastAsia="Arial" w:hAnsi="Arial"/>
          <w:sz w:val="18"/>
          <w:szCs w:val="18"/>
          <w:color w:val="auto"/>
        </w:rPr>
        <w:t>) shall be entitled to be indemnified out of the Trust Property in respect of all liabilities, damages, costs, claims, charges or expenses whatsoever properly incurred or suffered by such Relevant Person:</w:t>
      </w:r>
    </w:p>
    <w:p>
      <w:pPr>
        <w:spacing w:after="0" w:line="188" w:lineRule="exact"/>
        <w:rPr>
          <w:rFonts w:ascii="Arial" w:cs="Arial" w:eastAsia="Arial" w:hAnsi="Arial"/>
          <w:sz w:val="18"/>
          <w:szCs w:val="18"/>
          <w:color w:val="auto"/>
        </w:rPr>
      </w:pPr>
    </w:p>
    <w:p>
      <w:pPr>
        <w:ind w:left="1620" w:right="20" w:hanging="532"/>
        <w:spacing w:after="0" w:line="246" w:lineRule="auto"/>
        <w:tabs>
          <w:tab w:leader="none" w:pos="1620" w:val="left"/>
        </w:tabs>
        <w:numPr>
          <w:ilvl w:val="1"/>
          <w:numId w:val="363"/>
        </w:numPr>
        <w:rPr>
          <w:rFonts w:ascii="Arial" w:cs="Arial" w:eastAsia="Arial" w:hAnsi="Arial"/>
          <w:sz w:val="18"/>
          <w:szCs w:val="18"/>
          <w:color w:val="auto"/>
        </w:rPr>
      </w:pPr>
      <w:r>
        <w:rPr>
          <w:rFonts w:ascii="Arial" w:cs="Arial" w:eastAsia="Arial" w:hAnsi="Arial"/>
          <w:sz w:val="18"/>
          <w:szCs w:val="18"/>
          <w:color w:val="auto"/>
        </w:rPr>
        <w:t>in the execution or exercise or bona fide purported execution or exercise of the trusts, rights, powers, authorities, discretions and duties created or conferred by or pursuant to the Finance Documents;</w:t>
      </w:r>
    </w:p>
    <w:p>
      <w:pPr>
        <w:spacing w:after="0" w:line="183" w:lineRule="exact"/>
        <w:rPr>
          <w:rFonts w:ascii="Arial" w:cs="Arial" w:eastAsia="Arial" w:hAnsi="Arial"/>
          <w:sz w:val="18"/>
          <w:szCs w:val="18"/>
          <w:color w:val="auto"/>
        </w:rPr>
      </w:pPr>
    </w:p>
    <w:p>
      <w:pPr>
        <w:ind w:left="1620" w:hanging="532"/>
        <w:spacing w:after="0"/>
        <w:tabs>
          <w:tab w:leader="none" w:pos="1620" w:val="left"/>
        </w:tabs>
        <w:numPr>
          <w:ilvl w:val="1"/>
          <w:numId w:val="363"/>
        </w:numPr>
        <w:rPr>
          <w:rFonts w:ascii="Arial" w:cs="Arial" w:eastAsia="Arial" w:hAnsi="Arial"/>
          <w:sz w:val="18"/>
          <w:szCs w:val="18"/>
          <w:color w:val="auto"/>
        </w:rPr>
      </w:pPr>
      <w:r>
        <w:rPr>
          <w:rFonts w:ascii="Arial" w:cs="Arial" w:eastAsia="Arial" w:hAnsi="Arial"/>
          <w:sz w:val="18"/>
          <w:szCs w:val="18"/>
          <w:color w:val="auto"/>
        </w:rPr>
        <w:t>as a result of any breach by an Obligor of any of its obligations under any Finance Document;</w:t>
      </w:r>
    </w:p>
    <w:p>
      <w:pPr>
        <w:spacing w:after="0" w:line="198"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363"/>
        </w:numPr>
        <w:rPr>
          <w:rFonts w:ascii="Arial" w:cs="Arial" w:eastAsia="Arial" w:hAnsi="Arial"/>
          <w:sz w:val="18"/>
          <w:szCs w:val="18"/>
          <w:color w:val="auto"/>
        </w:rPr>
      </w:pPr>
      <w:r>
        <w:rPr>
          <w:rFonts w:ascii="Arial" w:cs="Arial" w:eastAsia="Arial" w:hAnsi="Arial"/>
          <w:sz w:val="18"/>
          <w:szCs w:val="18"/>
          <w:color w:val="auto"/>
        </w:rPr>
        <w:t>in respect of any Environmental Claim made or asserted against a Relevant Person which would not have arisen if the Finance Documents had not been executed; and</w:t>
      </w:r>
    </w:p>
    <w:p>
      <w:pPr>
        <w:spacing w:after="0" w:line="183" w:lineRule="exact"/>
        <w:rPr>
          <w:rFonts w:ascii="Arial" w:cs="Arial" w:eastAsia="Arial" w:hAnsi="Arial"/>
          <w:sz w:val="18"/>
          <w:szCs w:val="18"/>
          <w:color w:val="auto"/>
        </w:rPr>
      </w:pPr>
    </w:p>
    <w:p>
      <w:pPr>
        <w:ind w:left="1620" w:right="20" w:hanging="532"/>
        <w:spacing w:after="0" w:line="246" w:lineRule="auto"/>
        <w:tabs>
          <w:tab w:leader="none" w:pos="1620" w:val="left"/>
        </w:tabs>
        <w:numPr>
          <w:ilvl w:val="1"/>
          <w:numId w:val="363"/>
        </w:numPr>
        <w:rPr>
          <w:rFonts w:ascii="Arial" w:cs="Arial" w:eastAsia="Arial" w:hAnsi="Arial"/>
          <w:sz w:val="18"/>
          <w:szCs w:val="18"/>
          <w:color w:val="auto"/>
        </w:rPr>
      </w:pPr>
      <w:r>
        <w:rPr>
          <w:rFonts w:ascii="Arial" w:cs="Arial" w:eastAsia="Arial" w:hAnsi="Arial"/>
          <w:sz w:val="18"/>
          <w:szCs w:val="18"/>
          <w:color w:val="auto"/>
        </w:rPr>
        <w:t>in respect of any matter or thing done or omitted in any way in accordance with the terms of the Finance Documents relating to the Trust Property or the provisions of any of the Finance Documents.</w:t>
      </w:r>
    </w:p>
    <w:p>
      <w:pPr>
        <w:spacing w:after="0" w:line="183" w:lineRule="exact"/>
        <w:rPr>
          <w:rFonts w:ascii="Arial" w:cs="Arial" w:eastAsia="Arial" w:hAnsi="Arial"/>
          <w:sz w:val="18"/>
          <w:szCs w:val="18"/>
          <w:color w:val="auto"/>
        </w:rPr>
      </w:pPr>
    </w:p>
    <w:p>
      <w:pPr>
        <w:jc w:val="both"/>
        <w:ind w:left="1080" w:hanging="532"/>
        <w:spacing w:after="0" w:line="237" w:lineRule="auto"/>
        <w:tabs>
          <w:tab w:leader="none" w:pos="108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The rights conferred by this clause 32.32 are without prejudice to any right to indemnity by law given to trustees generally and to any provision of the Finance Documents entitling the Security Agent or any other person to an indemnity in respect of, and/or reimbursement of, any liabilities, costs or expenses incurred or suffered by it in connection with any of the Finance Documents or the performance of any duties under any of the Finance Documents. Nothing contained in this clause 32.32 shall entitle the Security Agent or any other person to be indemnified in respect of any liabilities, damages, costs, claims, charges or expenses to the extent that the same arise from such person’s own gross negligence or wilful default.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32.33 Finance Parties to provide information</w:t>
      </w:r>
    </w:p>
    <w:p>
      <w:pPr>
        <w:spacing w:after="0" w:line="220" w:lineRule="exact"/>
        <w:rPr>
          <w:sz w:val="20"/>
          <w:szCs w:val="20"/>
          <w:color w:val="auto"/>
        </w:rPr>
      </w:pPr>
    </w:p>
    <w:p>
      <w:pPr>
        <w:jc w:val="both"/>
        <w:ind w:left="540"/>
        <w:spacing w:after="0" w:line="238" w:lineRule="auto"/>
        <w:rPr>
          <w:sz w:val="20"/>
          <w:szCs w:val="20"/>
          <w:color w:val="auto"/>
        </w:rPr>
      </w:pPr>
      <w:r>
        <w:rPr>
          <w:rFonts w:ascii="Arial" w:cs="Arial" w:eastAsia="Arial" w:hAnsi="Arial"/>
          <w:sz w:val="18"/>
          <w:szCs w:val="18"/>
          <w:color w:val="auto"/>
        </w:rPr>
        <w:t>The other Finance Parties shall provide the Security Agent with such written information as it may reasonably require for the purposes of carrying out its duties and obligations under the Security Documents and, in particular, with such necessary directions in writing so as to enable the Security Agent to make the calculations and applications contemplated by clause 32.24(a) (</w:t>
      </w:r>
      <w:r>
        <w:rPr>
          <w:rFonts w:ascii="Arial" w:cs="Arial" w:eastAsia="Arial" w:hAnsi="Arial"/>
          <w:sz w:val="18"/>
          <w:szCs w:val="18"/>
          <w:i w:val="1"/>
          <w:iCs w:val="1"/>
          <w:color w:val="auto"/>
        </w:rPr>
        <w:t>Order of application</w:t>
      </w:r>
      <w:r>
        <w:rPr>
          <w:rFonts w:ascii="Arial" w:cs="Arial" w:eastAsia="Arial" w:hAnsi="Arial"/>
          <w:sz w:val="18"/>
          <w:szCs w:val="18"/>
          <w:color w:val="auto"/>
        </w:rPr>
        <w:t>) above and to apply amounts received under, and the proceeds of realisation of, the Security Documents as contemplated by the Security Documents, clause 35.5 (</w:t>
      </w:r>
      <w:r>
        <w:rPr>
          <w:rFonts w:ascii="Arial" w:cs="Arial" w:eastAsia="Arial" w:hAnsi="Arial"/>
          <w:sz w:val="18"/>
          <w:szCs w:val="18"/>
          <w:i w:val="1"/>
          <w:iCs w:val="1"/>
          <w:color w:val="auto"/>
        </w:rPr>
        <w:t>Partial payments</w:t>
      </w:r>
      <w:r>
        <w:rPr>
          <w:rFonts w:ascii="Arial" w:cs="Arial" w:eastAsia="Arial" w:hAnsi="Arial"/>
          <w:sz w:val="18"/>
          <w:szCs w:val="18"/>
          <w:color w:val="auto"/>
        </w:rPr>
        <w:t>) and clause 32.24(a) (</w:t>
      </w:r>
      <w:r>
        <w:rPr>
          <w:rFonts w:ascii="Arial" w:cs="Arial" w:eastAsia="Arial" w:hAnsi="Arial"/>
          <w:sz w:val="18"/>
          <w:szCs w:val="18"/>
          <w:i w:val="1"/>
          <w:iCs w:val="1"/>
          <w:color w:val="auto"/>
        </w:rPr>
        <w:t>Order of application</w:t>
      </w:r>
      <w:r>
        <w:rPr>
          <w:rFonts w:ascii="Arial" w:cs="Arial" w:eastAsia="Arial" w:hAnsi="Arial"/>
          <w:sz w:val="18"/>
          <w:szCs w:val="18"/>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32.34 No reliance on Security Agent</w:t>
      </w:r>
    </w:p>
    <w:p>
      <w:pPr>
        <w:spacing w:after="0" w:line="220" w:lineRule="exact"/>
        <w:rPr>
          <w:sz w:val="20"/>
          <w:szCs w:val="20"/>
          <w:color w:val="auto"/>
        </w:rPr>
      </w:pPr>
    </w:p>
    <w:p>
      <w:pPr>
        <w:jc w:val="both"/>
        <w:ind w:left="540"/>
        <w:spacing w:after="0" w:line="239" w:lineRule="auto"/>
        <w:rPr>
          <w:sz w:val="20"/>
          <w:szCs w:val="20"/>
          <w:color w:val="auto"/>
        </w:rPr>
      </w:pPr>
      <w:r>
        <w:rPr>
          <w:rFonts w:ascii="Arial" w:cs="Arial" w:eastAsia="Arial" w:hAnsi="Arial"/>
          <w:sz w:val="18"/>
          <w:szCs w:val="18"/>
          <w:color w:val="auto"/>
        </w:rPr>
        <w:t>It is understood and agreed by each Finance Party (other than the Security Agent) that it has itself been, and will continue to be, solely responsible for making its own independent appraisal of and investigations into the financial condition, creditworthiness, condition, affairs, status and nature of each Obligor and, accordingly, the Security Agent shall not have any liability or responsibility for and each other Finance Party warrants to the Security Agent that it has not relied and will not hereafter rely on the Security Agent:</w:t>
      </w:r>
    </w:p>
    <w:p>
      <w:pPr>
        <w:spacing w:after="0" w:line="188" w:lineRule="exact"/>
        <w:rPr>
          <w:sz w:val="20"/>
          <w:szCs w:val="20"/>
          <w:color w:val="auto"/>
        </w:rPr>
      </w:pPr>
    </w:p>
    <w:p>
      <w:pPr>
        <w:ind w:left="1080" w:hanging="532"/>
        <w:spacing w:after="0" w:line="246" w:lineRule="auto"/>
        <w:tabs>
          <w:tab w:leader="none" w:pos="108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to check or enquire on its behalf into the adequacy, accuracy or completeness of any information provided to it by any Obligor or any other person in connection with any of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76" w:name="page177"/>
    <w:bookmarkEnd w:id="176"/>
    <w:p>
      <w:pPr>
        <w:ind w:left="1080"/>
        <w:spacing w:after="0" w:line="246" w:lineRule="auto"/>
        <w:rPr>
          <w:sz w:val="20"/>
          <w:szCs w:val="20"/>
          <w:color w:val="auto"/>
        </w:rPr>
      </w:pPr>
      <w:r>
        <w:rPr>
          <w:rFonts w:ascii="Arial" w:cs="Arial" w:eastAsia="Arial" w:hAnsi="Arial"/>
          <w:sz w:val="18"/>
          <w:szCs w:val="18"/>
          <w:color w:val="auto"/>
        </w:rPr>
        <w:t>Finance Documents, the Charged Property or the transactions therein contemplated (whether or not such information has been or is hereafter circulated to such Finance Party by the Security Agent);</w:t>
      </w:r>
    </w:p>
    <w:p>
      <w:pPr>
        <w:spacing w:after="0" w:line="183" w:lineRule="exact"/>
        <w:rPr>
          <w:sz w:val="20"/>
          <w:szCs w:val="20"/>
          <w:color w:val="auto"/>
        </w:rPr>
      </w:pPr>
    </w:p>
    <w:p>
      <w:pPr>
        <w:jc w:val="both"/>
        <w:ind w:left="1080" w:hanging="532"/>
        <w:spacing w:after="0" w:line="238" w:lineRule="auto"/>
        <w:tabs>
          <w:tab w:leader="none" w:pos="108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to check or enquire on its behalf into the adequacy, accuracy or completeness of any communication delivered to it under any of the Finance Documents, the Charged Property, any legal or other opinions, reports, valuations, certificates, appraisals or other documents delivered or made or required to be delivered or made at any time in connection with any of the Finance Documents, the Charged Property, any security to be constituted thereby or any other report or other document, statement or information circulated, delivered or made, whether orally or otherwise and whether before, on or after the date of this Agreement;</w:t>
      </w:r>
    </w:p>
    <w:p>
      <w:pPr>
        <w:spacing w:after="0" w:line="189" w:lineRule="exact"/>
        <w:rPr>
          <w:rFonts w:ascii="Arial" w:cs="Arial" w:eastAsia="Arial" w:hAnsi="Arial"/>
          <w:sz w:val="18"/>
          <w:szCs w:val="18"/>
          <w:color w:val="auto"/>
        </w:rPr>
      </w:pPr>
    </w:p>
    <w:p>
      <w:pPr>
        <w:jc w:val="both"/>
        <w:ind w:left="1080" w:hanging="532"/>
        <w:spacing w:after="0" w:line="239" w:lineRule="auto"/>
        <w:tabs>
          <w:tab w:leader="none" w:pos="108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to check or enquire on its behalf into the due execution, delivery, validity, legality, perfection, adequacy, suitability, performance, enforceability or admissibility in evidence of any of the Finance Documents, the Charged Property or any other document referred to in paragraph (b) above or of any guarantee, indemnity or security given or created thereby or any obligations imposed thereby or assumed thereunder;</w:t>
      </w:r>
    </w:p>
    <w:p>
      <w:pPr>
        <w:spacing w:after="0" w:line="188" w:lineRule="exact"/>
        <w:rPr>
          <w:rFonts w:ascii="Arial" w:cs="Arial" w:eastAsia="Arial" w:hAnsi="Arial"/>
          <w:sz w:val="18"/>
          <w:szCs w:val="18"/>
          <w:color w:val="auto"/>
        </w:rPr>
      </w:pPr>
    </w:p>
    <w:p>
      <w:pPr>
        <w:jc w:val="both"/>
        <w:ind w:left="1020" w:hanging="512"/>
        <w:spacing w:after="0"/>
        <w:tabs>
          <w:tab w:leader="none" w:pos="102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to check or enquire on its behalf into the ownership, value, existence or sufficiency of any Charged Property, the priority of any of the Security Interests or the registration thereof, the right or title of any person in or to any property comprised therein or the existence of any encumbrance affecting the same; or</w:t>
      </w:r>
    </w:p>
    <w:p>
      <w:pPr>
        <w:spacing w:after="0" w:line="189" w:lineRule="exact"/>
        <w:rPr>
          <w:rFonts w:ascii="Arial" w:cs="Arial" w:eastAsia="Arial" w:hAnsi="Arial"/>
          <w:sz w:val="18"/>
          <w:szCs w:val="18"/>
          <w:color w:val="auto"/>
        </w:rPr>
      </w:pPr>
    </w:p>
    <w:p>
      <w:pPr>
        <w:ind w:left="1080" w:hanging="532"/>
        <w:spacing w:after="0" w:line="246" w:lineRule="auto"/>
        <w:tabs>
          <w:tab w:leader="none" w:pos="1080" w:val="left"/>
        </w:tabs>
        <w:numPr>
          <w:ilvl w:val="1"/>
          <w:numId w:val="366"/>
        </w:numPr>
        <w:rPr>
          <w:rFonts w:ascii="Arial" w:cs="Arial" w:eastAsia="Arial" w:hAnsi="Arial"/>
          <w:sz w:val="18"/>
          <w:szCs w:val="18"/>
          <w:color w:val="auto"/>
        </w:rPr>
      </w:pPr>
      <w:r>
        <w:rPr>
          <w:rFonts w:ascii="Arial" w:cs="Arial" w:eastAsia="Arial" w:hAnsi="Arial"/>
          <w:sz w:val="18"/>
          <w:szCs w:val="18"/>
          <w:color w:val="auto"/>
        </w:rPr>
        <w:t>to assess or keep under review on its behalf the identity, financial condition, creditworthiness, condition, affairs, status or nature of any Obligor or other Group Member.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32.35 Release to facilitate enforcement and realisation</w:t>
      </w:r>
    </w:p>
    <w:p>
      <w:pPr>
        <w:spacing w:after="0" w:line="220" w:lineRule="exact"/>
        <w:rPr>
          <w:sz w:val="20"/>
          <w:szCs w:val="20"/>
          <w:color w:val="auto"/>
        </w:rPr>
      </w:pPr>
    </w:p>
    <w:p>
      <w:pPr>
        <w:jc w:val="both"/>
        <w:ind w:left="540"/>
        <w:spacing w:after="0" w:line="236" w:lineRule="auto"/>
        <w:rPr>
          <w:sz w:val="20"/>
          <w:szCs w:val="20"/>
          <w:color w:val="auto"/>
        </w:rPr>
      </w:pPr>
      <w:r>
        <w:rPr>
          <w:rFonts w:ascii="Arial" w:cs="Arial" w:eastAsia="Arial" w:hAnsi="Arial"/>
          <w:sz w:val="18"/>
          <w:szCs w:val="18"/>
          <w:color w:val="auto"/>
        </w:rPr>
        <w:t>Each Finance Party acknowledges that pursuant to any enforcement action by the Security Agent (or a Receiver) carried out on the instructions of the Agent it may be desirable for the purpose of such enforcement and/or maximising the realisation of the Charged Property being enforced against, that any rights or claims of or by the Security Agent (for the benefit of the Finance Parties) and/or any Finance Parties against any Obligor and/or any Security Interest over any assets of any Obligor (in each case) as contained in or created by any Finance Document, other than such rights or claims or security being enforced, be released in order to facilitate such enforcement action and/or realisation and, notwithstanding any other provision of the Finance Documents, each Finance Party hereby irrevocably authorises the Security Agent (acting on the instructions of the Agent) to grant any such releases (and the Security Agent will notify the Lenders through the Agent as soon as reasonably practicable of such release) to the extent necessary to fully effect such enforcement action and realisation including, without limitation, to the extent necessary for such purposes to execute release documents in the name of and on behalf of the Finance Parties. Where the relevant enforcement is by way of disposal of shares in an Obligor, the requisite release shall include releases of all claims (including under guarantees) of the Finance Parties and/or the Security Agent against such Obligor and of all Security Interests over the assets of such Obligor.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32.36 Undertaking to pay</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Each Obligor which is a Party undertakes with the Security Agent on behalf of the Finance Parties that it will, on demand by the Security Agent, pay to the Security Agent all money from time to time owing, and discharge all other obligations from time to time incurred, by it under or in connection with the Finance Documents.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color w:val="auto"/>
        </w:rPr>
        <w:t>32.37 Additional trustees</w:t>
      </w:r>
    </w:p>
    <w:p>
      <w:pPr>
        <w:spacing w:after="0" w:line="220" w:lineRule="exact"/>
        <w:rPr>
          <w:sz w:val="20"/>
          <w:szCs w:val="20"/>
          <w:color w:val="auto"/>
        </w:rPr>
      </w:pPr>
    </w:p>
    <w:p>
      <w:pPr>
        <w:ind w:left="540" w:right="20"/>
        <w:spacing w:after="0" w:line="246" w:lineRule="auto"/>
        <w:rPr>
          <w:sz w:val="20"/>
          <w:szCs w:val="20"/>
          <w:color w:val="auto"/>
        </w:rPr>
      </w:pPr>
      <w:r>
        <w:rPr>
          <w:rFonts w:ascii="Arial" w:cs="Arial" w:eastAsia="Arial" w:hAnsi="Arial"/>
          <w:sz w:val="18"/>
          <w:szCs w:val="18"/>
          <w:color w:val="auto"/>
        </w:rPr>
        <w:t>The Security Agent shall have power by notice in writing to the other Finance Parties and the Borrowers to appoint any person either to act as separate trustee or as co-trustee jointly with the Security Agent:</w:t>
      </w:r>
    </w:p>
    <w:p>
      <w:pPr>
        <w:spacing w:after="0" w:line="183" w:lineRule="exact"/>
        <w:rPr>
          <w:sz w:val="20"/>
          <w:szCs w:val="20"/>
          <w:color w:val="auto"/>
        </w:rPr>
      </w:pPr>
    </w:p>
    <w:p>
      <w:pPr>
        <w:ind w:left="1080" w:hanging="532"/>
        <w:spacing w:after="0"/>
        <w:tabs>
          <w:tab w:leader="none" w:pos="108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if the Security Agent reasonably considers such appointment to be in the best interests of the Finance Parties;</w:t>
      </w:r>
    </w:p>
    <w:p>
      <w:pPr>
        <w:spacing w:after="0" w:line="19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for the purpose of conforming with any legal requirement, restriction or condition in any jurisdiction in which any particular act is to be performed; or</w:t>
      </w:r>
    </w:p>
    <w:p>
      <w:pPr>
        <w:spacing w:after="0" w:line="183"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for the purpose of obtaining a judgment in any jurisdiction or the enforcement in any jurisdiction against any person of a judgment already obtained,</w:t>
      </w:r>
    </w:p>
    <w:p>
      <w:pPr>
        <w:spacing w:after="0" w:line="183" w:lineRule="exact"/>
        <w:rPr>
          <w:sz w:val="20"/>
          <w:szCs w:val="20"/>
          <w:color w:val="auto"/>
        </w:rPr>
      </w:pPr>
    </w:p>
    <w:p>
      <w:pPr>
        <w:jc w:val="both"/>
        <w:ind w:left="540"/>
        <w:spacing w:after="0" w:line="236" w:lineRule="auto"/>
        <w:rPr>
          <w:sz w:val="20"/>
          <w:szCs w:val="20"/>
          <w:color w:val="auto"/>
        </w:rPr>
      </w:pPr>
      <w:r>
        <w:rPr>
          <w:rFonts w:ascii="Arial" w:cs="Arial" w:eastAsia="Arial" w:hAnsi="Arial"/>
          <w:sz w:val="18"/>
          <w:szCs w:val="18"/>
          <w:color w:val="auto"/>
        </w:rPr>
        <w:t>and any person so appointed shall (subject to the provisions of this Agreement) have such rights (including as to reasonable remuneration), powers, duties and obligations as shall be conferred or imposed by the instrument of appointment. The Security Agent shall have power to remove any person so appointed. At the request of the Security Agent, the other parties to this Agreement shall forthwith execute all such documents and do all such things as may be required to perfect such appointment or removal and each such party irrevocably authorises the Security Agent in its name and on its behalf to do the same. Such a person shall accede to this Agreement as a Security Agent to the extent necessary to carry out their role on terms satisfactory to the Security Agent and (subject always to the provisions of this Agreement) have such trusts, powers, authorities, liabilities and discretions (not exceeding those conferred on the Security Agent by this Agreement and the other Finance Documents) and such duties and obligations as shall be conferred or imposed by the instrument of appointment (being no less onerous than would have applied to the Security Agent but for the appointment). The Security Agent shall not be bound to supervise, or be responsible for any loss incurred by reason of any act or omission of, any such person if the Security Agent shall have exercised reasonable care in the selection of such person.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32.38 Non-recognition of trust</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It is agreed by all the parties to this Agreement that:</w:t>
      </w:r>
    </w:p>
    <w:p>
      <w:pPr>
        <w:spacing w:after="0" w:line="198" w:lineRule="exact"/>
        <w:rPr>
          <w:sz w:val="20"/>
          <w:szCs w:val="20"/>
          <w:color w:val="auto"/>
        </w:rPr>
      </w:pPr>
    </w:p>
    <w:p>
      <w:pPr>
        <w:jc w:val="both"/>
        <w:ind w:left="1080" w:hanging="532"/>
        <w:spacing w:after="0" w:line="239" w:lineRule="auto"/>
        <w:tabs>
          <w:tab w:leader="none" w:pos="108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in relation to any jurisdiction the courts of which would not recognise or give effect to the trusts expressed to be constituted by this clause 32, the relationship of the Security Agent and the other Finance Parties shall be construed as one of principal and agent, but to the extent permissible under the laws of such jurisdiction, all the other provisions of this Agreement shall have full force and effect between the parties to this Agreement; and</w:t>
      </w:r>
    </w:p>
    <w:p>
      <w:pPr>
        <w:spacing w:after="0" w:line="188" w:lineRule="exact"/>
        <w:rPr>
          <w:rFonts w:ascii="Arial" w:cs="Arial" w:eastAsia="Arial" w:hAnsi="Arial"/>
          <w:sz w:val="18"/>
          <w:szCs w:val="18"/>
          <w:color w:val="auto"/>
        </w:rPr>
      </w:pPr>
    </w:p>
    <w:p>
      <w:pPr>
        <w:jc w:val="both"/>
        <w:ind w:left="1080" w:hanging="532"/>
        <w:spacing w:after="0" w:line="238" w:lineRule="auto"/>
        <w:tabs>
          <w:tab w:leader="none" w:pos="108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provisions of this clause 32 insofar as they relate to the Security Agent in its capacity as trustee for the Finance Parties and the relationship between themselves and the Security Agent as their trustee may be amended by agreement between the other Finance Parties and the Security Agent. The Security Agent may amend all documents necessary to effect the alteration of the relationship between the Security Agent and the other Finance Parties and each such other party irrevocably authorises the Security Agent in its name and on its behalf to execute all documents necessary to effect such amendments.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32.39 Security Agent’s Ongoing Fees</w:t>
      </w:r>
    </w:p>
    <w:p>
      <w:pPr>
        <w:spacing w:after="0" w:line="202" w:lineRule="exact"/>
        <w:rPr>
          <w:sz w:val="20"/>
          <w:szCs w:val="20"/>
          <w:color w:val="auto"/>
        </w:rPr>
      </w:pPr>
    </w:p>
    <w:p>
      <w:pPr>
        <w:ind w:left="1080" w:hanging="532"/>
        <w:spacing w:after="0"/>
        <w:tabs>
          <w:tab w:leader="none" w:pos="108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Borrowers shall pay to the Agent and the Security Agent certain fees in accordance with 11 (</w:t>
      </w:r>
      <w:r>
        <w:rPr>
          <w:rFonts w:ascii="Arial" w:cs="Arial" w:eastAsia="Arial" w:hAnsi="Arial"/>
          <w:sz w:val="18"/>
          <w:szCs w:val="18"/>
          <w:i w:val="1"/>
          <w:iCs w:val="1"/>
          <w:color w:val="auto"/>
        </w:rPr>
        <w:t>Fees</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1080" w:hanging="532"/>
        <w:spacing w:after="0"/>
        <w:tabs>
          <w:tab w:leader="none" w:pos="108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If:</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1"/>
          <w:numId w:val="369"/>
        </w:numPr>
        <w:rPr>
          <w:rFonts w:ascii="Arial" w:cs="Arial" w:eastAsia="Arial" w:hAnsi="Arial"/>
          <w:sz w:val="18"/>
          <w:szCs w:val="18"/>
          <w:color w:val="auto"/>
        </w:rPr>
      </w:pPr>
      <w:r>
        <w:rPr>
          <w:rFonts w:ascii="Arial" w:cs="Arial" w:eastAsia="Arial" w:hAnsi="Arial"/>
          <w:sz w:val="18"/>
          <w:szCs w:val="18"/>
          <w:color w:val="auto"/>
        </w:rPr>
        <w:t>a Default has occurred; 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178" w:name="page179"/>
    <w:bookmarkEnd w:id="178"/>
    <w:p>
      <w:pPr>
        <w:jc w:val="both"/>
        <w:ind w:left="1620" w:hanging="532"/>
        <w:spacing w:after="0" w:line="239" w:lineRule="auto"/>
        <w:tabs>
          <w:tab w:leader="none" w:pos="162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Security Agent considers it expedient and/or necessary or is requested by the Borrowers or any Finance Party or group of Finance Parties to undertake duties which the Security Agent considers to be of an exceptional nature and/or outside the scope of the normal duties of the Security Agent under the Finance Documents (which for the avoidance of doubt shall include any amendments to the Finance Documents and the time incurred in relation thereto),</w:t>
      </w:r>
    </w:p>
    <w:p>
      <w:pPr>
        <w:spacing w:after="0" w:line="188" w:lineRule="exact"/>
        <w:rPr>
          <w:sz w:val="20"/>
          <w:szCs w:val="20"/>
          <w:color w:val="auto"/>
        </w:rPr>
      </w:pPr>
    </w:p>
    <w:p>
      <w:pPr>
        <w:jc w:val="both"/>
        <w:ind w:left="540"/>
        <w:spacing w:after="0" w:line="246" w:lineRule="auto"/>
        <w:rPr>
          <w:sz w:val="20"/>
          <w:szCs w:val="20"/>
          <w:color w:val="auto"/>
        </w:rPr>
      </w:pPr>
      <w:r>
        <w:rPr>
          <w:rFonts w:ascii="Arial" w:cs="Arial" w:eastAsia="Arial" w:hAnsi="Arial"/>
          <w:sz w:val="18"/>
          <w:szCs w:val="18"/>
          <w:color w:val="auto"/>
        </w:rPr>
        <w:t>the Borrowers shall pay to the Security Agent any additional reasonable remuneration (together with any applicable taxes thereon) which shall be calculated by reference to its hourly rates in force from time to 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32.40 Interest on Demand</w:t>
      </w:r>
    </w:p>
    <w:p>
      <w:pPr>
        <w:spacing w:after="0" w:line="220" w:lineRule="exact"/>
        <w:rPr>
          <w:sz w:val="20"/>
          <w:szCs w:val="20"/>
          <w:color w:val="auto"/>
        </w:rPr>
      </w:pPr>
    </w:p>
    <w:p>
      <w:pPr>
        <w:jc w:val="both"/>
        <w:ind w:left="540"/>
        <w:spacing w:after="0" w:line="237" w:lineRule="auto"/>
        <w:rPr>
          <w:sz w:val="20"/>
          <w:szCs w:val="20"/>
          <w:color w:val="auto"/>
        </w:rPr>
      </w:pPr>
      <w:r>
        <w:rPr>
          <w:rFonts w:ascii="Arial" w:cs="Arial" w:eastAsia="Arial" w:hAnsi="Arial"/>
          <w:sz w:val="18"/>
          <w:szCs w:val="18"/>
          <w:color w:val="auto"/>
        </w:rPr>
        <w:t>If the Borrowers fail to pay any amount payable by them to the Security Agent under this Agreement on its due date, interest shall accrue on the overdue amount (and be compounded with it) from the due date up to the date of actual payment (both before and after judgment and to the extent interest at a default rate is not otherwise being paid on such sum) at the rate which is two per cent. (2%) per annum over the rate at which the Security Agent was being offered, by prime banks in the London interbank market, deposits in an amount comparable to the unpaid amounts in the currencies of those amounts for such period(s) as the Security Agent may from time to time select.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32.41 Release of Security</w:t>
      </w:r>
    </w:p>
    <w:p>
      <w:pPr>
        <w:spacing w:after="0" w:line="220" w:lineRule="exact"/>
        <w:rPr>
          <w:sz w:val="20"/>
          <w:szCs w:val="20"/>
          <w:color w:val="auto"/>
        </w:rPr>
      </w:pPr>
    </w:p>
    <w:p>
      <w:pPr>
        <w:jc w:val="both"/>
        <w:ind w:left="540"/>
        <w:spacing w:after="0" w:line="237" w:lineRule="auto"/>
        <w:rPr>
          <w:sz w:val="20"/>
          <w:szCs w:val="20"/>
          <w:color w:val="auto"/>
        </w:rPr>
      </w:pPr>
      <w:r>
        <w:rPr>
          <w:rFonts w:ascii="Arial" w:cs="Arial" w:eastAsia="Arial" w:hAnsi="Arial"/>
          <w:sz w:val="18"/>
          <w:szCs w:val="18"/>
          <w:color w:val="auto"/>
        </w:rPr>
        <w:t>If all of the amounts owing under the Finance Documents and all other obligations the discharge of which is secured by any of the Security Documents have been fully and finally discharged and none of the Finance Parties is under any commitment, obligation or liability (whether actual or contingent) to make advances or provide other financial accommodation to the Borrowers under or pursuant to this Agreement or any other Finance Document, the trusts herein set out shall be wound up and the Security Agent shall, at the request and cost of the Borrowers and acting on the instructions of the Agent, release, without recourse or warranty, all of the security then held by it, whereupon the Security Agent, the Agent, the Lenders and the Obligors shall be released from their obligations hereunder (save for those which arose prior to such winding up).</w:t>
      </w:r>
    </w:p>
    <w:p>
      <w:pPr>
        <w:spacing w:after="0" w:line="168" w:lineRule="exact"/>
        <w:rPr>
          <w:sz w:val="20"/>
          <w:szCs w:val="20"/>
          <w:color w:val="auto"/>
        </w:rPr>
      </w:pPr>
    </w:p>
    <w:p>
      <w:pPr>
        <w:ind w:right="7140" w:firstLine="8"/>
        <w:spacing w:after="0" w:line="482" w:lineRule="auto"/>
        <w:tabs>
          <w:tab w:leader="none" w:pos="540"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color w:val="auto"/>
        </w:rPr>
        <w:t>Conduct of business by the Finance Parties 33.1 Finance Parties tax affairs</w:t>
      </w: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No provision of this Agreement will:</w:t>
      </w:r>
    </w:p>
    <w:p>
      <w:pPr>
        <w:spacing w:after="0" w:line="19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interfere with the right of any Finance Party to arrange its affairs (tax or otherwise) in whatever manner it thinks fit;</w:t>
      </w:r>
    </w:p>
    <w:p>
      <w:pPr>
        <w:spacing w:after="0" w:line="198" w:lineRule="exact"/>
        <w:rPr>
          <w:rFonts w:ascii="Arial" w:cs="Arial" w:eastAsia="Arial" w:hAnsi="Arial"/>
          <w:sz w:val="18"/>
          <w:szCs w:val="18"/>
          <w:color w:val="auto"/>
        </w:rPr>
      </w:pPr>
    </w:p>
    <w:p>
      <w:pPr>
        <w:ind w:left="1080" w:hanging="532"/>
        <w:spacing w:after="0" w:line="246" w:lineRule="auto"/>
        <w:tabs>
          <w:tab w:leader="none" w:pos="108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oblige any Finance Party to investigate or claim any credit, relief, remission or repayment available to it or the extent, order and manner of any claim; or</w:t>
      </w:r>
    </w:p>
    <w:p>
      <w:pPr>
        <w:spacing w:after="0" w:line="183" w:lineRule="exact"/>
        <w:rPr>
          <w:rFonts w:ascii="Arial" w:cs="Arial" w:eastAsia="Arial" w:hAnsi="Arial"/>
          <w:sz w:val="18"/>
          <w:szCs w:val="18"/>
          <w:color w:val="auto"/>
        </w:rPr>
      </w:pPr>
    </w:p>
    <w:p>
      <w:pPr>
        <w:ind w:left="1080" w:hanging="532"/>
        <w:spacing w:after="0"/>
        <w:tabs>
          <w:tab w:leader="none" w:pos="108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oblige any Finance Party to disclose any information relating to its affairs (tax or otherwise) or any computations in respect of Tax.</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33.2</w:t>
      </w:r>
      <w:r>
        <w:rPr>
          <w:sz w:val="20"/>
          <w:szCs w:val="20"/>
          <w:color w:val="auto"/>
        </w:rPr>
        <w:tab/>
      </w:r>
      <w:r>
        <w:rPr>
          <w:rFonts w:ascii="Arial" w:cs="Arial" w:eastAsia="Arial" w:hAnsi="Arial"/>
          <w:sz w:val="17"/>
          <w:szCs w:val="17"/>
          <w:b w:val="1"/>
          <w:bCs w:val="1"/>
          <w:color w:val="auto"/>
        </w:rPr>
        <w:t>Finance Parties acting together</w:t>
      </w:r>
    </w:p>
    <w:p>
      <w:pPr>
        <w:spacing w:after="0" w:line="202" w:lineRule="exact"/>
        <w:rPr>
          <w:sz w:val="20"/>
          <w:szCs w:val="20"/>
          <w:color w:val="auto"/>
        </w:rPr>
      </w:pPr>
    </w:p>
    <w:p>
      <w:pPr>
        <w:jc w:val="both"/>
        <w:ind w:left="540"/>
        <w:spacing w:after="0" w:line="242" w:lineRule="auto"/>
        <w:rPr>
          <w:sz w:val="20"/>
          <w:szCs w:val="20"/>
          <w:color w:val="auto"/>
        </w:rPr>
      </w:pPr>
      <w:r>
        <w:rPr>
          <w:rFonts w:ascii="Arial" w:cs="Arial" w:eastAsia="Arial" w:hAnsi="Arial"/>
          <w:sz w:val="18"/>
          <w:szCs w:val="18"/>
          <w:color w:val="auto"/>
        </w:rPr>
        <w:t>Notwithstanding clause 2.3 (</w:t>
      </w:r>
      <w:r>
        <w:rPr>
          <w:rFonts w:ascii="Arial" w:cs="Arial" w:eastAsia="Arial" w:hAnsi="Arial"/>
          <w:sz w:val="18"/>
          <w:szCs w:val="18"/>
          <w:i w:val="1"/>
          <w:iCs w:val="1"/>
          <w:color w:val="auto"/>
        </w:rPr>
        <w:t>Finance Parties’ rights and obligations</w:t>
      </w:r>
      <w:r>
        <w:rPr>
          <w:rFonts w:ascii="Arial" w:cs="Arial" w:eastAsia="Arial" w:hAnsi="Arial"/>
          <w:sz w:val="18"/>
          <w:szCs w:val="18"/>
          <w:color w:val="auto"/>
        </w:rPr>
        <w:t>), if the Agent makes a declaration under clause 29.23 (</w:t>
      </w:r>
      <w:r>
        <w:rPr>
          <w:rFonts w:ascii="Arial" w:cs="Arial" w:eastAsia="Arial" w:hAnsi="Arial"/>
          <w:sz w:val="18"/>
          <w:szCs w:val="18"/>
          <w:i w:val="1"/>
          <w:iCs w:val="1"/>
          <w:color w:val="auto"/>
        </w:rPr>
        <w:t>Acceleration</w:t>
      </w:r>
      <w:r>
        <w:rPr>
          <w:rFonts w:ascii="Arial" w:cs="Arial" w:eastAsia="Arial" w:hAnsi="Arial"/>
          <w:sz w:val="18"/>
          <w:szCs w:val="18"/>
          <w:color w:val="auto"/>
        </w:rPr>
        <w:t>) the Agent shall, in the names of all the Finance Parties, take such action on behalf of the Finance Parties and conduct such negotiations with the Borrowers and any Group Members and generally administer the Facilities in accordance with the wishes of the Majority Lenders. All the Finance Parties shall be bound by the provisions of this clause and no Finance Party shall be entitled to take action independently against any Obligor or any of its assets without the prior consent of the Majority Lenders.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79" w:name="page180"/>
    <w:bookmarkEnd w:id="179"/>
    <w:p>
      <w:pPr>
        <w:ind w:left="540"/>
        <w:spacing w:after="0"/>
        <w:rPr>
          <w:sz w:val="20"/>
          <w:szCs w:val="20"/>
          <w:color w:val="auto"/>
        </w:rPr>
      </w:pPr>
      <w:r>
        <w:rPr>
          <w:rFonts w:ascii="Arial" w:cs="Arial" w:eastAsia="Arial" w:hAnsi="Arial"/>
          <w:sz w:val="18"/>
          <w:szCs w:val="18"/>
          <w:color w:val="auto"/>
        </w:rPr>
        <w:t>This clause shall not override clause 32 (</w:t>
      </w:r>
      <w:r>
        <w:rPr>
          <w:rFonts w:ascii="Arial" w:cs="Arial" w:eastAsia="Arial" w:hAnsi="Arial"/>
          <w:sz w:val="18"/>
          <w:szCs w:val="18"/>
          <w:i w:val="1"/>
          <w:iCs w:val="1"/>
          <w:color w:val="auto"/>
        </w:rPr>
        <w:t>Roles of Agent, Security Agent and Arrangers</w:t>
      </w:r>
      <w:r>
        <w:rPr>
          <w:rFonts w:ascii="Arial" w:cs="Arial" w:eastAsia="Arial" w:hAnsi="Arial"/>
          <w:sz w:val="18"/>
          <w:szCs w:val="18"/>
          <w:color w:val="auto"/>
        </w:rPr>
        <w:t>) as it applies to the Security Agent.</w:t>
      </w:r>
    </w:p>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33.3</w:t>
      </w:r>
      <w:r>
        <w:rPr>
          <w:sz w:val="20"/>
          <w:szCs w:val="20"/>
          <w:color w:val="auto"/>
        </w:rPr>
        <w:tab/>
      </w:r>
      <w:r>
        <w:rPr>
          <w:rFonts w:ascii="Arial" w:cs="Arial" w:eastAsia="Arial" w:hAnsi="Arial"/>
          <w:sz w:val="17"/>
          <w:szCs w:val="17"/>
          <w:b w:val="1"/>
          <w:bCs w:val="1"/>
          <w:color w:val="auto"/>
        </w:rPr>
        <w:t>Majority Lenders</w:t>
      </w:r>
    </w:p>
    <w:p>
      <w:pPr>
        <w:spacing w:after="0" w:line="220" w:lineRule="exact"/>
        <w:rPr>
          <w:sz w:val="20"/>
          <w:szCs w:val="20"/>
          <w:color w:val="auto"/>
        </w:rPr>
      </w:pPr>
    </w:p>
    <w:p>
      <w:pPr>
        <w:jc w:val="both"/>
        <w:ind w:left="540"/>
        <w:spacing w:after="0" w:line="236" w:lineRule="auto"/>
        <w:rPr>
          <w:sz w:val="20"/>
          <w:szCs w:val="20"/>
          <w:color w:val="auto"/>
        </w:rPr>
      </w:pPr>
      <w:r>
        <w:rPr>
          <w:rFonts w:ascii="Arial" w:cs="Arial" w:eastAsia="Arial" w:hAnsi="Arial"/>
          <w:sz w:val="18"/>
          <w:szCs w:val="18"/>
          <w:color w:val="auto"/>
        </w:rPr>
        <w:t xml:space="preserve">Where any Finance Document provides for any matter to be determined by reference to the opinion of, or to be subject to the consent, approval or request of, the Majority Lenders or for any action to be taken on the instructions of the Majority Lenders (a </w:t>
      </w:r>
      <w:r>
        <w:rPr>
          <w:rFonts w:ascii="Arial" w:cs="Arial" w:eastAsia="Arial" w:hAnsi="Arial"/>
          <w:sz w:val="18"/>
          <w:szCs w:val="18"/>
          <w:b w:val="1"/>
          <w:bCs w:val="1"/>
          <w:color w:val="auto"/>
        </w:rPr>
        <w:t>majority</w:t>
      </w:r>
      <w:r>
        <w:rPr>
          <w:rFonts w:ascii="Arial" w:cs="Arial" w:eastAsia="Arial" w:hAnsi="Arial"/>
          <w:sz w:val="18"/>
          <w:szCs w:val="18"/>
          <w:color w:val="auto"/>
        </w:rPr>
        <w:t xml:space="preserve"> </w:t>
      </w:r>
      <w:r>
        <w:rPr>
          <w:rFonts w:ascii="Arial" w:cs="Arial" w:eastAsia="Arial" w:hAnsi="Arial"/>
          <w:sz w:val="18"/>
          <w:szCs w:val="18"/>
          <w:b w:val="1"/>
          <w:bCs w:val="1"/>
          <w:color w:val="auto"/>
        </w:rPr>
        <w:t>decision</w:t>
      </w:r>
      <w:r>
        <w:rPr>
          <w:rFonts w:ascii="Arial" w:cs="Arial" w:eastAsia="Arial" w:hAnsi="Arial"/>
          <w:sz w:val="18"/>
          <w:szCs w:val="18"/>
          <w:color w:val="auto"/>
        </w:rPr>
        <w:t>), such majority decision shall (as between the Lenders) only be regarded as having been validly given or issued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Majority Lenders if all the Lenders shall have received prior notice of the matter on which such majority decision is required and the relevant majority of Lenders shall have given or issued such majority decision. However (as between any Obligor and the Finance Parties) the relevant Obligor shall be entitled (and bound) to assume that such notice shall have been duly received by each Lender and that the relevant majority shall have been obtained to constitute Majority Lenders when notified to this effect by the Agent whether or not this is the case.</w:t>
      </w:r>
    </w:p>
    <w:p>
      <w:pPr>
        <w:spacing w:after="0" w:line="17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33.4</w:t>
        <w:tab/>
        <w:t>Conflicts</w:t>
      </w:r>
    </w:p>
    <w:p>
      <w:pPr>
        <w:spacing w:after="0" w:line="220" w:lineRule="exact"/>
        <w:rPr>
          <w:sz w:val="20"/>
          <w:szCs w:val="20"/>
          <w:color w:val="auto"/>
        </w:rPr>
      </w:pPr>
    </w:p>
    <w:p>
      <w:pPr>
        <w:jc w:val="both"/>
        <w:ind w:left="1080" w:hanging="532"/>
        <w:spacing w:after="0" w:line="239" w:lineRule="auto"/>
        <w:tabs>
          <w:tab w:leader="none" w:pos="108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 xml:space="preserve">Each Borrower acknowledges that any Arranger and its parent undertaking, subsidiary undertakings and fellow subsidiary undertakings (together an </w:t>
      </w:r>
      <w:r>
        <w:rPr>
          <w:rFonts w:ascii="Arial" w:cs="Arial" w:eastAsia="Arial" w:hAnsi="Arial"/>
          <w:sz w:val="18"/>
          <w:szCs w:val="18"/>
          <w:b w:val="1"/>
          <w:bCs w:val="1"/>
          <w:color w:val="auto"/>
        </w:rPr>
        <w:t>Arranger Group</w:t>
      </w:r>
      <w:r>
        <w:rPr>
          <w:rFonts w:ascii="Arial" w:cs="Arial" w:eastAsia="Arial" w:hAnsi="Arial"/>
          <w:sz w:val="18"/>
          <w:szCs w:val="18"/>
          <w:color w:val="auto"/>
        </w:rPr>
        <w:t>) may be providing debt finance, equity capital or other services (including financial advisory services) to other persons with which the Borrowers may have conflicting interests in respect of the Facilities or otherwise.</w:t>
      </w:r>
    </w:p>
    <w:p>
      <w:pPr>
        <w:spacing w:after="0" w:line="188" w:lineRule="exact"/>
        <w:rPr>
          <w:rFonts w:ascii="Arial" w:cs="Arial" w:eastAsia="Arial" w:hAnsi="Arial"/>
          <w:sz w:val="18"/>
          <w:szCs w:val="18"/>
          <w:color w:val="auto"/>
        </w:rPr>
      </w:pPr>
    </w:p>
    <w:p>
      <w:pPr>
        <w:jc w:val="both"/>
        <w:ind w:left="1080" w:hanging="532"/>
        <w:spacing w:after="0" w:line="238" w:lineRule="auto"/>
        <w:tabs>
          <w:tab w:leader="none" w:pos="108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No member of an Arranger Group shall use confidential information gained from any Obligor by virtue of the Facilities or its relationships with any Obligor in connection with their performance of services for other persons. This shall not, however, affect any obligations that any member of an Arranger Group has as Agent in respect of the Finance Documents. The Borrowers also acknowledge that no member of an Arranger Group has any obligation to use or furnish to any Obligor information obtained from other persons for their benefit.</w:t>
      </w:r>
    </w:p>
    <w:p>
      <w:pPr>
        <w:spacing w:after="0" w:line="167" w:lineRule="exact"/>
        <w:rPr>
          <w:rFonts w:ascii="Arial" w:cs="Arial" w:eastAsia="Arial" w:hAnsi="Arial"/>
          <w:sz w:val="18"/>
          <w:szCs w:val="18"/>
          <w:color w:val="auto"/>
        </w:rPr>
      </w:pPr>
    </w:p>
    <w:p>
      <w:pPr>
        <w:ind w:left="1020" w:hanging="512"/>
        <w:spacing w:after="0" w:line="271" w:lineRule="auto"/>
        <w:tabs>
          <w:tab w:leader="none" w:pos="102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 xml:space="preserve">The terms </w:t>
      </w:r>
      <w:r>
        <w:rPr>
          <w:rFonts w:ascii="Arial" w:cs="Arial" w:eastAsia="Arial" w:hAnsi="Arial"/>
          <w:sz w:val="18"/>
          <w:szCs w:val="18"/>
          <w:b w:val="1"/>
          <w:bCs w:val="1"/>
          <w:color w:val="auto"/>
        </w:rPr>
        <w:t>parent undertaking</w:t>
      </w:r>
      <w:r>
        <w:rPr>
          <w:rFonts w:ascii="Arial" w:cs="Arial" w:eastAsia="Arial" w:hAnsi="Arial"/>
          <w:sz w:val="18"/>
          <w:szCs w:val="18"/>
          <w:color w:val="auto"/>
        </w:rPr>
        <w:t xml:space="preserve">, </w:t>
      </w:r>
      <w:r>
        <w:rPr>
          <w:rFonts w:ascii="Arial" w:cs="Arial" w:eastAsia="Arial" w:hAnsi="Arial"/>
          <w:sz w:val="18"/>
          <w:szCs w:val="18"/>
          <w:b w:val="1"/>
          <w:bCs w:val="1"/>
          <w:color w:val="auto"/>
        </w:rPr>
        <w:t>subsidiary undertaking</w:t>
      </w:r>
      <w:r>
        <w:rPr>
          <w:rFonts w:ascii="Arial" w:cs="Arial" w:eastAsia="Arial" w:hAnsi="Arial"/>
          <w:sz w:val="18"/>
          <w:szCs w:val="18"/>
          <w:color w:val="auto"/>
        </w:rPr>
        <w:t xml:space="preserve"> and </w:t>
      </w:r>
      <w:r>
        <w:rPr>
          <w:rFonts w:ascii="Arial" w:cs="Arial" w:eastAsia="Arial" w:hAnsi="Arial"/>
          <w:sz w:val="18"/>
          <w:szCs w:val="18"/>
          <w:b w:val="1"/>
          <w:bCs w:val="1"/>
          <w:color w:val="auto"/>
        </w:rPr>
        <w:t>fellow subsidiary undertaking</w:t>
      </w:r>
      <w:r>
        <w:rPr>
          <w:rFonts w:ascii="Arial" w:cs="Arial" w:eastAsia="Arial" w:hAnsi="Arial"/>
          <w:sz w:val="18"/>
          <w:szCs w:val="18"/>
          <w:color w:val="auto"/>
        </w:rPr>
        <w:t xml:space="preserve"> when used in this clause have the meaning given to them in sections 1161 and 1162 of the Companies Act 2006.</w:t>
      </w:r>
    </w:p>
    <w:p>
      <w:pPr>
        <w:spacing w:after="0" w:line="140" w:lineRule="exact"/>
        <w:rPr>
          <w:sz w:val="20"/>
          <w:szCs w:val="20"/>
          <w:color w:val="auto"/>
        </w:rPr>
      </w:pPr>
    </w:p>
    <w:p>
      <w:pPr>
        <w:ind w:right="7860" w:firstLine="8"/>
        <w:spacing w:after="0" w:line="469" w:lineRule="auto"/>
        <w:tabs>
          <w:tab w:leader="none" w:pos="540" w:val="left"/>
        </w:tabs>
        <w:numPr>
          <w:ilvl w:val="0"/>
          <w:numId w:val="374"/>
        </w:numPr>
        <w:rPr>
          <w:rFonts w:ascii="Arial" w:cs="Arial" w:eastAsia="Arial" w:hAnsi="Arial"/>
          <w:sz w:val="18"/>
          <w:szCs w:val="18"/>
          <w:b w:val="1"/>
          <w:bCs w:val="1"/>
          <w:color w:val="auto"/>
        </w:rPr>
      </w:pPr>
      <w:r>
        <w:rPr>
          <w:rFonts w:ascii="Arial" w:cs="Arial" w:eastAsia="Arial" w:hAnsi="Arial"/>
          <w:sz w:val="18"/>
          <w:szCs w:val="18"/>
          <w:b w:val="1"/>
          <w:bCs w:val="1"/>
          <w:color w:val="auto"/>
        </w:rPr>
        <w:t>Sharing among the Finance Parties 34.1 Payments to Finance Parties</w:t>
      </w:r>
    </w:p>
    <w:p>
      <w:pPr>
        <w:spacing w:after="0" w:line="1" w:lineRule="exact"/>
        <w:rPr>
          <w:sz w:val="20"/>
          <w:szCs w:val="20"/>
          <w:color w:val="auto"/>
        </w:rPr>
      </w:pPr>
    </w:p>
    <w:p>
      <w:pPr>
        <w:ind w:left="540"/>
        <w:spacing w:after="0" w:line="271" w:lineRule="auto"/>
        <w:rPr>
          <w:sz w:val="20"/>
          <w:szCs w:val="20"/>
          <w:color w:val="auto"/>
        </w:rPr>
      </w:pPr>
      <w:r>
        <w:rPr>
          <w:rFonts w:ascii="Arial" w:cs="Arial" w:eastAsia="Arial" w:hAnsi="Arial"/>
          <w:sz w:val="18"/>
          <w:szCs w:val="18"/>
          <w:color w:val="auto"/>
        </w:rPr>
        <w:t xml:space="preserve">If a Finance Party (a </w:t>
      </w:r>
      <w:r>
        <w:rPr>
          <w:rFonts w:ascii="Arial" w:cs="Arial" w:eastAsia="Arial" w:hAnsi="Arial"/>
          <w:sz w:val="18"/>
          <w:szCs w:val="18"/>
          <w:b w:val="1"/>
          <w:bCs w:val="1"/>
          <w:color w:val="auto"/>
        </w:rPr>
        <w:t>Recovering Finance Party</w:t>
      </w:r>
      <w:r>
        <w:rPr>
          <w:rFonts w:ascii="Arial" w:cs="Arial" w:eastAsia="Arial" w:hAnsi="Arial"/>
          <w:sz w:val="18"/>
          <w:szCs w:val="18"/>
          <w:color w:val="auto"/>
        </w:rPr>
        <w:t>) receives or recovers any amount from an Obligor other than in accordance with clause 35 (</w:t>
      </w:r>
      <w:r>
        <w:rPr>
          <w:rFonts w:ascii="Arial" w:cs="Arial" w:eastAsia="Arial" w:hAnsi="Arial"/>
          <w:sz w:val="18"/>
          <w:szCs w:val="18"/>
          <w:i w:val="1"/>
          <w:iCs w:val="1"/>
          <w:color w:val="auto"/>
        </w:rPr>
        <w:t>Payment mechanics</w:t>
      </w:r>
      <w:r>
        <w:rPr>
          <w:rFonts w:ascii="Arial" w:cs="Arial" w:eastAsia="Arial" w:hAnsi="Arial"/>
          <w:sz w:val="18"/>
          <w:szCs w:val="18"/>
          <w:color w:val="auto"/>
        </w:rPr>
        <w:t xml:space="preserve">) (a </w:t>
      </w:r>
      <w:r>
        <w:rPr>
          <w:rFonts w:ascii="Arial" w:cs="Arial" w:eastAsia="Arial" w:hAnsi="Arial"/>
          <w:sz w:val="18"/>
          <w:szCs w:val="18"/>
          <w:b w:val="1"/>
          <w:bCs w:val="1"/>
          <w:color w:val="auto"/>
        </w:rPr>
        <w:t>Recovered Amount</w:t>
      </w:r>
      <w:r>
        <w:rPr>
          <w:rFonts w:ascii="Arial" w:cs="Arial" w:eastAsia="Arial" w:hAnsi="Arial"/>
          <w:sz w:val="18"/>
          <w:szCs w:val="18"/>
          <w:color w:val="auto"/>
        </w:rPr>
        <w:t>) and applies that amount to a payment due under the Finance Documents then:</w:t>
      </w:r>
    </w:p>
    <w:p>
      <w:pPr>
        <w:spacing w:after="0" w:line="162" w:lineRule="exact"/>
        <w:rPr>
          <w:sz w:val="20"/>
          <w:szCs w:val="20"/>
          <w:color w:val="auto"/>
        </w:rPr>
      </w:pPr>
    </w:p>
    <w:p>
      <w:pPr>
        <w:ind w:left="1020" w:hanging="512"/>
        <w:spacing w:after="0"/>
        <w:tabs>
          <w:tab w:leader="none" w:pos="102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Recovering Finance Party shall, within three Business Days, notify details of the receipt or recovery, to the Agent;</w:t>
      </w:r>
    </w:p>
    <w:p>
      <w:pPr>
        <w:spacing w:after="0" w:line="198" w:lineRule="exact"/>
        <w:rPr>
          <w:rFonts w:ascii="Arial" w:cs="Arial" w:eastAsia="Arial" w:hAnsi="Arial"/>
          <w:sz w:val="18"/>
          <w:szCs w:val="18"/>
          <w:color w:val="auto"/>
        </w:rPr>
      </w:pPr>
    </w:p>
    <w:p>
      <w:pPr>
        <w:jc w:val="both"/>
        <w:ind w:left="1020" w:hanging="512"/>
        <w:spacing w:after="0" w:line="239" w:lineRule="auto"/>
        <w:tabs>
          <w:tab w:leader="none" w:pos="102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Agent shall determine whether the receipt or recovery is in excess of the amount the Recovering Finance Party would have been paid had the receipt or recovery been received or made by the Agent and distributed in accordance with clause 35 (</w:t>
      </w:r>
      <w:r>
        <w:rPr>
          <w:rFonts w:ascii="Arial" w:cs="Arial" w:eastAsia="Arial" w:hAnsi="Arial"/>
          <w:sz w:val="18"/>
          <w:szCs w:val="18"/>
          <w:i w:val="1"/>
          <w:iCs w:val="1"/>
          <w:color w:val="auto"/>
        </w:rPr>
        <w:t>Payment</w:t>
      </w:r>
      <w:r>
        <w:rPr>
          <w:rFonts w:ascii="Arial" w:cs="Arial" w:eastAsia="Arial" w:hAnsi="Arial"/>
          <w:sz w:val="18"/>
          <w:szCs w:val="18"/>
          <w:color w:val="auto"/>
        </w:rPr>
        <w:t xml:space="preserve"> </w:t>
      </w:r>
      <w:r>
        <w:rPr>
          <w:rFonts w:ascii="Arial" w:cs="Arial" w:eastAsia="Arial" w:hAnsi="Arial"/>
          <w:sz w:val="18"/>
          <w:szCs w:val="18"/>
          <w:i w:val="1"/>
          <w:iCs w:val="1"/>
          <w:color w:val="auto"/>
        </w:rPr>
        <w:t>mechanics</w:t>
      </w:r>
      <w:r>
        <w:rPr>
          <w:rFonts w:ascii="Arial" w:cs="Arial" w:eastAsia="Arial" w:hAnsi="Arial"/>
          <w:sz w:val="18"/>
          <w:szCs w:val="18"/>
          <w:color w:val="auto"/>
        </w:rPr>
        <w:t>), without taking account of any Tax which would be imposed on the Agent in relation to the receipt, recovery or</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and</w:t>
      </w:r>
    </w:p>
    <w:p>
      <w:pPr>
        <w:spacing w:after="0" w:line="166" w:lineRule="exact"/>
        <w:rPr>
          <w:rFonts w:ascii="Arial" w:cs="Arial" w:eastAsia="Arial" w:hAnsi="Arial"/>
          <w:sz w:val="18"/>
          <w:szCs w:val="18"/>
          <w:color w:val="auto"/>
        </w:rPr>
      </w:pPr>
    </w:p>
    <w:p>
      <w:pPr>
        <w:jc w:val="both"/>
        <w:ind w:left="1020" w:hanging="512"/>
        <w:spacing w:after="0" w:line="253" w:lineRule="auto"/>
        <w:tabs>
          <w:tab w:leader="none" w:pos="102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 xml:space="preserve">the Recovering Finance Party shall, within three Business Days of demand by the Agent, pay to the Agent an amount (the </w:t>
      </w:r>
      <w:r>
        <w:rPr>
          <w:rFonts w:ascii="Arial" w:cs="Arial" w:eastAsia="Arial" w:hAnsi="Arial"/>
          <w:sz w:val="18"/>
          <w:szCs w:val="18"/>
          <w:b w:val="1"/>
          <w:bCs w:val="1"/>
          <w:color w:val="auto"/>
        </w:rPr>
        <w:t>Sharing</w:t>
      </w:r>
      <w:r>
        <w:rPr>
          <w:rFonts w:ascii="Arial" w:cs="Arial" w:eastAsia="Arial" w:hAnsi="Arial"/>
          <w:sz w:val="18"/>
          <w:szCs w:val="18"/>
          <w:color w:val="auto"/>
        </w:rPr>
        <w:t xml:space="preserve"> </w:t>
      </w:r>
      <w:r>
        <w:rPr>
          <w:rFonts w:ascii="Arial" w:cs="Arial" w:eastAsia="Arial" w:hAnsi="Arial"/>
          <w:sz w:val="18"/>
          <w:szCs w:val="18"/>
          <w:b w:val="1"/>
          <w:bCs w:val="1"/>
          <w:color w:val="auto"/>
        </w:rPr>
        <w:t>Payment</w:t>
      </w:r>
      <w:r>
        <w:rPr>
          <w:rFonts w:ascii="Arial" w:cs="Arial" w:eastAsia="Arial" w:hAnsi="Arial"/>
          <w:sz w:val="18"/>
          <w:szCs w:val="18"/>
          <w:color w:val="auto"/>
        </w:rPr>
        <w:t>) equal to such receipt or recovery less any amount which the Agent determines may be retained by the Recovering</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Party as its share of any payment to be made, in accordance with clause 35.5 (</w:t>
      </w:r>
      <w:r>
        <w:rPr>
          <w:rFonts w:ascii="Arial" w:cs="Arial" w:eastAsia="Arial" w:hAnsi="Arial"/>
          <w:sz w:val="18"/>
          <w:szCs w:val="18"/>
          <w:i w:val="1"/>
          <w:iCs w:val="1"/>
          <w:color w:val="auto"/>
        </w:rPr>
        <w:t>Partial payments</w:t>
      </w:r>
      <w:r>
        <w:rPr>
          <w:rFonts w:ascii="Arial" w:cs="Arial" w:eastAsia="Arial" w:hAnsi="Arial"/>
          <w:sz w:val="18"/>
          <w:szCs w:val="18"/>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180" w:name="page181"/>
    <w:bookmarkEnd w:id="180"/>
    <w:p>
      <w:pPr>
        <w:spacing w:after="0"/>
        <w:tabs>
          <w:tab w:leader="none" w:pos="520" w:val="left"/>
        </w:tabs>
        <w:rPr>
          <w:sz w:val="20"/>
          <w:szCs w:val="20"/>
          <w:color w:val="auto"/>
        </w:rPr>
      </w:pPr>
      <w:r>
        <w:rPr>
          <w:rFonts w:ascii="Arial" w:cs="Arial" w:eastAsia="Arial" w:hAnsi="Arial"/>
          <w:sz w:val="18"/>
          <w:szCs w:val="18"/>
          <w:b w:val="1"/>
          <w:bCs w:val="1"/>
          <w:color w:val="auto"/>
        </w:rPr>
        <w:t>34.2</w:t>
        <w:tab/>
        <w:t>Redistribution of payments</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 xml:space="preserve">The Agent shall treat the Sharing Payment as if it had been paid by the relevant Obligor and distribute it between the Finance Parties (other than the Recovering Finance Party) (the </w:t>
      </w:r>
      <w:r>
        <w:rPr>
          <w:rFonts w:ascii="Arial" w:cs="Arial" w:eastAsia="Arial" w:hAnsi="Arial"/>
          <w:sz w:val="18"/>
          <w:szCs w:val="18"/>
          <w:b w:val="1"/>
          <w:bCs w:val="1"/>
          <w:color w:val="auto"/>
        </w:rPr>
        <w:t>Sharing Finance Parties</w:t>
      </w:r>
      <w:r>
        <w:rPr>
          <w:rFonts w:ascii="Arial" w:cs="Arial" w:eastAsia="Arial" w:hAnsi="Arial"/>
          <w:sz w:val="18"/>
          <w:szCs w:val="18"/>
          <w:color w:val="auto"/>
        </w:rPr>
        <w:t>) in accordance with clause 35.5 (</w:t>
      </w:r>
      <w:r>
        <w:rPr>
          <w:rFonts w:ascii="Arial" w:cs="Arial" w:eastAsia="Arial" w:hAnsi="Arial"/>
          <w:sz w:val="18"/>
          <w:szCs w:val="18"/>
          <w:i w:val="1"/>
          <w:iCs w:val="1"/>
          <w:color w:val="auto"/>
        </w:rPr>
        <w:t>Partial payments</w:t>
      </w:r>
      <w:r>
        <w:rPr>
          <w:rFonts w:ascii="Arial" w:cs="Arial" w:eastAsia="Arial" w:hAnsi="Arial"/>
          <w:sz w:val="18"/>
          <w:szCs w:val="18"/>
          <w:color w:val="auto"/>
        </w:rPr>
        <w:t>) towards the obligations of that Obligor to the Sharing Finance Parties.</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34.3</w:t>
        <w:tab/>
        <w:t>Recovering Finance Party’s rights</w:t>
      </w:r>
    </w:p>
    <w:p>
      <w:pPr>
        <w:spacing w:after="0" w:line="202" w:lineRule="exact"/>
        <w:rPr>
          <w:sz w:val="20"/>
          <w:szCs w:val="20"/>
          <w:color w:val="auto"/>
        </w:rPr>
      </w:pPr>
    </w:p>
    <w:p>
      <w:pPr>
        <w:jc w:val="both"/>
        <w:ind w:left="540"/>
        <w:spacing w:after="0" w:line="251" w:lineRule="auto"/>
        <w:rPr>
          <w:sz w:val="20"/>
          <w:szCs w:val="20"/>
          <w:color w:val="auto"/>
        </w:rPr>
      </w:pPr>
      <w:r>
        <w:rPr>
          <w:rFonts w:ascii="Arial" w:cs="Arial" w:eastAsia="Arial" w:hAnsi="Arial"/>
          <w:sz w:val="18"/>
          <w:szCs w:val="18"/>
          <w:color w:val="auto"/>
        </w:rPr>
        <w:t>On a distribution by the Agent under clause 34.2 (</w:t>
      </w:r>
      <w:r>
        <w:rPr>
          <w:rFonts w:ascii="Arial" w:cs="Arial" w:eastAsia="Arial" w:hAnsi="Arial"/>
          <w:sz w:val="18"/>
          <w:szCs w:val="18"/>
          <w:i w:val="1"/>
          <w:iCs w:val="1"/>
          <w:color w:val="auto"/>
        </w:rPr>
        <w:t>Redistribution of payments</w:t>
      </w:r>
      <w:r>
        <w:rPr>
          <w:rFonts w:ascii="Arial" w:cs="Arial" w:eastAsia="Arial" w:hAnsi="Arial"/>
          <w:sz w:val="18"/>
          <w:szCs w:val="18"/>
          <w:color w:val="auto"/>
        </w:rPr>
        <w:t>) of a payment received by a Recovering Finance Party from an Obligor, as between the relevant Obligor and the Recovering Finance Party, an amount of the Recovered Amount equal to the Sharing Payment will be treated as not having been paid by that Obligor to that Recovering Finance Party.</w:t>
      </w:r>
    </w:p>
    <w:p>
      <w:pPr>
        <w:spacing w:after="0" w:line="15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34.4</w:t>
      </w:r>
      <w:r>
        <w:rPr>
          <w:sz w:val="20"/>
          <w:szCs w:val="20"/>
          <w:color w:val="auto"/>
        </w:rPr>
        <w:tab/>
      </w:r>
      <w:r>
        <w:rPr>
          <w:rFonts w:ascii="Arial" w:cs="Arial" w:eastAsia="Arial" w:hAnsi="Arial"/>
          <w:sz w:val="17"/>
          <w:szCs w:val="17"/>
          <w:b w:val="1"/>
          <w:bCs w:val="1"/>
          <w:color w:val="auto"/>
        </w:rPr>
        <w:t>Reversal of redistribution</w:t>
      </w:r>
    </w:p>
    <w:p>
      <w:pPr>
        <w:spacing w:after="0" w:line="2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any part of the Sharing Payment received or recovered by a Recovering Finance Party becomes repayable and is repaid by that</w:t>
      </w:r>
    </w:p>
    <w:p>
      <w:pPr>
        <w:ind w:left="540"/>
        <w:spacing w:after="0"/>
        <w:rPr>
          <w:sz w:val="20"/>
          <w:szCs w:val="20"/>
          <w:color w:val="auto"/>
        </w:rPr>
      </w:pPr>
      <w:r>
        <w:rPr>
          <w:rFonts w:ascii="Arial" w:cs="Arial" w:eastAsia="Arial" w:hAnsi="Arial"/>
          <w:sz w:val="18"/>
          <w:szCs w:val="18"/>
          <w:color w:val="auto"/>
        </w:rPr>
        <w:t>Recovering Finance Party, then:</w:t>
      </w:r>
    </w:p>
    <w:p>
      <w:pPr>
        <w:spacing w:after="0" w:line="198" w:lineRule="exact"/>
        <w:rPr>
          <w:sz w:val="20"/>
          <w:szCs w:val="20"/>
          <w:color w:val="auto"/>
        </w:rPr>
      </w:pPr>
    </w:p>
    <w:p>
      <w:pPr>
        <w:jc w:val="both"/>
        <w:ind w:left="1080" w:hanging="532"/>
        <w:spacing w:after="0" w:line="239" w:lineRule="auto"/>
        <w:tabs>
          <w:tab w:leader="none" w:pos="108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 xml:space="preserve">each Sharing Finance Party shall, upon request of the Agent, pay to the Agent for the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(the </w:t>
      </w:r>
      <w:r>
        <w:rPr>
          <w:rFonts w:ascii="Arial" w:cs="Arial" w:eastAsia="Arial" w:hAnsi="Arial"/>
          <w:sz w:val="18"/>
          <w:szCs w:val="18"/>
          <w:b w:val="1"/>
          <w:bCs w:val="1"/>
          <w:color w:val="auto"/>
        </w:rPr>
        <w:t>Redistributed Amount</w:t>
      </w:r>
      <w:r>
        <w:rPr>
          <w:rFonts w:ascii="Arial" w:cs="Arial" w:eastAsia="Arial" w:hAnsi="Arial"/>
          <w:sz w:val="18"/>
          <w:szCs w:val="18"/>
          <w:color w:val="auto"/>
        </w:rPr>
        <w:t>); and</w:t>
      </w:r>
    </w:p>
    <w:p>
      <w:pPr>
        <w:spacing w:after="0" w:line="188"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as between the relevant Obligor and each relevant Sharing Finance Party, an amount equal to the relevant Redistributed Amount will be treated as not having been paid by that Obligor.</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34.5</w:t>
      </w:r>
      <w:r>
        <w:rPr>
          <w:sz w:val="20"/>
          <w:szCs w:val="20"/>
          <w:color w:val="auto"/>
        </w:rPr>
        <w:tab/>
      </w:r>
      <w:r>
        <w:rPr>
          <w:rFonts w:ascii="Arial" w:cs="Arial" w:eastAsia="Arial" w:hAnsi="Arial"/>
          <w:sz w:val="17"/>
          <w:szCs w:val="17"/>
          <w:b w:val="1"/>
          <w:bCs w:val="1"/>
          <w:color w:val="auto"/>
        </w:rPr>
        <w:t>Exceptions</w:t>
      </w:r>
    </w:p>
    <w:p>
      <w:pPr>
        <w:spacing w:after="0" w:line="220" w:lineRule="exact"/>
        <w:rPr>
          <w:sz w:val="20"/>
          <w:szCs w:val="20"/>
          <w:color w:val="auto"/>
        </w:rPr>
      </w:pPr>
    </w:p>
    <w:p>
      <w:pPr>
        <w:ind w:left="1080" w:right="20" w:hanging="532"/>
        <w:spacing w:after="0" w:line="246" w:lineRule="auto"/>
        <w:tabs>
          <w:tab w:leader="none" w:pos="10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This clause 34 shall not apply to the extent that the Recovering Finance Party would not, after making any payment pursuant to this clause, have a valid and enforceable claim against the relevant Obligor.</w:t>
      </w:r>
    </w:p>
    <w:p>
      <w:pPr>
        <w:spacing w:after="0" w:line="183" w:lineRule="exact"/>
        <w:rPr>
          <w:rFonts w:ascii="Arial" w:cs="Arial" w:eastAsia="Arial" w:hAnsi="Arial"/>
          <w:sz w:val="18"/>
          <w:szCs w:val="18"/>
          <w:color w:val="auto"/>
        </w:rPr>
      </w:pPr>
    </w:p>
    <w:p>
      <w:pPr>
        <w:jc w:val="both"/>
        <w:ind w:left="1080" w:right="20" w:hanging="532"/>
        <w:spacing w:after="0" w:line="246" w:lineRule="auto"/>
        <w:tabs>
          <w:tab w:leader="none" w:pos="10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A Recovering Finance Party is not obliged to share with any other Finance Party any amount which the Recovering Finance Party has received or recovered as a result of taking legal or arbitration proceedings in accordance with the terms of this Agreement, if:</w:t>
      </w:r>
    </w:p>
    <w:p>
      <w:pPr>
        <w:spacing w:after="0" w:line="183" w:lineRule="exact"/>
        <w:rPr>
          <w:rFonts w:ascii="Arial" w:cs="Arial" w:eastAsia="Arial" w:hAnsi="Arial"/>
          <w:sz w:val="18"/>
          <w:szCs w:val="18"/>
          <w:color w:val="auto"/>
        </w:rPr>
      </w:pPr>
    </w:p>
    <w:p>
      <w:pPr>
        <w:ind w:left="1620" w:hanging="532"/>
        <w:spacing w:after="0"/>
        <w:tabs>
          <w:tab w:leader="none" w:pos="162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it notified that other Finance Party of the legal or arbitration proceedings; and</w:t>
      </w:r>
    </w:p>
    <w:p>
      <w:pPr>
        <w:spacing w:after="0" w:line="198"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that other Finance Party had an opportunity to participate in those legal or arbitration proceedings but did not do so as soon as reasonably practicable having received notice and did not take separate legal or arbitration proceedings.</w:t>
      </w:r>
    </w:p>
    <w:p>
      <w:pPr>
        <w:spacing w:after="0" w:line="161" w:lineRule="exact"/>
        <w:rPr>
          <w:sz w:val="20"/>
          <w:szCs w:val="20"/>
          <w:color w:val="auto"/>
        </w:rPr>
      </w:pPr>
    </w:p>
    <w:p>
      <w:pPr>
        <w:ind w:right="8920" w:firstLine="8"/>
        <w:spacing w:after="0" w:line="482" w:lineRule="auto"/>
        <w:tabs>
          <w:tab w:leader="none" w:pos="540" w:val="left"/>
        </w:tabs>
        <w:numPr>
          <w:ilvl w:val="0"/>
          <w:numId w:val="378"/>
        </w:numPr>
        <w:rPr>
          <w:rFonts w:ascii="Arial" w:cs="Arial" w:eastAsia="Arial" w:hAnsi="Arial"/>
          <w:sz w:val="18"/>
          <w:szCs w:val="18"/>
          <w:b w:val="1"/>
          <w:bCs w:val="1"/>
          <w:color w:val="auto"/>
        </w:rPr>
      </w:pPr>
      <w:r>
        <w:rPr>
          <w:rFonts w:ascii="Arial" w:cs="Arial" w:eastAsia="Arial" w:hAnsi="Arial"/>
          <w:sz w:val="18"/>
          <w:szCs w:val="18"/>
          <w:b w:val="1"/>
          <w:bCs w:val="1"/>
          <w:color w:val="auto"/>
        </w:rPr>
        <w:t>Payment mechanics 35.1 Payments to the Agent</w:t>
      </w:r>
    </w:p>
    <w:p>
      <w:pPr>
        <w:jc w:val="both"/>
        <w:ind w:left="1080" w:hanging="532"/>
        <w:spacing w:after="0" w:line="239" w:lineRule="auto"/>
        <w:tabs>
          <w:tab w:leader="none" w:pos="1080" w:val="left"/>
        </w:tabs>
        <w:numPr>
          <w:ilvl w:val="1"/>
          <w:numId w:val="378"/>
        </w:numPr>
        <w:rPr>
          <w:rFonts w:ascii="Arial" w:cs="Arial" w:eastAsia="Arial" w:hAnsi="Arial"/>
          <w:sz w:val="18"/>
          <w:szCs w:val="18"/>
          <w:color w:val="auto"/>
        </w:rPr>
      </w:pPr>
      <w:r>
        <w:rPr>
          <w:rFonts w:ascii="Arial" w:cs="Arial" w:eastAsia="Arial" w:hAnsi="Arial"/>
          <w:sz w:val="18"/>
          <w:szCs w:val="18"/>
          <w:color w:val="auto"/>
        </w:rPr>
        <w:t>On each date on which an Obligor or a Lender is required to make a payment under a Finance Document, that Obligor or Lender shall make the same available to the Agent (unless a contrary indication appears in a Finance Document) for value on the due date at the time and in such funds specified by the Agent as being customary at the time for settlement of transactions in the relevant currency in the place of payment.</w:t>
      </w:r>
    </w:p>
    <w:p>
      <w:pPr>
        <w:spacing w:after="0" w:line="188" w:lineRule="exact"/>
        <w:rPr>
          <w:sz w:val="20"/>
          <w:szCs w:val="20"/>
          <w:color w:val="auto"/>
        </w:rPr>
      </w:pPr>
    </w:p>
    <w:p>
      <w:pPr>
        <w:ind w:left="1020" w:hanging="512"/>
        <w:spacing w:after="0" w:line="246" w:lineRule="auto"/>
        <w:tabs>
          <w:tab w:leader="none" w:pos="102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Payment shall be made to such account in the principal financial centre of the country of that currency (or, in relation to euro, in a principal financial centre in a Participating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81" w:name="page182"/>
    <w:bookmarkEnd w:id="181"/>
    <w:p>
      <w:pPr>
        <w:ind w:left="1020"/>
        <w:spacing w:after="0"/>
        <w:rPr>
          <w:sz w:val="20"/>
          <w:szCs w:val="20"/>
          <w:color w:val="auto"/>
        </w:rPr>
      </w:pPr>
      <w:r>
        <w:rPr>
          <w:rFonts w:ascii="Arial" w:cs="Arial" w:eastAsia="Arial" w:hAnsi="Arial"/>
          <w:sz w:val="18"/>
          <w:szCs w:val="18"/>
          <w:color w:val="auto"/>
        </w:rPr>
        <w:t>Member State or London, as specified by the Agent) and with such bank as the Agent specifies.</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35.2</w:t>
        <w:tab/>
        <w:t>Distributions by the Agent</w:t>
      </w:r>
    </w:p>
    <w:p>
      <w:pPr>
        <w:spacing w:after="0" w:line="202" w:lineRule="exact"/>
        <w:rPr>
          <w:sz w:val="20"/>
          <w:szCs w:val="20"/>
          <w:color w:val="auto"/>
        </w:rPr>
      </w:pPr>
    </w:p>
    <w:p>
      <w:pPr>
        <w:jc w:val="both"/>
        <w:ind w:left="540"/>
        <w:spacing w:after="0" w:line="241" w:lineRule="auto"/>
        <w:rPr>
          <w:sz w:val="20"/>
          <w:szCs w:val="20"/>
          <w:color w:val="auto"/>
        </w:rPr>
      </w:pPr>
      <w:r>
        <w:rPr>
          <w:rFonts w:ascii="Arial" w:cs="Arial" w:eastAsia="Arial" w:hAnsi="Arial"/>
          <w:sz w:val="18"/>
          <w:szCs w:val="18"/>
          <w:color w:val="auto"/>
        </w:rPr>
        <w:t>Each payment received by the Agent under the Finance Documents for another Party shall, subject to clause 35.3 (</w:t>
      </w:r>
      <w:r>
        <w:rPr>
          <w:rFonts w:ascii="Arial" w:cs="Arial" w:eastAsia="Arial" w:hAnsi="Arial"/>
          <w:sz w:val="18"/>
          <w:szCs w:val="18"/>
          <w:i w:val="1"/>
          <w:iCs w:val="1"/>
          <w:color w:val="auto"/>
        </w:rPr>
        <w:t>Distributions to an</w:t>
      </w:r>
      <w:r>
        <w:rPr>
          <w:rFonts w:ascii="Arial" w:cs="Arial" w:eastAsia="Arial" w:hAnsi="Arial"/>
          <w:sz w:val="18"/>
          <w:szCs w:val="18"/>
          <w:color w:val="auto"/>
        </w:rPr>
        <w:t xml:space="preserve"> </w:t>
      </w:r>
      <w:r>
        <w:rPr>
          <w:rFonts w:ascii="Arial" w:cs="Arial" w:eastAsia="Arial" w:hAnsi="Arial"/>
          <w:sz w:val="18"/>
          <w:szCs w:val="18"/>
          <w:i w:val="1"/>
          <w:iCs w:val="1"/>
          <w:color w:val="auto"/>
        </w:rPr>
        <w:t>Obligor</w:t>
      </w:r>
      <w:r>
        <w:rPr>
          <w:rFonts w:ascii="Arial" w:cs="Arial" w:eastAsia="Arial" w:hAnsi="Arial"/>
          <w:sz w:val="18"/>
          <w:szCs w:val="18"/>
          <w:color w:val="auto"/>
        </w:rPr>
        <w:t>) and clause 35.4 (</w:t>
      </w:r>
      <w:r>
        <w:rPr>
          <w:rFonts w:ascii="Arial" w:cs="Arial" w:eastAsia="Arial" w:hAnsi="Arial"/>
          <w:sz w:val="18"/>
          <w:szCs w:val="18"/>
          <w:i w:val="1"/>
          <w:iCs w:val="1"/>
          <w:color w:val="auto"/>
        </w:rPr>
        <w:t>Clawback and pre-funding</w:t>
      </w:r>
      <w:r>
        <w:rPr>
          <w:rFonts w:ascii="Arial" w:cs="Arial" w:eastAsia="Arial" w:hAnsi="Arial"/>
          <w:sz w:val="18"/>
          <w:szCs w:val="18"/>
          <w:color w:val="auto"/>
        </w:rPr>
        <w:t>) be made available by the Agent as soon as practicable after receipt to the Party</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receive payment in accordance with this Agreement (in the case of a Lender, for the account of its Facility Office), to such account as that Party may notify to the Agent by not less than five Business Days’ notice with a bank specified by that Party in the principal financial centre of the country of that currency (or, in relation to euro, in the principal financial centre of a Participating Member State or London, as specified by that Party).</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35.3</w:t>
      </w:r>
      <w:r>
        <w:rPr>
          <w:sz w:val="20"/>
          <w:szCs w:val="20"/>
          <w:color w:val="auto"/>
        </w:rPr>
        <w:tab/>
      </w:r>
      <w:r>
        <w:rPr>
          <w:rFonts w:ascii="Arial" w:cs="Arial" w:eastAsia="Arial" w:hAnsi="Arial"/>
          <w:sz w:val="17"/>
          <w:szCs w:val="17"/>
          <w:b w:val="1"/>
          <w:bCs w:val="1"/>
          <w:color w:val="auto"/>
        </w:rPr>
        <w:t>Distributions to an Obligor</w:t>
      </w:r>
    </w:p>
    <w:p>
      <w:pPr>
        <w:spacing w:after="0" w:line="202" w:lineRule="exact"/>
        <w:rPr>
          <w:sz w:val="20"/>
          <w:szCs w:val="20"/>
          <w:color w:val="auto"/>
        </w:rPr>
      </w:pPr>
    </w:p>
    <w:p>
      <w:pPr>
        <w:jc w:val="both"/>
        <w:ind w:left="540"/>
        <w:spacing w:after="0" w:line="251" w:lineRule="auto"/>
        <w:rPr>
          <w:sz w:val="20"/>
          <w:szCs w:val="20"/>
          <w:color w:val="auto"/>
        </w:rPr>
      </w:pPr>
      <w:r>
        <w:rPr>
          <w:rFonts w:ascii="Arial" w:cs="Arial" w:eastAsia="Arial" w:hAnsi="Arial"/>
          <w:sz w:val="18"/>
          <w:szCs w:val="18"/>
          <w:color w:val="auto"/>
        </w:rPr>
        <w:t>The Agent may (with the consent of the Obligor or in accordance with clause 36 (</w:t>
      </w:r>
      <w:r>
        <w:rPr>
          <w:rFonts w:ascii="Arial" w:cs="Arial" w:eastAsia="Arial" w:hAnsi="Arial"/>
          <w:sz w:val="18"/>
          <w:szCs w:val="18"/>
          <w:i w:val="1"/>
          <w:iCs w:val="1"/>
          <w:color w:val="auto"/>
        </w:rPr>
        <w:t>Set-off</w:t>
      </w:r>
      <w:r>
        <w:rPr>
          <w:rFonts w:ascii="Arial" w:cs="Arial" w:eastAsia="Arial" w:hAnsi="Arial"/>
          <w:sz w:val="18"/>
          <w:szCs w:val="18"/>
          <w:color w:val="auto"/>
        </w:rPr>
        <w:t>)) apply any amount received by it for that Obligor in or towards payment (on the date and in the currency and funds of receipt) of any amount due from that Obligor under the Finance Documents or in or towards purchase of any amount of any currency to be so applied.</w:t>
      </w:r>
    </w:p>
    <w:p>
      <w:pPr>
        <w:spacing w:after="0" w:line="15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35.4</w:t>
        <w:tab/>
        <w:t>Clawback and pre-funding</w:t>
      </w:r>
    </w:p>
    <w:p>
      <w:pPr>
        <w:spacing w:after="0" w:line="220" w:lineRule="exact"/>
        <w:rPr>
          <w:sz w:val="20"/>
          <w:szCs w:val="20"/>
          <w:color w:val="auto"/>
        </w:rPr>
      </w:pPr>
    </w:p>
    <w:p>
      <w:pPr>
        <w:jc w:val="both"/>
        <w:ind w:left="1020" w:right="20" w:hanging="512"/>
        <w:spacing w:after="0"/>
        <w:tabs>
          <w:tab w:leader="none" w:pos="102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Where a sum is to be paid to the Agent under the Finance Documents for another Party, the Agent is not obliged to pay that sum to that other Party (or to enter into or perform any related exchange contract) until it has been able to establish to its satisfaction that it has actually received that sum.</w:t>
      </w:r>
    </w:p>
    <w:p>
      <w:pPr>
        <w:spacing w:after="0" w:line="189" w:lineRule="exact"/>
        <w:rPr>
          <w:rFonts w:ascii="Arial" w:cs="Arial" w:eastAsia="Arial" w:hAnsi="Arial"/>
          <w:sz w:val="18"/>
          <w:szCs w:val="18"/>
          <w:color w:val="auto"/>
        </w:rPr>
      </w:pPr>
    </w:p>
    <w:p>
      <w:pPr>
        <w:jc w:val="both"/>
        <w:ind w:left="1020" w:hanging="512"/>
        <w:spacing w:after="0" w:line="239" w:lineRule="auto"/>
        <w:tabs>
          <w:tab w:leader="none" w:pos="102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Unless clause 35.4(c) applies, if the Agent pays an amount to another Party and it proves to be the case that the Agent had not actually received that amount, then the Party to whom that amount (or the proceeds of any related exchange contract) was paid by the Agent shall on demand refund the same to the Agent together with interest on that amount from the date of payment to the date of receipt by the Agent, calculated by the Agent to reflect its cost of funds.</w:t>
      </w:r>
    </w:p>
    <w:p>
      <w:pPr>
        <w:spacing w:after="0" w:line="188" w:lineRule="exact"/>
        <w:rPr>
          <w:rFonts w:ascii="Arial" w:cs="Arial" w:eastAsia="Arial" w:hAnsi="Arial"/>
          <w:sz w:val="18"/>
          <w:szCs w:val="18"/>
          <w:color w:val="auto"/>
        </w:rPr>
      </w:pPr>
    </w:p>
    <w:p>
      <w:pPr>
        <w:jc w:val="both"/>
        <w:ind w:left="1020" w:hanging="512"/>
        <w:spacing w:after="0" w:line="239" w:lineRule="auto"/>
        <w:tabs>
          <w:tab w:leader="none" w:pos="102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If the Agent has notified the Lenders that, pursuant to the Borrowers’ request, it is willing to make available amounts for the account of a Borrower before receiving funds from the Lenders, and such Lenders and the Borrowers agree, then if and to the extent that the Agent does so but it proves to be the case that it does not then receive funds from a Lender in respect of a sum which it paid to a Borrower:</w:t>
      </w:r>
    </w:p>
    <w:p>
      <w:pPr>
        <w:spacing w:after="0" w:line="188" w:lineRule="exact"/>
        <w:rPr>
          <w:rFonts w:ascii="Arial" w:cs="Arial" w:eastAsia="Arial" w:hAnsi="Arial"/>
          <w:sz w:val="18"/>
          <w:szCs w:val="18"/>
          <w:color w:val="auto"/>
        </w:rPr>
      </w:pPr>
    </w:p>
    <w:p>
      <w:pPr>
        <w:ind w:left="1620" w:hanging="532"/>
        <w:spacing w:after="0"/>
        <w:tabs>
          <w:tab w:leader="none" w:pos="1620" w:val="left"/>
        </w:tabs>
        <w:numPr>
          <w:ilvl w:val="1"/>
          <w:numId w:val="380"/>
        </w:numPr>
        <w:rPr>
          <w:rFonts w:ascii="Arial" w:cs="Arial" w:eastAsia="Arial" w:hAnsi="Arial"/>
          <w:sz w:val="18"/>
          <w:szCs w:val="18"/>
          <w:color w:val="auto"/>
        </w:rPr>
      </w:pPr>
      <w:r>
        <w:rPr>
          <w:rFonts w:ascii="Arial" w:cs="Arial" w:eastAsia="Arial" w:hAnsi="Arial"/>
          <w:sz w:val="18"/>
          <w:szCs w:val="18"/>
          <w:color w:val="auto"/>
        </w:rPr>
        <w:t>the Borrower shall on demand refund it to the Agent; and</w:t>
      </w:r>
    </w:p>
    <w:p>
      <w:pPr>
        <w:spacing w:after="0" w:line="198" w:lineRule="exact"/>
        <w:rPr>
          <w:rFonts w:ascii="Arial" w:cs="Arial" w:eastAsia="Arial" w:hAnsi="Arial"/>
          <w:sz w:val="18"/>
          <w:szCs w:val="18"/>
          <w:color w:val="auto"/>
        </w:rPr>
      </w:pPr>
    </w:p>
    <w:p>
      <w:pPr>
        <w:jc w:val="both"/>
        <w:ind w:left="1620" w:hanging="532"/>
        <w:spacing w:after="0"/>
        <w:tabs>
          <w:tab w:leader="none" w:pos="1620" w:val="left"/>
        </w:tabs>
        <w:numPr>
          <w:ilvl w:val="1"/>
          <w:numId w:val="380"/>
        </w:numPr>
        <w:rPr>
          <w:rFonts w:ascii="Arial" w:cs="Arial" w:eastAsia="Arial" w:hAnsi="Arial"/>
          <w:sz w:val="18"/>
          <w:szCs w:val="18"/>
          <w:color w:val="auto"/>
        </w:rPr>
      </w:pPr>
      <w:r>
        <w:rPr>
          <w:rFonts w:ascii="Arial" w:cs="Arial" w:eastAsia="Arial" w:hAnsi="Arial"/>
          <w:sz w:val="18"/>
          <w:szCs w:val="18"/>
          <w:color w:val="auto"/>
        </w:rPr>
        <w:t>the Lender by whom those funds should have been made available or, if that Lender fails to do so, the Borrowers, shall on demand pay to the Agent the amount (as certified by the Agent) which will indemnify the Agent against any funding cost incurred by it as a result of paying out that sum before receiving those funds from that Lender.</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35.5</w:t>
      </w:r>
      <w:r>
        <w:rPr>
          <w:sz w:val="20"/>
          <w:szCs w:val="20"/>
          <w:color w:val="auto"/>
        </w:rPr>
        <w:tab/>
      </w:r>
      <w:r>
        <w:rPr>
          <w:rFonts w:ascii="Arial" w:cs="Arial" w:eastAsia="Arial" w:hAnsi="Arial"/>
          <w:sz w:val="17"/>
          <w:szCs w:val="17"/>
          <w:b w:val="1"/>
          <w:bCs w:val="1"/>
          <w:color w:val="auto"/>
        </w:rPr>
        <w:t>Partial payments</w:t>
      </w:r>
    </w:p>
    <w:p>
      <w:pPr>
        <w:spacing w:after="0" w:line="220" w:lineRule="exact"/>
        <w:rPr>
          <w:sz w:val="20"/>
          <w:szCs w:val="20"/>
          <w:color w:val="auto"/>
        </w:rPr>
      </w:pPr>
    </w:p>
    <w:p>
      <w:pPr>
        <w:jc w:val="both"/>
        <w:ind w:left="1080" w:hanging="532"/>
        <w:spacing w:after="0"/>
        <w:tabs>
          <w:tab w:leader="none" w:pos="108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If the Agent receives a payment for application against amounts in respect of any Finance Documents that is insufficient to discharge all the amounts then due and payable by an Obligor under those Finance Documents, the Agent shall apply that payment towards the obligations of that Obligor under those Finance Documents in the following order:</w:t>
      </w:r>
    </w:p>
    <w:p>
      <w:pPr>
        <w:spacing w:after="0" w:line="167" w:lineRule="exact"/>
        <w:rPr>
          <w:sz w:val="20"/>
          <w:szCs w:val="20"/>
          <w:color w:val="auto"/>
        </w:rPr>
      </w:pPr>
    </w:p>
    <w:p>
      <w:pPr>
        <w:ind w:left="1620" w:hanging="532"/>
        <w:spacing w:after="0" w:line="271" w:lineRule="auto"/>
        <w:tabs>
          <w:tab w:leader="none" w:pos="1620" w:val="left"/>
        </w:tabs>
        <w:numPr>
          <w:ilvl w:val="0"/>
          <w:numId w:val="382"/>
        </w:numPr>
        <w:rPr>
          <w:rFonts w:ascii="Arial" w:cs="Arial" w:eastAsia="Arial" w:hAnsi="Arial"/>
          <w:sz w:val="18"/>
          <w:szCs w:val="18"/>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in or towards payment pro rata of any unpaid amount owing to the Agent, the Security Agent or the Arrangers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those Finance Documents;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82" w:name="page183"/>
    <w:bookmarkEnd w:id="182"/>
    <w:p>
      <w:pPr>
        <w:jc w:val="both"/>
        <w:ind w:left="1520" w:hanging="499"/>
        <w:spacing w:after="0" w:line="253" w:lineRule="auto"/>
        <w:tabs>
          <w:tab w:leader="none" w:pos="1520" w:val="left"/>
        </w:tabs>
        <w:numPr>
          <w:ilvl w:val="1"/>
          <w:numId w:val="383"/>
        </w:numPr>
        <w:rPr>
          <w:rFonts w:ascii="Arial" w:cs="Arial" w:eastAsia="Arial" w:hAnsi="Arial"/>
          <w:sz w:val="18"/>
          <w:szCs w:val="18"/>
          <w:color w:val="auto"/>
        </w:rPr>
      </w:pPr>
      <w:r>
        <w:rPr>
          <w:rFonts w:ascii="Arial" w:cs="Arial" w:eastAsia="Arial" w:hAnsi="Arial"/>
          <w:sz w:val="18"/>
          <w:szCs w:val="18"/>
          <w:b w:val="1"/>
          <w:bCs w:val="1"/>
          <w:color w:val="auto"/>
        </w:rPr>
        <w:t>secondly</w:t>
      </w:r>
      <w:r>
        <w:rPr>
          <w:rFonts w:ascii="Arial" w:cs="Arial" w:eastAsia="Arial" w:hAnsi="Arial"/>
          <w:sz w:val="18"/>
          <w:szCs w:val="18"/>
          <w:color w:val="auto"/>
        </w:rPr>
        <w:t>, in or towards payment to the Lenders pro rata of any amount owing to the Lenders under clause 32.11 (</w:t>
      </w:r>
      <w:r>
        <w:rPr>
          <w:rFonts w:ascii="Arial" w:cs="Arial" w:eastAsia="Arial" w:hAnsi="Arial"/>
          <w:sz w:val="18"/>
          <w:szCs w:val="18"/>
          <w:i w:val="1"/>
          <w:iCs w:val="1"/>
          <w:color w:val="auto"/>
        </w:rPr>
        <w:t>Lenders’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indemnity to the Agent</w:t>
      </w:r>
      <w:r>
        <w:rPr>
          <w:rFonts w:ascii="Arial" w:cs="Arial" w:eastAsia="Arial" w:hAnsi="Arial"/>
          <w:sz w:val="18"/>
          <w:szCs w:val="18"/>
          <w:color w:val="auto"/>
        </w:rPr>
        <w:t>) including any amount resulting from the indemnity to the Security Agent under clause 32.21(a)</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Application of certain clauses to Security Agent</w:t>
      </w:r>
      <w:r>
        <w:rPr>
          <w:rFonts w:ascii="Arial" w:cs="Arial" w:eastAsia="Arial" w:hAnsi="Arial"/>
          <w:sz w:val="18"/>
          <w:szCs w:val="18"/>
          <w:color w:val="auto"/>
        </w:rPr>
        <w:t>);</w:t>
      </w:r>
    </w:p>
    <w:p>
      <w:pPr>
        <w:spacing w:after="0" w:line="155" w:lineRule="exact"/>
        <w:rPr>
          <w:rFonts w:ascii="Arial" w:cs="Arial" w:eastAsia="Arial" w:hAnsi="Arial"/>
          <w:sz w:val="18"/>
          <w:szCs w:val="18"/>
          <w:color w:val="auto"/>
        </w:rPr>
      </w:pPr>
    </w:p>
    <w:p>
      <w:pPr>
        <w:ind w:left="1520" w:hanging="499"/>
        <w:spacing w:after="0" w:line="271" w:lineRule="auto"/>
        <w:tabs>
          <w:tab w:leader="none" w:pos="1520" w:val="left"/>
        </w:tabs>
        <w:numPr>
          <w:ilvl w:val="1"/>
          <w:numId w:val="383"/>
        </w:numPr>
        <w:rPr>
          <w:rFonts w:ascii="Arial" w:cs="Arial" w:eastAsia="Arial" w:hAnsi="Arial"/>
          <w:sz w:val="18"/>
          <w:szCs w:val="18"/>
          <w:color w:val="auto"/>
        </w:rPr>
      </w:pPr>
      <w:r>
        <w:rPr>
          <w:rFonts w:ascii="Arial" w:cs="Arial" w:eastAsia="Arial" w:hAnsi="Arial"/>
          <w:sz w:val="18"/>
          <w:szCs w:val="18"/>
          <w:b w:val="1"/>
          <w:bCs w:val="1"/>
          <w:color w:val="auto"/>
        </w:rPr>
        <w:t>thirdly</w:t>
      </w:r>
      <w:r>
        <w:rPr>
          <w:rFonts w:ascii="Arial" w:cs="Arial" w:eastAsia="Arial" w:hAnsi="Arial"/>
          <w:sz w:val="18"/>
          <w:szCs w:val="18"/>
          <w:color w:val="auto"/>
        </w:rPr>
        <w:t>, in or towards payment to the Lenders pro rata of any accrued interest, fee or commission due but unpaid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those Finance Documents;</w:t>
      </w:r>
    </w:p>
    <w:p>
      <w:pPr>
        <w:spacing w:after="0" w:line="140" w:lineRule="exact"/>
        <w:rPr>
          <w:rFonts w:ascii="Arial" w:cs="Arial" w:eastAsia="Arial" w:hAnsi="Arial"/>
          <w:sz w:val="18"/>
          <w:szCs w:val="18"/>
          <w:color w:val="auto"/>
        </w:rPr>
      </w:pPr>
    </w:p>
    <w:p>
      <w:pPr>
        <w:ind w:left="1520" w:right="20" w:hanging="499"/>
        <w:spacing w:after="0" w:line="271" w:lineRule="auto"/>
        <w:tabs>
          <w:tab w:leader="none" w:pos="1520" w:val="left"/>
        </w:tabs>
        <w:numPr>
          <w:ilvl w:val="1"/>
          <w:numId w:val="383"/>
        </w:numPr>
        <w:rPr>
          <w:rFonts w:ascii="Arial" w:cs="Arial" w:eastAsia="Arial" w:hAnsi="Arial"/>
          <w:sz w:val="18"/>
          <w:szCs w:val="18"/>
          <w:color w:val="auto"/>
        </w:rPr>
      </w:pPr>
      <w:r>
        <w:rPr>
          <w:rFonts w:ascii="Arial" w:cs="Arial" w:eastAsia="Arial" w:hAnsi="Arial"/>
          <w:sz w:val="18"/>
          <w:szCs w:val="18"/>
          <w:b w:val="1"/>
          <w:bCs w:val="1"/>
          <w:color w:val="auto"/>
        </w:rPr>
        <w:t>fourthly</w:t>
      </w:r>
      <w:r>
        <w:rPr>
          <w:rFonts w:ascii="Arial" w:cs="Arial" w:eastAsia="Arial" w:hAnsi="Arial"/>
          <w:sz w:val="18"/>
          <w:szCs w:val="18"/>
          <w:color w:val="auto"/>
        </w:rPr>
        <w:t>, in or towards payment to the Lenders pro rata of any principal due but unpaid to the Lenders under those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and</w:t>
      </w:r>
    </w:p>
    <w:p>
      <w:pPr>
        <w:spacing w:after="0" w:line="140" w:lineRule="exact"/>
        <w:rPr>
          <w:rFonts w:ascii="Arial" w:cs="Arial" w:eastAsia="Arial" w:hAnsi="Arial"/>
          <w:sz w:val="18"/>
          <w:szCs w:val="18"/>
          <w:color w:val="auto"/>
        </w:rPr>
      </w:pPr>
    </w:p>
    <w:p>
      <w:pPr>
        <w:ind w:left="1520" w:hanging="499"/>
        <w:spacing w:after="0" w:line="271" w:lineRule="auto"/>
        <w:tabs>
          <w:tab w:leader="none" w:pos="1520" w:val="left"/>
        </w:tabs>
        <w:numPr>
          <w:ilvl w:val="1"/>
          <w:numId w:val="383"/>
        </w:numPr>
        <w:rPr>
          <w:rFonts w:ascii="Arial" w:cs="Arial" w:eastAsia="Arial" w:hAnsi="Arial"/>
          <w:sz w:val="18"/>
          <w:szCs w:val="18"/>
          <w:color w:val="auto"/>
        </w:rPr>
      </w:pPr>
      <w:r>
        <w:rPr>
          <w:rFonts w:ascii="Arial" w:cs="Arial" w:eastAsia="Arial" w:hAnsi="Arial"/>
          <w:sz w:val="18"/>
          <w:szCs w:val="18"/>
          <w:b w:val="1"/>
          <w:bCs w:val="1"/>
          <w:color w:val="auto"/>
        </w:rPr>
        <w:t>fifthly</w:t>
      </w:r>
      <w:r>
        <w:rPr>
          <w:rFonts w:ascii="Arial" w:cs="Arial" w:eastAsia="Arial" w:hAnsi="Arial"/>
          <w:sz w:val="18"/>
          <w:szCs w:val="18"/>
          <w:color w:val="auto"/>
        </w:rPr>
        <w:t>, in or towards payment pro rata of any other sum due but unpaid to the Finance Parties under the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w:t>
      </w:r>
    </w:p>
    <w:p>
      <w:pPr>
        <w:spacing w:after="0" w:line="162" w:lineRule="exact"/>
        <w:rPr>
          <w:rFonts w:ascii="Arial" w:cs="Arial" w:eastAsia="Arial" w:hAnsi="Arial"/>
          <w:sz w:val="18"/>
          <w:szCs w:val="18"/>
          <w:color w:val="auto"/>
        </w:rPr>
      </w:pPr>
    </w:p>
    <w:p>
      <w:pPr>
        <w:ind w:left="1020" w:hanging="512"/>
        <w:spacing w:after="0"/>
        <w:tabs>
          <w:tab w:leader="none" w:pos="102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 Agent shall, if so directed by all the Lenders, vary the order set out in paragraphs (iii) to (v) of clause 35.5(a).</w:t>
      </w:r>
    </w:p>
    <w:p>
      <w:pPr>
        <w:spacing w:after="0" w:line="198" w:lineRule="exact"/>
        <w:rPr>
          <w:rFonts w:ascii="Arial" w:cs="Arial" w:eastAsia="Arial" w:hAnsi="Arial"/>
          <w:sz w:val="18"/>
          <w:szCs w:val="18"/>
          <w:color w:val="auto"/>
        </w:rPr>
      </w:pPr>
    </w:p>
    <w:p>
      <w:pPr>
        <w:ind w:left="1020" w:hanging="512"/>
        <w:spacing w:after="0"/>
        <w:tabs>
          <w:tab w:leader="none" w:pos="102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Clauses 35.5(a) and 35.5(b) above will override any appropriation made by an Obligor.</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35.6</w:t>
        <w:tab/>
        <w:t>No set-off by Obligors</w:t>
      </w:r>
    </w:p>
    <w:p>
      <w:pPr>
        <w:spacing w:after="0" w:line="220" w:lineRule="exact"/>
        <w:rPr>
          <w:sz w:val="20"/>
          <w:szCs w:val="20"/>
          <w:color w:val="auto"/>
        </w:rPr>
      </w:pPr>
    </w:p>
    <w:p>
      <w:pPr>
        <w:ind w:left="540" w:right="20"/>
        <w:spacing w:after="0" w:line="246" w:lineRule="auto"/>
        <w:rPr>
          <w:sz w:val="20"/>
          <w:szCs w:val="20"/>
          <w:color w:val="auto"/>
        </w:rPr>
      </w:pPr>
      <w:r>
        <w:rPr>
          <w:rFonts w:ascii="Arial" w:cs="Arial" w:eastAsia="Arial" w:hAnsi="Arial"/>
          <w:sz w:val="18"/>
          <w:szCs w:val="18"/>
          <w:color w:val="auto"/>
        </w:rPr>
        <w:t>All payments to be made by an Obligor under the Finance Documents shall be calculated and be made without (and free and clear of any deduction for) set-off or counterclaim.</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35.7</w:t>
      </w:r>
      <w:r>
        <w:rPr>
          <w:sz w:val="20"/>
          <w:szCs w:val="20"/>
          <w:color w:val="auto"/>
        </w:rPr>
        <w:tab/>
      </w:r>
      <w:r>
        <w:rPr>
          <w:rFonts w:ascii="Arial" w:cs="Arial" w:eastAsia="Arial" w:hAnsi="Arial"/>
          <w:sz w:val="17"/>
          <w:szCs w:val="17"/>
          <w:b w:val="1"/>
          <w:bCs w:val="1"/>
          <w:color w:val="auto"/>
        </w:rPr>
        <w:t>Business Days</w:t>
      </w:r>
    </w:p>
    <w:p>
      <w:pPr>
        <w:spacing w:after="0" w:line="220" w:lineRule="exact"/>
        <w:rPr>
          <w:sz w:val="20"/>
          <w:szCs w:val="20"/>
          <w:color w:val="auto"/>
        </w:rPr>
      </w:pPr>
    </w:p>
    <w:p>
      <w:pPr>
        <w:ind w:left="1080" w:hanging="532"/>
        <w:spacing w:after="0" w:line="246" w:lineRule="auto"/>
        <w:tabs>
          <w:tab w:leader="none" w:pos="108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Any payment which is due to be made on a day that is not a Business Day shall be made on the next Business Day in the same calendar month (if there is one) or the preceding Business Day (if there is not).</w:t>
      </w:r>
    </w:p>
    <w:p>
      <w:pPr>
        <w:spacing w:after="0" w:line="183"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During any extension of the due date for payment of any principal or Unpaid Sum under this Agreement interest is payable on the principal or Unpaid Sum at the rate payable on the original due date.</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35.8</w:t>
      </w:r>
      <w:r>
        <w:rPr>
          <w:sz w:val="20"/>
          <w:szCs w:val="20"/>
          <w:color w:val="auto"/>
        </w:rPr>
        <w:tab/>
      </w:r>
      <w:r>
        <w:rPr>
          <w:rFonts w:ascii="Arial" w:cs="Arial" w:eastAsia="Arial" w:hAnsi="Arial"/>
          <w:sz w:val="17"/>
          <w:szCs w:val="17"/>
          <w:b w:val="1"/>
          <w:bCs w:val="1"/>
          <w:color w:val="auto"/>
        </w:rPr>
        <w:t>Payments on demand</w:t>
      </w:r>
    </w:p>
    <w:p>
      <w:pPr>
        <w:spacing w:after="0" w:line="202" w:lineRule="exact"/>
        <w:rPr>
          <w:sz w:val="20"/>
          <w:szCs w:val="20"/>
          <w:color w:val="auto"/>
        </w:rPr>
      </w:pPr>
    </w:p>
    <w:p>
      <w:pPr>
        <w:ind w:left="540"/>
        <w:spacing w:after="0" w:line="267" w:lineRule="auto"/>
        <w:rPr>
          <w:sz w:val="20"/>
          <w:szCs w:val="20"/>
          <w:color w:val="auto"/>
        </w:rPr>
      </w:pPr>
      <w:r>
        <w:rPr>
          <w:rFonts w:ascii="Arial" w:cs="Arial" w:eastAsia="Arial" w:hAnsi="Arial"/>
          <w:sz w:val="18"/>
          <w:szCs w:val="18"/>
          <w:color w:val="auto"/>
        </w:rPr>
        <w:t>For the purposes of clause 29.1 (</w:t>
      </w:r>
      <w:r>
        <w:rPr>
          <w:rFonts w:ascii="Arial" w:cs="Arial" w:eastAsia="Arial" w:hAnsi="Arial"/>
          <w:sz w:val="18"/>
          <w:szCs w:val="18"/>
          <w:i w:val="1"/>
          <w:iCs w:val="1"/>
          <w:color w:val="auto"/>
        </w:rPr>
        <w:t>Non-payment</w:t>
      </w:r>
      <w:r>
        <w:rPr>
          <w:rFonts w:ascii="Arial" w:cs="Arial" w:eastAsia="Arial" w:hAnsi="Arial"/>
          <w:sz w:val="18"/>
          <w:szCs w:val="18"/>
          <w:color w:val="auto"/>
        </w:rPr>
        <w:t>) and subject to the Agent’s right to demand interest under clause 8.3 (</w:t>
      </w:r>
      <w:r>
        <w:rPr>
          <w:rFonts w:ascii="Arial" w:cs="Arial" w:eastAsia="Arial" w:hAnsi="Arial"/>
          <w:sz w:val="18"/>
          <w:szCs w:val="18"/>
          <w:i w:val="1"/>
          <w:iCs w:val="1"/>
          <w:color w:val="auto"/>
        </w:rPr>
        <w:t>Default interest</w:t>
      </w:r>
      <w:r>
        <w:rPr>
          <w:rFonts w:ascii="Arial" w:cs="Arial" w:eastAsia="Arial" w:hAnsi="Arial"/>
          <w:sz w:val="18"/>
          <w:szCs w:val="18"/>
          <w:color w:val="auto"/>
        </w:rPr>
        <w:t>), payments on demand shall be treated as paid when due if paid within three Business Days of demand.</w:t>
      </w:r>
    </w:p>
    <w:p>
      <w:pPr>
        <w:spacing w:after="0" w:line="14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35.9</w:t>
        <w:tab/>
        <w:t>Currency of account</w:t>
      </w:r>
    </w:p>
    <w:p>
      <w:pPr>
        <w:spacing w:after="0" w:line="220" w:lineRule="exact"/>
        <w:rPr>
          <w:sz w:val="20"/>
          <w:szCs w:val="20"/>
          <w:color w:val="auto"/>
        </w:rPr>
      </w:pPr>
    </w:p>
    <w:p>
      <w:pPr>
        <w:ind w:left="1080" w:hanging="532"/>
        <w:spacing w:after="0" w:line="246" w:lineRule="auto"/>
        <w:tabs>
          <w:tab w:leader="none" w:pos="108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Subject to clauses 35.9(b) to 35.9(c), dollars is the currency of account and payment for any sum due from an Obligor under any Finance Document.</w:t>
      </w:r>
    </w:p>
    <w:p>
      <w:pPr>
        <w:spacing w:after="0" w:line="183" w:lineRule="exact"/>
        <w:rPr>
          <w:rFonts w:ascii="Arial" w:cs="Arial" w:eastAsia="Arial" w:hAnsi="Arial"/>
          <w:sz w:val="18"/>
          <w:szCs w:val="18"/>
          <w:color w:val="auto"/>
        </w:rPr>
      </w:pPr>
    </w:p>
    <w:p>
      <w:pPr>
        <w:ind w:left="1080" w:hanging="532"/>
        <w:spacing w:after="0"/>
        <w:tabs>
          <w:tab w:leader="none" w:pos="108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 repayment of all or part of the Loan or an Unpaid Sum and each payment of interest shall be made in dollars on its due date.</w:t>
      </w:r>
    </w:p>
    <w:p>
      <w:pPr>
        <w:spacing w:after="0" w:line="198" w:lineRule="exact"/>
        <w:rPr>
          <w:rFonts w:ascii="Arial" w:cs="Arial" w:eastAsia="Arial" w:hAnsi="Arial"/>
          <w:sz w:val="18"/>
          <w:szCs w:val="18"/>
          <w:color w:val="auto"/>
        </w:rPr>
      </w:pPr>
    </w:p>
    <w:p>
      <w:pPr>
        <w:jc w:val="both"/>
        <w:ind w:left="1080" w:hanging="532"/>
        <w:spacing w:after="0"/>
        <w:tabs>
          <w:tab w:leader="none" w:pos="108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Each payment in respect of the amount of any costs, expenses or Taxes or other losses shall be made in dollars and, if they were incurred in a currency other than dollars, the amount payable under the Finance Documents shall be the equivalent in dollars of the relevant amount in such other currency on the date on which it was incurred.</w:t>
      </w:r>
    </w:p>
    <w:p>
      <w:pPr>
        <w:spacing w:after="0" w:line="189" w:lineRule="exact"/>
        <w:rPr>
          <w:rFonts w:ascii="Arial" w:cs="Arial" w:eastAsia="Arial" w:hAnsi="Arial"/>
          <w:sz w:val="18"/>
          <w:szCs w:val="18"/>
          <w:color w:val="auto"/>
        </w:rPr>
      </w:pPr>
    </w:p>
    <w:p>
      <w:pPr>
        <w:jc w:val="both"/>
        <w:ind w:left="1080" w:hanging="532"/>
        <w:spacing w:after="0" w:line="239" w:lineRule="auto"/>
        <w:tabs>
          <w:tab w:leader="none" w:pos="108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All moneys received or held by the Security Agent or by a Receiver under a Security Document in a currency other than dollars may be sold for dollars and the Obligor which executed that Security Document shall indemnify the Security Agent against the full cost in relation to the sale. Neither the Security Agent nor such Receiver will have any liability to that Obligor in respect of any loss resulting from any fluctuation in exchange rates after the sale.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color w:val="auto"/>
        </w:rPr>
        <w:t>35.10 Change of currency</w:t>
      </w:r>
    </w:p>
    <w:p>
      <w:pPr>
        <w:spacing w:after="0" w:line="220" w:lineRule="exact"/>
        <w:rPr>
          <w:sz w:val="20"/>
          <w:szCs w:val="20"/>
          <w:color w:val="auto"/>
        </w:rPr>
      </w:pPr>
    </w:p>
    <w:p>
      <w:pPr>
        <w:ind w:left="1080" w:hanging="532"/>
        <w:spacing w:after="0" w:line="246" w:lineRule="auto"/>
        <w:tabs>
          <w:tab w:leader="none" w:pos="108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Unless otherwise prohibited by law, if more than one currency or currency unit are at the same time recognised by the central bank of any country as the lawful currency of that country, then:</w:t>
      </w:r>
    </w:p>
    <w:p>
      <w:pPr>
        <w:spacing w:after="0" w:line="183" w:lineRule="exact"/>
        <w:rPr>
          <w:rFonts w:ascii="Arial" w:cs="Arial" w:eastAsia="Arial" w:hAnsi="Arial"/>
          <w:sz w:val="18"/>
          <w:szCs w:val="18"/>
          <w:color w:val="auto"/>
        </w:rPr>
      </w:pPr>
    </w:p>
    <w:p>
      <w:pPr>
        <w:jc w:val="both"/>
        <w:ind w:left="1620" w:hanging="532"/>
        <w:spacing w:after="0"/>
        <w:tabs>
          <w:tab w:leader="none" w:pos="1620" w:val="left"/>
        </w:tabs>
        <w:numPr>
          <w:ilvl w:val="1"/>
          <w:numId w:val="387"/>
        </w:numPr>
        <w:rPr>
          <w:rFonts w:ascii="Arial" w:cs="Arial" w:eastAsia="Arial" w:hAnsi="Arial"/>
          <w:sz w:val="18"/>
          <w:szCs w:val="18"/>
          <w:color w:val="auto"/>
        </w:rPr>
      </w:pPr>
      <w:r>
        <w:rPr>
          <w:rFonts w:ascii="Arial" w:cs="Arial" w:eastAsia="Arial" w:hAnsi="Arial"/>
          <w:sz w:val="18"/>
          <w:szCs w:val="18"/>
          <w:color w:val="auto"/>
        </w:rPr>
        <w:t>any reference in the Finance Documents to, and any obligations arising under the Finance Documents in, the currency of that country shall be translated into, or paid in, the currency or currency unit of that country designated by the Agent (after consultation with the Borrowers); and</w:t>
      </w:r>
    </w:p>
    <w:p>
      <w:pPr>
        <w:spacing w:after="0" w:line="189" w:lineRule="exact"/>
        <w:rPr>
          <w:rFonts w:ascii="Arial" w:cs="Arial" w:eastAsia="Arial" w:hAnsi="Arial"/>
          <w:sz w:val="18"/>
          <w:szCs w:val="18"/>
          <w:color w:val="auto"/>
        </w:rPr>
      </w:pPr>
    </w:p>
    <w:p>
      <w:pPr>
        <w:jc w:val="both"/>
        <w:ind w:left="1620" w:hanging="532"/>
        <w:spacing w:after="0"/>
        <w:tabs>
          <w:tab w:leader="none" w:pos="1620" w:val="left"/>
        </w:tabs>
        <w:numPr>
          <w:ilvl w:val="1"/>
          <w:numId w:val="387"/>
        </w:numPr>
        <w:rPr>
          <w:rFonts w:ascii="Arial" w:cs="Arial" w:eastAsia="Arial" w:hAnsi="Arial"/>
          <w:sz w:val="18"/>
          <w:szCs w:val="18"/>
          <w:color w:val="auto"/>
        </w:rPr>
      </w:pPr>
      <w:r>
        <w:rPr>
          <w:rFonts w:ascii="Arial" w:cs="Arial" w:eastAsia="Arial" w:hAnsi="Arial"/>
          <w:sz w:val="18"/>
          <w:szCs w:val="18"/>
          <w:color w:val="auto"/>
        </w:rPr>
        <w:t>any translation from one currency or currency unit to another shall be at the official rate of exchange recognised by the central bank for the conversion of that currency or currency unit into the other, rounded up or down by the Agent (acting reasonably).</w:t>
      </w:r>
    </w:p>
    <w:p>
      <w:pPr>
        <w:spacing w:after="0" w:line="189" w:lineRule="exact"/>
        <w:rPr>
          <w:rFonts w:ascii="Arial" w:cs="Arial" w:eastAsia="Arial" w:hAnsi="Arial"/>
          <w:sz w:val="18"/>
          <w:szCs w:val="18"/>
          <w:color w:val="auto"/>
        </w:rPr>
      </w:pPr>
    </w:p>
    <w:p>
      <w:pPr>
        <w:jc w:val="both"/>
        <w:ind w:left="1080" w:right="20" w:hanging="532"/>
        <w:spacing w:after="0"/>
        <w:tabs>
          <w:tab w:leader="none" w:pos="108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If a change in any currency of a country occurs, this Agreement will, to the extent the Agent (acting reasonably and after consultation with the Borrowers) specifies to be necessary, be amended to comply with any generally accepted conventions and market practice in the Interbank Market and otherwise to reflect the change in currency.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35.11 Disruption to Payment Systems etc.</w:t>
      </w:r>
    </w:p>
    <w:p>
      <w:pPr>
        <w:spacing w:after="0" w:line="220" w:lineRule="exact"/>
        <w:rPr>
          <w:sz w:val="20"/>
          <w:szCs w:val="20"/>
          <w:color w:val="auto"/>
        </w:rPr>
      </w:pPr>
    </w:p>
    <w:p>
      <w:pPr>
        <w:ind w:left="540"/>
        <w:spacing w:after="0" w:line="246" w:lineRule="auto"/>
        <w:rPr>
          <w:sz w:val="20"/>
          <w:szCs w:val="20"/>
          <w:color w:val="auto"/>
        </w:rPr>
      </w:pPr>
      <w:r>
        <w:rPr>
          <w:rFonts w:ascii="Arial" w:cs="Arial" w:eastAsia="Arial" w:hAnsi="Arial"/>
          <w:sz w:val="18"/>
          <w:szCs w:val="18"/>
          <w:color w:val="auto"/>
        </w:rPr>
        <w:t>If either the Agent determines (in its discretion) that a Payment Disruption Event has occurred or the Agent is notified by the Borrowers that a Payment Disruption Event has occurred:</w:t>
      </w:r>
    </w:p>
    <w:p>
      <w:pPr>
        <w:spacing w:after="0" w:line="183" w:lineRule="exact"/>
        <w:rPr>
          <w:sz w:val="20"/>
          <w:szCs w:val="20"/>
          <w:color w:val="auto"/>
        </w:rPr>
      </w:pPr>
    </w:p>
    <w:p>
      <w:pPr>
        <w:jc w:val="both"/>
        <w:ind w:left="1080" w:right="20" w:hanging="532"/>
        <w:spacing w:after="0"/>
        <w:tabs>
          <w:tab w:leader="none" w:pos="108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the Agent may, and shall if requested to do so by the Borrowers, consult with the Borrowers with a view to agreeing with the Borrowers such changes to the operation or administration of the Facilities as the Agent may deem necessary in the circumstances;</w:t>
      </w:r>
    </w:p>
    <w:p>
      <w:pPr>
        <w:spacing w:after="0" w:line="189" w:lineRule="exact"/>
        <w:rPr>
          <w:rFonts w:ascii="Arial" w:cs="Arial" w:eastAsia="Arial" w:hAnsi="Arial"/>
          <w:sz w:val="18"/>
          <w:szCs w:val="18"/>
          <w:color w:val="auto"/>
        </w:rPr>
      </w:pPr>
    </w:p>
    <w:p>
      <w:pPr>
        <w:ind w:left="1080" w:hanging="532"/>
        <w:spacing w:after="0" w:line="246" w:lineRule="auto"/>
        <w:tabs>
          <w:tab w:leader="none" w:pos="108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the Agent shall not be obliged to consult with the Borrowers in relation to any changes mentioned in paragraph (a) above if, in its opinion, it is not practicable to do so in the circumstances and, in any event, shall have no obligation to agree to such changes;</w:t>
      </w:r>
    </w:p>
    <w:p>
      <w:pPr>
        <w:spacing w:after="0" w:line="183" w:lineRule="exact"/>
        <w:rPr>
          <w:rFonts w:ascii="Arial" w:cs="Arial" w:eastAsia="Arial" w:hAnsi="Arial"/>
          <w:sz w:val="18"/>
          <w:szCs w:val="18"/>
          <w:color w:val="auto"/>
        </w:rPr>
      </w:pPr>
    </w:p>
    <w:p>
      <w:pPr>
        <w:ind w:left="1080" w:hanging="532"/>
        <w:spacing w:after="0" w:line="246" w:lineRule="auto"/>
        <w:tabs>
          <w:tab w:leader="none" w:pos="108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the Agent may consult with the Finance Parties in relation to any changes mentioned in paragraph (a) above but shall not be obliged to do so if, in its opinion, it is not practicable to do so in the circumstances;</w:t>
      </w:r>
    </w:p>
    <w:p>
      <w:pPr>
        <w:spacing w:after="0" w:line="183" w:lineRule="exact"/>
        <w:rPr>
          <w:rFonts w:ascii="Arial" w:cs="Arial" w:eastAsia="Arial" w:hAnsi="Arial"/>
          <w:sz w:val="18"/>
          <w:szCs w:val="18"/>
          <w:color w:val="auto"/>
        </w:rPr>
      </w:pPr>
    </w:p>
    <w:p>
      <w:pPr>
        <w:jc w:val="both"/>
        <w:ind w:left="1080" w:hanging="532"/>
        <w:spacing w:after="0"/>
        <w:tabs>
          <w:tab w:leader="none" w:pos="108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any such changes agreed upon by the Agent and the Borrowers shall (whether or not it is finally determined that a Payment Disruption Event has occurred) be binding upon the Parties as an amendment to (or, as the case may be, waiver of) the terms of the Finance Documents notwithstanding the provisions of clause 41 (</w:t>
      </w:r>
      <w:r>
        <w:rPr>
          <w:rFonts w:ascii="Arial" w:cs="Arial" w:eastAsia="Arial" w:hAnsi="Arial"/>
          <w:sz w:val="18"/>
          <w:szCs w:val="18"/>
          <w:i w:val="1"/>
          <w:iCs w:val="1"/>
          <w:color w:val="auto"/>
        </w:rPr>
        <w:t>Amendments and grant of waivers</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left="1020" w:hanging="512"/>
        <w:spacing w:after="0" w:line="239" w:lineRule="auto"/>
        <w:tabs>
          <w:tab w:leader="none" w:pos="102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Agent shall not be liable for any damages, costs or losses to any person, any diminution in value or any liability whatsoever (including, without limitation for negligence, gross negligence or any other category of liability whatsoever but not including any claim based on the fraud of the Agent) arising as a result of its taking, or failing to take, any actions pursuant to or in connection with this clause 35.11; and</w:t>
      </w:r>
    </w:p>
    <w:p>
      <w:pPr>
        <w:spacing w:after="0" w:line="188" w:lineRule="exact"/>
        <w:rPr>
          <w:rFonts w:ascii="Arial" w:cs="Arial" w:eastAsia="Arial" w:hAnsi="Arial"/>
          <w:sz w:val="18"/>
          <w:szCs w:val="18"/>
          <w:color w:val="auto"/>
        </w:rPr>
      </w:pPr>
    </w:p>
    <w:p>
      <w:pPr>
        <w:ind w:left="1080" w:hanging="532"/>
        <w:spacing w:after="0"/>
        <w:tabs>
          <w:tab w:leader="none" w:pos="108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Agent shall notify the Finance Parties of all changes agreed pursuant to paragraph (d) above.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35.12 Impaired Agent</w:t>
      </w:r>
    </w:p>
    <w:p>
      <w:pPr>
        <w:spacing w:after="0" w:line="220" w:lineRule="exact"/>
        <w:rPr>
          <w:sz w:val="20"/>
          <w:szCs w:val="20"/>
          <w:color w:val="auto"/>
        </w:rPr>
      </w:pPr>
    </w:p>
    <w:p>
      <w:pPr>
        <w:jc w:val="both"/>
        <w:ind w:left="1080" w:hanging="532"/>
        <w:spacing w:after="0" w:line="239" w:lineRule="auto"/>
        <w:tabs>
          <w:tab w:leader="none" w:pos="108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If, at any time, the Agent becomes an Impaired Agent, an Obligor or a Lender which is required to make a payment under the Finance Documents to the Agent in accordance with clause 35.1 (</w:t>
      </w:r>
      <w:r>
        <w:rPr>
          <w:rFonts w:ascii="Arial" w:cs="Arial" w:eastAsia="Arial" w:hAnsi="Arial"/>
          <w:sz w:val="18"/>
          <w:szCs w:val="18"/>
          <w:i w:val="1"/>
          <w:iCs w:val="1"/>
          <w:color w:val="auto"/>
        </w:rPr>
        <w:t>Payments to the Agent</w:t>
      </w:r>
      <w:r>
        <w:rPr>
          <w:rFonts w:ascii="Arial" w:cs="Arial" w:eastAsia="Arial" w:hAnsi="Arial"/>
          <w:sz w:val="18"/>
          <w:szCs w:val="18"/>
          <w:color w:val="auto"/>
        </w:rPr>
        <w:t xml:space="preserve">) may instead either pay that amount direct to the required recipient or pay that amount to an interest-bearing account held with an Acceptable Bank within the meaning of paragraph (a) of the definition of </w:t>
      </w:r>
      <w:r>
        <w:rPr>
          <w:rFonts w:ascii="Arial" w:cs="Arial" w:eastAsia="Arial" w:hAnsi="Arial"/>
          <w:sz w:val="18"/>
          <w:szCs w:val="18"/>
          <w:b w:val="1"/>
          <w:bCs w:val="1"/>
          <w:color w:val="auto"/>
        </w:rPr>
        <w:t>Acceptable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84" w:name="page185"/>
    <w:bookmarkEnd w:id="184"/>
    <w:p>
      <w:pPr>
        <w:jc w:val="both"/>
        <w:ind w:left="1080"/>
        <w:spacing w:after="0" w:line="247" w:lineRule="auto"/>
        <w:rPr>
          <w:sz w:val="20"/>
          <w:szCs w:val="20"/>
          <w:color w:val="auto"/>
        </w:rPr>
      </w:pPr>
      <w:r>
        <w:rPr>
          <w:rFonts w:ascii="Arial" w:cs="Arial" w:eastAsia="Arial" w:hAnsi="Arial"/>
          <w:sz w:val="18"/>
          <w:szCs w:val="18"/>
          <w:b w:val="1"/>
          <w:bCs w:val="1"/>
          <w:color w:val="auto"/>
        </w:rPr>
        <w:t xml:space="preserve">Bank </w:t>
      </w:r>
      <w:r>
        <w:rPr>
          <w:rFonts w:ascii="Arial" w:cs="Arial" w:eastAsia="Arial" w:hAnsi="Arial"/>
          <w:sz w:val="18"/>
          <w:szCs w:val="18"/>
          <w:color w:val="auto"/>
        </w:rPr>
        <w:t>and in relation to which no Insolvency Event has occurred and is continuing, in the name of the Obligor or the Lender</w:t>
      </w:r>
      <w:r>
        <w:rPr>
          <w:rFonts w:ascii="Arial" w:cs="Arial" w:eastAsia="Arial" w:hAnsi="Arial"/>
          <w:sz w:val="18"/>
          <w:szCs w:val="18"/>
          <w:b w:val="1"/>
          <w:bCs w:val="1"/>
          <w:color w:val="auto"/>
        </w:rPr>
        <w:t xml:space="preserve"> </w:t>
      </w:r>
      <w:r>
        <w:rPr>
          <w:rFonts w:ascii="Arial" w:cs="Arial" w:eastAsia="Arial" w:hAnsi="Arial"/>
          <w:sz w:val="18"/>
          <w:szCs w:val="18"/>
          <w:color w:val="auto"/>
        </w:rPr>
        <w:t>making the payment and designated as a trust account for the benefit of the Party or Parties beneficially entitled to that payment under the Finance Documents. In each case such payments must be made on the due date for payment under the Finance Documents.</w:t>
      </w:r>
    </w:p>
    <w:p>
      <w:pPr>
        <w:spacing w:after="0" w:line="183" w:lineRule="exact"/>
        <w:rPr>
          <w:sz w:val="20"/>
          <w:szCs w:val="20"/>
          <w:color w:val="auto"/>
        </w:rPr>
      </w:pPr>
    </w:p>
    <w:p>
      <w:pPr>
        <w:ind w:left="1080" w:hanging="532"/>
        <w:spacing w:after="0" w:line="246" w:lineRule="auto"/>
        <w:tabs>
          <w:tab w:leader="none" w:pos="108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All interest accrued on the amount standing to the credit of the trust account shall be for the benefit of the beneficiaries of that trust account pro rata to their respective entitlements.</w:t>
      </w:r>
    </w:p>
    <w:p>
      <w:pPr>
        <w:spacing w:after="0" w:line="165" w:lineRule="exact"/>
        <w:rPr>
          <w:rFonts w:ascii="Arial" w:cs="Arial" w:eastAsia="Arial" w:hAnsi="Arial"/>
          <w:sz w:val="18"/>
          <w:szCs w:val="18"/>
          <w:color w:val="auto"/>
        </w:rPr>
      </w:pPr>
    </w:p>
    <w:p>
      <w:pPr>
        <w:jc w:val="both"/>
        <w:ind w:left="1080" w:hanging="532"/>
        <w:spacing w:after="0" w:line="251" w:lineRule="auto"/>
        <w:tabs>
          <w:tab w:leader="none" w:pos="108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A Party which has made a payment in accordance with clause 35.1 (</w:t>
      </w:r>
      <w:r>
        <w:rPr>
          <w:rFonts w:ascii="Arial" w:cs="Arial" w:eastAsia="Arial" w:hAnsi="Arial"/>
          <w:sz w:val="18"/>
          <w:szCs w:val="18"/>
          <w:i w:val="1"/>
          <w:iCs w:val="1"/>
          <w:color w:val="auto"/>
        </w:rPr>
        <w:t>Payments to the Agent</w:t>
      </w:r>
      <w:r>
        <w:rPr>
          <w:rFonts w:ascii="Arial" w:cs="Arial" w:eastAsia="Arial" w:hAnsi="Arial"/>
          <w:sz w:val="18"/>
          <w:szCs w:val="18"/>
          <w:color w:val="auto"/>
        </w:rPr>
        <w:t>) shall be discharged of the relevant payment obligation under the Finance Documents and shall not take any credit risk with respect to the amounts standing to the credit of the trust account.</w:t>
      </w:r>
    </w:p>
    <w:p>
      <w:pPr>
        <w:spacing w:after="0" w:line="160" w:lineRule="exact"/>
        <w:rPr>
          <w:rFonts w:ascii="Arial" w:cs="Arial" w:eastAsia="Arial" w:hAnsi="Arial"/>
          <w:sz w:val="18"/>
          <w:szCs w:val="18"/>
          <w:color w:val="auto"/>
        </w:rPr>
      </w:pPr>
    </w:p>
    <w:p>
      <w:pPr>
        <w:jc w:val="both"/>
        <w:ind w:left="1080" w:hanging="532"/>
        <w:spacing w:after="0" w:line="245" w:lineRule="auto"/>
        <w:tabs>
          <w:tab w:leader="none" w:pos="108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Promptly upon the appointment of a successor Agent in accordance with clause 32.13 (</w:t>
      </w:r>
      <w:r>
        <w:rPr>
          <w:rFonts w:ascii="Arial" w:cs="Arial" w:eastAsia="Arial" w:hAnsi="Arial"/>
          <w:sz w:val="18"/>
          <w:szCs w:val="18"/>
          <w:i w:val="1"/>
          <w:iCs w:val="1"/>
          <w:color w:val="auto"/>
        </w:rPr>
        <w:t>Replacement of the Agent</w:t>
      </w:r>
      <w:r>
        <w:rPr>
          <w:rFonts w:ascii="Arial" w:cs="Arial" w:eastAsia="Arial" w:hAnsi="Arial"/>
          <w:sz w:val="18"/>
          <w:szCs w:val="18"/>
          <w:color w:val="auto"/>
        </w:rPr>
        <w:t>), each Party which has made a payment to a trust account in accordance with clause 35.1 (</w:t>
      </w:r>
      <w:r>
        <w:rPr>
          <w:rFonts w:ascii="Arial" w:cs="Arial" w:eastAsia="Arial" w:hAnsi="Arial"/>
          <w:sz w:val="18"/>
          <w:szCs w:val="18"/>
          <w:i w:val="1"/>
          <w:iCs w:val="1"/>
          <w:color w:val="auto"/>
        </w:rPr>
        <w:t>Payments to the Agent</w:t>
      </w:r>
      <w:r>
        <w:rPr>
          <w:rFonts w:ascii="Arial" w:cs="Arial" w:eastAsia="Arial" w:hAnsi="Arial"/>
          <w:sz w:val="18"/>
          <w:szCs w:val="18"/>
          <w:color w:val="auto"/>
        </w:rPr>
        <w:t>) shall give all requisite instructions to the bank with whom the trust account is held to transfer the amount (together with any accrued interest) to the successor Agent for distribution in accordance with clause 35.2 (</w:t>
      </w:r>
      <w:r>
        <w:rPr>
          <w:rFonts w:ascii="Arial" w:cs="Arial" w:eastAsia="Arial" w:hAnsi="Arial"/>
          <w:sz w:val="18"/>
          <w:szCs w:val="18"/>
          <w:i w:val="1"/>
          <w:iCs w:val="1"/>
          <w:color w:val="auto"/>
        </w:rPr>
        <w:t>Distributions by the Agent)</w:t>
      </w:r>
      <w:r>
        <w:rPr>
          <w:rFonts w:ascii="Arial" w:cs="Arial" w:eastAsia="Arial" w:hAnsi="Arial"/>
          <w:sz w:val="18"/>
          <w:szCs w:val="18"/>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35.13 Contractual recognition of bail-in</w:t>
      </w:r>
    </w:p>
    <w:p>
      <w:pPr>
        <w:spacing w:after="0" w:line="220" w:lineRule="exact"/>
        <w:rPr>
          <w:sz w:val="20"/>
          <w:szCs w:val="20"/>
          <w:color w:val="auto"/>
        </w:rPr>
      </w:pPr>
    </w:p>
    <w:p>
      <w:pPr>
        <w:jc w:val="both"/>
        <w:ind w:left="1020" w:hanging="512"/>
        <w:spacing w:after="0" w:line="239" w:lineRule="auto"/>
        <w:tabs>
          <w:tab w:leader="none" w:pos="102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Notwithstanding any other term of any Finance Document or any other agreement, arrangement or understanding between the Parties, each Party acknowledges and accepts that any liability of any Party to any other Party under or in connection with the Finance Documents may be subject to Bail-In Action by the relevant Resolution Authority and acknowledges and accepts to be bound by the effect of:</w:t>
      </w:r>
    </w:p>
    <w:p>
      <w:pPr>
        <w:spacing w:after="0" w:line="188" w:lineRule="exact"/>
        <w:rPr>
          <w:rFonts w:ascii="Arial" w:cs="Arial" w:eastAsia="Arial" w:hAnsi="Arial"/>
          <w:sz w:val="18"/>
          <w:szCs w:val="18"/>
          <w:color w:val="auto"/>
        </w:rPr>
      </w:pPr>
    </w:p>
    <w:p>
      <w:pPr>
        <w:ind w:left="1620" w:hanging="532"/>
        <w:spacing w:after="0"/>
        <w:tabs>
          <w:tab w:leader="none" w:pos="1620" w:val="left"/>
        </w:tabs>
        <w:numPr>
          <w:ilvl w:val="2"/>
          <w:numId w:val="392"/>
        </w:numPr>
        <w:rPr>
          <w:rFonts w:ascii="Arial" w:cs="Arial" w:eastAsia="Arial" w:hAnsi="Arial"/>
          <w:sz w:val="18"/>
          <w:szCs w:val="18"/>
          <w:color w:val="auto"/>
        </w:rPr>
      </w:pPr>
      <w:r>
        <w:rPr>
          <w:rFonts w:ascii="Arial" w:cs="Arial" w:eastAsia="Arial" w:hAnsi="Arial"/>
          <w:sz w:val="18"/>
          <w:szCs w:val="18"/>
          <w:color w:val="auto"/>
        </w:rPr>
        <w:t>any Bail-In Action in relation to any such liability, including (without limitation):</w:t>
      </w:r>
    </w:p>
    <w:p>
      <w:pPr>
        <w:spacing w:after="0" w:line="198" w:lineRule="exact"/>
        <w:rPr>
          <w:rFonts w:ascii="Arial" w:cs="Arial" w:eastAsia="Arial" w:hAnsi="Arial"/>
          <w:sz w:val="18"/>
          <w:szCs w:val="18"/>
          <w:color w:val="auto"/>
        </w:rPr>
      </w:pPr>
    </w:p>
    <w:p>
      <w:pPr>
        <w:ind w:left="2160" w:hanging="531"/>
        <w:spacing w:after="0" w:line="246" w:lineRule="auto"/>
        <w:tabs>
          <w:tab w:leader="none" w:pos="2160" w:val="left"/>
        </w:tabs>
        <w:numPr>
          <w:ilvl w:val="3"/>
          <w:numId w:val="392"/>
        </w:numPr>
        <w:rPr>
          <w:rFonts w:ascii="Arial" w:cs="Arial" w:eastAsia="Arial" w:hAnsi="Arial"/>
          <w:sz w:val="18"/>
          <w:szCs w:val="18"/>
          <w:color w:val="auto"/>
        </w:rPr>
      </w:pPr>
      <w:r>
        <w:rPr>
          <w:rFonts w:ascii="Arial" w:cs="Arial" w:eastAsia="Arial" w:hAnsi="Arial"/>
          <w:sz w:val="18"/>
          <w:szCs w:val="18"/>
          <w:color w:val="auto"/>
        </w:rPr>
        <w:t>a reduction, in full or in part, in the principal amount, or outstanding amount due (including any accrued but unpaid interest) in respect of any such liability;</w:t>
      </w:r>
    </w:p>
    <w:p>
      <w:pPr>
        <w:spacing w:after="0" w:line="183" w:lineRule="exact"/>
        <w:rPr>
          <w:rFonts w:ascii="Arial" w:cs="Arial" w:eastAsia="Arial" w:hAnsi="Arial"/>
          <w:sz w:val="18"/>
          <w:szCs w:val="18"/>
          <w:color w:val="auto"/>
        </w:rPr>
      </w:pPr>
    </w:p>
    <w:p>
      <w:pPr>
        <w:ind w:left="2160" w:right="20" w:hanging="531"/>
        <w:spacing w:after="0" w:line="246" w:lineRule="auto"/>
        <w:tabs>
          <w:tab w:leader="none" w:pos="2160" w:val="left"/>
        </w:tabs>
        <w:numPr>
          <w:ilvl w:val="3"/>
          <w:numId w:val="392"/>
        </w:numPr>
        <w:rPr>
          <w:rFonts w:ascii="Arial" w:cs="Arial" w:eastAsia="Arial" w:hAnsi="Arial"/>
          <w:sz w:val="18"/>
          <w:szCs w:val="18"/>
          <w:color w:val="auto"/>
        </w:rPr>
      </w:pPr>
      <w:r>
        <w:rPr>
          <w:rFonts w:ascii="Arial" w:cs="Arial" w:eastAsia="Arial" w:hAnsi="Arial"/>
          <w:sz w:val="18"/>
          <w:szCs w:val="18"/>
          <w:color w:val="auto"/>
        </w:rPr>
        <w:t>a conversion of all, or part of, any such liability into shares or other instruments of ownership that may be issued to, or conferred on, it; and</w:t>
      </w:r>
    </w:p>
    <w:p>
      <w:pPr>
        <w:spacing w:after="0" w:line="183" w:lineRule="exact"/>
        <w:rPr>
          <w:rFonts w:ascii="Arial" w:cs="Arial" w:eastAsia="Arial" w:hAnsi="Arial"/>
          <w:sz w:val="18"/>
          <w:szCs w:val="18"/>
          <w:color w:val="auto"/>
        </w:rPr>
      </w:pPr>
    </w:p>
    <w:p>
      <w:pPr>
        <w:ind w:left="2160" w:hanging="531"/>
        <w:spacing w:after="0"/>
        <w:tabs>
          <w:tab w:leader="none" w:pos="2160" w:val="left"/>
        </w:tabs>
        <w:numPr>
          <w:ilvl w:val="3"/>
          <w:numId w:val="392"/>
        </w:numPr>
        <w:rPr>
          <w:rFonts w:ascii="Arial" w:cs="Arial" w:eastAsia="Arial" w:hAnsi="Arial"/>
          <w:sz w:val="18"/>
          <w:szCs w:val="18"/>
          <w:color w:val="auto"/>
        </w:rPr>
      </w:pPr>
      <w:r>
        <w:rPr>
          <w:rFonts w:ascii="Arial" w:cs="Arial" w:eastAsia="Arial" w:hAnsi="Arial"/>
          <w:sz w:val="18"/>
          <w:szCs w:val="18"/>
          <w:color w:val="auto"/>
        </w:rPr>
        <w:t>a cancellation of any such liability; and</w:t>
      </w:r>
    </w:p>
    <w:p>
      <w:pPr>
        <w:spacing w:after="0" w:line="198" w:lineRule="exact"/>
        <w:rPr>
          <w:rFonts w:ascii="Arial" w:cs="Arial" w:eastAsia="Arial" w:hAnsi="Arial"/>
          <w:sz w:val="18"/>
          <w:szCs w:val="18"/>
          <w:color w:val="auto"/>
        </w:rPr>
      </w:pPr>
    </w:p>
    <w:p>
      <w:pPr>
        <w:ind w:left="1620" w:hanging="532"/>
        <w:spacing w:after="0" w:line="246" w:lineRule="auto"/>
        <w:tabs>
          <w:tab w:leader="none" w:pos="1620" w:val="left"/>
        </w:tabs>
        <w:numPr>
          <w:ilvl w:val="2"/>
          <w:numId w:val="392"/>
        </w:numPr>
        <w:rPr>
          <w:rFonts w:ascii="Arial" w:cs="Arial" w:eastAsia="Arial" w:hAnsi="Arial"/>
          <w:sz w:val="18"/>
          <w:szCs w:val="18"/>
          <w:color w:val="auto"/>
        </w:rPr>
      </w:pPr>
      <w:r>
        <w:rPr>
          <w:rFonts w:ascii="Arial" w:cs="Arial" w:eastAsia="Arial" w:hAnsi="Arial"/>
          <w:sz w:val="18"/>
          <w:szCs w:val="18"/>
          <w:color w:val="auto"/>
        </w:rPr>
        <w:t>a variation of any term of any Finance Document to the extent necessary to give effect to any Bail-In Action in relation to any such liability.</w:t>
      </w:r>
    </w:p>
    <w:p>
      <w:pPr>
        <w:spacing w:after="0" w:line="183" w:lineRule="exact"/>
        <w:rPr>
          <w:rFonts w:ascii="Arial" w:cs="Arial" w:eastAsia="Arial" w:hAnsi="Arial"/>
          <w:sz w:val="18"/>
          <w:szCs w:val="18"/>
          <w:color w:val="auto"/>
        </w:rPr>
      </w:pPr>
    </w:p>
    <w:p>
      <w:pPr>
        <w:ind w:left="1080" w:right="1220" w:hanging="532"/>
        <w:spacing w:after="0" w:line="457" w:lineRule="auto"/>
        <w:tabs>
          <w:tab w:leader="none" w:pos="108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 xml:space="preserve">In this Agreement and (unless otherwise defined in the relevant Finance Document) the other Finance Documents: </w:t>
      </w:r>
      <w:r>
        <w:rPr>
          <w:rFonts w:ascii="Arial" w:cs="Arial" w:eastAsia="Arial" w:hAnsi="Arial"/>
          <w:sz w:val="18"/>
          <w:szCs w:val="18"/>
          <w:b w:val="1"/>
          <w:bCs w:val="1"/>
          <w:color w:val="auto"/>
        </w:rPr>
        <w:t xml:space="preserve">Bail-In Action </w:t>
      </w:r>
      <w:r>
        <w:rPr>
          <w:rFonts w:ascii="Arial" w:cs="Arial" w:eastAsia="Arial" w:hAnsi="Arial"/>
          <w:sz w:val="18"/>
          <w:szCs w:val="18"/>
          <w:color w:val="auto"/>
        </w:rPr>
        <w:t>means the exercise of any Write-down and Conversion Powers.</w:t>
      </w:r>
    </w:p>
    <w:p>
      <w:pPr>
        <w:ind w:left="1080"/>
        <w:spacing w:after="0"/>
        <w:rPr>
          <w:rFonts w:ascii="Arial" w:cs="Arial" w:eastAsia="Arial" w:hAnsi="Arial"/>
          <w:sz w:val="18"/>
          <w:szCs w:val="18"/>
          <w:color w:val="auto"/>
        </w:rPr>
      </w:pPr>
      <w:r>
        <w:rPr>
          <w:rFonts w:ascii="Arial" w:cs="Arial" w:eastAsia="Arial" w:hAnsi="Arial"/>
          <w:sz w:val="18"/>
          <w:szCs w:val="18"/>
          <w:b w:val="1"/>
          <w:bCs w:val="1"/>
          <w:color w:val="auto"/>
        </w:rPr>
        <w:t xml:space="preserve">Bail-In Legislation </w:t>
      </w:r>
      <w:r>
        <w:rPr>
          <w:rFonts w:ascii="Arial" w:cs="Arial" w:eastAsia="Arial" w:hAnsi="Arial"/>
          <w:sz w:val="18"/>
          <w:szCs w:val="18"/>
          <w:color w:val="auto"/>
        </w:rPr>
        <w:t>means:</w:t>
      </w:r>
    </w:p>
    <w:p>
      <w:pPr>
        <w:spacing w:after="0" w:line="220" w:lineRule="exact"/>
        <w:rPr>
          <w:sz w:val="20"/>
          <w:szCs w:val="20"/>
          <w:color w:val="auto"/>
        </w:rPr>
      </w:pPr>
    </w:p>
    <w:p>
      <w:pPr>
        <w:jc w:val="both"/>
        <w:ind w:left="1620" w:hanging="532"/>
        <w:spacing w:after="0"/>
        <w:tabs>
          <w:tab w:leader="none" w:pos="162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in relation to an EEA Member Country which has implemented, or which at any time implements, Article 55 of Directive 2014/59/EU establishing a framework for the recovery and resolution of credit institutions and investment firms, the relevant implementing law or regulation as described in the EU Bail-In Legislation Schedule from time to time; and</w:t>
      </w:r>
    </w:p>
    <w:p>
      <w:pPr>
        <w:spacing w:after="0" w:line="189" w:lineRule="exact"/>
        <w:rPr>
          <w:rFonts w:ascii="Arial" w:cs="Arial" w:eastAsia="Arial" w:hAnsi="Arial"/>
          <w:sz w:val="18"/>
          <w:szCs w:val="18"/>
          <w:color w:val="auto"/>
        </w:rPr>
      </w:pPr>
    </w:p>
    <w:p>
      <w:pPr>
        <w:ind w:left="1620" w:hanging="532"/>
        <w:spacing w:after="0" w:line="246" w:lineRule="auto"/>
        <w:tabs>
          <w:tab w:leader="none" w:pos="162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in relation to any other state, any analogous law or regulation from time to time which requires contractual recognition of any Write-down and Conversion Powers contained in that law or regulation.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85" w:name="page186"/>
    <w:bookmarkEnd w:id="185"/>
    <w:p>
      <w:pPr>
        <w:ind w:left="1080"/>
        <w:spacing w:after="0"/>
        <w:rPr>
          <w:sz w:val="20"/>
          <w:szCs w:val="20"/>
          <w:color w:val="auto"/>
        </w:rPr>
      </w:pPr>
      <w:r>
        <w:rPr>
          <w:rFonts w:ascii="Arial" w:cs="Arial" w:eastAsia="Arial" w:hAnsi="Arial"/>
          <w:sz w:val="18"/>
          <w:szCs w:val="18"/>
          <w:b w:val="1"/>
          <w:bCs w:val="1"/>
          <w:color w:val="auto"/>
        </w:rPr>
        <w:t xml:space="preserve">EEA Member Country </w:t>
      </w:r>
      <w:r>
        <w:rPr>
          <w:rFonts w:ascii="Arial" w:cs="Arial" w:eastAsia="Arial" w:hAnsi="Arial"/>
          <w:sz w:val="18"/>
          <w:szCs w:val="18"/>
          <w:color w:val="auto"/>
        </w:rPr>
        <w:t>means any member state of the European Union, Iceland, Liechtenstein and Norway.</w:t>
      </w:r>
    </w:p>
    <w:p>
      <w:pPr>
        <w:spacing w:after="0" w:line="198" w:lineRule="exact"/>
        <w:rPr>
          <w:sz w:val="20"/>
          <w:szCs w:val="20"/>
          <w:color w:val="auto"/>
        </w:rPr>
      </w:pPr>
    </w:p>
    <w:p>
      <w:pPr>
        <w:ind w:left="1080"/>
        <w:spacing w:after="0" w:line="271" w:lineRule="auto"/>
        <w:rPr>
          <w:sz w:val="20"/>
          <w:szCs w:val="20"/>
          <w:color w:val="auto"/>
        </w:rPr>
      </w:pPr>
      <w:r>
        <w:rPr>
          <w:rFonts w:ascii="Arial" w:cs="Arial" w:eastAsia="Arial" w:hAnsi="Arial"/>
          <w:sz w:val="18"/>
          <w:szCs w:val="18"/>
          <w:b w:val="1"/>
          <w:bCs w:val="1"/>
          <w:color w:val="auto"/>
        </w:rPr>
        <w:t xml:space="preserve">EU Bail-In Legislation Schedule </w:t>
      </w:r>
      <w:r>
        <w:rPr>
          <w:rFonts w:ascii="Arial" w:cs="Arial" w:eastAsia="Arial" w:hAnsi="Arial"/>
          <w:sz w:val="18"/>
          <w:szCs w:val="18"/>
          <w:color w:val="auto"/>
        </w:rPr>
        <w:t>means the document described as such and published by the Loan Market Association (or any</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person) from time to time.</w:t>
      </w:r>
    </w:p>
    <w:p>
      <w:pPr>
        <w:spacing w:after="0" w:line="14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 xml:space="preserve">Resolution Authority </w:t>
      </w:r>
      <w:r>
        <w:rPr>
          <w:rFonts w:ascii="Arial" w:cs="Arial" w:eastAsia="Arial" w:hAnsi="Arial"/>
          <w:sz w:val="18"/>
          <w:szCs w:val="18"/>
          <w:color w:val="auto"/>
        </w:rPr>
        <w:t>means any body which has authority to exercise any Write-down and Conversion Powers.</w:t>
      </w:r>
    </w:p>
    <w:p>
      <w:pPr>
        <w:spacing w:after="0" w:line="198"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 xml:space="preserve">Write-down </w:t>
      </w:r>
      <w:r>
        <w:rPr>
          <w:rFonts w:ascii="Arial" w:cs="Arial" w:eastAsia="Arial" w:hAnsi="Arial"/>
          <w:sz w:val="18"/>
          <w:szCs w:val="18"/>
          <w:color w:val="auto"/>
        </w:rPr>
        <w:t>and Conversion Powers means:</w:t>
      </w:r>
    </w:p>
    <w:p>
      <w:pPr>
        <w:spacing w:after="0" w:line="220" w:lineRule="exact"/>
        <w:rPr>
          <w:sz w:val="20"/>
          <w:szCs w:val="20"/>
          <w:color w:val="auto"/>
        </w:rPr>
      </w:pPr>
    </w:p>
    <w:p>
      <w:pPr>
        <w:ind w:left="1620" w:hanging="532"/>
        <w:spacing w:after="0" w:line="246" w:lineRule="auto"/>
        <w:tabs>
          <w:tab w:leader="none" w:pos="162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in relation to any Bail-In Legislation described in the EU Bail-In Legislation Schedule from time to time, the powers described as such in relation to that Bail-In Legislation in the EU Bail-In Legislation Schedule; and</w:t>
      </w:r>
    </w:p>
    <w:p>
      <w:pPr>
        <w:spacing w:after="0" w:line="183" w:lineRule="exact"/>
        <w:rPr>
          <w:rFonts w:ascii="Arial" w:cs="Arial" w:eastAsia="Arial" w:hAnsi="Arial"/>
          <w:sz w:val="18"/>
          <w:szCs w:val="18"/>
          <w:color w:val="auto"/>
        </w:rPr>
      </w:pPr>
    </w:p>
    <w:p>
      <w:pPr>
        <w:ind w:left="1620" w:hanging="532"/>
        <w:spacing w:after="0"/>
        <w:tabs>
          <w:tab w:leader="none" w:pos="162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in relation to any other applicable Bail-In Legislation:</w:t>
      </w:r>
    </w:p>
    <w:p>
      <w:pPr>
        <w:spacing w:after="0" w:line="198" w:lineRule="exact"/>
        <w:rPr>
          <w:rFonts w:ascii="Arial" w:cs="Arial" w:eastAsia="Arial" w:hAnsi="Arial"/>
          <w:sz w:val="18"/>
          <w:szCs w:val="18"/>
          <w:color w:val="auto"/>
        </w:rPr>
      </w:pPr>
    </w:p>
    <w:p>
      <w:pPr>
        <w:jc w:val="both"/>
        <w:ind w:left="2160" w:hanging="531"/>
        <w:spacing w:after="0" w:line="237" w:lineRule="auto"/>
        <w:tabs>
          <w:tab w:leader="none" w:pos="2160" w:val="left"/>
        </w:tabs>
        <w:numPr>
          <w:ilvl w:val="1"/>
          <w:numId w:val="394"/>
        </w:numPr>
        <w:rPr>
          <w:rFonts w:ascii="Arial" w:cs="Arial" w:eastAsia="Arial" w:hAnsi="Arial"/>
          <w:sz w:val="18"/>
          <w:szCs w:val="18"/>
          <w:color w:val="auto"/>
        </w:rPr>
      </w:pPr>
      <w:r>
        <w:rPr>
          <w:rFonts w:ascii="Arial" w:cs="Arial" w:eastAsia="Arial" w:hAnsi="Arial"/>
          <w:sz w:val="18"/>
          <w:szCs w:val="18"/>
          <w:color w:val="auto"/>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spacing w:after="0" w:line="189" w:lineRule="exact"/>
        <w:rPr>
          <w:rFonts w:ascii="Arial" w:cs="Arial" w:eastAsia="Arial" w:hAnsi="Arial"/>
          <w:sz w:val="18"/>
          <w:szCs w:val="18"/>
          <w:color w:val="auto"/>
        </w:rPr>
      </w:pPr>
    </w:p>
    <w:p>
      <w:pPr>
        <w:ind w:left="2160" w:hanging="531"/>
        <w:spacing w:after="0"/>
        <w:tabs>
          <w:tab w:leader="none" w:pos="2160" w:val="left"/>
        </w:tabs>
        <w:numPr>
          <w:ilvl w:val="1"/>
          <w:numId w:val="394"/>
        </w:numPr>
        <w:rPr>
          <w:rFonts w:ascii="Arial" w:cs="Arial" w:eastAsia="Arial" w:hAnsi="Arial"/>
          <w:sz w:val="18"/>
          <w:szCs w:val="18"/>
          <w:color w:val="auto"/>
        </w:rPr>
      </w:pPr>
      <w:r>
        <w:rPr>
          <w:rFonts w:ascii="Arial" w:cs="Arial" w:eastAsia="Arial" w:hAnsi="Arial"/>
          <w:sz w:val="18"/>
          <w:szCs w:val="18"/>
          <w:color w:val="auto"/>
        </w:rPr>
        <w:t>any similar or analogous powers under that Bail-In Legislation.</w:t>
      </w:r>
    </w:p>
    <w:p>
      <w:pPr>
        <w:spacing w:after="0" w:line="176" w:lineRule="exact"/>
        <w:rPr>
          <w:sz w:val="20"/>
          <w:szCs w:val="20"/>
          <w:color w:val="auto"/>
        </w:rPr>
      </w:pPr>
    </w:p>
    <w:p>
      <w:pPr>
        <w:ind w:left="540" w:hanging="532"/>
        <w:spacing w:after="0"/>
        <w:tabs>
          <w:tab w:leader="none" w:pos="540" w:val="left"/>
        </w:tabs>
        <w:numPr>
          <w:ilvl w:val="0"/>
          <w:numId w:val="395"/>
        </w:numPr>
        <w:rPr>
          <w:rFonts w:ascii="Arial" w:cs="Arial" w:eastAsia="Arial" w:hAnsi="Arial"/>
          <w:sz w:val="18"/>
          <w:szCs w:val="18"/>
          <w:b w:val="1"/>
          <w:bCs w:val="1"/>
          <w:color w:val="auto"/>
        </w:rPr>
      </w:pPr>
      <w:r>
        <w:rPr>
          <w:rFonts w:ascii="Arial" w:cs="Arial" w:eastAsia="Arial" w:hAnsi="Arial"/>
          <w:sz w:val="18"/>
          <w:szCs w:val="18"/>
          <w:b w:val="1"/>
          <w:bCs w:val="1"/>
          <w:color w:val="auto"/>
        </w:rPr>
        <w:t>Set-off</w:t>
      </w:r>
    </w:p>
    <w:p>
      <w:pPr>
        <w:spacing w:after="0" w:line="220" w:lineRule="exact"/>
        <w:rPr>
          <w:rFonts w:ascii="Arial" w:cs="Arial" w:eastAsia="Arial" w:hAnsi="Arial"/>
          <w:sz w:val="18"/>
          <w:szCs w:val="18"/>
          <w:b w:val="1"/>
          <w:bCs w:val="1"/>
          <w:color w:val="auto"/>
        </w:rPr>
      </w:pPr>
    </w:p>
    <w:p>
      <w:pPr>
        <w:jc w:val="both"/>
        <w:ind w:left="54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A Finance Party may set off any matured obligation due from an Obligor under the Finance Documents (to the extent beneficially owned by that Finance Party) against any matured obligation owed by that Finance Party to that Obligor, regardless of the place of payment, booking branch or currency of either obligation. If the obligations are in different currencies, the Finance Party may convert either obligation at a market rate of exchange in its usual course of business for the purpose of the set-off. For the purpose of this clause the term “Finance Party” includes each of the relevant Finance Party’s holding companies and subsidiaries and each subsidiary of the relevant Finance Party’s holding companies (as defined in the Companies Act 2006).</w:t>
      </w:r>
    </w:p>
    <w:p>
      <w:pPr>
        <w:spacing w:after="0" w:line="169" w:lineRule="exact"/>
        <w:rPr>
          <w:rFonts w:ascii="Arial" w:cs="Arial" w:eastAsia="Arial" w:hAnsi="Arial"/>
          <w:sz w:val="18"/>
          <w:szCs w:val="18"/>
          <w:b w:val="1"/>
          <w:bCs w:val="1"/>
          <w:color w:val="auto"/>
        </w:rPr>
      </w:pPr>
    </w:p>
    <w:p>
      <w:pPr>
        <w:ind w:left="540" w:hanging="532"/>
        <w:spacing w:after="0"/>
        <w:tabs>
          <w:tab w:leader="none" w:pos="540" w:val="left"/>
        </w:tabs>
        <w:numPr>
          <w:ilvl w:val="0"/>
          <w:numId w:val="395"/>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9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37.1</w:t>
        <w:tab/>
        <w:t>Communications in writing</w:t>
      </w:r>
    </w:p>
    <w:p>
      <w:pPr>
        <w:spacing w:after="0" w:line="220" w:lineRule="exact"/>
        <w:rPr>
          <w:sz w:val="20"/>
          <w:szCs w:val="20"/>
          <w:color w:val="auto"/>
        </w:rPr>
      </w:pPr>
    </w:p>
    <w:p>
      <w:pPr>
        <w:jc w:val="both"/>
        <w:ind w:left="540"/>
        <w:spacing w:after="0" w:line="246" w:lineRule="auto"/>
        <w:rPr>
          <w:sz w:val="20"/>
          <w:szCs w:val="20"/>
          <w:color w:val="auto"/>
        </w:rPr>
      </w:pPr>
      <w:r>
        <w:rPr>
          <w:rFonts w:ascii="Arial" w:cs="Arial" w:eastAsia="Arial" w:hAnsi="Arial"/>
          <w:sz w:val="18"/>
          <w:szCs w:val="18"/>
          <w:color w:val="auto"/>
        </w:rPr>
        <w:t>Any communication to be made under or in connection with the Finance Documents shall be made in writing and, unless otherwise stated, may be made by fax or letter.</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37.2</w:t>
      </w:r>
      <w:r>
        <w:rPr>
          <w:sz w:val="20"/>
          <w:szCs w:val="20"/>
          <w:color w:val="auto"/>
        </w:rPr>
        <w:tab/>
      </w:r>
      <w:r>
        <w:rPr>
          <w:rFonts w:ascii="Arial" w:cs="Arial" w:eastAsia="Arial" w:hAnsi="Arial"/>
          <w:sz w:val="17"/>
          <w:szCs w:val="17"/>
          <w:b w:val="1"/>
          <w:bCs w:val="1"/>
          <w:color w:val="auto"/>
        </w:rPr>
        <w:t>Addresses</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The address, and fax number (and the department or officer, if any, for whose attention the communication is to be made) of each Obligor or Finance Party for any communication or document to be made or delivered under or in connection with the Finance Documents is:</w:t>
      </w:r>
    </w:p>
    <w:p>
      <w:pPr>
        <w:spacing w:after="0" w:line="171" w:lineRule="exact"/>
        <w:rPr>
          <w:sz w:val="20"/>
          <w:szCs w:val="20"/>
          <w:color w:val="auto"/>
        </w:rPr>
      </w:pPr>
    </w:p>
    <w:p>
      <w:pPr>
        <w:jc w:val="center"/>
        <w:ind w:left="5560" w:right="1300" w:hanging="4472"/>
        <w:spacing w:after="0" w:line="486" w:lineRule="auto"/>
        <w:tabs>
          <w:tab w:leader="none" w:pos="1625" w:val="left"/>
        </w:tabs>
        <w:numPr>
          <w:ilvl w:val="0"/>
          <w:numId w:val="396"/>
        </w:numPr>
        <w:rPr>
          <w:rFonts w:ascii="Arial" w:cs="Arial" w:eastAsia="Arial" w:hAnsi="Arial"/>
          <w:sz w:val="18"/>
          <w:szCs w:val="18"/>
          <w:color w:val="auto"/>
        </w:rPr>
      </w:pPr>
      <w:r>
        <w:rPr>
          <w:rFonts w:ascii="Arial" w:cs="Arial" w:eastAsia="Arial" w:hAnsi="Arial"/>
          <w:sz w:val="18"/>
          <w:szCs w:val="18"/>
          <w:color w:val="auto"/>
        </w:rPr>
        <w:t>in the case of any Obligor which is a Party, that identified with its name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342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86" w:name="page187"/>
    <w:bookmarkEnd w:id="186"/>
    <w:p>
      <w:pPr>
        <w:ind w:left="1620" w:hanging="532"/>
        <w:spacing w:after="0"/>
        <w:tabs>
          <w:tab w:leader="none" w:pos="162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in the case of any Obligor which is not a Party, that identified in any Finance Document to which it is a party;</w:t>
      </w:r>
    </w:p>
    <w:p>
      <w:pPr>
        <w:spacing w:after="0" w:line="198" w:lineRule="exact"/>
        <w:rPr>
          <w:rFonts w:ascii="Arial" w:cs="Arial" w:eastAsia="Arial" w:hAnsi="Arial"/>
          <w:sz w:val="18"/>
          <w:szCs w:val="18"/>
          <w:color w:val="auto"/>
        </w:rPr>
      </w:pPr>
    </w:p>
    <w:p>
      <w:pPr>
        <w:ind w:left="1620" w:right="20" w:hanging="532"/>
        <w:spacing w:after="0" w:line="246" w:lineRule="auto"/>
        <w:tabs>
          <w:tab w:leader="none" w:pos="162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in the case of the Security Agent, the Agent and any other original Finance Party that identified with its name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and</w:t>
      </w:r>
    </w:p>
    <w:p>
      <w:pPr>
        <w:spacing w:after="0" w:line="183" w:lineRule="exact"/>
        <w:rPr>
          <w:rFonts w:ascii="Arial" w:cs="Arial" w:eastAsia="Arial" w:hAnsi="Arial"/>
          <w:sz w:val="18"/>
          <w:szCs w:val="18"/>
          <w:color w:val="auto"/>
        </w:rPr>
      </w:pPr>
    </w:p>
    <w:p>
      <w:pPr>
        <w:ind w:left="1620" w:hanging="532"/>
        <w:spacing w:after="0" w:line="246" w:lineRule="auto"/>
        <w:tabs>
          <w:tab w:leader="none" w:pos="162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in the case of each Lender or other Finance Party, that notified in writing to the Agent on or prior to the date on which it becomes a Party in the relevant capacity,</w:t>
      </w:r>
    </w:p>
    <w:p>
      <w:pPr>
        <w:spacing w:after="0" w:line="183" w:lineRule="exact"/>
        <w:rPr>
          <w:sz w:val="20"/>
          <w:szCs w:val="20"/>
          <w:color w:val="auto"/>
        </w:rPr>
      </w:pPr>
    </w:p>
    <w:p>
      <w:pPr>
        <w:ind w:left="540"/>
        <w:spacing w:after="0" w:line="246" w:lineRule="auto"/>
        <w:rPr>
          <w:sz w:val="20"/>
          <w:szCs w:val="20"/>
          <w:color w:val="auto"/>
        </w:rPr>
      </w:pPr>
      <w:r>
        <w:rPr>
          <w:rFonts w:ascii="Arial" w:cs="Arial" w:eastAsia="Arial" w:hAnsi="Arial"/>
          <w:sz w:val="18"/>
          <w:szCs w:val="18"/>
          <w:color w:val="auto"/>
        </w:rPr>
        <w:t>or, in each case, any substitute address, fax number, or department or officer as an Obligor or Finance Party may notify to the Agent (or the Agent may notify to the other Parties, if a change is made by the Agent) by not less than five Business Days’ notice.</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37.3</w:t>
      </w:r>
      <w:r>
        <w:rPr>
          <w:sz w:val="20"/>
          <w:szCs w:val="20"/>
          <w:color w:val="auto"/>
        </w:rPr>
        <w:tab/>
      </w:r>
      <w:r>
        <w:rPr>
          <w:rFonts w:ascii="Arial" w:cs="Arial" w:eastAsia="Arial" w:hAnsi="Arial"/>
          <w:sz w:val="17"/>
          <w:szCs w:val="17"/>
          <w:b w:val="1"/>
          <w:bCs w:val="1"/>
          <w:color w:val="auto"/>
        </w:rPr>
        <w:t>Delivery</w:t>
      </w:r>
    </w:p>
    <w:p>
      <w:pPr>
        <w:spacing w:after="0" w:line="220" w:lineRule="exact"/>
        <w:rPr>
          <w:sz w:val="20"/>
          <w:szCs w:val="20"/>
          <w:color w:val="auto"/>
        </w:rPr>
      </w:pPr>
    </w:p>
    <w:p>
      <w:pPr>
        <w:ind w:left="1080" w:hanging="532"/>
        <w:spacing w:after="0" w:line="246" w:lineRule="auto"/>
        <w:tabs>
          <w:tab w:leader="none" w:pos="108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Any communication or document made or delivered by one person to another under or in connection with the Finance Documents will only be effective:</w:t>
      </w:r>
    </w:p>
    <w:p>
      <w:pPr>
        <w:spacing w:after="0" w:line="183" w:lineRule="exact"/>
        <w:rPr>
          <w:rFonts w:ascii="Arial" w:cs="Arial" w:eastAsia="Arial" w:hAnsi="Arial"/>
          <w:sz w:val="18"/>
          <w:szCs w:val="18"/>
          <w:color w:val="auto"/>
        </w:rPr>
      </w:pPr>
    </w:p>
    <w:p>
      <w:pPr>
        <w:ind w:left="1620" w:hanging="532"/>
        <w:spacing w:after="0"/>
        <w:tabs>
          <w:tab w:leader="none" w:pos="162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if by way of fax, when received in legible form; or</w:t>
      </w:r>
    </w:p>
    <w:p>
      <w:pPr>
        <w:spacing w:after="0" w:line="198"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if by way of letter, when it has been left at the relevant address or five Business Days after being deposited in the post postage prepaid in an envelope addressed to it at that address;</w:t>
      </w:r>
    </w:p>
    <w:p>
      <w:pPr>
        <w:spacing w:after="0" w:line="165" w:lineRule="exact"/>
        <w:rPr>
          <w:sz w:val="20"/>
          <w:szCs w:val="20"/>
          <w:color w:val="auto"/>
        </w:rPr>
      </w:pPr>
    </w:p>
    <w:p>
      <w:pPr>
        <w:ind w:left="540"/>
        <w:spacing w:after="0" w:line="267" w:lineRule="auto"/>
        <w:rPr>
          <w:sz w:val="20"/>
          <w:szCs w:val="20"/>
          <w:color w:val="auto"/>
        </w:rPr>
      </w:pPr>
      <w:r>
        <w:rPr>
          <w:rFonts w:ascii="Arial" w:cs="Arial" w:eastAsia="Arial" w:hAnsi="Arial"/>
          <w:sz w:val="18"/>
          <w:szCs w:val="18"/>
          <w:color w:val="auto"/>
        </w:rPr>
        <w:t>and, if a particular department or officer is specified as part of its address details provided under clause 37.2 (</w:t>
      </w:r>
      <w:r>
        <w:rPr>
          <w:rFonts w:ascii="Arial" w:cs="Arial" w:eastAsia="Arial" w:hAnsi="Arial"/>
          <w:sz w:val="18"/>
          <w:szCs w:val="18"/>
          <w:i w:val="1"/>
          <w:iCs w:val="1"/>
          <w:color w:val="auto"/>
        </w:rPr>
        <w:t>Addresses</w:t>
      </w:r>
      <w:r>
        <w:rPr>
          <w:rFonts w:ascii="Arial" w:cs="Arial" w:eastAsia="Arial" w:hAnsi="Arial"/>
          <w:sz w:val="18"/>
          <w:szCs w:val="18"/>
          <w:color w:val="auto"/>
        </w:rPr>
        <w:t>), if addressed to that department or officer.</w:t>
      </w:r>
    </w:p>
    <w:p>
      <w:pPr>
        <w:spacing w:after="0" w:line="165" w:lineRule="exact"/>
        <w:rPr>
          <w:sz w:val="20"/>
          <w:szCs w:val="20"/>
          <w:color w:val="auto"/>
        </w:rPr>
      </w:pPr>
    </w:p>
    <w:p>
      <w:pPr>
        <w:jc w:val="both"/>
        <w:ind w:left="1080" w:hanging="532"/>
        <w:spacing w:after="0" w:line="239" w:lineRule="auto"/>
        <w:tabs>
          <w:tab w:leader="none" w:pos="108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Any communication or document to be made or delivered to the Agent or the Security Agent will be effective only when actually received by the Agent or the Security Agent and then only if it is expressly marked for the attention of the department or officer identified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(or any substitute department or officer as the Agent or the Security Agent shall specify for this purpose).</w:t>
      </w:r>
    </w:p>
    <w:p>
      <w:pPr>
        <w:spacing w:after="0" w:line="188" w:lineRule="exact"/>
        <w:rPr>
          <w:rFonts w:ascii="Arial" w:cs="Arial" w:eastAsia="Arial" w:hAnsi="Arial"/>
          <w:sz w:val="18"/>
          <w:szCs w:val="18"/>
          <w:color w:val="auto"/>
        </w:rPr>
      </w:pPr>
    </w:p>
    <w:p>
      <w:pPr>
        <w:ind w:left="1080" w:hanging="532"/>
        <w:spacing w:after="0"/>
        <w:tabs>
          <w:tab w:leader="none" w:pos="108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All notices from or to an Obligor shall be sent through the Agent.</w:t>
      </w:r>
    </w:p>
    <w:p>
      <w:pPr>
        <w:spacing w:after="0" w:line="198"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Any communication or document made or delivered to the Borrowers in accordance with this clause will be deemed to have been made or delivered to each of the Obligors.</w:t>
      </w:r>
    </w:p>
    <w:p>
      <w:pPr>
        <w:spacing w:after="0" w:line="183"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Any communication or document which becomes effective, in accordance with clauses 37.3(a) to 37.3(d) above, after 5:00pm in the place of receipt shall be deemed only to become effective on the following day.</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37.4</w:t>
      </w:r>
      <w:r>
        <w:rPr>
          <w:sz w:val="20"/>
          <w:szCs w:val="20"/>
          <w:color w:val="auto"/>
        </w:rPr>
        <w:tab/>
      </w:r>
      <w:r>
        <w:rPr>
          <w:rFonts w:ascii="Arial" w:cs="Arial" w:eastAsia="Arial" w:hAnsi="Arial"/>
          <w:sz w:val="17"/>
          <w:szCs w:val="17"/>
          <w:b w:val="1"/>
          <w:bCs w:val="1"/>
          <w:color w:val="auto"/>
        </w:rPr>
        <w:t>Notification of address and fax number</w:t>
      </w:r>
    </w:p>
    <w:p>
      <w:pPr>
        <w:spacing w:after="0" w:line="220" w:lineRule="exact"/>
        <w:rPr>
          <w:sz w:val="20"/>
          <w:szCs w:val="20"/>
          <w:color w:val="auto"/>
        </w:rPr>
      </w:pPr>
    </w:p>
    <w:p>
      <w:pPr>
        <w:ind w:left="540"/>
        <w:spacing w:after="0" w:line="246" w:lineRule="auto"/>
        <w:rPr>
          <w:sz w:val="20"/>
          <w:szCs w:val="20"/>
          <w:color w:val="auto"/>
        </w:rPr>
      </w:pPr>
      <w:r>
        <w:rPr>
          <w:rFonts w:ascii="Arial" w:cs="Arial" w:eastAsia="Arial" w:hAnsi="Arial"/>
          <w:sz w:val="18"/>
          <w:szCs w:val="18"/>
          <w:color w:val="auto"/>
        </w:rPr>
        <w:t>The Agent shall notify the other Parties on changing its address or fax number. All other Parties should notify promptly upon change of their address or fax number pursuant to clause 37.2 (</w:t>
      </w:r>
      <w:r>
        <w:rPr>
          <w:rFonts w:ascii="Arial" w:cs="Arial" w:eastAsia="Arial" w:hAnsi="Arial"/>
          <w:sz w:val="18"/>
          <w:szCs w:val="18"/>
          <w:i w:val="1"/>
          <w:iCs w:val="1"/>
          <w:color w:val="auto"/>
        </w:rPr>
        <w:t>Addresses</w:t>
      </w:r>
      <w:r>
        <w:rPr>
          <w:rFonts w:ascii="Arial" w:cs="Arial" w:eastAsia="Arial" w:hAnsi="Arial"/>
          <w:sz w:val="18"/>
          <w:szCs w:val="18"/>
          <w:color w:val="auto"/>
        </w:rPr>
        <w:t>).</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37.5</w:t>
        <w:tab/>
        <w:t>Electronic communication</w:t>
      </w:r>
    </w:p>
    <w:p>
      <w:pPr>
        <w:spacing w:after="0" w:line="220" w:lineRule="exact"/>
        <w:rPr>
          <w:sz w:val="20"/>
          <w:szCs w:val="20"/>
          <w:color w:val="auto"/>
        </w:rPr>
      </w:pPr>
    </w:p>
    <w:p>
      <w:pPr>
        <w:jc w:val="both"/>
        <w:ind w:left="1080" w:hanging="532"/>
        <w:spacing w:after="0"/>
        <w:tabs>
          <w:tab w:leader="none" w:pos="108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Any communication to be made between any two Parties under or in connection with the Finance Documents may be made by electronic mail or other electronic means to the extent that those two Parties agree that, unless and until notified to the contrary, this is to be an accepted form of communication and if those two Parties:</w:t>
      </w:r>
    </w:p>
    <w:p>
      <w:pPr>
        <w:spacing w:after="0" w:line="189" w:lineRule="exact"/>
        <w:rPr>
          <w:sz w:val="20"/>
          <w:szCs w:val="20"/>
          <w:color w:val="auto"/>
        </w:rPr>
      </w:pPr>
    </w:p>
    <w:p>
      <w:pPr>
        <w:ind w:left="1620" w:hanging="532"/>
        <w:spacing w:after="0" w:line="246" w:lineRule="auto"/>
        <w:tabs>
          <w:tab w:leader="none" w:pos="162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notify each other in writing of their electronic mail address and/or any other information required to enable the sending and receipt of information by that means;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87" w:name="page188"/>
    <w:bookmarkEnd w:id="187"/>
    <w:p>
      <w:pPr>
        <w:ind w:left="1620" w:hanging="532"/>
        <w:spacing w:after="0" w:line="246" w:lineRule="auto"/>
        <w:tabs>
          <w:tab w:leader="none" w:pos="1620" w:val="left"/>
        </w:tabs>
        <w:numPr>
          <w:ilvl w:val="1"/>
          <w:numId w:val="402"/>
        </w:numPr>
        <w:rPr>
          <w:rFonts w:ascii="Arial" w:cs="Arial" w:eastAsia="Arial" w:hAnsi="Arial"/>
          <w:sz w:val="18"/>
          <w:szCs w:val="18"/>
          <w:color w:val="auto"/>
        </w:rPr>
      </w:pPr>
      <w:r>
        <w:rPr>
          <w:rFonts w:ascii="Arial" w:cs="Arial" w:eastAsia="Arial" w:hAnsi="Arial"/>
          <w:sz w:val="18"/>
          <w:szCs w:val="18"/>
          <w:color w:val="auto"/>
        </w:rPr>
        <w:t>notify each other of any change to their address or any other such information supplied by them by not less than five Business Days’ notice.</w:t>
      </w:r>
    </w:p>
    <w:p>
      <w:pPr>
        <w:spacing w:after="0" w:line="183" w:lineRule="exact"/>
        <w:rPr>
          <w:rFonts w:ascii="Arial" w:cs="Arial" w:eastAsia="Arial" w:hAnsi="Arial"/>
          <w:sz w:val="18"/>
          <w:szCs w:val="18"/>
          <w:color w:val="auto"/>
        </w:rPr>
      </w:pPr>
    </w:p>
    <w:p>
      <w:pPr>
        <w:jc w:val="both"/>
        <w:ind w:left="1080" w:hanging="532"/>
        <w:spacing w:after="0"/>
        <w:tabs>
          <w:tab w:leader="none" w:pos="108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Any electronic communication made between those two Parties will be effective only when actually received in readable form and in the case of any electronic communication made by a Party to the Agent or the Security Agent only if it is addressed in such a manner as the Agent or the Security Agent shall specify for this purpose.</w:t>
      </w:r>
    </w:p>
    <w:p>
      <w:pPr>
        <w:spacing w:after="0" w:line="189"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Any electronic communication which becomes effective, in accordance with clause 37.5(b) above, after 5:00 p.m. in the place of receipt shall be deemed only to become effective on the following day.</w:t>
      </w:r>
    </w:p>
    <w:p>
      <w:pPr>
        <w:spacing w:after="0" w:line="183" w:lineRule="exact"/>
        <w:rPr>
          <w:rFonts w:ascii="Arial" w:cs="Arial" w:eastAsia="Arial" w:hAnsi="Arial"/>
          <w:sz w:val="18"/>
          <w:szCs w:val="18"/>
          <w:color w:val="auto"/>
        </w:rPr>
      </w:pPr>
    </w:p>
    <w:p>
      <w:pPr>
        <w:ind w:left="1080" w:hanging="532"/>
        <w:spacing w:after="0"/>
        <w:tabs>
          <w:tab w:leader="none" w:pos="108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In particular, the Obligors are aware and acknowledge that:</w:t>
      </w:r>
    </w:p>
    <w:p>
      <w:pPr>
        <w:spacing w:after="0" w:line="198"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403"/>
        </w:numPr>
        <w:rPr>
          <w:rFonts w:ascii="Arial" w:cs="Arial" w:eastAsia="Arial" w:hAnsi="Arial"/>
          <w:sz w:val="18"/>
          <w:szCs w:val="18"/>
          <w:color w:val="auto"/>
        </w:rPr>
      </w:pPr>
      <w:r>
        <w:rPr>
          <w:rFonts w:ascii="Arial" w:cs="Arial" w:eastAsia="Arial" w:hAnsi="Arial"/>
          <w:sz w:val="18"/>
          <w:szCs w:val="18"/>
          <w:color w:val="auto"/>
        </w:rPr>
        <w:t>the unencrypted information is transported over an open, publicly accessible network and can, in principle, be viewed by others, thereby allowing conclusions to be drawn about a banking relationship;</w:t>
      </w:r>
    </w:p>
    <w:p>
      <w:pPr>
        <w:spacing w:after="0" w:line="183" w:lineRule="exact"/>
        <w:rPr>
          <w:sz w:val="20"/>
          <w:szCs w:val="20"/>
          <w:color w:val="auto"/>
        </w:rPr>
      </w:pPr>
    </w:p>
    <w:p>
      <w:pPr>
        <w:ind w:left="1620" w:hanging="532"/>
        <w:spacing w:after="0"/>
        <w:tabs>
          <w:tab w:leader="none" w:pos="162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the information can be changed and manipulated by a third party;</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the sender’s identity (sender of any electronic communication) can be assumed or otherwise manipulated;</w:t>
      </w:r>
    </w:p>
    <w:p>
      <w:pPr>
        <w:spacing w:after="0" w:line="198" w:lineRule="exact"/>
        <w:rPr>
          <w:rFonts w:ascii="Arial" w:cs="Arial" w:eastAsia="Arial" w:hAnsi="Arial"/>
          <w:sz w:val="18"/>
          <w:szCs w:val="18"/>
          <w:color w:val="auto"/>
        </w:rPr>
      </w:pPr>
    </w:p>
    <w:p>
      <w:pPr>
        <w:jc w:val="both"/>
        <w:ind w:left="1620" w:hanging="532"/>
        <w:spacing w:after="0" w:line="239" w:lineRule="auto"/>
        <w:tabs>
          <w:tab w:leader="none" w:pos="162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the exchange of information can be delayed or disrupted due to transmission errors, technical faults, disruptions, malfunctions, illegal interventions, network overload, the malicious blocking of electronic access by third parties, or other shortcomings on the part of the network provider. In certain situations, time-critical orders and instructions might not be processed on time; and</w:t>
      </w:r>
    </w:p>
    <w:p>
      <w:pPr>
        <w:spacing w:after="0" w:line="188" w:lineRule="exact"/>
        <w:rPr>
          <w:rFonts w:ascii="Arial" w:cs="Arial" w:eastAsia="Arial" w:hAnsi="Arial"/>
          <w:sz w:val="18"/>
          <w:szCs w:val="18"/>
          <w:color w:val="auto"/>
        </w:rPr>
      </w:pPr>
    </w:p>
    <w:p>
      <w:pPr>
        <w:jc w:val="both"/>
        <w:ind w:left="1620" w:hanging="532"/>
        <w:spacing w:after="0"/>
        <w:tabs>
          <w:tab w:leader="none" w:pos="162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the Finance Parties assume no liability for any loss incurred as a result of manipulation of the electronic address or content nor is it liable for any loss incurred by the Borrowers or any other Obligor due to interruptions and delays in transmission caused by technical problems.</w:t>
      </w:r>
    </w:p>
    <w:p>
      <w:pPr>
        <w:spacing w:after="0" w:line="189" w:lineRule="exact"/>
        <w:rPr>
          <w:sz w:val="20"/>
          <w:szCs w:val="20"/>
          <w:color w:val="auto"/>
        </w:rPr>
      </w:pPr>
    </w:p>
    <w:p>
      <w:pPr>
        <w:jc w:val="both"/>
        <w:ind w:left="1080" w:hanging="532"/>
        <w:spacing w:after="0" w:line="238" w:lineRule="auto"/>
        <w:tabs>
          <w:tab w:leader="none" w:pos="108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Finance Parties are entitled to assume that all the orders and instructions, and communications in general, received from the Borrowers or any other Obligor or a third party are from an authorised individual, irrespective of the existing signatory rights in accordance with the commercial register (or any other applicable equivalent document) or the specimen signature provided to any Finance Party. The Obligors shall further procure that all third parties referred to herein agree with the use of electronic communication and are aware of the above terms and conditions related to the use of electronic communication.</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37.6</w:t>
        <w:tab/>
        <w:t>English language</w:t>
      </w:r>
    </w:p>
    <w:p>
      <w:pPr>
        <w:spacing w:after="0" w:line="220" w:lineRule="exact"/>
        <w:rPr>
          <w:sz w:val="20"/>
          <w:szCs w:val="20"/>
          <w:color w:val="auto"/>
        </w:rPr>
      </w:pPr>
    </w:p>
    <w:p>
      <w:pPr>
        <w:ind w:left="1080" w:hanging="532"/>
        <w:spacing w:after="0"/>
        <w:tabs>
          <w:tab w:leader="none" w:pos="108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Any notice given under or in connection with any Finance Document shall be in English.</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All other documents provided under or in connection with any Finance Document shall be:</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in English; or</w:t>
      </w:r>
    </w:p>
    <w:p>
      <w:pPr>
        <w:spacing w:after="0" w:line="198"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if not in English, and if so required by the Agent, accompanied by a certified English translation and, in this case, the English translation will prevail unless the document is a constitutional, statutory or other official document.</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37.7</w:t>
      </w:r>
      <w:r>
        <w:rPr>
          <w:sz w:val="20"/>
          <w:szCs w:val="20"/>
          <w:color w:val="auto"/>
        </w:rPr>
        <w:tab/>
      </w:r>
      <w:r>
        <w:rPr>
          <w:rFonts w:ascii="Arial" w:cs="Arial" w:eastAsia="Arial" w:hAnsi="Arial"/>
          <w:sz w:val="17"/>
          <w:szCs w:val="17"/>
          <w:b w:val="1"/>
          <w:bCs w:val="1"/>
          <w:color w:val="auto"/>
        </w:rPr>
        <w:t>Communication with Agent when Agent is Impaired Agent</w:t>
      </w:r>
    </w:p>
    <w:p>
      <w:pPr>
        <w:spacing w:after="0" w:line="220" w:lineRule="exact"/>
        <w:rPr>
          <w:sz w:val="20"/>
          <w:szCs w:val="20"/>
          <w:color w:val="auto"/>
        </w:rPr>
      </w:pPr>
    </w:p>
    <w:p>
      <w:pPr>
        <w:ind w:left="540"/>
        <w:spacing w:after="0" w:line="246" w:lineRule="auto"/>
        <w:rPr>
          <w:sz w:val="20"/>
          <w:szCs w:val="20"/>
          <w:color w:val="auto"/>
        </w:rPr>
      </w:pPr>
      <w:r>
        <w:rPr>
          <w:rFonts w:ascii="Arial" w:cs="Arial" w:eastAsia="Arial" w:hAnsi="Arial"/>
          <w:sz w:val="18"/>
          <w:szCs w:val="18"/>
          <w:color w:val="auto"/>
        </w:rPr>
        <w:t>If the Agent is an Impaired Agent the Parties may, instead of communicating with each other through the Agent, communicate with each other directly and (while the Agent is an Impaired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88" w:name="page189"/>
    <w:bookmarkEnd w:id="188"/>
    <w:p>
      <w:pPr>
        <w:jc w:val="both"/>
        <w:ind w:left="540"/>
        <w:spacing w:after="0"/>
        <w:rPr>
          <w:sz w:val="20"/>
          <w:szCs w:val="20"/>
          <w:color w:val="auto"/>
        </w:rPr>
      </w:pPr>
      <w:r>
        <w:rPr>
          <w:rFonts w:ascii="Arial" w:cs="Arial" w:eastAsia="Arial" w:hAnsi="Arial"/>
          <w:sz w:val="18"/>
          <w:szCs w:val="18"/>
          <w:color w:val="auto"/>
        </w:rPr>
        <w:t>Agent) all the provisions of the Finance Documents which require communications to be made or notices to be given to or by the Agent shall be varied so that communications may be made and notices given to or by the relevant parties directly. This provision shall not operate after a replacement Agent has been appointed.</w:t>
      </w:r>
    </w:p>
    <w:p>
      <w:pPr>
        <w:spacing w:after="0" w:line="167" w:lineRule="exact"/>
        <w:rPr>
          <w:sz w:val="20"/>
          <w:szCs w:val="20"/>
          <w:color w:val="auto"/>
        </w:rPr>
      </w:pPr>
    </w:p>
    <w:p>
      <w:pPr>
        <w:ind w:right="8440" w:firstLine="8"/>
        <w:spacing w:after="0" w:line="482" w:lineRule="auto"/>
        <w:tabs>
          <w:tab w:leader="none" w:pos="540" w:val="left"/>
        </w:tabs>
        <w:numPr>
          <w:ilvl w:val="0"/>
          <w:numId w:val="407"/>
        </w:numPr>
        <w:rPr>
          <w:rFonts w:ascii="Arial" w:cs="Arial" w:eastAsia="Arial" w:hAnsi="Arial"/>
          <w:sz w:val="18"/>
          <w:szCs w:val="18"/>
          <w:b w:val="1"/>
          <w:bCs w:val="1"/>
          <w:color w:val="auto"/>
        </w:rPr>
      </w:pPr>
      <w:r>
        <w:rPr>
          <w:rFonts w:ascii="Arial" w:cs="Arial" w:eastAsia="Arial" w:hAnsi="Arial"/>
          <w:sz w:val="18"/>
          <w:szCs w:val="18"/>
          <w:b w:val="1"/>
          <w:bCs w:val="1"/>
          <w:color w:val="auto"/>
        </w:rPr>
        <w:t>Calculations and certificates 38.1 Accounts</w:t>
      </w:r>
    </w:p>
    <w:p>
      <w:pPr>
        <w:spacing w:after="0" w:line="1" w:lineRule="exact"/>
        <w:rPr>
          <w:sz w:val="20"/>
          <w:szCs w:val="20"/>
          <w:color w:val="auto"/>
        </w:rPr>
      </w:pPr>
    </w:p>
    <w:p>
      <w:pPr>
        <w:jc w:val="both"/>
        <w:ind w:left="540"/>
        <w:spacing w:after="0" w:line="246" w:lineRule="auto"/>
        <w:rPr>
          <w:sz w:val="20"/>
          <w:szCs w:val="20"/>
          <w:color w:val="auto"/>
        </w:rPr>
      </w:pPr>
      <w:r>
        <w:rPr>
          <w:rFonts w:ascii="Arial" w:cs="Arial" w:eastAsia="Arial" w:hAnsi="Arial"/>
          <w:sz w:val="18"/>
          <w:szCs w:val="18"/>
          <w:color w:val="auto"/>
        </w:rPr>
        <w:t xml:space="preserve">In any litigation or arbitration proceedings arising out of or in connection with a Finance Document, the entries made in the accounts maintained by a Finance Party are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matters to which they relate.</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38.2</w:t>
        <w:tab/>
        <w:t>Certificates and determinations</w:t>
      </w:r>
    </w:p>
    <w:p>
      <w:pPr>
        <w:spacing w:after="0" w:line="220" w:lineRule="exact"/>
        <w:rPr>
          <w:sz w:val="20"/>
          <w:szCs w:val="20"/>
          <w:color w:val="auto"/>
        </w:rPr>
      </w:pPr>
    </w:p>
    <w:p>
      <w:pPr>
        <w:jc w:val="both"/>
        <w:ind w:left="540" w:right="20"/>
        <w:spacing w:after="0" w:line="246" w:lineRule="auto"/>
        <w:rPr>
          <w:sz w:val="20"/>
          <w:szCs w:val="20"/>
          <w:color w:val="auto"/>
        </w:rPr>
      </w:pPr>
      <w:r>
        <w:rPr>
          <w:rFonts w:ascii="Arial" w:cs="Arial" w:eastAsia="Arial" w:hAnsi="Arial"/>
          <w:sz w:val="18"/>
          <w:szCs w:val="18"/>
          <w:color w:val="auto"/>
        </w:rPr>
        <w:t>Any certification or determination by a Finance Party of a rate or amount under any Finance Document is, in the absence of manifest error, conclusive evidence of the matters to which it relates.</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38.3</w:t>
      </w:r>
      <w:r>
        <w:rPr>
          <w:sz w:val="20"/>
          <w:szCs w:val="20"/>
          <w:color w:val="auto"/>
        </w:rPr>
        <w:tab/>
      </w:r>
      <w:r>
        <w:rPr>
          <w:rFonts w:ascii="Arial" w:cs="Arial" w:eastAsia="Arial" w:hAnsi="Arial"/>
          <w:sz w:val="17"/>
          <w:szCs w:val="17"/>
          <w:b w:val="1"/>
          <w:bCs w:val="1"/>
          <w:color w:val="auto"/>
        </w:rPr>
        <w:t>Day count convention</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Any interest, commission or fee accruing under a Finance Document will accrue from day to day and is calculated on the basis of the actual number of days elapsed and a year of 360 days or, in any case where the practice in the Interbank Market differs, in accordance with that market practice.</w:t>
      </w:r>
    </w:p>
    <w:p>
      <w:pPr>
        <w:spacing w:after="0" w:line="167" w:lineRule="exact"/>
        <w:rPr>
          <w:sz w:val="20"/>
          <w:szCs w:val="20"/>
          <w:color w:val="auto"/>
        </w:rPr>
      </w:pPr>
    </w:p>
    <w:p>
      <w:pPr>
        <w:ind w:left="540" w:hanging="532"/>
        <w:spacing w:after="0"/>
        <w:tabs>
          <w:tab w:leader="none" w:pos="540" w:val="left"/>
        </w:tabs>
        <w:numPr>
          <w:ilvl w:val="0"/>
          <w:numId w:val="408"/>
        </w:numPr>
        <w:rPr>
          <w:rFonts w:ascii="Arial" w:cs="Arial" w:eastAsia="Arial" w:hAnsi="Arial"/>
          <w:sz w:val="18"/>
          <w:szCs w:val="18"/>
          <w:b w:val="1"/>
          <w:bCs w:val="1"/>
          <w:color w:val="auto"/>
        </w:rPr>
      </w:pPr>
      <w:r>
        <w:rPr>
          <w:rFonts w:ascii="Arial" w:cs="Arial" w:eastAsia="Arial" w:hAnsi="Arial"/>
          <w:sz w:val="18"/>
          <w:szCs w:val="18"/>
          <w:b w:val="1"/>
          <w:bCs w:val="1"/>
          <w:color w:val="auto"/>
        </w:rPr>
        <w:t>Partial invalidity</w:t>
      </w:r>
    </w:p>
    <w:p>
      <w:pPr>
        <w:spacing w:after="0" w:line="220" w:lineRule="exact"/>
        <w:rPr>
          <w:rFonts w:ascii="Arial" w:cs="Arial" w:eastAsia="Arial" w:hAnsi="Arial"/>
          <w:sz w:val="18"/>
          <w:szCs w:val="18"/>
          <w:b w:val="1"/>
          <w:bCs w:val="1"/>
          <w:color w:val="auto"/>
        </w:rPr>
      </w:pPr>
    </w:p>
    <w:p>
      <w:pPr>
        <w:jc w:val="both"/>
        <w:ind w:left="540"/>
        <w:spacing w:after="0"/>
        <w:rPr>
          <w:rFonts w:ascii="Arial" w:cs="Arial" w:eastAsia="Arial" w:hAnsi="Arial"/>
          <w:sz w:val="18"/>
          <w:szCs w:val="18"/>
          <w:b w:val="1"/>
          <w:bCs w:val="1"/>
          <w:color w:val="auto"/>
        </w:rPr>
      </w:pPr>
      <w:r>
        <w:rPr>
          <w:rFonts w:ascii="Arial" w:cs="Arial" w:eastAsia="Arial" w:hAnsi="Arial"/>
          <w:sz w:val="18"/>
          <w:szCs w:val="18"/>
          <w:color w:val="auto"/>
        </w:rPr>
        <w:t>If, at any time, any provision of a Finance Document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167" w:lineRule="exact"/>
        <w:rPr>
          <w:rFonts w:ascii="Arial" w:cs="Arial" w:eastAsia="Arial" w:hAnsi="Arial"/>
          <w:sz w:val="18"/>
          <w:szCs w:val="18"/>
          <w:b w:val="1"/>
          <w:bCs w:val="1"/>
          <w:color w:val="auto"/>
        </w:rPr>
      </w:pPr>
    </w:p>
    <w:p>
      <w:pPr>
        <w:ind w:left="540" w:hanging="532"/>
        <w:spacing w:after="0"/>
        <w:tabs>
          <w:tab w:leader="none" w:pos="540" w:val="left"/>
        </w:tabs>
        <w:numPr>
          <w:ilvl w:val="0"/>
          <w:numId w:val="408"/>
        </w:numPr>
        <w:rPr>
          <w:rFonts w:ascii="Arial" w:cs="Arial" w:eastAsia="Arial" w:hAnsi="Arial"/>
          <w:sz w:val="18"/>
          <w:szCs w:val="18"/>
          <w:b w:val="1"/>
          <w:bCs w:val="1"/>
          <w:color w:val="auto"/>
        </w:rPr>
      </w:pPr>
      <w:r>
        <w:rPr>
          <w:rFonts w:ascii="Arial" w:cs="Arial" w:eastAsia="Arial" w:hAnsi="Arial"/>
          <w:sz w:val="18"/>
          <w:szCs w:val="18"/>
          <w:b w:val="1"/>
          <w:bCs w:val="1"/>
          <w:color w:val="auto"/>
        </w:rPr>
        <w:t>Remedies and waivers</w:t>
      </w:r>
    </w:p>
    <w:p>
      <w:pPr>
        <w:spacing w:after="0" w:line="220" w:lineRule="exact"/>
        <w:rPr>
          <w:rFonts w:ascii="Arial" w:cs="Arial" w:eastAsia="Arial" w:hAnsi="Arial"/>
          <w:sz w:val="18"/>
          <w:szCs w:val="18"/>
          <w:b w:val="1"/>
          <w:bCs w:val="1"/>
          <w:color w:val="auto"/>
        </w:rPr>
      </w:pPr>
    </w:p>
    <w:p>
      <w:pPr>
        <w:jc w:val="both"/>
        <w:ind w:left="54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No failure to exercise, nor any delay in exercising, on the part of any Finance Party, any right or remedy under a Finance Document shall operate as a waiver of any such right or remedy or constitute an election to affirm any of the Finance Documents. No election to affirm any of the Finance Documents on the part of any Finance Party shall be effective unless it is in writing. No single or partial exercise of any right or remedy shall prevent any further or other exercise or the exercise of any other right or remedy. The rights and remedies provided in the Finance Documents are cumulative and not exclusive of any rights or remedies provided by law.</w:t>
      </w:r>
    </w:p>
    <w:p>
      <w:pPr>
        <w:spacing w:after="0" w:line="167" w:lineRule="exact"/>
        <w:rPr>
          <w:rFonts w:ascii="Arial" w:cs="Arial" w:eastAsia="Arial" w:hAnsi="Arial"/>
          <w:sz w:val="18"/>
          <w:szCs w:val="18"/>
          <w:b w:val="1"/>
          <w:bCs w:val="1"/>
          <w:color w:val="auto"/>
        </w:rPr>
      </w:pPr>
    </w:p>
    <w:p>
      <w:pPr>
        <w:ind w:left="540" w:hanging="532"/>
        <w:spacing w:after="0"/>
        <w:tabs>
          <w:tab w:leader="none" w:pos="540" w:val="left"/>
        </w:tabs>
        <w:numPr>
          <w:ilvl w:val="0"/>
          <w:numId w:val="408"/>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and grant of waivers</w:t>
      </w:r>
    </w:p>
    <w:p>
      <w:pPr>
        <w:spacing w:after="0" w:line="19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7"/>
          <w:szCs w:val="17"/>
          <w:b w:val="1"/>
          <w:bCs w:val="1"/>
          <w:color w:val="auto"/>
        </w:rPr>
        <w:t>Required consents</w:t>
      </w:r>
    </w:p>
    <w:p>
      <w:pPr>
        <w:spacing w:after="0" w:line="202" w:lineRule="exact"/>
        <w:rPr>
          <w:sz w:val="20"/>
          <w:szCs w:val="20"/>
          <w:color w:val="auto"/>
        </w:rPr>
      </w:pPr>
    </w:p>
    <w:p>
      <w:pPr>
        <w:jc w:val="both"/>
        <w:ind w:left="1080" w:hanging="532"/>
        <w:spacing w:after="0" w:line="245" w:lineRule="auto"/>
        <w:tabs>
          <w:tab w:leader="none" w:pos="108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Subject to clauses 41.2 (</w:t>
      </w:r>
      <w:r>
        <w:rPr>
          <w:rFonts w:ascii="Arial" w:cs="Arial" w:eastAsia="Arial" w:hAnsi="Arial"/>
          <w:sz w:val="18"/>
          <w:szCs w:val="18"/>
          <w:i w:val="1"/>
          <w:iCs w:val="1"/>
          <w:color w:val="auto"/>
        </w:rPr>
        <w:t>All Lender matters</w:t>
      </w:r>
      <w:r>
        <w:rPr>
          <w:rFonts w:ascii="Arial" w:cs="Arial" w:eastAsia="Arial" w:hAnsi="Arial"/>
          <w:sz w:val="18"/>
          <w:szCs w:val="18"/>
          <w:color w:val="auto"/>
        </w:rPr>
        <w:t>) and 41.3 (</w:t>
      </w:r>
      <w:r>
        <w:rPr>
          <w:rFonts w:ascii="Arial" w:cs="Arial" w:eastAsia="Arial" w:hAnsi="Arial"/>
          <w:sz w:val="18"/>
          <w:szCs w:val="18"/>
          <w:i w:val="1"/>
          <w:iCs w:val="1"/>
          <w:color w:val="auto"/>
        </w:rPr>
        <w:t>Other exceptions</w:t>
      </w:r>
      <w:r>
        <w:rPr>
          <w:rFonts w:ascii="Arial" w:cs="Arial" w:eastAsia="Arial" w:hAnsi="Arial"/>
          <w:sz w:val="18"/>
          <w:szCs w:val="18"/>
          <w:color w:val="auto"/>
        </w:rPr>
        <w:t>), any term of the Finance Documents may be amended or waived with the consent of the Agent (acting on the instructions of the Majority Lenders and, if it affects the rights and obligations of the Agent or the Security Agent, the consent of the Agent or the Security Agent) and any such amendment or waiver agreed or given by the Agent will be binding on all the Finance Parties.</w:t>
      </w:r>
    </w:p>
    <w:p>
      <w:pPr>
        <w:spacing w:after="0" w:line="185"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Agent may (or, in the case of the Security Documents, instruct the Security Agent to) effect, on behalf of any Finance Party, any amendment or waiver permitted by this clause 41.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3" w:right="239" w:bottom="1440" w:gutter="0" w:footer="0" w:header="0"/>
        </w:sectPr>
      </w:pPr>
    </w:p>
    <w:bookmarkStart w:id="189" w:name="page190"/>
    <w:bookmarkEnd w:id="189"/>
    <w:p>
      <w:pPr>
        <w:jc w:val="both"/>
        <w:ind w:left="1080" w:hanging="532"/>
        <w:spacing w:after="0" w:line="251" w:lineRule="auto"/>
        <w:tabs>
          <w:tab w:leader="none" w:pos="108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 xml:space="preserve">Without prejudice to the generality of sub-clauses 32.7(c), 32.7(d) and 32.7(e) of clause 32.7 </w:t>
      </w:r>
      <w:r>
        <w:rPr>
          <w:rFonts w:ascii="Arial" w:cs="Arial" w:eastAsia="Arial" w:hAnsi="Arial"/>
          <w:sz w:val="18"/>
          <w:szCs w:val="18"/>
          <w:i w:val="1"/>
          <w:iCs w:val="1"/>
          <w:color w:val="auto"/>
        </w:rPr>
        <w:t>(Rights and discretions of the</w:t>
      </w:r>
      <w:r>
        <w:rPr>
          <w:rFonts w:ascii="Arial" w:cs="Arial" w:eastAsia="Arial" w:hAnsi="Arial"/>
          <w:sz w:val="18"/>
          <w:szCs w:val="18"/>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 the Agent may engage, pay for and rely on the services of lawyers in determining the consent level required for and</w:t>
      </w:r>
      <w:r>
        <w:rPr>
          <w:rFonts w:ascii="Arial" w:cs="Arial" w:eastAsia="Arial" w:hAnsi="Arial"/>
          <w:sz w:val="18"/>
          <w:szCs w:val="18"/>
          <w:i w:val="1"/>
          <w:iCs w:val="1"/>
          <w:color w:val="auto"/>
        </w:rPr>
        <w:t xml:space="preserve"> </w:t>
      </w:r>
      <w:r>
        <w:rPr>
          <w:rFonts w:ascii="Arial" w:cs="Arial" w:eastAsia="Arial" w:hAnsi="Arial"/>
          <w:sz w:val="18"/>
          <w:szCs w:val="18"/>
          <w:color w:val="auto"/>
        </w:rPr>
        <w:t>effecting any amendment, waiver or consent under this Agreement.</w:t>
      </w:r>
    </w:p>
    <w:p>
      <w:pPr>
        <w:spacing w:after="0" w:line="17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Each Obligor agrees to any such amendment or waiver permitted by this clause 41 which is agreed to by the Borrowers. This includes any amendment or waiver which would, but for this clause 41.1(d), require the consent of the Parent.</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41.2</w:t>
      </w:r>
      <w:r>
        <w:rPr>
          <w:sz w:val="20"/>
          <w:szCs w:val="20"/>
          <w:color w:val="auto"/>
        </w:rPr>
        <w:tab/>
      </w:r>
      <w:r>
        <w:rPr>
          <w:rFonts w:ascii="Arial" w:cs="Arial" w:eastAsia="Arial" w:hAnsi="Arial"/>
          <w:sz w:val="17"/>
          <w:szCs w:val="17"/>
          <w:b w:val="1"/>
          <w:bCs w:val="1"/>
          <w:color w:val="auto"/>
        </w:rPr>
        <w:t>All Lender matters</w:t>
      </w:r>
    </w:p>
    <w:p>
      <w:pPr>
        <w:spacing w:after="0" w:line="220" w:lineRule="exact"/>
        <w:rPr>
          <w:sz w:val="20"/>
          <w:szCs w:val="20"/>
          <w:color w:val="auto"/>
        </w:rPr>
      </w:pPr>
    </w:p>
    <w:p>
      <w:pPr>
        <w:ind w:left="1080" w:hanging="532"/>
        <w:spacing w:after="0" w:line="246" w:lineRule="auto"/>
        <w:tabs>
          <w:tab w:leader="none" w:pos="108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An amendment, waiver or discharge or release or a consent of, or in relation to, the terms of any Finance Document that has the effect of changing or which relates to:</w:t>
      </w:r>
    </w:p>
    <w:p>
      <w:pPr>
        <w:spacing w:after="0" w:line="165" w:lineRule="exact"/>
        <w:rPr>
          <w:rFonts w:ascii="Arial" w:cs="Arial" w:eastAsia="Arial" w:hAnsi="Arial"/>
          <w:sz w:val="18"/>
          <w:szCs w:val="18"/>
          <w:color w:val="auto"/>
        </w:rPr>
      </w:pPr>
    </w:p>
    <w:p>
      <w:pPr>
        <w:ind w:left="1620" w:hanging="532"/>
        <w:spacing w:after="0"/>
        <w:tabs>
          <w:tab w:leader="none" w:pos="162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the definition of “Change of Control” in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the definition of “Majority Lenders” in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the definition of “Last Availability Date” in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1620" w:hanging="532"/>
        <w:spacing w:after="0"/>
        <w:tabs>
          <w:tab w:leader="none" w:pos="162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an extension to the date of payment of any amount under the Finance Documents;</w:t>
      </w:r>
    </w:p>
    <w:p>
      <w:pPr>
        <w:spacing w:after="0" w:line="198"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a reduction in the Margin or a reduction in the amount of any payment of principal, interest, fees or commission payable or the rate at which they are calculated;</w:t>
      </w:r>
    </w:p>
    <w:p>
      <w:pPr>
        <w:spacing w:after="0" w:line="183" w:lineRule="exact"/>
        <w:rPr>
          <w:rFonts w:ascii="Arial" w:cs="Arial" w:eastAsia="Arial" w:hAnsi="Arial"/>
          <w:sz w:val="18"/>
          <w:szCs w:val="18"/>
          <w:color w:val="auto"/>
        </w:rPr>
      </w:pPr>
    </w:p>
    <w:p>
      <w:pPr>
        <w:jc w:val="both"/>
        <w:ind w:left="1620" w:hanging="532"/>
        <w:spacing w:after="0" w:line="238" w:lineRule="auto"/>
        <w:tabs>
          <w:tab w:leader="none" w:pos="162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an increase in, or extension of, any Commitment, Revolving Loan Commitment, Term Loan Commitment, Term Loan Ship Commitments, Revolving Loan Ship Commitments or the Total Commitments, an extension of any period within which a Facility is available for Utilisation or any requirement that a cancellation of Commitments reduces the Commitments of the Lenders pro rata and/or the Term Loan Commitments of the Lenders pro rata and/or the Revolving Loan Commitments of the Lenders pro rata;</w:t>
      </w:r>
    </w:p>
    <w:p>
      <w:pPr>
        <w:spacing w:after="0" w:line="189" w:lineRule="exact"/>
        <w:rPr>
          <w:rFonts w:ascii="Arial" w:cs="Arial" w:eastAsia="Arial" w:hAnsi="Arial"/>
          <w:sz w:val="18"/>
          <w:szCs w:val="18"/>
          <w:color w:val="auto"/>
        </w:rPr>
      </w:pPr>
    </w:p>
    <w:p>
      <w:pPr>
        <w:ind w:left="1620" w:hanging="532"/>
        <w:spacing w:after="0"/>
        <w:tabs>
          <w:tab w:leader="none" w:pos="162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a change to any Borrower or any other Obligor;</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any provision which expressly requires the consent or approval of all the Lenders;</w:t>
      </w:r>
    </w:p>
    <w:p>
      <w:pPr>
        <w:spacing w:after="0" w:line="180" w:lineRule="exact"/>
        <w:rPr>
          <w:rFonts w:ascii="Arial" w:cs="Arial" w:eastAsia="Arial" w:hAnsi="Arial"/>
          <w:sz w:val="18"/>
          <w:szCs w:val="18"/>
          <w:color w:val="auto"/>
        </w:rPr>
      </w:pPr>
    </w:p>
    <w:p>
      <w:pPr>
        <w:jc w:val="both"/>
        <w:ind w:left="1620" w:hanging="532"/>
        <w:spacing w:after="0" w:line="245" w:lineRule="auto"/>
        <w:tabs>
          <w:tab w:leader="none" w:pos="162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clause 2.3 (Finance Parties’ rights and obligations), clause 7.9 (</w:t>
      </w:r>
      <w:r>
        <w:rPr>
          <w:rFonts w:ascii="Arial" w:cs="Arial" w:eastAsia="Arial" w:hAnsi="Arial"/>
          <w:sz w:val="18"/>
          <w:szCs w:val="18"/>
          <w:i w:val="1"/>
          <w:iCs w:val="1"/>
          <w:color w:val="auto"/>
        </w:rPr>
        <w:t>Mandatory prepayment and cancellation following non-compliance with Sanctions</w:t>
      </w:r>
      <w:r>
        <w:rPr>
          <w:rFonts w:ascii="Arial" w:cs="Arial" w:eastAsia="Arial" w:hAnsi="Arial"/>
          <w:sz w:val="18"/>
          <w:szCs w:val="18"/>
          <w:color w:val="auto"/>
        </w:rPr>
        <w:t>), clause 18.32 (</w:t>
      </w:r>
      <w:r>
        <w:rPr>
          <w:rFonts w:ascii="Arial" w:cs="Arial" w:eastAsia="Arial" w:hAnsi="Arial"/>
          <w:sz w:val="18"/>
          <w:szCs w:val="18"/>
          <w:i w:val="1"/>
          <w:iCs w:val="1"/>
          <w:color w:val="auto"/>
        </w:rPr>
        <w:t>Sanctions</w:t>
      </w:r>
      <w:r>
        <w:rPr>
          <w:rFonts w:ascii="Arial" w:cs="Arial" w:eastAsia="Arial" w:hAnsi="Arial"/>
          <w:sz w:val="18"/>
          <w:szCs w:val="18"/>
          <w:color w:val="auto"/>
        </w:rPr>
        <w:t>), clause 21.11 (</w:t>
      </w:r>
      <w:r>
        <w:rPr>
          <w:rFonts w:ascii="Arial" w:cs="Arial" w:eastAsia="Arial" w:hAnsi="Arial"/>
          <w:sz w:val="18"/>
          <w:szCs w:val="18"/>
          <w:i w:val="1"/>
          <w:iCs w:val="1"/>
          <w:color w:val="auto"/>
        </w:rPr>
        <w:t>Sanctions</w:t>
      </w:r>
      <w:r>
        <w:rPr>
          <w:rFonts w:ascii="Arial" w:cs="Arial" w:eastAsia="Arial" w:hAnsi="Arial"/>
          <w:sz w:val="18"/>
          <w:szCs w:val="18"/>
          <w:color w:val="auto"/>
        </w:rPr>
        <w:t>), clause 30 (</w:t>
      </w:r>
      <w:r>
        <w:rPr>
          <w:rFonts w:ascii="Arial" w:cs="Arial" w:eastAsia="Arial" w:hAnsi="Arial"/>
          <w:sz w:val="18"/>
          <w:szCs w:val="18"/>
          <w:i w:val="1"/>
          <w:iCs w:val="1"/>
          <w:color w:val="auto"/>
        </w:rPr>
        <w:t>Changes to the Lenders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clause 34.1 (</w:t>
      </w:r>
      <w:r>
        <w:rPr>
          <w:rFonts w:ascii="Arial" w:cs="Arial" w:eastAsia="Arial" w:hAnsi="Arial"/>
          <w:sz w:val="18"/>
          <w:szCs w:val="18"/>
          <w:i w:val="1"/>
          <w:iCs w:val="1"/>
          <w:color w:val="auto"/>
        </w:rPr>
        <w:t>Payments to Finance Parties</w:t>
      </w:r>
      <w:r>
        <w:rPr>
          <w:rFonts w:ascii="Arial" w:cs="Arial" w:eastAsia="Arial" w:hAnsi="Arial"/>
          <w:sz w:val="18"/>
          <w:szCs w:val="18"/>
          <w:color w:val="auto"/>
        </w:rPr>
        <w:t>), this clause 41 (</w:t>
      </w:r>
      <w:r>
        <w:rPr>
          <w:rFonts w:ascii="Arial" w:cs="Arial" w:eastAsia="Arial" w:hAnsi="Arial"/>
          <w:sz w:val="18"/>
          <w:szCs w:val="18"/>
          <w:i w:val="1"/>
          <w:iCs w:val="1"/>
          <w:color w:val="auto"/>
        </w:rPr>
        <w:t>Amendments and grant of waivers</w:t>
      </w:r>
      <w:r>
        <w:rPr>
          <w:rFonts w:ascii="Arial" w:cs="Arial" w:eastAsia="Arial" w:hAnsi="Arial"/>
          <w:sz w:val="18"/>
          <w:szCs w:val="18"/>
          <w:color w:val="auto"/>
        </w:rPr>
        <w:t>), clause 44 (</w:t>
      </w:r>
      <w:r>
        <w:rPr>
          <w:rFonts w:ascii="Arial" w:cs="Arial" w:eastAsia="Arial" w:hAnsi="Arial"/>
          <w:sz w:val="18"/>
          <w:szCs w:val="18"/>
          <w:i w:val="1"/>
          <w:iCs w:val="1"/>
          <w:color w:val="auto"/>
        </w:rPr>
        <w:t>Governing law</w:t>
      </w:r>
      <w:r>
        <w:rPr>
          <w:rFonts w:ascii="Arial" w:cs="Arial" w:eastAsia="Arial" w:hAnsi="Arial"/>
          <w:sz w:val="18"/>
          <w:szCs w:val="18"/>
          <w:color w:val="auto"/>
        </w:rPr>
        <w:t>) or clause 45.1 (</w:t>
      </w:r>
      <w:r>
        <w:rPr>
          <w:rFonts w:ascii="Arial" w:cs="Arial" w:eastAsia="Arial" w:hAnsi="Arial"/>
          <w:sz w:val="18"/>
          <w:szCs w:val="18"/>
          <w:i w:val="1"/>
          <w:iCs w:val="1"/>
          <w:color w:val="auto"/>
        </w:rPr>
        <w:t>Jurisdiction of English courts</w:t>
      </w:r>
      <w:r>
        <w:rPr>
          <w:rFonts w:ascii="Arial" w:cs="Arial" w:eastAsia="Arial" w:hAnsi="Arial"/>
          <w:sz w:val="18"/>
          <w:szCs w:val="18"/>
          <w:color w:val="auto"/>
        </w:rPr>
        <w:t>);</w:t>
      </w:r>
    </w:p>
    <w:p>
      <w:pPr>
        <w:spacing w:after="0" w:line="167" w:lineRule="exact"/>
        <w:rPr>
          <w:rFonts w:ascii="Arial" w:cs="Arial" w:eastAsia="Arial" w:hAnsi="Arial"/>
          <w:sz w:val="18"/>
          <w:szCs w:val="18"/>
          <w:color w:val="auto"/>
        </w:rPr>
      </w:pPr>
    </w:p>
    <w:p>
      <w:pPr>
        <w:ind w:left="1620" w:hanging="532"/>
        <w:spacing w:after="0"/>
        <w:tabs>
          <w:tab w:leader="none" w:pos="162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the order of distribution under clause 35.5 (</w:t>
      </w:r>
      <w:r>
        <w:rPr>
          <w:rFonts w:ascii="Arial" w:cs="Arial" w:eastAsia="Arial" w:hAnsi="Arial"/>
          <w:sz w:val="18"/>
          <w:szCs w:val="18"/>
          <w:i w:val="1"/>
          <w:iCs w:val="1"/>
          <w:color w:val="auto"/>
        </w:rPr>
        <w:t>Partial payments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the order of distribution under clause 32.24 (</w:t>
      </w:r>
      <w:r>
        <w:rPr>
          <w:rFonts w:ascii="Arial" w:cs="Arial" w:eastAsia="Arial" w:hAnsi="Arial"/>
          <w:sz w:val="18"/>
          <w:szCs w:val="18"/>
          <w:i w:val="1"/>
          <w:iCs w:val="1"/>
          <w:color w:val="auto"/>
        </w:rPr>
        <w:t>Order of application)</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1620" w:hanging="532"/>
        <w:spacing w:after="0"/>
        <w:tabs>
          <w:tab w:leader="none" w:pos="162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the currency in which any amount is payable under any Finance Document;</w:t>
      </w:r>
    </w:p>
    <w:p>
      <w:pPr>
        <w:spacing w:after="0" w:line="198"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the nature or scope of the Charged Property or the manner in which the proceeds of enforcement of the Security Documents are distributed;</w:t>
      </w:r>
    </w:p>
    <w:p>
      <w:pPr>
        <w:spacing w:after="0" w:line="165" w:lineRule="exact"/>
        <w:rPr>
          <w:rFonts w:ascii="Arial" w:cs="Arial" w:eastAsia="Arial" w:hAnsi="Arial"/>
          <w:sz w:val="18"/>
          <w:szCs w:val="18"/>
          <w:color w:val="auto"/>
        </w:rPr>
      </w:pPr>
    </w:p>
    <w:p>
      <w:pPr>
        <w:ind w:left="1620" w:hanging="532"/>
        <w:spacing w:after="0"/>
        <w:tabs>
          <w:tab w:leader="none" w:pos="162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the nature or scope of the guarantee and indemnity granted under clause 17 (</w:t>
      </w:r>
      <w:r>
        <w:rPr>
          <w:rFonts w:ascii="Arial" w:cs="Arial" w:eastAsia="Arial" w:hAnsi="Arial"/>
          <w:sz w:val="18"/>
          <w:szCs w:val="18"/>
          <w:i w:val="1"/>
          <w:iCs w:val="1"/>
          <w:color w:val="auto"/>
        </w:rPr>
        <w:t>Guarantee and indemnity</w:t>
      </w:r>
      <w:r>
        <w:rPr>
          <w:rFonts w:ascii="Arial" w:cs="Arial" w:eastAsia="Arial" w:hAnsi="Arial"/>
          <w:sz w:val="18"/>
          <w:szCs w:val="18"/>
          <w:color w:val="auto"/>
        </w:rPr>
        <w:t>); or</w:t>
      </w:r>
    </w:p>
    <w:p>
      <w:pPr>
        <w:spacing w:after="0" w:line="216"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the circumstances in which the security constituted by the Security Documents (including the Guarantees) are permitted or required to be released under any of the Finance Documents,</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shall not be made, or given, without the prior consent of all the Lenders and must be in writing.</w:t>
      </w:r>
    </w:p>
    <w:p>
      <w:pPr>
        <w:spacing w:after="0" w:line="18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190" w:name="page191"/>
    <w:bookmarkEnd w:id="190"/>
    <w:p>
      <w:pPr>
        <w:spacing w:after="0"/>
        <w:tabs>
          <w:tab w:leader="none" w:pos="520" w:val="left"/>
        </w:tabs>
        <w:rPr>
          <w:sz w:val="20"/>
          <w:szCs w:val="20"/>
          <w:color w:val="auto"/>
        </w:rPr>
      </w:pPr>
      <w:r>
        <w:rPr>
          <w:rFonts w:ascii="Arial" w:cs="Arial" w:eastAsia="Arial" w:hAnsi="Arial"/>
          <w:sz w:val="18"/>
          <w:szCs w:val="18"/>
          <w:b w:val="1"/>
          <w:bCs w:val="1"/>
          <w:color w:val="auto"/>
        </w:rPr>
        <w:t>41.3</w:t>
        <w:tab/>
        <w:t>Other exceptions</w:t>
      </w:r>
    </w:p>
    <w:p>
      <w:pPr>
        <w:spacing w:after="0" w:line="220" w:lineRule="exact"/>
        <w:rPr>
          <w:sz w:val="20"/>
          <w:szCs w:val="20"/>
          <w:color w:val="auto"/>
        </w:rPr>
      </w:pPr>
    </w:p>
    <w:p>
      <w:pPr>
        <w:jc w:val="both"/>
        <w:ind w:left="1080" w:hanging="532"/>
        <w:spacing w:after="0"/>
        <w:tabs>
          <w:tab w:leader="none" w:pos="108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An amendment or waiver which relates to the rights or obligations of the Agent, the Security Agent or the Arrangers in their respective capacities as such (and not just as a Lender) may not be effected without the consent of the Agent, the Security Agent or the Arrangers (as the case may be).</w:t>
      </w:r>
    </w:p>
    <w:p>
      <w:pPr>
        <w:spacing w:after="0" w:line="189" w:lineRule="exact"/>
        <w:rPr>
          <w:rFonts w:ascii="Arial" w:cs="Arial" w:eastAsia="Arial" w:hAnsi="Arial"/>
          <w:sz w:val="18"/>
          <w:szCs w:val="18"/>
          <w:color w:val="auto"/>
        </w:rPr>
      </w:pPr>
    </w:p>
    <w:p>
      <w:pPr>
        <w:ind w:left="1080" w:hanging="532"/>
        <w:spacing w:after="0"/>
        <w:tabs>
          <w:tab w:leader="none" w:pos="108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Amendments to or waivers in respect of any Finance Document may only be agreed in writing.</w:t>
      </w:r>
    </w:p>
    <w:p>
      <w:pPr>
        <w:spacing w:after="0" w:line="180" w:lineRule="exact"/>
        <w:rPr>
          <w:rFonts w:ascii="Arial" w:cs="Arial" w:eastAsia="Arial" w:hAnsi="Arial"/>
          <w:sz w:val="18"/>
          <w:szCs w:val="18"/>
          <w:color w:val="auto"/>
        </w:rPr>
      </w:pPr>
    </w:p>
    <w:p>
      <w:pPr>
        <w:jc w:val="both"/>
        <w:ind w:left="1080" w:hanging="532"/>
        <w:spacing w:after="0" w:line="245" w:lineRule="auto"/>
        <w:tabs>
          <w:tab w:leader="none" w:pos="108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Notwithstanding clauses 41.1 (</w:t>
      </w:r>
      <w:r>
        <w:rPr>
          <w:rFonts w:ascii="Arial" w:cs="Arial" w:eastAsia="Arial" w:hAnsi="Arial"/>
          <w:sz w:val="18"/>
          <w:szCs w:val="18"/>
          <w:i w:val="1"/>
          <w:iCs w:val="1"/>
          <w:color w:val="auto"/>
        </w:rPr>
        <w:t>Required consents</w:t>
      </w:r>
      <w:r>
        <w:rPr>
          <w:rFonts w:ascii="Arial" w:cs="Arial" w:eastAsia="Arial" w:hAnsi="Arial"/>
          <w:sz w:val="18"/>
          <w:szCs w:val="18"/>
          <w:color w:val="auto"/>
        </w:rPr>
        <w:t>), 41.2(a) (</w:t>
      </w:r>
      <w:r>
        <w:rPr>
          <w:rFonts w:ascii="Arial" w:cs="Arial" w:eastAsia="Arial" w:hAnsi="Arial"/>
          <w:sz w:val="18"/>
          <w:szCs w:val="18"/>
          <w:i w:val="1"/>
          <w:iCs w:val="1"/>
          <w:color w:val="auto"/>
        </w:rPr>
        <w:t>All Lender matters</w:t>
      </w:r>
      <w:r>
        <w:rPr>
          <w:rFonts w:ascii="Arial" w:cs="Arial" w:eastAsia="Arial" w:hAnsi="Arial"/>
          <w:sz w:val="18"/>
          <w:szCs w:val="18"/>
          <w:color w:val="auto"/>
        </w:rPr>
        <w:t>) and paragraphs (a) and (b) above, the Agent may make technical amendments to the Finance Documents arising out of manifest errors on the face of the Finance Documents, where such amendments would not prejudice or otherwise be adverse to the interests of any Finance Party without any reference or consent of the Finance Parties.</w:t>
      </w:r>
    </w:p>
    <w:p>
      <w:pPr>
        <w:spacing w:after="0" w:line="16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41.4</w:t>
      </w:r>
      <w:r>
        <w:rPr>
          <w:sz w:val="20"/>
          <w:szCs w:val="20"/>
          <w:color w:val="auto"/>
        </w:rPr>
        <w:tab/>
      </w:r>
      <w:r>
        <w:rPr>
          <w:rFonts w:ascii="Arial" w:cs="Arial" w:eastAsia="Arial" w:hAnsi="Arial"/>
          <w:sz w:val="17"/>
          <w:szCs w:val="17"/>
          <w:b w:val="1"/>
          <w:bCs w:val="1"/>
          <w:color w:val="auto"/>
        </w:rPr>
        <w:t>Disenfranchisement of Defaulting Lenders</w:t>
      </w:r>
    </w:p>
    <w:p>
      <w:pPr>
        <w:spacing w:after="0" w:line="220" w:lineRule="exact"/>
        <w:rPr>
          <w:sz w:val="20"/>
          <w:szCs w:val="20"/>
          <w:color w:val="auto"/>
        </w:rPr>
      </w:pPr>
    </w:p>
    <w:p>
      <w:pPr>
        <w:jc w:val="both"/>
        <w:ind w:left="1080" w:hanging="532"/>
        <w:spacing w:after="0" w:line="237" w:lineRule="auto"/>
        <w:tabs>
          <w:tab w:leader="none" w:pos="108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For so long as a Defaulting Lender has any Commitment, in ascertaining (i) the Majority Lenders or (ii) whether any given percentage (including, for the avoidance of doubt, unanimity) of the Total Commitments under the Facilities, or the agreement of any specified group of Lenders (whether Majority Lenders, all Lenders or otherwise), has been obtained to approve any request for a consent, waiver, amendment or other vote under the Finance Documents, that Defaulting Lender’s Commitment will be reduced by the amount of its Commitment and, to the extent that the reduction results in that Defaulting Lender’s Commitments being zero and it has no participation in the Loans, that Defaulting Lender shall be deemed not to be a Lender for the purposes paragraphs (i) and (ii) above.</w:t>
      </w:r>
    </w:p>
    <w:p>
      <w:pPr>
        <w:spacing w:after="0" w:line="189" w:lineRule="exact"/>
        <w:rPr>
          <w:rFonts w:ascii="Arial" w:cs="Arial" w:eastAsia="Arial" w:hAnsi="Arial"/>
          <w:sz w:val="18"/>
          <w:szCs w:val="18"/>
          <w:color w:val="auto"/>
        </w:rPr>
      </w:pPr>
    </w:p>
    <w:p>
      <w:pPr>
        <w:ind w:left="1080" w:hanging="532"/>
        <w:spacing w:after="0"/>
        <w:tabs>
          <w:tab w:leader="none" w:pos="108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For the purposes of this clause 41.4, the Agent may assume that the following Lenders are Defaulting Lenders:</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any Lender which has notified the Agent that it has become a Defaulting Lender; and</w:t>
      </w:r>
    </w:p>
    <w:p>
      <w:pPr>
        <w:spacing w:after="0" w:line="198" w:lineRule="exact"/>
        <w:rPr>
          <w:rFonts w:ascii="Arial" w:cs="Arial" w:eastAsia="Arial" w:hAnsi="Arial"/>
          <w:sz w:val="18"/>
          <w:szCs w:val="18"/>
          <w:color w:val="auto"/>
        </w:rPr>
      </w:pPr>
    </w:p>
    <w:p>
      <w:pPr>
        <w:jc w:val="both"/>
        <w:ind w:left="1620" w:hanging="532"/>
        <w:spacing w:after="0" w:line="239" w:lineRule="auto"/>
        <w:tabs>
          <w:tab w:leader="none" w:pos="162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 xml:space="preserve">any Lender in relation to which it is aware that any of the events or circumstances referred to in paragraphs (a), (b) or (c) of the definition of </w:t>
      </w:r>
      <w:r>
        <w:rPr>
          <w:rFonts w:ascii="Arial" w:cs="Arial" w:eastAsia="Arial" w:hAnsi="Arial"/>
          <w:sz w:val="18"/>
          <w:szCs w:val="18"/>
          <w:b w:val="1"/>
          <w:bCs w:val="1"/>
          <w:color w:val="auto"/>
        </w:rPr>
        <w:t>Defaulting Lender</w:t>
      </w:r>
      <w:r>
        <w:rPr>
          <w:rFonts w:ascii="Arial" w:cs="Arial" w:eastAsia="Arial" w:hAnsi="Arial"/>
          <w:sz w:val="18"/>
          <w:szCs w:val="18"/>
          <w:color w:val="auto"/>
        </w:rPr>
        <w:t xml:space="preserve"> has occurred, unless it has received notice to the contrary from the Lender concerned (together with any supporting evidence reasonably requested by the Agent) or the Agent is otherwise aware that the Lender has ceased to be a Defaulting Lender.</w:t>
      </w:r>
    </w:p>
    <w:p>
      <w:pPr>
        <w:spacing w:after="0" w:line="16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41.5</w:t>
        <w:tab/>
        <w:t>Replacement of a Defaulting Lender</w:t>
      </w:r>
    </w:p>
    <w:p>
      <w:pPr>
        <w:spacing w:after="0" w:line="220" w:lineRule="exact"/>
        <w:rPr>
          <w:sz w:val="20"/>
          <w:szCs w:val="20"/>
          <w:color w:val="auto"/>
        </w:rPr>
      </w:pPr>
    </w:p>
    <w:p>
      <w:pPr>
        <w:jc w:val="both"/>
        <w:ind w:left="1080" w:hanging="532"/>
        <w:spacing w:after="0" w:line="236" w:lineRule="auto"/>
        <w:tabs>
          <w:tab w:leader="none" w:pos="108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Borrowers may, at any time a Lender has become and continues to be a Defaulting Lender, by giving 10 Business Days’ prior written notice to the Agent and such Lender replace such Lender by requiring such Lender to (and, to the extent permitted by law such Lender shall) transfer pursuant to clause 30 (</w:t>
      </w:r>
      <w:r>
        <w:rPr>
          <w:rFonts w:ascii="Arial" w:cs="Arial" w:eastAsia="Arial" w:hAnsi="Arial"/>
          <w:sz w:val="18"/>
          <w:szCs w:val="18"/>
          <w:i w:val="1"/>
          <w:iCs w:val="1"/>
          <w:color w:val="auto"/>
        </w:rPr>
        <w:t>Changes to the Lenders</w:t>
      </w:r>
      <w:r>
        <w:rPr>
          <w:rFonts w:ascii="Arial" w:cs="Arial" w:eastAsia="Arial" w:hAnsi="Arial"/>
          <w:sz w:val="18"/>
          <w:szCs w:val="18"/>
          <w:color w:val="auto"/>
        </w:rPr>
        <w:t xml:space="preserve">) all (and not part only) of its rights and obligations under this Agreement to a Lender or other bank, financial institution, trust, fund or other entity (a </w:t>
      </w:r>
      <w:r>
        <w:rPr>
          <w:rFonts w:ascii="Arial" w:cs="Arial" w:eastAsia="Arial" w:hAnsi="Arial"/>
          <w:sz w:val="18"/>
          <w:szCs w:val="18"/>
          <w:b w:val="1"/>
          <w:bCs w:val="1"/>
          <w:color w:val="auto"/>
        </w:rPr>
        <w:t>Replacement Lender</w:t>
      </w:r>
      <w:r>
        <w:rPr>
          <w:rFonts w:ascii="Arial" w:cs="Arial" w:eastAsia="Arial" w:hAnsi="Arial"/>
          <w:sz w:val="18"/>
          <w:szCs w:val="18"/>
          <w:color w:val="auto"/>
        </w:rPr>
        <w:t>) selected by the Borrowers, and which (unless the Agent is an Impaired Agent) is acceptable to the Agent (acting reasonably) and which confirms its willingness to assume and does assume all the obligations or all the relevant obligations of the transferring Lender (including the assumption of the transferring Lender’s participations or unfunded participations (as the case may be) on the same basis as the transferring Lender) for a purchase price in cash payable at the time of transfer equal to the outstanding principal amount of such Lender’s participation in the outstanding Utilisations and all accrued interest, Break Costs and other amounts payable in relation thereto under the Finance Documents (or at any other purchase price approved by all of the other Lenders who are not Defaulting Lenders at the time).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91" w:name="page192"/>
    <w:bookmarkEnd w:id="191"/>
    <w:p>
      <w:pPr>
        <w:ind w:left="1080" w:hanging="532"/>
        <w:spacing w:after="0"/>
        <w:tabs>
          <w:tab w:leader="none" w:pos="108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Any transfer of rights and obligations of a Defaulting Lender pursuant to this clause shall be subject to the following conditions:</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the Borrowers shall have no right to replace the Agent or the Security Agent;</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neither the Agent nor the Defaulting Lender shall have any obligation to the Borrowers to find a Replacement Lender;</w:t>
      </w:r>
    </w:p>
    <w:p>
      <w:pPr>
        <w:spacing w:after="0" w:line="198"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the transfer must take place no later than 14 days after the notice referred to in clause 41.5(a) above (or such other longer period as agreed by the Majority Lenders); and</w:t>
      </w:r>
    </w:p>
    <w:p>
      <w:pPr>
        <w:spacing w:after="0" w:line="183"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in no event shall the Defaulting Lender be required to pay or surrender to the Replacement Lender any of the fees received by the Defaulting Lender pursuant to the Finance Documents.</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41.6</w:t>
      </w:r>
      <w:r>
        <w:rPr>
          <w:sz w:val="20"/>
          <w:szCs w:val="20"/>
          <w:color w:val="auto"/>
        </w:rPr>
        <w:tab/>
      </w:r>
      <w:r>
        <w:rPr>
          <w:rFonts w:ascii="Arial" w:cs="Arial" w:eastAsia="Arial" w:hAnsi="Arial"/>
          <w:sz w:val="17"/>
          <w:szCs w:val="17"/>
          <w:b w:val="1"/>
          <w:bCs w:val="1"/>
          <w:color w:val="auto"/>
        </w:rPr>
        <w:t>Excluded Commitments; “Snooze you lose”</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If any Defaulting Lender fails to respond to a request for a consent, waiver, amendment of or in relation to any term of any Finance Document or any other vote of Lenders under the terms of this Agreement within thirty (30) Business Days of that request being made (unless the Borrowers and the Agent agree to a longer time period in relation to any request):</w:t>
      </w:r>
    </w:p>
    <w:p>
      <w:pPr>
        <w:spacing w:after="0" w:line="189" w:lineRule="exact"/>
        <w:rPr>
          <w:sz w:val="20"/>
          <w:szCs w:val="20"/>
          <w:color w:val="auto"/>
        </w:rPr>
      </w:pPr>
    </w:p>
    <w:p>
      <w:pPr>
        <w:jc w:val="both"/>
        <w:ind w:left="1080" w:hanging="532"/>
        <w:spacing w:after="0"/>
        <w:tabs>
          <w:tab w:leader="none" w:pos="108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its Commitments or its participation in the Loans shall not be included for the purpose of calculating the Total Commitments or the amount of the Loans when ascertaining whether any relevant percentage (including, for the avoidance of doubt, unanimity) of Total Commitments or the amount of the Loans has been obtained to approve that request; and</w:t>
      </w:r>
    </w:p>
    <w:p>
      <w:pPr>
        <w:spacing w:after="0" w:line="189"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its status as a Lender shall be disregarded for the purpose of ascertaining whether the agreement of any specified group of Lenders (whether Majority Lenders, all Lenders or otherwise) has been obtained to approve that request.</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41.7</w:t>
      </w:r>
      <w:r>
        <w:rPr>
          <w:sz w:val="20"/>
          <w:szCs w:val="20"/>
          <w:color w:val="auto"/>
        </w:rPr>
        <w:tab/>
      </w:r>
      <w:r>
        <w:rPr>
          <w:rFonts w:ascii="Arial" w:cs="Arial" w:eastAsia="Arial" w:hAnsi="Arial"/>
          <w:sz w:val="17"/>
          <w:szCs w:val="17"/>
          <w:b w:val="1"/>
          <w:bCs w:val="1"/>
          <w:color w:val="auto"/>
        </w:rPr>
        <w:t>Releases</w:t>
      </w:r>
    </w:p>
    <w:p>
      <w:pPr>
        <w:spacing w:after="0" w:line="2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Except with the approval of all the Lenders or for a release which is expressly permitted or required by the Finance Documents, the</w:t>
      </w:r>
    </w:p>
    <w:p>
      <w:pPr>
        <w:ind w:left="540"/>
        <w:spacing w:after="0"/>
        <w:rPr>
          <w:sz w:val="20"/>
          <w:szCs w:val="20"/>
          <w:color w:val="auto"/>
        </w:rPr>
      </w:pPr>
      <w:r>
        <w:rPr>
          <w:rFonts w:ascii="Arial" w:cs="Arial" w:eastAsia="Arial" w:hAnsi="Arial"/>
          <w:sz w:val="18"/>
          <w:szCs w:val="18"/>
          <w:color w:val="auto"/>
        </w:rPr>
        <w:t>Agent shall not have authority to authorise the Security Agent to release:</w:t>
      </w:r>
    </w:p>
    <w:p>
      <w:pPr>
        <w:spacing w:after="0" w:line="198" w:lineRule="exact"/>
        <w:rPr>
          <w:sz w:val="20"/>
          <w:szCs w:val="20"/>
          <w:color w:val="auto"/>
        </w:rPr>
      </w:pPr>
    </w:p>
    <w:p>
      <w:pPr>
        <w:ind w:left="1080" w:hanging="532"/>
        <w:spacing w:after="0"/>
        <w:tabs>
          <w:tab w:leader="none" w:pos="108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any Charged Property from the security constituted by any Security Document; or</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any Obligor from any of its guarantee or other obligations under any Finance Document.</w:t>
      </w:r>
    </w:p>
    <w:p>
      <w:pPr>
        <w:spacing w:after="0" w:line="176" w:lineRule="exact"/>
        <w:rPr>
          <w:sz w:val="20"/>
          <w:szCs w:val="20"/>
          <w:color w:val="auto"/>
        </w:rPr>
      </w:pPr>
    </w:p>
    <w:p>
      <w:pPr>
        <w:ind w:left="540" w:hanging="532"/>
        <w:spacing w:after="0"/>
        <w:tabs>
          <w:tab w:leader="none" w:pos="540" w:val="left"/>
        </w:tabs>
        <w:numPr>
          <w:ilvl w:val="0"/>
          <w:numId w:val="418"/>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260" w:lineRule="exact"/>
        <w:rPr>
          <w:rFonts w:ascii="Arial" w:cs="Arial" w:eastAsia="Arial" w:hAnsi="Arial"/>
          <w:sz w:val="18"/>
          <w:szCs w:val="18"/>
          <w:b w:val="1"/>
          <w:bCs w:val="1"/>
          <w:color w:val="auto"/>
        </w:rPr>
      </w:pPr>
    </w:p>
    <w:p>
      <w:pPr>
        <w:ind w:left="540" w:right="2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Each Finance Document may be executed in any number of counterparts, and this has the same effect as if the signatures on the counterparts were on a single copy of the Finance Document.</w:t>
      </w:r>
    </w:p>
    <w:p>
      <w:pPr>
        <w:spacing w:after="0" w:line="161" w:lineRule="exact"/>
        <w:rPr>
          <w:rFonts w:ascii="Arial" w:cs="Arial" w:eastAsia="Arial" w:hAnsi="Arial"/>
          <w:sz w:val="18"/>
          <w:szCs w:val="18"/>
          <w:b w:val="1"/>
          <w:bCs w:val="1"/>
          <w:color w:val="auto"/>
        </w:rPr>
      </w:pPr>
    </w:p>
    <w:p>
      <w:pPr>
        <w:ind w:left="540" w:hanging="532"/>
        <w:spacing w:after="0"/>
        <w:tabs>
          <w:tab w:leader="none" w:pos="540" w:val="left"/>
        </w:tabs>
        <w:numPr>
          <w:ilvl w:val="0"/>
          <w:numId w:val="418"/>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23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7"/>
          <w:szCs w:val="17"/>
          <w:b w:val="1"/>
          <w:bCs w:val="1"/>
          <w:color w:val="auto"/>
        </w:rPr>
        <w:t>Confidential Information</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Each Finance Party agrees to keep all Confidential Information confidential and not to disclose it to anyone, save to the extent permitted by clause 43.2 (</w:t>
      </w:r>
      <w:r>
        <w:rPr>
          <w:rFonts w:ascii="Arial" w:cs="Arial" w:eastAsia="Arial" w:hAnsi="Arial"/>
          <w:sz w:val="18"/>
          <w:szCs w:val="18"/>
          <w:i w:val="1"/>
          <w:iCs w:val="1"/>
          <w:color w:val="auto"/>
        </w:rPr>
        <w:t>Disclosure of Confidential Information</w:t>
      </w:r>
      <w:r>
        <w:rPr>
          <w:rFonts w:ascii="Arial" w:cs="Arial" w:eastAsia="Arial" w:hAnsi="Arial"/>
          <w:sz w:val="18"/>
          <w:szCs w:val="18"/>
          <w:color w:val="auto"/>
        </w:rPr>
        <w:t>) and clause 43.3 (</w:t>
      </w:r>
      <w:r>
        <w:rPr>
          <w:rFonts w:ascii="Arial" w:cs="Arial" w:eastAsia="Arial" w:hAnsi="Arial"/>
          <w:sz w:val="18"/>
          <w:szCs w:val="18"/>
          <w:i w:val="1"/>
          <w:iCs w:val="1"/>
          <w:color w:val="auto"/>
        </w:rPr>
        <w:t>Disclosure to numbering service providers</w:t>
      </w:r>
      <w:r>
        <w:rPr>
          <w:rFonts w:ascii="Arial" w:cs="Arial" w:eastAsia="Arial" w:hAnsi="Arial"/>
          <w:sz w:val="18"/>
          <w:szCs w:val="18"/>
          <w:color w:val="auto"/>
        </w:rPr>
        <w:t>), and to ensure that all Confidential Information is protected with security measures and a degree of care that would apply to its own confidential information.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92" w:name="page193"/>
    <w:bookmarkEnd w:id="192"/>
    <w:p>
      <w:pPr>
        <w:spacing w:after="0"/>
        <w:tabs>
          <w:tab w:leader="none" w:pos="520" w:val="left"/>
        </w:tabs>
        <w:rPr>
          <w:sz w:val="20"/>
          <w:szCs w:val="20"/>
          <w:color w:val="auto"/>
        </w:rPr>
      </w:pPr>
      <w:r>
        <w:rPr>
          <w:rFonts w:ascii="Arial" w:cs="Arial" w:eastAsia="Arial" w:hAnsi="Arial"/>
          <w:sz w:val="18"/>
          <w:szCs w:val="18"/>
          <w:b w:val="1"/>
          <w:bCs w:val="1"/>
          <w:color w:val="auto"/>
        </w:rPr>
        <w:t>43.2</w:t>
        <w:tab/>
        <w:t>Disclosure of Confidential Information</w:t>
      </w:r>
    </w:p>
    <w:p>
      <w:pPr>
        <w:spacing w:after="0" w:line="220" w:lineRule="exact"/>
        <w:rPr>
          <w:sz w:val="20"/>
          <w:szCs w:val="20"/>
          <w:color w:val="auto"/>
        </w:rPr>
      </w:pPr>
    </w:p>
    <w:p>
      <w:pPr>
        <w:ind w:left="540" w:right="20"/>
        <w:spacing w:after="0" w:line="246" w:lineRule="auto"/>
        <w:rPr>
          <w:sz w:val="20"/>
          <w:szCs w:val="20"/>
          <w:color w:val="auto"/>
        </w:rPr>
      </w:pPr>
      <w:r>
        <w:rPr>
          <w:rFonts w:ascii="Arial" w:cs="Arial" w:eastAsia="Arial" w:hAnsi="Arial"/>
          <w:sz w:val="18"/>
          <w:szCs w:val="18"/>
          <w:color w:val="auto"/>
        </w:rPr>
        <w:t>Any Finance Party may disclose (without the consent of the Obligors) to (i) any of its Affiliates, employees (including service and settlement employees), officers, representatives or advisers and (ii) any other person:</w:t>
      </w:r>
    </w:p>
    <w:p>
      <w:pPr>
        <w:spacing w:after="0" w:line="183" w:lineRule="exact"/>
        <w:rPr>
          <w:sz w:val="20"/>
          <w:szCs w:val="20"/>
          <w:color w:val="auto"/>
        </w:rPr>
      </w:pPr>
    </w:p>
    <w:p>
      <w:pPr>
        <w:ind w:left="1080" w:hanging="532"/>
        <w:spacing w:after="0" w:line="246" w:lineRule="auto"/>
        <w:tabs>
          <w:tab w:leader="none" w:pos="108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in the case of a Lender, to (or through) whom that Lender assigns (or may potentially assign) all or any of its rights and obligations under the Finance Documents;</w:t>
      </w:r>
    </w:p>
    <w:p>
      <w:pPr>
        <w:spacing w:after="0" w:line="183"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in the case of a Lender, to whom or for whose benefit that Finance Party charges, assigns or otherwise creates Security (or may do so) pursuant to clause 30.7 (</w:t>
      </w:r>
      <w:r>
        <w:rPr>
          <w:rFonts w:ascii="Arial" w:cs="Arial" w:eastAsia="Arial" w:hAnsi="Arial"/>
          <w:sz w:val="18"/>
          <w:szCs w:val="18"/>
          <w:i w:val="1"/>
          <w:iCs w:val="1"/>
          <w:color w:val="auto"/>
        </w:rPr>
        <w:t>Security over Lenders’ rights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1080" w:hanging="532"/>
        <w:spacing w:after="0"/>
        <w:tabs>
          <w:tab w:leader="none" w:pos="108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in the case of a Lender, with (or through) whom that Lender enters into (or may potentially enter into) any sub-participation in relation to, or any other transaction under which payments are to be made by reference to, the Finance Documents or any Obligor;</w:t>
      </w:r>
    </w:p>
    <w:p>
      <w:pPr>
        <w:spacing w:after="0" w:line="189" w:lineRule="exact"/>
        <w:rPr>
          <w:rFonts w:ascii="Arial" w:cs="Arial" w:eastAsia="Arial" w:hAnsi="Arial"/>
          <w:sz w:val="18"/>
          <w:szCs w:val="18"/>
          <w:color w:val="auto"/>
        </w:rPr>
      </w:pPr>
    </w:p>
    <w:p>
      <w:pPr>
        <w:ind w:left="1080" w:hanging="532"/>
        <w:spacing w:after="0"/>
        <w:tabs>
          <w:tab w:leader="none" w:pos="108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to whom, and to the extent that, information is required to be disclosed by any applicable law or regulation;</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in order to preserve or enforce any rights any Finance Party may have under the Security Documents;</w:t>
      </w:r>
    </w:p>
    <w:p>
      <w:pPr>
        <w:spacing w:after="0" w:line="19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which is a rating agency (including its professional advisers) or such Finance Party’s professional advisers (including auditors, lawyers, accountants, surveyors, valuers, insurers, insurance advisors and brokers);</w:t>
      </w:r>
    </w:p>
    <w:p>
      <w:pPr>
        <w:spacing w:after="0" w:line="183" w:lineRule="exact"/>
        <w:rPr>
          <w:rFonts w:ascii="Arial" w:cs="Arial" w:eastAsia="Arial" w:hAnsi="Arial"/>
          <w:sz w:val="18"/>
          <w:szCs w:val="18"/>
          <w:color w:val="auto"/>
        </w:rPr>
      </w:pPr>
    </w:p>
    <w:p>
      <w:pPr>
        <w:ind w:left="1080" w:hanging="532"/>
        <w:spacing w:after="0"/>
        <w:tabs>
          <w:tab w:leader="none" w:pos="108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in the case of the Security Agent, in the course of the performance of its functions under the Finance Documents; or</w:t>
      </w:r>
    </w:p>
    <w:p>
      <w:pPr>
        <w:spacing w:after="0" w:line="19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to whom information is required or requested to be disclosed by any court of competent jurisdiction or any governmental, banking, taxation or other regulatory authority or similar body or by the rules of any relevant stock exchange,</w:t>
      </w:r>
    </w:p>
    <w:p>
      <w:pPr>
        <w:spacing w:after="0" w:line="183" w:lineRule="exact"/>
        <w:rPr>
          <w:sz w:val="20"/>
          <w:szCs w:val="20"/>
          <w:color w:val="auto"/>
        </w:rPr>
      </w:pPr>
    </w:p>
    <w:p>
      <w:pPr>
        <w:jc w:val="both"/>
        <w:ind w:left="540"/>
        <w:spacing w:after="0" w:line="237" w:lineRule="auto"/>
        <w:rPr>
          <w:sz w:val="20"/>
          <w:szCs w:val="20"/>
          <w:color w:val="auto"/>
        </w:rPr>
      </w:pPr>
      <w:r>
        <w:rPr>
          <w:rFonts w:ascii="Arial" w:cs="Arial" w:eastAsia="Arial" w:hAnsi="Arial"/>
          <w:sz w:val="18"/>
          <w:szCs w:val="18"/>
          <w:color w:val="auto"/>
        </w:rPr>
        <w:t>any information about any Obligor, the Group and the Finance Documents as that Finance Party shall consider appropriate if any such person has entered into a confidentiality agreement substantially in the form agreed between the Borrowers and the relevant Finance Party; and any Finance Party may disclose (with the consent of the Borrowers) to any other person not included in paragraphs 43.2(a) - 43.2(h) above, any information about any Obligor, the Group and the Finance Documents as that Finance Party shall consider appropriate if any such person has entered into a confidentiality agreement substantially in the form agreed between the Borrowers and the relevant Finance Party.</w:t>
      </w:r>
    </w:p>
    <w:p>
      <w:pPr>
        <w:spacing w:after="0" w:line="1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43.3</w:t>
      </w:r>
      <w:r>
        <w:rPr>
          <w:sz w:val="20"/>
          <w:szCs w:val="20"/>
          <w:color w:val="auto"/>
        </w:rPr>
        <w:tab/>
      </w:r>
      <w:r>
        <w:rPr>
          <w:rFonts w:ascii="Arial" w:cs="Arial" w:eastAsia="Arial" w:hAnsi="Arial"/>
          <w:sz w:val="17"/>
          <w:szCs w:val="17"/>
          <w:b w:val="1"/>
          <w:bCs w:val="1"/>
          <w:color w:val="auto"/>
        </w:rPr>
        <w:t>Disclosure to numbering service providers</w:t>
      </w:r>
    </w:p>
    <w:p>
      <w:pPr>
        <w:spacing w:after="0" w:line="220" w:lineRule="exact"/>
        <w:rPr>
          <w:sz w:val="20"/>
          <w:szCs w:val="20"/>
          <w:color w:val="auto"/>
        </w:rPr>
      </w:pPr>
    </w:p>
    <w:p>
      <w:pPr>
        <w:jc w:val="both"/>
        <w:ind w:left="1080" w:right="20" w:hanging="532"/>
        <w:spacing w:after="0"/>
        <w:tabs>
          <w:tab w:leader="none" w:pos="108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Any Finance Party may disclose to any national or international numbering service provider appointed by that Finance Party to provide identification numbering services in respect of this Agreement, the Facilities and/or one or more Obligors the following information:</w:t>
      </w:r>
    </w:p>
    <w:p>
      <w:pPr>
        <w:spacing w:after="0" w:line="189" w:lineRule="exact"/>
        <w:rPr>
          <w:rFonts w:ascii="Arial" w:cs="Arial" w:eastAsia="Arial" w:hAnsi="Arial"/>
          <w:sz w:val="18"/>
          <w:szCs w:val="18"/>
          <w:color w:val="auto"/>
        </w:rPr>
      </w:pPr>
    </w:p>
    <w:p>
      <w:pPr>
        <w:ind w:left="1620" w:hanging="532"/>
        <w:spacing w:after="0"/>
        <w:tabs>
          <w:tab w:leader="none" w:pos="1620" w:val="left"/>
        </w:tabs>
        <w:numPr>
          <w:ilvl w:val="1"/>
          <w:numId w:val="420"/>
        </w:numPr>
        <w:rPr>
          <w:rFonts w:ascii="Arial" w:cs="Arial" w:eastAsia="Arial" w:hAnsi="Arial"/>
          <w:sz w:val="18"/>
          <w:szCs w:val="18"/>
          <w:color w:val="auto"/>
        </w:rPr>
      </w:pPr>
      <w:r>
        <w:rPr>
          <w:rFonts w:ascii="Arial" w:cs="Arial" w:eastAsia="Arial" w:hAnsi="Arial"/>
          <w:sz w:val="18"/>
          <w:szCs w:val="18"/>
          <w:color w:val="auto"/>
        </w:rPr>
        <w:t>names of Obligors;</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1"/>
          <w:numId w:val="420"/>
        </w:numPr>
        <w:rPr>
          <w:rFonts w:ascii="Arial" w:cs="Arial" w:eastAsia="Arial" w:hAnsi="Arial"/>
          <w:sz w:val="18"/>
          <w:szCs w:val="18"/>
          <w:color w:val="auto"/>
        </w:rPr>
      </w:pPr>
      <w:r>
        <w:rPr>
          <w:rFonts w:ascii="Arial" w:cs="Arial" w:eastAsia="Arial" w:hAnsi="Arial"/>
          <w:sz w:val="18"/>
          <w:szCs w:val="18"/>
          <w:color w:val="auto"/>
        </w:rPr>
        <w:t>country of domicile of Obligors;</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1"/>
          <w:numId w:val="420"/>
        </w:numPr>
        <w:rPr>
          <w:rFonts w:ascii="Arial" w:cs="Arial" w:eastAsia="Arial" w:hAnsi="Arial"/>
          <w:sz w:val="18"/>
          <w:szCs w:val="18"/>
          <w:color w:val="auto"/>
        </w:rPr>
      </w:pPr>
      <w:r>
        <w:rPr>
          <w:rFonts w:ascii="Arial" w:cs="Arial" w:eastAsia="Arial" w:hAnsi="Arial"/>
          <w:sz w:val="18"/>
          <w:szCs w:val="18"/>
          <w:color w:val="auto"/>
        </w:rPr>
        <w:t>place of incorporation of Obligors;</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1"/>
          <w:numId w:val="420"/>
        </w:numPr>
        <w:rPr>
          <w:rFonts w:ascii="Arial" w:cs="Arial" w:eastAsia="Arial" w:hAnsi="Arial"/>
          <w:sz w:val="18"/>
          <w:szCs w:val="18"/>
          <w:color w:val="auto"/>
        </w:rPr>
      </w:pPr>
      <w:r>
        <w:rPr>
          <w:rFonts w:ascii="Arial" w:cs="Arial" w:eastAsia="Arial" w:hAnsi="Arial"/>
          <w:sz w:val="18"/>
          <w:szCs w:val="18"/>
          <w:color w:val="auto"/>
        </w:rPr>
        <w:t>date of this Agreement;</w:t>
      </w:r>
    </w:p>
    <w:p>
      <w:pPr>
        <w:spacing w:after="0" w:line="180" w:lineRule="exact"/>
        <w:rPr>
          <w:rFonts w:ascii="Arial" w:cs="Arial" w:eastAsia="Arial" w:hAnsi="Arial"/>
          <w:sz w:val="18"/>
          <w:szCs w:val="18"/>
          <w:color w:val="auto"/>
        </w:rPr>
      </w:pPr>
    </w:p>
    <w:p>
      <w:pPr>
        <w:ind w:left="1620" w:hanging="532"/>
        <w:spacing w:after="0"/>
        <w:tabs>
          <w:tab w:leader="none" w:pos="1620" w:val="left"/>
        </w:tabs>
        <w:numPr>
          <w:ilvl w:val="1"/>
          <w:numId w:val="420"/>
        </w:numPr>
        <w:rPr>
          <w:rFonts w:ascii="Arial" w:cs="Arial" w:eastAsia="Arial" w:hAnsi="Arial"/>
          <w:sz w:val="18"/>
          <w:szCs w:val="18"/>
          <w:color w:val="auto"/>
        </w:rPr>
      </w:pPr>
      <w:r>
        <w:rPr>
          <w:rFonts w:ascii="Arial" w:cs="Arial" w:eastAsia="Arial" w:hAnsi="Arial"/>
          <w:sz w:val="18"/>
          <w:szCs w:val="18"/>
          <w:color w:val="auto"/>
        </w:rPr>
        <w:t>clause 44 (</w:t>
      </w:r>
      <w:r>
        <w:rPr>
          <w:rFonts w:ascii="Arial" w:cs="Arial" w:eastAsia="Arial" w:hAnsi="Arial"/>
          <w:sz w:val="18"/>
          <w:szCs w:val="18"/>
          <w:i w:val="1"/>
          <w:iCs w:val="1"/>
          <w:color w:val="auto"/>
        </w:rPr>
        <w:t>Governing law</w:t>
      </w:r>
      <w:r>
        <w:rPr>
          <w:rFonts w:ascii="Arial" w:cs="Arial" w:eastAsia="Arial" w:hAnsi="Arial"/>
          <w:sz w:val="18"/>
          <w:szCs w:val="18"/>
          <w:color w:val="auto"/>
        </w:rPr>
        <w: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93" w:name="page194"/>
    <w:bookmarkEnd w:id="193"/>
    <w:p>
      <w:pPr>
        <w:ind w:left="1620" w:hanging="532"/>
        <w:spacing w:after="0"/>
        <w:tabs>
          <w:tab w:leader="none" w:pos="162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the names of the Agent and the Arranger;</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date of each amendment and restatement of this Agreement;</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amount of Total Commitments;</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currency of the Facilities;</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type of the Facilities;</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ranking of the Facilities;</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the term of the Facilities;</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changes to any of the information previously supplied pursuant to paragraphs 43.3(a)(i) to 43.3(a)(xii) above; and</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such other information agreed between such Finance Party and the Borrowers,</w:t>
      </w:r>
    </w:p>
    <w:p>
      <w:pPr>
        <w:spacing w:after="0" w:line="19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to enable such numbering service provider to provide its usual syndicated loan numbering identification services.</w:t>
      </w:r>
    </w:p>
    <w:p>
      <w:pPr>
        <w:spacing w:after="0" w:line="198" w:lineRule="exact"/>
        <w:rPr>
          <w:sz w:val="20"/>
          <w:szCs w:val="20"/>
          <w:color w:val="auto"/>
        </w:rPr>
      </w:pPr>
    </w:p>
    <w:p>
      <w:pPr>
        <w:jc w:val="both"/>
        <w:ind w:left="1080" w:hanging="532"/>
        <w:spacing w:after="0"/>
        <w:tabs>
          <w:tab w:leader="none" w:pos="108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Parties acknowledge and agree that each identification number assigned to this Agreement, the Facilities and/or one or more Obligors by a numbering service provider and the information associated with each such number may be disclosed to users of its services in accordance with the standard terms and conditions of that numbering service provider.</w:t>
      </w:r>
    </w:p>
    <w:p>
      <w:pPr>
        <w:spacing w:after="0" w:line="189"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Borrowers represent that none of the information set out in clauses 43.3(a)(i) to 43.3(a)(xiii) above is, nor will at any time be, unpublished price-sensitive information.</w:t>
      </w:r>
    </w:p>
    <w:p>
      <w:pPr>
        <w:spacing w:after="0" w:line="183" w:lineRule="exact"/>
        <w:rPr>
          <w:rFonts w:ascii="Arial" w:cs="Arial" w:eastAsia="Arial" w:hAnsi="Arial"/>
          <w:sz w:val="18"/>
          <w:szCs w:val="18"/>
          <w:color w:val="auto"/>
        </w:rPr>
      </w:pPr>
    </w:p>
    <w:p>
      <w:pPr>
        <w:ind w:left="1080" w:hanging="532"/>
        <w:spacing w:after="0"/>
        <w:tabs>
          <w:tab w:leader="none" w:pos="108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Agent shall notify the Borrowers and the other Finance Parties of:</w:t>
      </w:r>
    </w:p>
    <w:p>
      <w:pPr>
        <w:spacing w:after="0" w:line="198"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422"/>
        </w:numPr>
        <w:rPr>
          <w:rFonts w:ascii="Arial" w:cs="Arial" w:eastAsia="Arial" w:hAnsi="Arial"/>
          <w:sz w:val="18"/>
          <w:szCs w:val="18"/>
          <w:color w:val="auto"/>
        </w:rPr>
      </w:pPr>
      <w:r>
        <w:rPr>
          <w:rFonts w:ascii="Arial" w:cs="Arial" w:eastAsia="Arial" w:hAnsi="Arial"/>
          <w:sz w:val="18"/>
          <w:szCs w:val="18"/>
          <w:color w:val="auto"/>
        </w:rPr>
        <w:t>the name of any numbering service provider appointed by the Agent in respect of this Agreement, the Facilities and/or one or more Obligors; and</w:t>
      </w:r>
    </w:p>
    <w:p>
      <w:pPr>
        <w:spacing w:after="0" w:line="183" w:lineRule="exact"/>
        <w:rPr>
          <w:rFonts w:ascii="Arial" w:cs="Arial" w:eastAsia="Arial" w:hAnsi="Arial"/>
          <w:sz w:val="18"/>
          <w:szCs w:val="18"/>
          <w:color w:val="auto"/>
        </w:rPr>
      </w:pPr>
    </w:p>
    <w:p>
      <w:pPr>
        <w:ind w:left="1620" w:hanging="532"/>
        <w:spacing w:after="0" w:line="246" w:lineRule="auto"/>
        <w:tabs>
          <w:tab w:leader="none" w:pos="1620" w:val="left"/>
        </w:tabs>
        <w:numPr>
          <w:ilvl w:val="1"/>
          <w:numId w:val="422"/>
        </w:numPr>
        <w:rPr>
          <w:rFonts w:ascii="Arial" w:cs="Arial" w:eastAsia="Arial" w:hAnsi="Arial"/>
          <w:sz w:val="18"/>
          <w:szCs w:val="18"/>
          <w:color w:val="auto"/>
        </w:rPr>
      </w:pPr>
      <w:r>
        <w:rPr>
          <w:rFonts w:ascii="Arial" w:cs="Arial" w:eastAsia="Arial" w:hAnsi="Arial"/>
          <w:sz w:val="18"/>
          <w:szCs w:val="18"/>
          <w:color w:val="auto"/>
        </w:rPr>
        <w:t>the number or, as the case may be, numbers assigned to this Agreement, the Facilities and/or one or more Obligors by such numbering service provider.</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43.4</w:t>
        <w:tab/>
        <w:t>Entire agreement</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This clause 43 constitutes the entire agreement between the Parties in relation to the obligations of the Finance Parties under the Finance Documents regarding Confidential Information and supersedes any previous agreement, whether express or implied, regarding Confidential Information.</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43.5</w:t>
      </w:r>
      <w:r>
        <w:rPr>
          <w:sz w:val="20"/>
          <w:szCs w:val="20"/>
          <w:color w:val="auto"/>
        </w:rPr>
        <w:tab/>
      </w:r>
      <w:r>
        <w:rPr>
          <w:rFonts w:ascii="Arial" w:cs="Arial" w:eastAsia="Arial" w:hAnsi="Arial"/>
          <w:sz w:val="17"/>
          <w:szCs w:val="17"/>
          <w:b w:val="1"/>
          <w:bCs w:val="1"/>
          <w:color w:val="auto"/>
        </w:rPr>
        <w:t>Inside information</w:t>
      </w:r>
    </w:p>
    <w:p>
      <w:pPr>
        <w:spacing w:after="0" w:line="220"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43.6</w:t>
        <w:tab/>
        <w:t>Banking secrecy laws</w:t>
      </w:r>
    </w:p>
    <w:p>
      <w:pPr>
        <w:spacing w:after="0" w:line="220" w:lineRule="exact"/>
        <w:rPr>
          <w:sz w:val="20"/>
          <w:szCs w:val="20"/>
          <w:color w:val="auto"/>
        </w:rPr>
      </w:pPr>
    </w:p>
    <w:p>
      <w:pPr>
        <w:jc w:val="both"/>
        <w:ind w:left="1080" w:hanging="532"/>
        <w:spacing w:after="0"/>
        <w:tabs>
          <w:tab w:leader="none" w:pos="108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 xml:space="preserve">Each Obligor hereby releases each Finance Party and each of its Affiliates and each of its or their officers, directors, employees, head office, professional advisers, auditors and representatives (together, the </w:t>
      </w:r>
      <w:r>
        <w:rPr>
          <w:rFonts w:ascii="Arial" w:cs="Arial" w:eastAsia="Arial" w:hAnsi="Arial"/>
          <w:sz w:val="18"/>
          <w:szCs w:val="18"/>
          <w:b w:val="1"/>
          <w:bCs w:val="1"/>
          <w:color w:val="auto"/>
        </w:rPr>
        <w:t>Disclosing Party</w:t>
      </w:r>
      <w:r>
        <w:rPr>
          <w:rFonts w:ascii="Arial" w:cs="Arial" w:eastAsia="Arial" w:hAnsi="Arial"/>
          <w:sz w:val="18"/>
          <w:szCs w:val="18"/>
          <w:color w:val="auto"/>
        </w:rPr>
        <w:t>) from any confidentiality obligations or confidentiality restrictions arising from Swiss law or other applicable banking secrecy and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3" w:right="239" w:bottom="1440" w:gutter="0" w:footer="0" w:header="0"/>
        </w:sectPr>
      </w:pPr>
    </w:p>
    <w:bookmarkStart w:id="194" w:name="page195"/>
    <w:bookmarkEnd w:id="194"/>
    <w:p>
      <w:pPr>
        <w:ind w:left="1080"/>
        <w:spacing w:after="0" w:line="246" w:lineRule="auto"/>
        <w:rPr>
          <w:sz w:val="20"/>
          <w:szCs w:val="20"/>
          <w:color w:val="auto"/>
        </w:rPr>
      </w:pPr>
      <w:r>
        <w:rPr>
          <w:rFonts w:ascii="Arial" w:cs="Arial" w:eastAsia="Arial" w:hAnsi="Arial"/>
          <w:sz w:val="18"/>
          <w:szCs w:val="18"/>
          <w:color w:val="auto"/>
        </w:rPr>
        <w:t>data protection legislation which would prevent a Disclosing Party from disclosing any Confidential Information in accordance with this clause 43 (</w:t>
      </w:r>
      <w:r>
        <w:rPr>
          <w:rFonts w:ascii="Arial" w:cs="Arial" w:eastAsia="Arial" w:hAnsi="Arial"/>
          <w:sz w:val="18"/>
          <w:szCs w:val="18"/>
          <w:i w:val="1"/>
          <w:iCs w:val="1"/>
          <w:color w:val="auto"/>
        </w:rPr>
        <w:t>Confidentiality</w:t>
      </w:r>
      <w:r>
        <w:rPr>
          <w:rFonts w:ascii="Arial" w:cs="Arial" w:eastAsia="Arial" w:hAnsi="Arial"/>
          <w:sz w:val="18"/>
          <w:szCs w:val="18"/>
          <w:color w:val="auto"/>
        </w:rPr>
        <w:t>).</w:t>
      </w:r>
    </w:p>
    <w:p>
      <w:pPr>
        <w:spacing w:after="0" w:line="183" w:lineRule="exact"/>
        <w:rPr>
          <w:sz w:val="20"/>
          <w:szCs w:val="20"/>
          <w:color w:val="auto"/>
        </w:rPr>
      </w:pPr>
    </w:p>
    <w:p>
      <w:pPr>
        <w:jc w:val="both"/>
        <w:ind w:left="1080" w:hanging="532"/>
        <w:spacing w:after="0" w:line="238" w:lineRule="auto"/>
        <w:tabs>
          <w:tab w:leader="none" w:pos="108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Each of the Obligors acknowledges to the Finance Parties that they have as at the date hereof fulfilled and will continue to fulfil their obligations under applicable data protection legislation (including that of the jurisdiction of incorporation of that Obligor) in relation to personal data of third party individuals which an Obligor may pass on to a Finance Party from time to time (to enable the latter to comply with its obligations under all applicable laws (including without limitation anti-terrorism and related legislation and the laws of the jurisdiction of incorporation of that Obligor).</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43.7</w:t>
      </w:r>
      <w:r>
        <w:rPr>
          <w:sz w:val="20"/>
          <w:szCs w:val="20"/>
          <w:color w:val="auto"/>
        </w:rPr>
        <w:tab/>
      </w:r>
      <w:r>
        <w:rPr>
          <w:rFonts w:ascii="Arial" w:cs="Arial" w:eastAsia="Arial" w:hAnsi="Arial"/>
          <w:sz w:val="17"/>
          <w:szCs w:val="17"/>
          <w:b w:val="1"/>
          <w:bCs w:val="1"/>
          <w:color w:val="auto"/>
        </w:rPr>
        <w:t>Continuing obligations</w:t>
      </w:r>
    </w:p>
    <w:p>
      <w:pPr>
        <w:spacing w:after="0" w:line="220" w:lineRule="exact"/>
        <w:rPr>
          <w:sz w:val="20"/>
          <w:szCs w:val="20"/>
          <w:color w:val="auto"/>
        </w:rPr>
      </w:pPr>
    </w:p>
    <w:p>
      <w:pPr>
        <w:ind w:left="540"/>
        <w:spacing w:after="0" w:line="246" w:lineRule="auto"/>
        <w:rPr>
          <w:sz w:val="20"/>
          <w:szCs w:val="20"/>
          <w:color w:val="auto"/>
        </w:rPr>
      </w:pPr>
      <w:r>
        <w:rPr>
          <w:rFonts w:ascii="Arial" w:cs="Arial" w:eastAsia="Arial" w:hAnsi="Arial"/>
          <w:sz w:val="18"/>
          <w:szCs w:val="18"/>
          <w:color w:val="auto"/>
        </w:rPr>
        <w:t>The obligations in this clause 43 are continuing and, in particular, shall survive and remain binding on each Finance Party for a period of twelve months from the earlier of:</w:t>
      </w:r>
    </w:p>
    <w:p>
      <w:pPr>
        <w:spacing w:after="0" w:line="183" w:lineRule="exact"/>
        <w:rPr>
          <w:sz w:val="20"/>
          <w:szCs w:val="20"/>
          <w:color w:val="auto"/>
        </w:rPr>
      </w:pPr>
    </w:p>
    <w:p>
      <w:pPr>
        <w:ind w:left="1080" w:right="20" w:hanging="532"/>
        <w:spacing w:after="0" w:line="246" w:lineRule="auto"/>
        <w:tabs>
          <w:tab w:leader="none" w:pos="108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the date on which all amounts payable by the Obligors under or in connection with this Agreement have been paid in full and all Commitments have been cancelled or otherwise cease to be available; and</w:t>
      </w:r>
    </w:p>
    <w:p>
      <w:pPr>
        <w:spacing w:after="0" w:line="183" w:lineRule="exact"/>
        <w:rPr>
          <w:rFonts w:ascii="Arial" w:cs="Arial" w:eastAsia="Arial" w:hAnsi="Arial"/>
          <w:sz w:val="18"/>
          <w:szCs w:val="18"/>
          <w:color w:val="auto"/>
        </w:rPr>
      </w:pPr>
    </w:p>
    <w:p>
      <w:pPr>
        <w:ind w:left="1080" w:hanging="532"/>
        <w:spacing w:after="0"/>
        <w:tabs>
          <w:tab w:leader="none" w:pos="108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the date on which such Finance Party otherwise ceases to be a Finance Party.</w:t>
      </w:r>
    </w:p>
    <w:p>
      <w:pPr>
        <w:spacing w:after="0" w:line="176" w:lineRule="exact"/>
        <w:rPr>
          <w:sz w:val="20"/>
          <w:szCs w:val="20"/>
          <w:color w:val="auto"/>
        </w:rPr>
      </w:pPr>
    </w:p>
    <w:p>
      <w:pPr>
        <w:ind w:left="540" w:hanging="532"/>
        <w:spacing w:after="0"/>
        <w:tabs>
          <w:tab w:leader="none" w:pos="540" w:val="left"/>
        </w:tabs>
        <w:numPr>
          <w:ilvl w:val="0"/>
          <w:numId w:val="426"/>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60"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This Agreement and any non-contractual obligations connected with it are governed by English law.</w:t>
      </w:r>
    </w:p>
    <w:p>
      <w:pPr>
        <w:spacing w:after="0" w:line="176" w:lineRule="exact"/>
        <w:rPr>
          <w:rFonts w:ascii="Arial" w:cs="Arial" w:eastAsia="Arial" w:hAnsi="Arial"/>
          <w:sz w:val="18"/>
          <w:szCs w:val="18"/>
          <w:b w:val="1"/>
          <w:bCs w:val="1"/>
          <w:color w:val="auto"/>
        </w:rPr>
      </w:pPr>
    </w:p>
    <w:p>
      <w:pPr>
        <w:ind w:left="540" w:hanging="532"/>
        <w:spacing w:after="0"/>
        <w:tabs>
          <w:tab w:leader="none" w:pos="540" w:val="left"/>
        </w:tabs>
        <w:numPr>
          <w:ilvl w:val="0"/>
          <w:numId w:val="426"/>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w:t>
      </w:r>
    </w:p>
    <w:p>
      <w:pPr>
        <w:spacing w:after="0" w:line="23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45.1</w:t>
      </w:r>
      <w:r>
        <w:rPr>
          <w:sz w:val="20"/>
          <w:szCs w:val="20"/>
          <w:color w:val="auto"/>
        </w:rPr>
        <w:tab/>
      </w:r>
      <w:r>
        <w:rPr>
          <w:rFonts w:ascii="Arial" w:cs="Arial" w:eastAsia="Arial" w:hAnsi="Arial"/>
          <w:sz w:val="17"/>
          <w:szCs w:val="17"/>
          <w:b w:val="1"/>
          <w:bCs w:val="1"/>
          <w:color w:val="auto"/>
        </w:rPr>
        <w:t>Jurisdiction of English courts</w:t>
      </w:r>
    </w:p>
    <w:p>
      <w:pPr>
        <w:spacing w:after="0" w:line="220" w:lineRule="exact"/>
        <w:rPr>
          <w:sz w:val="20"/>
          <w:szCs w:val="20"/>
          <w:color w:val="auto"/>
        </w:rPr>
      </w:pPr>
    </w:p>
    <w:p>
      <w:pPr>
        <w:jc w:val="both"/>
        <w:ind w:left="1080" w:hanging="532"/>
        <w:spacing w:after="0"/>
        <w:tabs>
          <w:tab w:leader="none" w:pos="108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xml:space="preserve">The courts of England have exclusive jurisdiction to settle any dispute arising out of or in connection with this Agreement or any non-contractual obligations connected with it (including a dispute regarding the existence, validity or termination of this Agreement) (a </w:t>
      </w:r>
      <w:r>
        <w:rPr>
          <w:rFonts w:ascii="Arial" w:cs="Arial" w:eastAsia="Arial" w:hAnsi="Arial"/>
          <w:sz w:val="18"/>
          <w:szCs w:val="18"/>
          <w:b w:val="1"/>
          <w:bCs w:val="1"/>
          <w:color w:val="auto"/>
        </w:rPr>
        <w:t>Dispute</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The Parties agree that the courts of England are the most appropriate and convenient courts to settle Disputes and accordingly no Party will argue to the contrary.</w:t>
      </w:r>
    </w:p>
    <w:p>
      <w:pPr>
        <w:spacing w:after="0" w:line="183" w:lineRule="exact"/>
        <w:rPr>
          <w:rFonts w:ascii="Arial" w:cs="Arial" w:eastAsia="Arial" w:hAnsi="Arial"/>
          <w:sz w:val="18"/>
          <w:szCs w:val="18"/>
          <w:color w:val="auto"/>
        </w:rPr>
      </w:pPr>
    </w:p>
    <w:p>
      <w:pPr>
        <w:jc w:val="both"/>
        <w:ind w:left="1080" w:hanging="532"/>
        <w:spacing w:after="0"/>
        <w:tabs>
          <w:tab w:leader="none" w:pos="108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This clause 45.1 is for the benefit of the Finance Parties only. As a result, no Finance Party shall be prevented from taking proceedings relating to a Dispute in any other courts with jurisdiction. To the extent allowed by law, the Finance Parties may take concurrent proceedings in any number of jurisdictions.</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45.2</w:t>
      </w:r>
      <w:r>
        <w:rPr>
          <w:sz w:val="20"/>
          <w:szCs w:val="20"/>
          <w:color w:val="auto"/>
        </w:rPr>
        <w:tab/>
      </w:r>
      <w:r>
        <w:rPr>
          <w:rFonts w:ascii="Arial" w:cs="Arial" w:eastAsia="Arial" w:hAnsi="Arial"/>
          <w:sz w:val="17"/>
          <w:szCs w:val="17"/>
          <w:b w:val="1"/>
          <w:bCs w:val="1"/>
          <w:color w:val="auto"/>
        </w:rPr>
        <w:t>Service of process</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Without prejudice to any other mode of service allowed under any relevant law, each Obligor which is a Party:</w:t>
      </w:r>
    </w:p>
    <w:p>
      <w:pPr>
        <w:spacing w:after="0" w:line="180" w:lineRule="exact"/>
        <w:rPr>
          <w:sz w:val="20"/>
          <w:szCs w:val="20"/>
          <w:color w:val="auto"/>
        </w:rPr>
      </w:pPr>
    </w:p>
    <w:p>
      <w:pPr>
        <w:ind w:left="1080" w:right="20" w:hanging="532"/>
        <w:spacing w:after="0" w:line="267" w:lineRule="auto"/>
        <w:tabs>
          <w:tab w:leader="none" w:pos="108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irrevocably appoints the person named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as that Obligor’s English process agent as its agent for service of process in relation to any proceedings before the English courts in connection with any Finance Document;</w:t>
      </w:r>
    </w:p>
    <w:p>
      <w:pPr>
        <w:spacing w:after="0" w:line="165"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agrees that failure by a process agent to notify the relevant Obligor of the process will not invalidate the proceedings concerned; and</w:t>
      </w:r>
    </w:p>
    <w:p>
      <w:pPr>
        <w:spacing w:after="0" w:line="183"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if any person appointed as process agent for an Obligor is unable for any reason to act as agent for service of process, that Obligor must immediately (and in any event within ten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95" w:name="page196"/>
    <w:bookmarkEnd w:id="195"/>
    <w:p>
      <w:pPr>
        <w:ind w:left="1080"/>
        <w:spacing w:after="0" w:line="246" w:lineRule="auto"/>
        <w:rPr>
          <w:sz w:val="20"/>
          <w:szCs w:val="20"/>
          <w:color w:val="auto"/>
        </w:rPr>
      </w:pPr>
      <w:r>
        <w:rPr>
          <w:rFonts w:ascii="Arial" w:cs="Arial" w:eastAsia="Arial" w:hAnsi="Arial"/>
          <w:sz w:val="18"/>
          <w:szCs w:val="18"/>
          <w:color w:val="auto"/>
        </w:rPr>
        <w:t>days of such event taking place) appoint another agent on terms acceptable to the Agent. Failing this, the Agent may appoint another agent for this purpose.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Agreement has been entered into on the date stated at the beginning of this Agreement.</w:t>
      </w:r>
    </w:p>
    <w:p>
      <w:pPr>
        <w:spacing w:after="0" w:line="20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96" w:name="page197"/>
    <w:bookmarkEnd w:id="19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17805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1"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b w:val="1"/>
          <w:bCs w:val="1"/>
          <w:color w:val="auto"/>
        </w:rPr>
        <w:t xml:space="preserve">Jurisdiction of incorporation 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 any</w:t>
      </w:r>
      <w:r>
        <w:rPr>
          <w:rFonts w:ascii="Arial" w:cs="Arial" w:eastAsia="Arial" w:hAnsi="Arial"/>
          <w:sz w:val="18"/>
          <w:szCs w:val="18"/>
          <w:color w:val="auto"/>
        </w:rPr>
        <w:t>)</w:t>
      </w:r>
    </w:p>
    <w:p>
      <w:pPr>
        <w:spacing w:after="0" w:line="2" w:lineRule="exact"/>
        <w:rPr>
          <w:sz w:val="20"/>
          <w:szCs w:val="20"/>
          <w:color w:val="auto"/>
        </w:rPr>
      </w:pPr>
    </w:p>
    <w:p>
      <w:pPr>
        <w:ind w:right="760"/>
        <w:spacing w:after="0" w:line="234" w:lineRule="auto"/>
        <w:rPr>
          <w:sz w:val="20"/>
          <w:szCs w:val="20"/>
          <w:color w:val="auto"/>
        </w:rPr>
      </w:pPr>
      <w:r>
        <w:rPr>
          <w:rFonts w:ascii="Arial" w:cs="Arial" w:eastAsia="Arial" w:hAnsi="Arial"/>
          <w:sz w:val="18"/>
          <w:szCs w:val="18"/>
          <w:b w:val="1"/>
          <w:bCs w:val="1"/>
          <w:color w:val="auto"/>
        </w:rPr>
        <w:t xml:space="preserve">English process agent </w:t>
      </w:r>
      <w:r>
        <w:rPr>
          <w:rFonts w:ascii="Arial" w:cs="Arial" w:eastAsia="Arial" w:hAnsi="Arial"/>
          <w:sz w:val="18"/>
          <w:szCs w:val="18"/>
          <w:color w:val="auto"/>
        </w:rPr>
        <w:t>(</w:t>
      </w:r>
      <w:r>
        <w:rPr>
          <w:rFonts w:ascii="Arial" w:cs="Arial" w:eastAsia="Arial" w:hAnsi="Arial"/>
          <w:sz w:val="18"/>
          <w:szCs w:val="18"/>
          <w:b w:val="1"/>
          <w:bCs w:val="1"/>
          <w:color w:val="auto"/>
        </w:rPr>
        <w:t>if not incorporated in England</w:t>
      </w:r>
      <w:r>
        <w:rPr>
          <w:rFonts w:ascii="Arial" w:cs="Arial" w:eastAsia="Arial" w:hAnsi="Arial"/>
          <w:sz w:val="18"/>
          <w:szCs w:val="18"/>
          <w:color w:val="auto"/>
        </w:rPr>
        <w:t>)</w:t>
      </w:r>
      <w:r>
        <w:rPr>
          <w:rFonts w:ascii="Arial" w:cs="Arial" w:eastAsia="Arial" w:hAnsi="Arial"/>
          <w:sz w:val="18"/>
          <w:szCs w:val="18"/>
          <w:b w:val="1"/>
          <w:bCs w:val="1"/>
          <w:color w:val="auto"/>
        </w:rPr>
        <w:t xml:space="preserve"> Registered office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 for service of notices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17805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1"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b w:val="1"/>
          <w:bCs w:val="1"/>
          <w:color w:val="auto"/>
        </w:rPr>
        <w:t xml:space="preserve">Jurisdiction of incorporation 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 any</w:t>
      </w:r>
      <w:r>
        <w:rPr>
          <w:rFonts w:ascii="Arial" w:cs="Arial" w:eastAsia="Arial" w:hAnsi="Arial"/>
          <w:sz w:val="18"/>
          <w:szCs w:val="18"/>
          <w:color w:val="auto"/>
        </w:rPr>
        <w:t>)</w:t>
      </w:r>
    </w:p>
    <w:p>
      <w:pPr>
        <w:spacing w:after="0" w:line="2" w:lineRule="exact"/>
        <w:rPr>
          <w:sz w:val="20"/>
          <w:szCs w:val="20"/>
          <w:color w:val="auto"/>
        </w:rPr>
      </w:pPr>
    </w:p>
    <w:p>
      <w:pPr>
        <w:ind w:right="760"/>
        <w:spacing w:after="0" w:line="234" w:lineRule="auto"/>
        <w:rPr>
          <w:sz w:val="20"/>
          <w:szCs w:val="20"/>
          <w:color w:val="auto"/>
        </w:rPr>
      </w:pPr>
      <w:r>
        <w:rPr>
          <w:rFonts w:ascii="Arial" w:cs="Arial" w:eastAsia="Arial" w:hAnsi="Arial"/>
          <w:sz w:val="18"/>
          <w:szCs w:val="18"/>
          <w:b w:val="1"/>
          <w:bCs w:val="1"/>
          <w:color w:val="auto"/>
        </w:rPr>
        <w:t xml:space="preserve">English process agent </w:t>
      </w:r>
      <w:r>
        <w:rPr>
          <w:rFonts w:ascii="Arial" w:cs="Arial" w:eastAsia="Arial" w:hAnsi="Arial"/>
          <w:sz w:val="18"/>
          <w:szCs w:val="18"/>
          <w:color w:val="auto"/>
        </w:rPr>
        <w:t>(</w:t>
      </w:r>
      <w:r>
        <w:rPr>
          <w:rFonts w:ascii="Arial" w:cs="Arial" w:eastAsia="Arial" w:hAnsi="Arial"/>
          <w:sz w:val="18"/>
          <w:szCs w:val="18"/>
          <w:b w:val="1"/>
          <w:bCs w:val="1"/>
          <w:color w:val="auto"/>
        </w:rPr>
        <w:t>if not incorporated in England</w:t>
      </w:r>
      <w:r>
        <w:rPr>
          <w:rFonts w:ascii="Arial" w:cs="Arial" w:eastAsia="Arial" w:hAnsi="Arial"/>
          <w:sz w:val="18"/>
          <w:szCs w:val="18"/>
          <w:color w:val="auto"/>
        </w:rPr>
        <w:t>)</w:t>
      </w:r>
      <w:r>
        <w:rPr>
          <w:rFonts w:ascii="Arial" w:cs="Arial" w:eastAsia="Arial" w:hAnsi="Arial"/>
          <w:sz w:val="18"/>
          <w:szCs w:val="18"/>
          <w:b w:val="1"/>
          <w:bCs w:val="1"/>
          <w:color w:val="auto"/>
        </w:rPr>
        <w:t xml:space="preserve"> Registered office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 for service of notices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17805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1"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b w:val="1"/>
          <w:bCs w:val="1"/>
          <w:color w:val="auto"/>
        </w:rPr>
        <w:t xml:space="preserve">Jurisdiction of incorporation 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 any</w:t>
      </w:r>
      <w:r>
        <w:rPr>
          <w:rFonts w:ascii="Arial" w:cs="Arial" w:eastAsia="Arial" w:hAnsi="Arial"/>
          <w:sz w:val="18"/>
          <w:szCs w:val="18"/>
          <w:color w:val="auto"/>
        </w:rPr>
        <w:t>)</w:t>
      </w:r>
    </w:p>
    <w:p>
      <w:pPr>
        <w:spacing w:after="0" w:line="2" w:lineRule="exact"/>
        <w:rPr>
          <w:sz w:val="20"/>
          <w:szCs w:val="20"/>
          <w:color w:val="auto"/>
        </w:rPr>
      </w:pPr>
    </w:p>
    <w:p>
      <w:pPr>
        <w:ind w:right="760"/>
        <w:spacing w:after="0" w:line="234" w:lineRule="auto"/>
        <w:rPr>
          <w:sz w:val="20"/>
          <w:szCs w:val="20"/>
          <w:color w:val="auto"/>
        </w:rPr>
      </w:pPr>
      <w:r>
        <w:rPr>
          <w:rFonts w:ascii="Arial" w:cs="Arial" w:eastAsia="Arial" w:hAnsi="Arial"/>
          <w:sz w:val="18"/>
          <w:szCs w:val="18"/>
          <w:b w:val="1"/>
          <w:bCs w:val="1"/>
          <w:color w:val="auto"/>
        </w:rPr>
        <w:t xml:space="preserve">English process agent </w:t>
      </w:r>
      <w:r>
        <w:rPr>
          <w:rFonts w:ascii="Arial" w:cs="Arial" w:eastAsia="Arial" w:hAnsi="Arial"/>
          <w:sz w:val="18"/>
          <w:szCs w:val="18"/>
          <w:color w:val="auto"/>
        </w:rPr>
        <w:t>(</w:t>
      </w:r>
      <w:r>
        <w:rPr>
          <w:rFonts w:ascii="Arial" w:cs="Arial" w:eastAsia="Arial" w:hAnsi="Arial"/>
          <w:sz w:val="18"/>
          <w:szCs w:val="18"/>
          <w:b w:val="1"/>
          <w:bCs w:val="1"/>
          <w:color w:val="auto"/>
        </w:rPr>
        <w:t>if not incorporated in England</w:t>
      </w:r>
      <w:r>
        <w:rPr>
          <w:rFonts w:ascii="Arial" w:cs="Arial" w:eastAsia="Arial" w:hAnsi="Arial"/>
          <w:sz w:val="18"/>
          <w:szCs w:val="18"/>
          <w:color w:val="auto"/>
        </w:rPr>
        <w:t>)</w:t>
      </w:r>
      <w:r>
        <w:rPr>
          <w:rFonts w:ascii="Arial" w:cs="Arial" w:eastAsia="Arial" w:hAnsi="Arial"/>
          <w:sz w:val="18"/>
          <w:szCs w:val="18"/>
          <w:b w:val="1"/>
          <w:bCs w:val="1"/>
          <w:color w:val="auto"/>
        </w:rPr>
        <w:t xml:space="preserve"> Registered office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 for service of notices</w:t>
      </w:r>
    </w:p>
    <w:p>
      <w:pPr>
        <w:spacing w:after="0" w:line="20" w:lineRule="exact"/>
        <w:rPr>
          <w:sz w:val="20"/>
          <w:szCs w:val="20"/>
          <w:color w:val="auto"/>
        </w:rPr>
      </w:pPr>
      <w:r>
        <w:rPr>
          <w:sz w:val="20"/>
          <w:szCs w:val="20"/>
          <w:color w:val="auto"/>
        </w:rPr>
        <w:br w:type="column"/>
      </w:r>
    </w:p>
    <w:p>
      <w:pPr>
        <w:jc w:val="center"/>
        <w:ind w:right="3780"/>
        <w:spacing w:after="0"/>
        <w:rPr>
          <w:sz w:val="20"/>
          <w:szCs w:val="20"/>
          <w:color w:val="auto"/>
        </w:rPr>
      </w:pPr>
      <w:r>
        <w:rPr>
          <w:rFonts w:ascii="Arial" w:cs="Arial" w:eastAsia="Arial" w:hAnsi="Arial"/>
          <w:sz w:val="22"/>
          <w:szCs w:val="22"/>
          <w:b w:val="1"/>
          <w:bCs w:val="1"/>
          <w:color w:val="auto"/>
        </w:rPr>
        <w:t>Schedule 1</w:t>
      </w:r>
    </w:p>
    <w:p>
      <w:pPr>
        <w:spacing w:after="0" w:line="16" w:lineRule="exact"/>
        <w:rPr>
          <w:sz w:val="20"/>
          <w:szCs w:val="20"/>
          <w:color w:val="auto"/>
        </w:rPr>
      </w:pPr>
    </w:p>
    <w:p>
      <w:pPr>
        <w:jc w:val="center"/>
        <w:ind w:right="3780"/>
        <w:spacing w:after="0"/>
        <w:rPr>
          <w:sz w:val="20"/>
          <w:szCs w:val="20"/>
          <w:color w:val="auto"/>
        </w:rPr>
      </w:pPr>
      <w:r>
        <w:rPr>
          <w:rFonts w:ascii="Arial" w:cs="Arial" w:eastAsia="Arial" w:hAnsi="Arial"/>
          <w:sz w:val="22"/>
          <w:szCs w:val="22"/>
          <w:b w:val="1"/>
          <w:bCs w:val="1"/>
          <w:color w:val="auto"/>
        </w:rPr>
        <w:t>The original parties</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Borrowers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GAS-one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11430</wp:posOffset>
            </wp:positionV>
            <wp:extent cx="485394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Bermuda</w:t>
      </w:r>
    </w:p>
    <w:p>
      <w:pPr>
        <w:spacing w:after="0" w:line="90"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41494</w:t>
      </w:r>
    </w:p>
    <w:p>
      <w:pPr>
        <w:spacing w:after="0" w:line="19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GasLog Services UK Ltd., c/o 81 Kings Road, London, SW3 4XN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Clarendon House, 2 Church Street, Hamilton HM 11, Bermuda Simon Crowe, c/o GasLog Monaco SAM, Gildo Pastor Center, 7, rue du Gabian, MC98000, Monaco</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GAS-two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11430</wp:posOffset>
            </wp:positionV>
            <wp:extent cx="485394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Bermuda</w:t>
      </w:r>
    </w:p>
    <w:p>
      <w:pPr>
        <w:spacing w:after="0" w:line="90"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41495</w:t>
      </w:r>
    </w:p>
    <w:p>
      <w:pPr>
        <w:spacing w:after="0" w:line="19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GasLog Services UK Ltd., c/o 81 Kings Road, London, SW3 4XN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Clarendon House, 2 Church Street, Hamilton HM 11, Bermuda Simon Crowe, c/o GasLog Monaco SAM, Gildo Pastor Center, 7, rue du Gabian, MC98000, Monaco</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GAS-six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11430</wp:posOffset>
            </wp:positionV>
            <wp:extent cx="485394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Bermuda</w:t>
      </w:r>
    </w:p>
    <w:p>
      <w:pPr>
        <w:spacing w:after="0" w:line="90"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45105</w:t>
      </w:r>
    </w:p>
    <w:p>
      <w:pPr>
        <w:spacing w:after="0" w:line="19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GasLog Services UK Ltd., c/o 81 Kings Road, London, SW3 4XN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Clarendon House, 2 Church Street, Hamilton HM 11, Bermuda Simon Crowe, c/o GasLog Monaco SAM, Gildo Pastor Center, 7, rue du Gabian, MC98000, Monaco</w:t>
      </w:r>
    </w:p>
    <w:p>
      <w:pPr>
        <w:spacing w:after="0" w:line="38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135255</wp:posOffset>
            </wp:positionV>
            <wp:extent cx="7246620" cy="342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3240" w:space="720"/>
            <w:col w:w="7280"/>
          </w:cols>
          <w:pgMar w:left="240" w:top="391" w:right="41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17805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1"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b w:val="1"/>
          <w:bCs w:val="1"/>
          <w:color w:val="auto"/>
        </w:rPr>
        <w:t xml:space="preserve">Jurisdiction of incorporation 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 any</w:t>
      </w:r>
      <w:r>
        <w:rPr>
          <w:rFonts w:ascii="Arial" w:cs="Arial" w:eastAsia="Arial" w:hAnsi="Arial"/>
          <w:sz w:val="18"/>
          <w:szCs w:val="18"/>
          <w:color w:val="auto"/>
        </w:rPr>
        <w:t>)</w:t>
      </w:r>
    </w:p>
    <w:p>
      <w:pPr>
        <w:spacing w:after="0" w:line="2" w:lineRule="exact"/>
        <w:rPr>
          <w:sz w:val="20"/>
          <w:szCs w:val="20"/>
          <w:color w:val="auto"/>
        </w:rPr>
      </w:pPr>
    </w:p>
    <w:p>
      <w:pPr>
        <w:ind w:right="760"/>
        <w:spacing w:after="0" w:line="234" w:lineRule="auto"/>
        <w:rPr>
          <w:sz w:val="20"/>
          <w:szCs w:val="20"/>
          <w:color w:val="auto"/>
        </w:rPr>
      </w:pPr>
      <w:r>
        <w:rPr>
          <w:rFonts w:ascii="Arial" w:cs="Arial" w:eastAsia="Arial" w:hAnsi="Arial"/>
          <w:sz w:val="18"/>
          <w:szCs w:val="18"/>
          <w:b w:val="1"/>
          <w:bCs w:val="1"/>
          <w:color w:val="auto"/>
        </w:rPr>
        <w:t xml:space="preserve">English process agent </w:t>
      </w:r>
      <w:r>
        <w:rPr>
          <w:rFonts w:ascii="Arial" w:cs="Arial" w:eastAsia="Arial" w:hAnsi="Arial"/>
          <w:sz w:val="18"/>
          <w:szCs w:val="18"/>
          <w:color w:val="auto"/>
        </w:rPr>
        <w:t>(</w:t>
      </w:r>
      <w:r>
        <w:rPr>
          <w:rFonts w:ascii="Arial" w:cs="Arial" w:eastAsia="Arial" w:hAnsi="Arial"/>
          <w:sz w:val="18"/>
          <w:szCs w:val="18"/>
          <w:b w:val="1"/>
          <w:bCs w:val="1"/>
          <w:color w:val="auto"/>
        </w:rPr>
        <w:t>if not incorporated in England</w:t>
      </w:r>
      <w:r>
        <w:rPr>
          <w:rFonts w:ascii="Arial" w:cs="Arial" w:eastAsia="Arial" w:hAnsi="Arial"/>
          <w:sz w:val="18"/>
          <w:szCs w:val="18"/>
          <w:color w:val="auto"/>
        </w:rPr>
        <w:t>)</w:t>
      </w:r>
      <w:r>
        <w:rPr>
          <w:rFonts w:ascii="Arial" w:cs="Arial" w:eastAsia="Arial" w:hAnsi="Arial"/>
          <w:sz w:val="18"/>
          <w:szCs w:val="18"/>
          <w:b w:val="1"/>
          <w:bCs w:val="1"/>
          <w:color w:val="auto"/>
        </w:rPr>
        <w:t xml:space="preserve"> Registered office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 for service of notices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17805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1"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b w:val="1"/>
          <w:bCs w:val="1"/>
          <w:color w:val="auto"/>
        </w:rPr>
        <w:t xml:space="preserve">Jurisdiction of incorporation 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 any</w:t>
      </w:r>
      <w:r>
        <w:rPr>
          <w:rFonts w:ascii="Arial" w:cs="Arial" w:eastAsia="Arial" w:hAnsi="Arial"/>
          <w:sz w:val="18"/>
          <w:szCs w:val="18"/>
          <w:color w:val="auto"/>
        </w:rPr>
        <w:t>)</w:t>
      </w:r>
    </w:p>
    <w:p>
      <w:pPr>
        <w:spacing w:after="0" w:line="2" w:lineRule="exact"/>
        <w:rPr>
          <w:sz w:val="20"/>
          <w:szCs w:val="20"/>
          <w:color w:val="auto"/>
        </w:rPr>
      </w:pPr>
    </w:p>
    <w:p>
      <w:pPr>
        <w:ind w:right="760"/>
        <w:spacing w:after="0" w:line="234" w:lineRule="auto"/>
        <w:rPr>
          <w:sz w:val="20"/>
          <w:szCs w:val="20"/>
          <w:color w:val="auto"/>
        </w:rPr>
      </w:pPr>
      <w:r>
        <w:rPr>
          <w:rFonts w:ascii="Arial" w:cs="Arial" w:eastAsia="Arial" w:hAnsi="Arial"/>
          <w:sz w:val="18"/>
          <w:szCs w:val="18"/>
          <w:b w:val="1"/>
          <w:bCs w:val="1"/>
          <w:color w:val="auto"/>
        </w:rPr>
        <w:t xml:space="preserve">English process agent </w:t>
      </w:r>
      <w:r>
        <w:rPr>
          <w:rFonts w:ascii="Arial" w:cs="Arial" w:eastAsia="Arial" w:hAnsi="Arial"/>
          <w:sz w:val="18"/>
          <w:szCs w:val="18"/>
          <w:color w:val="auto"/>
        </w:rPr>
        <w:t>(</w:t>
      </w:r>
      <w:r>
        <w:rPr>
          <w:rFonts w:ascii="Arial" w:cs="Arial" w:eastAsia="Arial" w:hAnsi="Arial"/>
          <w:sz w:val="18"/>
          <w:szCs w:val="18"/>
          <w:b w:val="1"/>
          <w:bCs w:val="1"/>
          <w:color w:val="auto"/>
        </w:rPr>
        <w:t>if not incorporated in England</w:t>
      </w:r>
      <w:r>
        <w:rPr>
          <w:rFonts w:ascii="Arial" w:cs="Arial" w:eastAsia="Arial" w:hAnsi="Arial"/>
          <w:sz w:val="18"/>
          <w:szCs w:val="18"/>
          <w:color w:val="auto"/>
        </w:rPr>
        <w:t>)</w:t>
      </w:r>
      <w:r>
        <w:rPr>
          <w:rFonts w:ascii="Arial" w:cs="Arial" w:eastAsia="Arial" w:hAnsi="Arial"/>
          <w:sz w:val="18"/>
          <w:szCs w:val="18"/>
          <w:b w:val="1"/>
          <w:bCs w:val="1"/>
          <w:color w:val="auto"/>
        </w:rPr>
        <w:t xml:space="preserve"> Registered office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 for service of notices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17805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1"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b w:val="1"/>
          <w:bCs w:val="1"/>
          <w:color w:val="auto"/>
        </w:rPr>
        <w:t xml:space="preserve">Jurisdiction of incorporation 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 any</w:t>
      </w:r>
      <w:r>
        <w:rPr>
          <w:rFonts w:ascii="Arial" w:cs="Arial" w:eastAsia="Arial" w:hAnsi="Arial"/>
          <w:sz w:val="18"/>
          <w:szCs w:val="18"/>
          <w:color w:val="auto"/>
        </w:rPr>
        <w:t>)</w:t>
      </w:r>
    </w:p>
    <w:p>
      <w:pPr>
        <w:spacing w:after="0" w:line="2" w:lineRule="exact"/>
        <w:rPr>
          <w:sz w:val="20"/>
          <w:szCs w:val="20"/>
          <w:color w:val="auto"/>
        </w:rPr>
      </w:pPr>
    </w:p>
    <w:p>
      <w:pPr>
        <w:ind w:right="760"/>
        <w:spacing w:after="0" w:line="234" w:lineRule="auto"/>
        <w:rPr>
          <w:sz w:val="20"/>
          <w:szCs w:val="20"/>
          <w:color w:val="auto"/>
        </w:rPr>
      </w:pPr>
      <w:r>
        <w:rPr>
          <w:rFonts w:ascii="Arial" w:cs="Arial" w:eastAsia="Arial" w:hAnsi="Arial"/>
          <w:sz w:val="18"/>
          <w:szCs w:val="18"/>
          <w:b w:val="1"/>
          <w:bCs w:val="1"/>
          <w:color w:val="auto"/>
        </w:rPr>
        <w:t xml:space="preserve">English process agent </w:t>
      </w:r>
      <w:r>
        <w:rPr>
          <w:rFonts w:ascii="Arial" w:cs="Arial" w:eastAsia="Arial" w:hAnsi="Arial"/>
          <w:sz w:val="18"/>
          <w:szCs w:val="18"/>
          <w:color w:val="auto"/>
        </w:rPr>
        <w:t>(</w:t>
      </w:r>
      <w:r>
        <w:rPr>
          <w:rFonts w:ascii="Arial" w:cs="Arial" w:eastAsia="Arial" w:hAnsi="Arial"/>
          <w:sz w:val="18"/>
          <w:szCs w:val="18"/>
          <w:b w:val="1"/>
          <w:bCs w:val="1"/>
          <w:color w:val="auto"/>
        </w:rPr>
        <w:t>if not incorporated in England</w:t>
      </w:r>
      <w:r>
        <w:rPr>
          <w:rFonts w:ascii="Arial" w:cs="Arial" w:eastAsia="Arial" w:hAnsi="Arial"/>
          <w:sz w:val="18"/>
          <w:szCs w:val="18"/>
          <w:color w:val="auto"/>
        </w:rPr>
        <w:t>)</w:t>
      </w:r>
      <w:r>
        <w:rPr>
          <w:rFonts w:ascii="Arial" w:cs="Arial" w:eastAsia="Arial" w:hAnsi="Arial"/>
          <w:sz w:val="18"/>
          <w:szCs w:val="18"/>
          <w:b w:val="1"/>
          <w:bCs w:val="1"/>
          <w:color w:val="auto"/>
        </w:rPr>
        <w:t xml:space="preserve"> Registered office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 for service of notices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17805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1"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b w:val="1"/>
          <w:bCs w:val="1"/>
          <w:color w:val="auto"/>
        </w:rPr>
        <w:t xml:space="preserve">Jurisdiction of incorporation 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 any</w:t>
      </w:r>
      <w:r>
        <w:rPr>
          <w:rFonts w:ascii="Arial" w:cs="Arial" w:eastAsia="Arial" w:hAnsi="Arial"/>
          <w:sz w:val="18"/>
          <w:szCs w:val="18"/>
          <w:color w:val="auto"/>
        </w:rPr>
        <w:t>)</w:t>
      </w:r>
    </w:p>
    <w:p>
      <w:pPr>
        <w:spacing w:after="0" w:line="2" w:lineRule="exact"/>
        <w:rPr>
          <w:sz w:val="20"/>
          <w:szCs w:val="20"/>
          <w:color w:val="auto"/>
        </w:rPr>
      </w:pPr>
    </w:p>
    <w:p>
      <w:pPr>
        <w:ind w:right="760"/>
        <w:spacing w:after="0" w:line="234" w:lineRule="auto"/>
        <w:rPr>
          <w:sz w:val="20"/>
          <w:szCs w:val="20"/>
          <w:color w:val="auto"/>
        </w:rPr>
      </w:pPr>
      <w:r>
        <w:rPr>
          <w:rFonts w:ascii="Arial" w:cs="Arial" w:eastAsia="Arial" w:hAnsi="Arial"/>
          <w:sz w:val="18"/>
          <w:szCs w:val="18"/>
          <w:b w:val="1"/>
          <w:bCs w:val="1"/>
          <w:color w:val="auto"/>
        </w:rPr>
        <w:t xml:space="preserve">English process agent </w:t>
      </w:r>
      <w:r>
        <w:rPr>
          <w:rFonts w:ascii="Arial" w:cs="Arial" w:eastAsia="Arial" w:hAnsi="Arial"/>
          <w:sz w:val="18"/>
          <w:szCs w:val="18"/>
          <w:color w:val="auto"/>
        </w:rPr>
        <w:t>(</w:t>
      </w:r>
      <w:r>
        <w:rPr>
          <w:rFonts w:ascii="Arial" w:cs="Arial" w:eastAsia="Arial" w:hAnsi="Arial"/>
          <w:sz w:val="18"/>
          <w:szCs w:val="18"/>
          <w:b w:val="1"/>
          <w:bCs w:val="1"/>
          <w:color w:val="auto"/>
        </w:rPr>
        <w:t>if not incorporated in England</w:t>
      </w:r>
      <w:r>
        <w:rPr>
          <w:rFonts w:ascii="Arial" w:cs="Arial" w:eastAsia="Arial" w:hAnsi="Arial"/>
          <w:sz w:val="18"/>
          <w:szCs w:val="18"/>
          <w:color w:val="auto"/>
        </w:rPr>
        <w:t>)</w:t>
      </w:r>
      <w:r>
        <w:rPr>
          <w:rFonts w:ascii="Arial" w:cs="Arial" w:eastAsia="Arial" w:hAnsi="Arial"/>
          <w:sz w:val="18"/>
          <w:szCs w:val="18"/>
          <w:b w:val="1"/>
          <w:bCs w:val="1"/>
          <w:color w:val="auto"/>
        </w:rPr>
        <w:t xml:space="preserve"> Registered office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 for service of notices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GAS-seven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11430</wp:posOffset>
            </wp:positionV>
            <wp:extent cx="485394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Bermuda</w:t>
      </w:r>
    </w:p>
    <w:p>
      <w:pPr>
        <w:spacing w:after="0" w:line="90"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45254</w:t>
      </w:r>
    </w:p>
    <w:p>
      <w:pPr>
        <w:spacing w:after="0" w:line="19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GasLog Services UK Ltd., c/o 81 Kings Road, London, SW3 4XN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Clarendon House, 2 Church Street, Hamilton HM 11, Bermuda Simon Crowe, c/o GasLog Monaco SAM, Gildo Pastor Center, 7, rue du Gabian, MC98000, Monaco</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GAS-eight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11430</wp:posOffset>
            </wp:positionV>
            <wp:extent cx="485394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Bermuda</w:t>
      </w:r>
    </w:p>
    <w:p>
      <w:pPr>
        <w:spacing w:after="0" w:line="90"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45255</w:t>
      </w:r>
    </w:p>
    <w:p>
      <w:pPr>
        <w:spacing w:after="0" w:line="19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GasLog Services UK Ltd., c/o 81 Kings Road, London, SW3 4XN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Clarendon House, 2 Church Street, Hamilton HM 11, Bermuda Simon Crowe, c/o GasLog Monaco SAM, Gildo Pastor Center, 7, rue du Gabian, MC98000, Monaco</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GAS-nine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11430</wp:posOffset>
            </wp:positionV>
            <wp:extent cx="485394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Bermuda</w:t>
      </w:r>
    </w:p>
    <w:p>
      <w:pPr>
        <w:spacing w:after="0" w:line="90"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45502</w:t>
      </w:r>
    </w:p>
    <w:p>
      <w:pPr>
        <w:spacing w:after="0" w:line="19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GasLog Services UK Ltd., c/o 81 Kings Road, London, SW3 4XN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Clarendon House, 2 Church Street, Hamilton HM 11, Bermuda Simon Crowe, c/o GasLog Monaco SAM, Gildo Pastor Center, 7, rue du Gabian, MC98000, Monaco</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GAS-ten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11430</wp:posOffset>
            </wp:positionV>
            <wp:extent cx="485394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Bermuda</w:t>
      </w:r>
    </w:p>
    <w:p>
      <w:pPr>
        <w:spacing w:after="0" w:line="90"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45503</w:t>
      </w:r>
    </w:p>
    <w:p>
      <w:pPr>
        <w:spacing w:after="0" w:line="19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GasLog Services UK Ltd., c/o 81 Kings Road, London, SW3 4XN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Clarendon House, 2 Church Street, Hamilton HM 11, Bermuda Simon Crowe, c/o GasLog Monaco SAM, Gildo Pastor Center, 7, rue du Gabian, MC98000, Monaco</w:t>
      </w:r>
    </w:p>
    <w:p>
      <w:pPr>
        <w:spacing w:after="0" w:line="38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135255</wp:posOffset>
            </wp:positionV>
            <wp:extent cx="7246620" cy="342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3240" w:space="720"/>
            <w:col w:w="7280"/>
          </w:cols>
          <w:pgMar w:left="240" w:top="616" w:right="41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17805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1"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b w:val="1"/>
          <w:bCs w:val="1"/>
          <w:color w:val="auto"/>
        </w:rPr>
        <w:t xml:space="preserve">Jurisdiction of incorporation 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 any</w:t>
      </w:r>
      <w:r>
        <w:rPr>
          <w:rFonts w:ascii="Arial" w:cs="Arial" w:eastAsia="Arial" w:hAnsi="Arial"/>
          <w:sz w:val="18"/>
          <w:szCs w:val="18"/>
          <w:color w:val="auto"/>
        </w:rPr>
        <w:t>)</w:t>
      </w:r>
    </w:p>
    <w:p>
      <w:pPr>
        <w:spacing w:after="0" w:line="2" w:lineRule="exact"/>
        <w:rPr>
          <w:sz w:val="20"/>
          <w:szCs w:val="20"/>
          <w:color w:val="auto"/>
        </w:rPr>
      </w:pPr>
    </w:p>
    <w:p>
      <w:pPr>
        <w:ind w:right="760"/>
        <w:spacing w:after="0" w:line="234" w:lineRule="auto"/>
        <w:rPr>
          <w:sz w:val="20"/>
          <w:szCs w:val="20"/>
          <w:color w:val="auto"/>
        </w:rPr>
      </w:pPr>
      <w:r>
        <w:rPr>
          <w:rFonts w:ascii="Arial" w:cs="Arial" w:eastAsia="Arial" w:hAnsi="Arial"/>
          <w:sz w:val="18"/>
          <w:szCs w:val="18"/>
          <w:b w:val="1"/>
          <w:bCs w:val="1"/>
          <w:color w:val="auto"/>
        </w:rPr>
        <w:t xml:space="preserve">English process agent </w:t>
      </w:r>
      <w:r>
        <w:rPr>
          <w:rFonts w:ascii="Arial" w:cs="Arial" w:eastAsia="Arial" w:hAnsi="Arial"/>
          <w:sz w:val="18"/>
          <w:szCs w:val="18"/>
          <w:color w:val="auto"/>
        </w:rPr>
        <w:t>(</w:t>
      </w:r>
      <w:r>
        <w:rPr>
          <w:rFonts w:ascii="Arial" w:cs="Arial" w:eastAsia="Arial" w:hAnsi="Arial"/>
          <w:sz w:val="18"/>
          <w:szCs w:val="18"/>
          <w:b w:val="1"/>
          <w:bCs w:val="1"/>
          <w:color w:val="auto"/>
        </w:rPr>
        <w:t>if not incorporated in England</w:t>
      </w:r>
      <w:r>
        <w:rPr>
          <w:rFonts w:ascii="Arial" w:cs="Arial" w:eastAsia="Arial" w:hAnsi="Arial"/>
          <w:sz w:val="18"/>
          <w:szCs w:val="18"/>
          <w:color w:val="auto"/>
        </w:rPr>
        <w:t>)</w:t>
      </w:r>
      <w:r>
        <w:rPr>
          <w:rFonts w:ascii="Arial" w:cs="Arial" w:eastAsia="Arial" w:hAnsi="Arial"/>
          <w:sz w:val="18"/>
          <w:szCs w:val="18"/>
          <w:b w:val="1"/>
          <w:bCs w:val="1"/>
          <w:color w:val="auto"/>
        </w:rPr>
        <w:t xml:space="preserve"> Registered office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 for service of notices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17805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1"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b w:val="1"/>
          <w:bCs w:val="1"/>
          <w:color w:val="auto"/>
        </w:rPr>
        <w:t xml:space="preserve">Jurisdiction of incorporation 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 any</w:t>
      </w:r>
      <w:r>
        <w:rPr>
          <w:rFonts w:ascii="Arial" w:cs="Arial" w:eastAsia="Arial" w:hAnsi="Arial"/>
          <w:sz w:val="18"/>
          <w:szCs w:val="18"/>
          <w:color w:val="auto"/>
        </w:rPr>
        <w:t>)</w:t>
      </w:r>
    </w:p>
    <w:p>
      <w:pPr>
        <w:spacing w:after="0" w:line="2" w:lineRule="exact"/>
        <w:rPr>
          <w:sz w:val="20"/>
          <w:szCs w:val="20"/>
          <w:color w:val="auto"/>
        </w:rPr>
      </w:pPr>
    </w:p>
    <w:p>
      <w:pPr>
        <w:ind w:right="760"/>
        <w:spacing w:after="0" w:line="234" w:lineRule="auto"/>
        <w:rPr>
          <w:sz w:val="20"/>
          <w:szCs w:val="20"/>
          <w:color w:val="auto"/>
        </w:rPr>
      </w:pPr>
      <w:r>
        <w:rPr>
          <w:rFonts w:ascii="Arial" w:cs="Arial" w:eastAsia="Arial" w:hAnsi="Arial"/>
          <w:sz w:val="18"/>
          <w:szCs w:val="18"/>
          <w:b w:val="1"/>
          <w:bCs w:val="1"/>
          <w:color w:val="auto"/>
        </w:rPr>
        <w:t xml:space="preserve">English process agent </w:t>
      </w:r>
      <w:r>
        <w:rPr>
          <w:rFonts w:ascii="Arial" w:cs="Arial" w:eastAsia="Arial" w:hAnsi="Arial"/>
          <w:sz w:val="18"/>
          <w:szCs w:val="18"/>
          <w:color w:val="auto"/>
        </w:rPr>
        <w:t>(</w:t>
      </w:r>
      <w:r>
        <w:rPr>
          <w:rFonts w:ascii="Arial" w:cs="Arial" w:eastAsia="Arial" w:hAnsi="Arial"/>
          <w:sz w:val="18"/>
          <w:szCs w:val="18"/>
          <w:b w:val="1"/>
          <w:bCs w:val="1"/>
          <w:color w:val="auto"/>
        </w:rPr>
        <w:t>if not incorporated in England</w:t>
      </w:r>
      <w:r>
        <w:rPr>
          <w:rFonts w:ascii="Arial" w:cs="Arial" w:eastAsia="Arial" w:hAnsi="Arial"/>
          <w:sz w:val="18"/>
          <w:szCs w:val="18"/>
          <w:color w:val="auto"/>
        </w:rPr>
        <w:t>)</w:t>
      </w:r>
      <w:r>
        <w:rPr>
          <w:rFonts w:ascii="Arial" w:cs="Arial" w:eastAsia="Arial" w:hAnsi="Arial"/>
          <w:sz w:val="18"/>
          <w:szCs w:val="18"/>
          <w:b w:val="1"/>
          <w:bCs w:val="1"/>
          <w:color w:val="auto"/>
        </w:rPr>
        <w:t xml:space="preserve"> Registered office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 for service of notices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17805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1"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b w:val="1"/>
          <w:bCs w:val="1"/>
          <w:color w:val="auto"/>
        </w:rPr>
        <w:t xml:space="preserve">Jurisdiction of incorporation 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 any</w:t>
      </w:r>
      <w:r>
        <w:rPr>
          <w:rFonts w:ascii="Arial" w:cs="Arial" w:eastAsia="Arial" w:hAnsi="Arial"/>
          <w:sz w:val="18"/>
          <w:szCs w:val="18"/>
          <w:color w:val="auto"/>
        </w:rPr>
        <w:t>)</w:t>
      </w:r>
    </w:p>
    <w:p>
      <w:pPr>
        <w:spacing w:after="0" w:line="2" w:lineRule="exact"/>
        <w:rPr>
          <w:sz w:val="20"/>
          <w:szCs w:val="20"/>
          <w:color w:val="auto"/>
        </w:rPr>
      </w:pPr>
    </w:p>
    <w:p>
      <w:pPr>
        <w:ind w:right="760"/>
        <w:spacing w:after="0" w:line="234" w:lineRule="auto"/>
        <w:rPr>
          <w:sz w:val="20"/>
          <w:szCs w:val="20"/>
          <w:color w:val="auto"/>
        </w:rPr>
      </w:pPr>
      <w:r>
        <w:rPr>
          <w:rFonts w:ascii="Arial" w:cs="Arial" w:eastAsia="Arial" w:hAnsi="Arial"/>
          <w:sz w:val="18"/>
          <w:szCs w:val="18"/>
          <w:b w:val="1"/>
          <w:bCs w:val="1"/>
          <w:color w:val="auto"/>
        </w:rPr>
        <w:t xml:space="preserve">English process agent </w:t>
      </w:r>
      <w:r>
        <w:rPr>
          <w:rFonts w:ascii="Arial" w:cs="Arial" w:eastAsia="Arial" w:hAnsi="Arial"/>
          <w:sz w:val="18"/>
          <w:szCs w:val="18"/>
          <w:color w:val="auto"/>
        </w:rPr>
        <w:t>(</w:t>
      </w:r>
      <w:r>
        <w:rPr>
          <w:rFonts w:ascii="Arial" w:cs="Arial" w:eastAsia="Arial" w:hAnsi="Arial"/>
          <w:sz w:val="18"/>
          <w:szCs w:val="18"/>
          <w:b w:val="1"/>
          <w:bCs w:val="1"/>
          <w:color w:val="auto"/>
        </w:rPr>
        <w:t>if not incorporated in England</w:t>
      </w:r>
      <w:r>
        <w:rPr>
          <w:rFonts w:ascii="Arial" w:cs="Arial" w:eastAsia="Arial" w:hAnsi="Arial"/>
          <w:sz w:val="18"/>
          <w:szCs w:val="18"/>
          <w:color w:val="auto"/>
        </w:rPr>
        <w:t>)</w:t>
      </w:r>
      <w:r>
        <w:rPr>
          <w:rFonts w:ascii="Arial" w:cs="Arial" w:eastAsia="Arial" w:hAnsi="Arial"/>
          <w:sz w:val="18"/>
          <w:szCs w:val="18"/>
          <w:b w:val="1"/>
          <w:bCs w:val="1"/>
          <w:color w:val="auto"/>
        </w:rPr>
        <w:t xml:space="preserve"> Registered office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 for service of notices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GAS-fifteen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11430</wp:posOffset>
            </wp:positionV>
            <wp:extent cx="485394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Bermuda</w:t>
      </w:r>
    </w:p>
    <w:p>
      <w:pPr>
        <w:spacing w:after="0" w:line="90"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48087</w:t>
      </w:r>
    </w:p>
    <w:p>
      <w:pPr>
        <w:spacing w:after="0" w:line="19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GasLog Services UK Ltd., c/o 81 Kings Road, London, SW3 4XN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Clarendon House, 2 Church Street, Hamilton HM 11, Bermuda Simon Crowe, c/o GasLog Monaco SAM, Gildo Pastor Center, 7, rue du Gabian, MC98000, Monaco</w:t>
      </w:r>
    </w:p>
    <w:p>
      <w:pPr>
        <w:spacing w:after="0" w:line="374"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Parent</w:t>
      </w:r>
    </w:p>
    <w:p>
      <w:pPr>
        <w:spacing w:after="0" w:line="198"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GasLog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11430</wp:posOffset>
            </wp:positionV>
            <wp:extent cx="485394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7"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Bermuda</w:t>
      </w:r>
    </w:p>
    <w:p>
      <w:pPr>
        <w:ind w:left="3380"/>
        <w:spacing w:after="0"/>
        <w:rPr>
          <w:sz w:val="20"/>
          <w:szCs w:val="20"/>
          <w:color w:val="auto"/>
        </w:rPr>
      </w:pPr>
      <w:r>
        <w:rPr>
          <w:rFonts w:ascii="Arial" w:cs="Arial" w:eastAsia="Arial" w:hAnsi="Arial"/>
          <w:sz w:val="18"/>
          <w:szCs w:val="18"/>
          <w:color w:val="auto"/>
        </w:rPr>
        <w:t>33928</w:t>
      </w:r>
    </w:p>
    <w:p>
      <w:pPr>
        <w:spacing w:after="0" w:line="29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GasLog Services UK Ltd., c/o 81 Kings Road, London, SW3 4XN</w:t>
      </w:r>
    </w:p>
    <w:p>
      <w:pPr>
        <w:spacing w:after="0" w:line="9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Clarendon House, 2 Church Street, Hamilton HM 11, Bermuda</w:t>
      </w:r>
    </w:p>
    <w:p>
      <w:pPr>
        <w:jc w:val="center"/>
        <w:spacing w:after="0" w:line="246" w:lineRule="auto"/>
        <w:rPr>
          <w:sz w:val="20"/>
          <w:szCs w:val="20"/>
          <w:color w:val="auto"/>
        </w:rPr>
      </w:pPr>
      <w:r>
        <w:rPr>
          <w:rFonts w:ascii="Arial" w:cs="Arial" w:eastAsia="Arial" w:hAnsi="Arial"/>
          <w:sz w:val="18"/>
          <w:szCs w:val="18"/>
          <w:color w:val="auto"/>
        </w:rPr>
        <w:t>Simon Crowe, c/o GasLog Monaco SAM, Gildo Pastor Center, 7, rue du Gabian, MC98000, Monaco</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GasLog Carriers Ltd.</w:t>
      </w:r>
    </w:p>
    <w:p>
      <w:pPr>
        <w:spacing w:after="0" w:line="198"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GasLog Carriers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11430</wp:posOffset>
            </wp:positionV>
            <wp:extent cx="485394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7"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Bermuda</w:t>
      </w:r>
    </w:p>
    <w:p>
      <w:pPr>
        <w:ind w:left="3380"/>
        <w:spacing w:after="0"/>
        <w:rPr>
          <w:sz w:val="20"/>
          <w:szCs w:val="20"/>
          <w:color w:val="auto"/>
        </w:rPr>
      </w:pPr>
      <w:r>
        <w:rPr>
          <w:rFonts w:ascii="Arial" w:cs="Arial" w:eastAsia="Arial" w:hAnsi="Arial"/>
          <w:sz w:val="18"/>
          <w:szCs w:val="18"/>
          <w:color w:val="auto"/>
        </w:rPr>
        <w:t>41493</w:t>
      </w:r>
    </w:p>
    <w:p>
      <w:pPr>
        <w:spacing w:after="0" w:line="29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GasLog Services UK Ltd., c/o 81 Kings Road, London, SW3 4XN</w:t>
      </w:r>
    </w:p>
    <w:p>
      <w:pPr>
        <w:spacing w:after="0" w:line="9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Clarendon House, 2 Church Street, Hamilton HM 11, Bermuda</w:t>
      </w:r>
    </w:p>
    <w:p>
      <w:pPr>
        <w:jc w:val="center"/>
        <w:spacing w:after="0" w:line="246" w:lineRule="auto"/>
        <w:rPr>
          <w:sz w:val="20"/>
          <w:szCs w:val="20"/>
          <w:color w:val="auto"/>
        </w:rPr>
      </w:pPr>
      <w:r>
        <w:rPr>
          <w:rFonts w:ascii="Arial" w:cs="Arial" w:eastAsia="Arial" w:hAnsi="Arial"/>
          <w:sz w:val="18"/>
          <w:szCs w:val="18"/>
          <w:color w:val="auto"/>
        </w:rPr>
        <w:t>Simon Crowe, c/o GasLog Monaco SAM, Gildo Pastor Center, 7, rue du Gabian, MC98000, Monaco</w:t>
      </w:r>
    </w:p>
    <w:p>
      <w:pPr>
        <w:spacing w:after="0" w:line="170"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135255</wp:posOffset>
            </wp:positionV>
            <wp:extent cx="7246620" cy="342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3240" w:space="720"/>
            <w:col w:w="7280"/>
          </w:cols>
          <w:pgMar w:left="240" w:top="617" w:right="419" w:bottom="1440" w:gutter="0" w:footer="0" w:header="0"/>
        </w:sectPr>
      </w:pPr>
    </w:p>
    <w:bookmarkStart w:id="199" w:name="page200"/>
    <w:bookmarkEnd w:id="199"/>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17805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1"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color w:val="auto"/>
        </w:rPr>
        <w:t>Facility Office, address, fax number and attention details for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 Commitment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Loan Commitment ($)</w:t>
      </w:r>
    </w:p>
    <w:p>
      <w:pPr>
        <w:spacing w:after="0"/>
        <w:rPr>
          <w:sz w:val="20"/>
          <w:szCs w:val="20"/>
          <w:color w:val="auto"/>
        </w:rPr>
      </w:pPr>
      <w:r>
        <w:rPr>
          <w:rFonts w:ascii="Arial" w:cs="Arial" w:eastAsia="Arial" w:hAnsi="Arial"/>
          <w:sz w:val="18"/>
          <w:szCs w:val="18"/>
          <w:b w:val="1"/>
          <w:bCs w:val="1"/>
          <w:color w:val="auto"/>
        </w:rPr>
        <w:t>Aggregate Lender’s Commitments ($)</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Arial" w:cs="Arial" w:eastAsia="Arial" w:hAnsi="Arial"/>
          <w:sz w:val="18"/>
          <w:szCs w:val="18"/>
          <w:b w:val="1"/>
          <w:bCs w:val="1"/>
          <w:color w:val="auto"/>
        </w:rPr>
        <w:t>The Original Lenders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Citibank, N.A., London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11430</wp:posOffset>
            </wp:positionV>
            <wp:extent cx="484505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84505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Facility Office:</w:t>
      </w:r>
    </w:p>
    <w:p>
      <w:pPr>
        <w:spacing w:after="0" w:line="234" w:lineRule="auto"/>
        <w:tabs>
          <w:tab w:leader="none" w:pos="17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Citigroup Centre</w:t>
      </w:r>
    </w:p>
    <w:p>
      <w:pPr>
        <w:ind w:left="1720"/>
        <w:spacing w:after="0" w:line="235" w:lineRule="auto"/>
        <w:rPr>
          <w:sz w:val="20"/>
          <w:szCs w:val="20"/>
          <w:color w:val="auto"/>
        </w:rPr>
      </w:pPr>
      <w:r>
        <w:rPr>
          <w:rFonts w:ascii="Arial" w:cs="Arial" w:eastAsia="Arial" w:hAnsi="Arial"/>
          <w:sz w:val="18"/>
          <w:szCs w:val="18"/>
          <w:color w:val="auto"/>
        </w:rPr>
        <w:t>Canada Square</w:t>
      </w:r>
    </w:p>
    <w:p>
      <w:pPr>
        <w:ind w:left="1720"/>
        <w:spacing w:after="0" w:line="235" w:lineRule="auto"/>
        <w:rPr>
          <w:sz w:val="20"/>
          <w:szCs w:val="20"/>
          <w:color w:val="auto"/>
        </w:rPr>
      </w:pPr>
      <w:r>
        <w:rPr>
          <w:rFonts w:ascii="Arial" w:cs="Arial" w:eastAsia="Arial" w:hAnsi="Arial"/>
          <w:sz w:val="18"/>
          <w:szCs w:val="18"/>
          <w:color w:val="auto"/>
        </w:rPr>
        <w:t>London E14 5LB</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United Kingdom</w:t>
      </w:r>
    </w:p>
    <w:p>
      <w:pPr>
        <w:spacing w:after="0" w:line="19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+44 203364 2230</w:t>
      </w:r>
    </w:p>
    <w:p>
      <w:pPr>
        <w:spacing w:after="0"/>
        <w:tabs>
          <w:tab w:leader="none" w:pos="17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Vassilios Maroulis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For Credit Matters:</w:t>
      </w:r>
    </w:p>
    <w:p>
      <w:pPr>
        <w:spacing w:after="0" w:line="234" w:lineRule="auto"/>
        <w:tabs>
          <w:tab w:leader="none" w:pos="17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Citigroup Centre</w:t>
      </w:r>
    </w:p>
    <w:p>
      <w:pPr>
        <w:ind w:left="1720"/>
        <w:spacing w:after="0" w:line="235" w:lineRule="auto"/>
        <w:rPr>
          <w:sz w:val="20"/>
          <w:szCs w:val="20"/>
          <w:color w:val="auto"/>
        </w:rPr>
      </w:pPr>
      <w:r>
        <w:rPr>
          <w:rFonts w:ascii="Arial" w:cs="Arial" w:eastAsia="Arial" w:hAnsi="Arial"/>
          <w:sz w:val="18"/>
          <w:szCs w:val="18"/>
          <w:color w:val="auto"/>
        </w:rPr>
        <w:t>Canada Square</w:t>
      </w:r>
    </w:p>
    <w:p>
      <w:pPr>
        <w:ind w:left="1720"/>
        <w:spacing w:after="0" w:line="235" w:lineRule="auto"/>
        <w:rPr>
          <w:sz w:val="20"/>
          <w:szCs w:val="20"/>
          <w:color w:val="auto"/>
        </w:rPr>
      </w:pPr>
      <w:r>
        <w:rPr>
          <w:rFonts w:ascii="Arial" w:cs="Arial" w:eastAsia="Arial" w:hAnsi="Arial"/>
          <w:sz w:val="18"/>
          <w:szCs w:val="18"/>
          <w:color w:val="auto"/>
        </w:rPr>
        <w:t>London E14 5LB</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United Kingdom</w:t>
      </w:r>
    </w:p>
    <w:p>
      <w:pPr>
        <w:spacing w:after="0" w:line="19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Tel:</w:t>
      </w:r>
      <w:r>
        <w:rPr>
          <w:sz w:val="20"/>
          <w:szCs w:val="20"/>
          <w:color w:val="auto"/>
        </w:rPr>
        <w:tab/>
      </w:r>
      <w:r>
        <w:rPr>
          <w:rFonts w:ascii="Arial" w:cs="Arial" w:eastAsia="Arial" w:hAnsi="Arial"/>
          <w:sz w:val="18"/>
          <w:szCs w:val="18"/>
          <w:color w:val="auto"/>
        </w:rPr>
        <w:t>+ 44 (0)20 7986 7103</w:t>
      </w:r>
    </w:p>
    <w:p>
      <w:pPr>
        <w:spacing w:after="0" w:line="234" w:lineRule="auto"/>
        <w:tabs>
          <w:tab w:leader="none" w:pos="170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+ 44 (0)20 3364 2230</w:t>
      </w:r>
    </w:p>
    <w:p>
      <w:pPr>
        <w:spacing w:after="0" w:line="1" w:lineRule="exact"/>
        <w:rPr>
          <w:sz w:val="20"/>
          <w:szCs w:val="20"/>
          <w:color w:val="auto"/>
        </w:rPr>
      </w:pPr>
    </w:p>
    <w:p>
      <w:pPr>
        <w:spacing w:after="0"/>
        <w:tabs>
          <w:tab w:leader="none" w:pos="1700" w:val="left"/>
        </w:tabs>
        <w:rPr>
          <w:sz w:val="20"/>
          <w:szCs w:val="20"/>
          <w:color w:val="auto"/>
        </w:rPr>
      </w:pPr>
      <w:r>
        <w:rPr>
          <w:rFonts w:ascii="Arial" w:cs="Arial" w:eastAsia="Arial" w:hAnsi="Arial"/>
          <w:sz w:val="17"/>
          <w:szCs w:val="17"/>
          <w:color w:val="auto"/>
        </w:rPr>
        <w:t>Email:</w:t>
      </w:r>
      <w:r>
        <w:rPr>
          <w:sz w:val="20"/>
          <w:szCs w:val="20"/>
          <w:color w:val="auto"/>
        </w:rPr>
        <w:tab/>
      </w:r>
      <w:r>
        <w:rPr>
          <w:rFonts w:ascii="Arial" w:cs="Arial" w:eastAsia="Arial" w:hAnsi="Arial"/>
          <w:sz w:val="17"/>
          <w:szCs w:val="17"/>
          <w:color w:val="auto"/>
        </w:rPr>
        <w:t>petros.fokas@citi.com / jonathan.graham@citi.com</w:t>
      </w:r>
    </w:p>
    <w:p>
      <w:pPr>
        <w:spacing w:after="0" w:line="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Petros Fokas / Jonathan Graham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Operations/Administrations:</w:t>
      </w:r>
    </w:p>
    <w:p>
      <w:pPr>
        <w:spacing w:after="0" w:line="234" w:lineRule="auto"/>
        <w:tabs>
          <w:tab w:leader="none" w:pos="17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Loans Operations Department</w:t>
      </w:r>
    </w:p>
    <w:p>
      <w:pPr>
        <w:spacing w:after="0" w:line="1" w:lineRule="exact"/>
        <w:rPr>
          <w:sz w:val="20"/>
          <w:szCs w:val="20"/>
          <w:color w:val="auto"/>
        </w:rPr>
      </w:pPr>
    </w:p>
    <w:p>
      <w:pPr>
        <w:ind w:left="1720" w:right="1119"/>
        <w:spacing w:after="0" w:line="204" w:lineRule="auto"/>
        <w:rPr>
          <w:sz w:val="20"/>
          <w:szCs w:val="20"/>
          <w:color w:val="auto"/>
        </w:rPr>
      </w:pPr>
      <w:r>
        <w:rPr>
          <w:rFonts w:ascii="Arial" w:cs="Arial" w:eastAsia="Arial" w:hAnsi="Arial"/>
          <w:sz w:val="18"/>
          <w:szCs w:val="18"/>
          <w:color w:val="auto"/>
        </w:rPr>
        <w:t>Citibank International Limited, Poland Branch on behalf of Citibank N.A. London 7/9 Traugutta Street,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floor</w:t>
      </w:r>
    </w:p>
    <w:p>
      <w:pPr>
        <w:ind w:left="1720"/>
        <w:spacing w:after="0" w:line="238" w:lineRule="auto"/>
        <w:rPr>
          <w:sz w:val="20"/>
          <w:szCs w:val="20"/>
          <w:color w:val="auto"/>
        </w:rPr>
      </w:pPr>
      <w:r>
        <w:rPr>
          <w:rFonts w:ascii="Arial" w:cs="Arial" w:eastAsia="Arial" w:hAnsi="Arial"/>
          <w:sz w:val="18"/>
          <w:szCs w:val="18"/>
          <w:color w:val="auto"/>
        </w:rPr>
        <w:t>Warsaw 00-985</w:t>
      </w:r>
    </w:p>
    <w:p>
      <w:pPr>
        <w:ind w:left="1720"/>
        <w:spacing w:after="0"/>
        <w:rPr>
          <w:sz w:val="20"/>
          <w:szCs w:val="20"/>
          <w:color w:val="auto"/>
        </w:rPr>
      </w:pPr>
      <w:r>
        <w:rPr>
          <w:rFonts w:ascii="Arial" w:cs="Arial" w:eastAsia="Arial" w:hAnsi="Arial"/>
          <w:sz w:val="18"/>
          <w:szCs w:val="18"/>
          <w:color w:val="auto"/>
        </w:rPr>
        <w:t>Poland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20"/>
                <w:szCs w:val="20"/>
                <w:color w:val="auto"/>
              </w:rPr>
            </w:pPr>
            <w:r>
              <w:rPr>
                <w:rFonts w:ascii="Arial" w:cs="Arial" w:eastAsia="Arial" w:hAnsi="Arial"/>
                <w:sz w:val="18"/>
                <w:szCs w:val="18"/>
                <w:color w:val="auto"/>
              </w:rPr>
              <w:t>Tel:</w:t>
            </w:r>
          </w:p>
        </w:tc>
        <w:tc>
          <w:tcPr>
            <w:tcW w:w="620" w:type="dxa"/>
            <w:vAlign w:val="bottom"/>
          </w:tcPr>
          <w:p>
            <w:pPr>
              <w:ind w:left="300"/>
              <w:spacing w:after="0"/>
              <w:rPr>
                <w:sz w:val="20"/>
                <w:szCs w:val="20"/>
                <w:color w:val="auto"/>
              </w:rPr>
            </w:pPr>
            <w:r>
              <w:rPr>
                <w:rFonts w:ascii="Arial" w:cs="Arial" w:eastAsia="Arial" w:hAnsi="Arial"/>
                <w:sz w:val="18"/>
                <w:szCs w:val="18"/>
                <w:color w:val="auto"/>
                <w:w w:val="98"/>
              </w:rPr>
              <w:t>+48</w:t>
            </w:r>
          </w:p>
        </w:tc>
        <w:tc>
          <w:tcPr>
            <w:tcW w:w="2540" w:type="dxa"/>
            <w:vAlign w:val="bottom"/>
          </w:tcPr>
          <w:p>
            <w:pPr>
              <w:ind w:left="20"/>
              <w:spacing w:after="0"/>
              <w:rPr>
                <w:sz w:val="20"/>
                <w:szCs w:val="20"/>
                <w:color w:val="auto"/>
              </w:rPr>
            </w:pPr>
            <w:r>
              <w:rPr>
                <w:rFonts w:ascii="Arial" w:cs="Arial" w:eastAsia="Arial" w:hAnsi="Arial"/>
                <w:sz w:val="18"/>
                <w:szCs w:val="18"/>
                <w:color w:val="auto"/>
                <w:w w:val="99"/>
              </w:rPr>
              <w:t>22 657 7543 / +48 22 657 7195</w:t>
            </w:r>
          </w:p>
        </w:tc>
      </w:tr>
      <w:tr>
        <w:trPr>
          <w:trHeight w:val="203"/>
        </w:trPr>
        <w:tc>
          <w:tcPr>
            <w:tcW w:w="1420" w:type="dxa"/>
            <w:vAlign w:val="bottom"/>
          </w:tcPr>
          <w:p>
            <w:pPr>
              <w:spacing w:after="0" w:line="202" w:lineRule="exact"/>
              <w:rPr>
                <w:sz w:val="20"/>
                <w:szCs w:val="20"/>
                <w:color w:val="auto"/>
              </w:rPr>
            </w:pPr>
            <w:r>
              <w:rPr>
                <w:rFonts w:ascii="Arial" w:cs="Arial" w:eastAsia="Arial" w:hAnsi="Arial"/>
                <w:sz w:val="18"/>
                <w:szCs w:val="18"/>
                <w:color w:val="auto"/>
              </w:rPr>
              <w:t>Fax:</w:t>
            </w:r>
          </w:p>
        </w:tc>
        <w:tc>
          <w:tcPr>
            <w:tcW w:w="620" w:type="dxa"/>
            <w:vAlign w:val="bottom"/>
          </w:tcPr>
          <w:p>
            <w:pPr>
              <w:ind w:left="300"/>
              <w:spacing w:after="0" w:line="202" w:lineRule="exact"/>
              <w:rPr>
                <w:sz w:val="20"/>
                <w:szCs w:val="20"/>
                <w:color w:val="auto"/>
              </w:rPr>
            </w:pPr>
            <w:r>
              <w:rPr>
                <w:rFonts w:ascii="Arial" w:cs="Arial" w:eastAsia="Arial" w:hAnsi="Arial"/>
                <w:sz w:val="18"/>
                <w:szCs w:val="18"/>
                <w:color w:val="auto"/>
                <w:w w:val="98"/>
              </w:rPr>
              <w:t>+44</w:t>
            </w:r>
          </w:p>
        </w:tc>
        <w:tc>
          <w:tcPr>
            <w:tcW w:w="2540" w:type="dxa"/>
            <w:vAlign w:val="bottom"/>
          </w:tcPr>
          <w:p>
            <w:pPr>
              <w:ind w:left="20"/>
              <w:spacing w:after="0" w:line="202" w:lineRule="exact"/>
              <w:rPr>
                <w:sz w:val="20"/>
                <w:szCs w:val="20"/>
                <w:color w:val="auto"/>
              </w:rPr>
            </w:pPr>
            <w:r>
              <w:rPr>
                <w:rFonts w:ascii="Arial" w:cs="Arial" w:eastAsia="Arial" w:hAnsi="Arial"/>
                <w:sz w:val="18"/>
                <w:szCs w:val="18"/>
                <w:color w:val="auto"/>
              </w:rPr>
              <w:t>207 655 2380</w:t>
            </w:r>
          </w:p>
        </w:tc>
      </w:tr>
      <w:tr>
        <w:trPr>
          <w:trHeight w:val="203"/>
        </w:trPr>
        <w:tc>
          <w:tcPr>
            <w:tcW w:w="1420" w:type="dxa"/>
            <w:vAlign w:val="bottom"/>
          </w:tcPr>
          <w:p>
            <w:pPr>
              <w:spacing w:after="0" w:line="202" w:lineRule="exact"/>
              <w:rPr>
                <w:sz w:val="20"/>
                <w:szCs w:val="20"/>
                <w:color w:val="auto"/>
              </w:rPr>
            </w:pPr>
            <w:r>
              <w:rPr>
                <w:rFonts w:ascii="Arial" w:cs="Arial" w:eastAsia="Arial" w:hAnsi="Arial"/>
                <w:sz w:val="18"/>
                <w:szCs w:val="18"/>
                <w:color w:val="auto"/>
              </w:rPr>
              <w:t>Email:</w:t>
            </w:r>
          </w:p>
        </w:tc>
        <w:tc>
          <w:tcPr>
            <w:tcW w:w="316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londonloans@citi.com</w:t>
            </w:r>
          </w:p>
        </w:tc>
      </w:tr>
      <w:tr>
        <w:trPr>
          <w:trHeight w:val="203"/>
        </w:trPr>
        <w:tc>
          <w:tcPr>
            <w:tcW w:w="1420" w:type="dxa"/>
            <w:vAlign w:val="bottom"/>
          </w:tcPr>
          <w:p>
            <w:pPr>
              <w:spacing w:after="0" w:line="202" w:lineRule="exact"/>
              <w:rPr>
                <w:sz w:val="20"/>
                <w:szCs w:val="20"/>
                <w:color w:val="auto"/>
              </w:rPr>
            </w:pPr>
            <w:r>
              <w:rPr>
                <w:rFonts w:ascii="Arial" w:cs="Arial" w:eastAsia="Arial" w:hAnsi="Arial"/>
                <w:sz w:val="18"/>
                <w:szCs w:val="18"/>
                <w:color w:val="auto"/>
              </w:rPr>
              <w:t>Attention:</w:t>
            </w:r>
          </w:p>
        </w:tc>
        <w:tc>
          <w:tcPr>
            <w:tcW w:w="316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Marta Tomasik / Tamara Chlosta</w:t>
            </w:r>
          </w:p>
        </w:tc>
      </w:tr>
      <w:tr>
        <w:trPr>
          <w:trHeight w:val="203"/>
        </w:trPr>
        <w:tc>
          <w:tcPr>
            <w:tcW w:w="1420" w:type="dxa"/>
            <w:vAlign w:val="bottom"/>
          </w:tcPr>
          <w:p>
            <w:pPr>
              <w:spacing w:after="0" w:line="202" w:lineRule="exact"/>
              <w:rPr>
                <w:sz w:val="20"/>
                <w:szCs w:val="20"/>
                <w:color w:val="auto"/>
              </w:rPr>
            </w:pPr>
            <w:r>
              <w:rPr>
                <w:rFonts w:ascii="Arial" w:cs="Arial" w:eastAsia="Arial" w:hAnsi="Arial"/>
                <w:sz w:val="18"/>
                <w:szCs w:val="18"/>
                <w:color w:val="auto"/>
              </w:rPr>
              <w:t>$33,750,000</w:t>
            </w:r>
          </w:p>
        </w:tc>
        <w:tc>
          <w:tcPr>
            <w:tcW w:w="6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420" w:type="dxa"/>
            <w:vAlign w:val="bottom"/>
          </w:tcPr>
          <w:p>
            <w:pPr>
              <w:spacing w:after="0" w:line="202" w:lineRule="exact"/>
              <w:rPr>
                <w:sz w:val="20"/>
                <w:szCs w:val="20"/>
                <w:color w:val="auto"/>
              </w:rPr>
            </w:pPr>
            <w:r>
              <w:rPr>
                <w:rFonts w:ascii="Arial" w:cs="Arial" w:eastAsia="Arial" w:hAnsi="Arial"/>
                <w:sz w:val="18"/>
                <w:szCs w:val="18"/>
                <w:color w:val="auto"/>
              </w:rPr>
              <w:t>$100,000,000</w:t>
            </w:r>
          </w:p>
        </w:tc>
        <w:tc>
          <w:tcPr>
            <w:tcW w:w="6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17"/>
        </w:trPr>
        <w:tc>
          <w:tcPr>
            <w:tcW w:w="1420" w:type="dxa"/>
            <w:vAlign w:val="bottom"/>
          </w:tcPr>
          <w:p>
            <w:pPr>
              <w:spacing w:after="0"/>
              <w:rPr>
                <w:sz w:val="20"/>
                <w:szCs w:val="20"/>
                <w:color w:val="auto"/>
              </w:rPr>
            </w:pPr>
            <w:r>
              <w:rPr>
                <w:rFonts w:ascii="Arial" w:cs="Arial" w:eastAsia="Arial" w:hAnsi="Arial"/>
                <w:sz w:val="18"/>
                <w:szCs w:val="18"/>
                <w:color w:val="auto"/>
              </w:rPr>
              <w:t>$133,750,000</w:t>
            </w:r>
          </w:p>
        </w:tc>
        <w:tc>
          <w:tcPr>
            <w:tcW w:w="6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392"/>
        </w:trPr>
        <w:tc>
          <w:tcPr>
            <w:tcW w:w="1420" w:type="dxa"/>
            <w:vAlign w:val="bottom"/>
          </w:tcPr>
          <w:p>
            <w:pPr>
              <w:spacing w:after="0"/>
              <w:rPr>
                <w:sz w:val="24"/>
                <w:szCs w:val="24"/>
                <w:color w:val="auto"/>
              </w:rPr>
            </w:pPr>
          </w:p>
        </w:tc>
        <w:tc>
          <w:tcPr>
            <w:tcW w:w="3160" w:type="dxa"/>
            <w:vAlign w:val="bottom"/>
            <w:gridSpan w:val="2"/>
          </w:tcPr>
          <w:p>
            <w:pPr>
              <w:ind w:left="360"/>
              <w:spacing w:after="0"/>
              <w:rPr>
                <w:sz w:val="20"/>
                <w:szCs w:val="20"/>
                <w:color w:val="auto"/>
              </w:rPr>
            </w:pPr>
            <w:r>
              <w:rPr>
                <w:rFonts w:ascii="Arial" w:cs="Arial" w:eastAsia="Arial" w:hAnsi="Arial"/>
                <w:sz w:val="18"/>
                <w:szCs w:val="18"/>
                <w:color w:val="auto"/>
              </w:rPr>
              <w:t>148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128905</wp:posOffset>
            </wp:positionV>
            <wp:extent cx="7246620" cy="342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3420" w:space="360"/>
            <w:col w:w="6439"/>
          </w:cols>
          <w:pgMar w:left="240" w:top="616" w:right="1440"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225"/>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620" w:type="dxa"/>
            <w:vAlign w:val="bottom"/>
          </w:tcPr>
          <w:p>
            <w:pPr>
              <w:spacing w:after="0"/>
              <w:rPr>
                <w:sz w:val="20"/>
                <w:szCs w:val="20"/>
                <w:color w:val="auto"/>
              </w:rPr>
            </w:pPr>
            <w:r>
              <w:rPr>
                <w:rFonts w:ascii="Arial" w:cs="Arial" w:eastAsia="Arial" w:hAnsi="Arial"/>
                <w:sz w:val="18"/>
                <w:szCs w:val="18"/>
                <w:b w:val="1"/>
                <w:bCs w:val="1"/>
                <w:color w:val="auto"/>
              </w:rPr>
              <w:t>Credit Suisse AG</w:t>
            </w:r>
          </w:p>
        </w:tc>
        <w:tc>
          <w:tcPr>
            <w:tcW w:w="6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2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b w:val="1"/>
                <w:bCs w:val="1"/>
                <w:color w:val="auto"/>
                <w:w w:val="99"/>
              </w:rPr>
              <w:t>Facility Office, address, fax number and</w:t>
            </w:r>
          </w:p>
        </w:tc>
        <w:tc>
          <w:tcPr>
            <w:tcW w:w="340" w:type="dxa"/>
            <w:vAlign w:val="bottom"/>
          </w:tcPr>
          <w:p>
            <w:pPr>
              <w:spacing w:after="0"/>
              <w:rPr>
                <w:sz w:val="15"/>
                <w:szCs w:val="15"/>
                <w:color w:val="auto"/>
              </w:rPr>
            </w:pPr>
          </w:p>
        </w:tc>
        <w:tc>
          <w:tcPr>
            <w:tcW w:w="162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Facility Office:</w:t>
            </w:r>
          </w:p>
        </w:tc>
        <w:tc>
          <w:tcPr>
            <w:tcW w:w="6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attention details for notices</w:t>
            </w:r>
          </w:p>
        </w:tc>
        <w:tc>
          <w:tcPr>
            <w:tcW w:w="1620" w:type="dxa"/>
            <w:vAlign w:val="bottom"/>
          </w:tcPr>
          <w:p>
            <w:pPr>
              <w:spacing w:after="0"/>
              <w:rPr>
                <w:sz w:val="20"/>
                <w:szCs w:val="20"/>
                <w:color w:val="auto"/>
              </w:rPr>
            </w:pPr>
            <w:r>
              <w:rPr>
                <w:rFonts w:ascii="Arial" w:cs="Arial" w:eastAsia="Arial" w:hAnsi="Arial"/>
                <w:sz w:val="18"/>
                <w:szCs w:val="18"/>
                <w:color w:val="auto"/>
              </w:rPr>
              <w:t>Address:</w:t>
            </w:r>
          </w:p>
        </w:tc>
        <w:tc>
          <w:tcPr>
            <w:tcW w:w="6020" w:type="dxa"/>
            <w:vAlign w:val="bottom"/>
          </w:tcPr>
          <w:p>
            <w:pPr>
              <w:ind w:left="100"/>
              <w:spacing w:after="0"/>
              <w:rPr>
                <w:sz w:val="20"/>
                <w:szCs w:val="20"/>
                <w:color w:val="auto"/>
              </w:rPr>
            </w:pPr>
            <w:r>
              <w:rPr>
                <w:rFonts w:ascii="Arial" w:cs="Arial" w:eastAsia="Arial" w:hAnsi="Arial"/>
                <w:sz w:val="18"/>
                <w:szCs w:val="18"/>
                <w:color w:val="auto"/>
              </w:rPr>
              <w:t>St. Alban-Graben 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4051 Basel</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20" w:type="dxa"/>
            <w:vAlign w:val="bottom"/>
          </w:tcPr>
          <w:p>
            <w:pPr>
              <w:ind w:left="10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Fax:</w:t>
            </w:r>
          </w:p>
        </w:tc>
        <w:tc>
          <w:tcPr>
            <w:tcW w:w="6020" w:type="dxa"/>
            <w:vAlign w:val="bottom"/>
          </w:tcPr>
          <w:p>
            <w:pPr>
              <w:ind w:left="100"/>
              <w:spacing w:after="0"/>
              <w:rPr>
                <w:sz w:val="20"/>
                <w:szCs w:val="20"/>
                <w:color w:val="auto"/>
              </w:rPr>
            </w:pPr>
            <w:r>
              <w:rPr>
                <w:rFonts w:ascii="Arial" w:cs="Arial" w:eastAsia="Arial" w:hAnsi="Arial"/>
                <w:sz w:val="18"/>
                <w:szCs w:val="18"/>
                <w:color w:val="auto"/>
              </w:rPr>
              <w:t>+41 44 333 7980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Attention:</w:t>
            </w:r>
          </w:p>
        </w:tc>
        <w:tc>
          <w:tcPr>
            <w:tcW w:w="6020" w:type="dxa"/>
            <w:vAlign w:val="bottom"/>
          </w:tcPr>
          <w:p>
            <w:pPr>
              <w:ind w:left="100"/>
              <w:spacing w:after="0"/>
              <w:rPr>
                <w:sz w:val="20"/>
                <w:szCs w:val="20"/>
                <w:color w:val="auto"/>
              </w:rPr>
            </w:pPr>
            <w:r>
              <w:rPr>
                <w:rFonts w:ascii="Arial" w:cs="Arial" w:eastAsia="Arial" w:hAnsi="Arial"/>
                <w:sz w:val="18"/>
                <w:szCs w:val="18"/>
                <w:color w:val="auto"/>
              </w:rPr>
              <w:t>Credit Suisse</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For Credit Matters:</w:t>
            </w:r>
          </w:p>
        </w:tc>
        <w:tc>
          <w:tcPr>
            <w:tcW w:w="6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Address:</w:t>
            </w: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St. Alban-Graben 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4051 Basel</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20" w:type="dxa"/>
            <w:vAlign w:val="bottom"/>
          </w:tcPr>
          <w:p>
            <w:pPr>
              <w:ind w:left="10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Tel:</w:t>
            </w:r>
          </w:p>
        </w:tc>
        <w:tc>
          <w:tcPr>
            <w:tcW w:w="6020" w:type="dxa"/>
            <w:vAlign w:val="bottom"/>
          </w:tcPr>
          <w:p>
            <w:pPr>
              <w:ind w:left="100"/>
              <w:spacing w:after="0"/>
              <w:rPr>
                <w:sz w:val="20"/>
                <w:szCs w:val="20"/>
                <w:color w:val="auto"/>
              </w:rPr>
            </w:pPr>
            <w:r>
              <w:rPr>
                <w:rFonts w:ascii="Arial" w:cs="Arial" w:eastAsia="Arial" w:hAnsi="Arial"/>
                <w:sz w:val="18"/>
                <w:szCs w:val="18"/>
                <w:color w:val="auto"/>
              </w:rPr>
              <w:t>+41 61 266 76 14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Fax:</w:t>
            </w: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+41 61 266 79 39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Email:</w:t>
            </w: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virginia.hess@credit-suisse.com</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Attention:</w:t>
            </w:r>
          </w:p>
        </w:tc>
        <w:tc>
          <w:tcPr>
            <w:tcW w:w="6020" w:type="dxa"/>
            <w:vAlign w:val="bottom"/>
          </w:tcPr>
          <w:p>
            <w:pPr>
              <w:ind w:left="100"/>
              <w:spacing w:after="0"/>
              <w:rPr>
                <w:sz w:val="20"/>
                <w:szCs w:val="20"/>
                <w:color w:val="auto"/>
              </w:rPr>
            </w:pPr>
            <w:r>
              <w:rPr>
                <w:rFonts w:ascii="Arial" w:cs="Arial" w:eastAsia="Arial" w:hAnsi="Arial"/>
                <w:sz w:val="18"/>
                <w:szCs w:val="18"/>
                <w:color w:val="auto"/>
              </w:rPr>
              <w:t>Virginia Hess</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Operations/Administrations: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Address:</w:t>
            </w: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St. Alban-Graben 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4051 Basel</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20" w:type="dxa"/>
            <w:vAlign w:val="bottom"/>
          </w:tcPr>
          <w:p>
            <w:pPr>
              <w:ind w:left="10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Tel:</w:t>
            </w:r>
          </w:p>
        </w:tc>
        <w:tc>
          <w:tcPr>
            <w:tcW w:w="6020" w:type="dxa"/>
            <w:vAlign w:val="bottom"/>
          </w:tcPr>
          <w:p>
            <w:pPr>
              <w:ind w:left="100"/>
              <w:spacing w:after="0"/>
              <w:rPr>
                <w:sz w:val="20"/>
                <w:szCs w:val="20"/>
                <w:color w:val="auto"/>
              </w:rPr>
            </w:pPr>
            <w:r>
              <w:rPr>
                <w:rFonts w:ascii="Arial" w:cs="Arial" w:eastAsia="Arial" w:hAnsi="Arial"/>
                <w:sz w:val="18"/>
                <w:szCs w:val="18"/>
                <w:color w:val="auto"/>
              </w:rPr>
              <w:t>+41 61 266 74 90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Fax:</w:t>
            </w: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+41 61 266 79 39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Email:</w:t>
            </w: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edina.aganovic@credit-suisse.com</w:t>
            </w:r>
          </w:p>
        </w:tc>
        <w:tc>
          <w:tcPr>
            <w:tcW w:w="0" w:type="dxa"/>
            <w:vAlign w:val="bottom"/>
          </w:tcPr>
          <w:p>
            <w:pPr>
              <w:spacing w:after="0"/>
              <w:rPr>
                <w:sz w:val="1"/>
                <w:szCs w:val="1"/>
                <w:color w:val="auto"/>
              </w:rPr>
            </w:pPr>
          </w:p>
        </w:tc>
      </w:tr>
      <w:tr>
        <w:trPr>
          <w:trHeight w:val="203"/>
        </w:trPr>
        <w:tc>
          <w:tcPr>
            <w:tcW w:w="3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Term Loan Commitment ($)</w:t>
            </w: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Attention:</w:t>
            </w: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Edina Aganovic</w:t>
            </w:r>
          </w:p>
        </w:tc>
        <w:tc>
          <w:tcPr>
            <w:tcW w:w="0" w:type="dxa"/>
            <w:vAlign w:val="bottom"/>
          </w:tcPr>
          <w:p>
            <w:pPr>
              <w:spacing w:after="0"/>
              <w:rPr>
                <w:sz w:val="1"/>
                <w:szCs w:val="1"/>
                <w:color w:val="auto"/>
              </w:rPr>
            </w:pPr>
          </w:p>
        </w:tc>
      </w:tr>
      <w:tr>
        <w:trPr>
          <w:trHeight w:val="181"/>
        </w:trPr>
        <w:tc>
          <w:tcPr>
            <w:tcW w:w="3780" w:type="dxa"/>
            <w:vAlign w:val="bottom"/>
            <w:gridSpan w:val="3"/>
            <w:vMerge w:val="continue"/>
          </w:tcPr>
          <w:p>
            <w:pPr>
              <w:spacing w:after="0"/>
              <w:rPr>
                <w:sz w:val="15"/>
                <w:szCs w:val="15"/>
                <w:color w:val="auto"/>
              </w:rPr>
            </w:pPr>
          </w:p>
        </w:tc>
        <w:tc>
          <w:tcPr>
            <w:tcW w:w="1620" w:type="dxa"/>
            <w:vAlign w:val="bottom"/>
          </w:tcPr>
          <w:p>
            <w:pPr>
              <w:spacing w:after="0" w:line="181" w:lineRule="exact"/>
              <w:rPr>
                <w:sz w:val="20"/>
                <w:szCs w:val="20"/>
                <w:color w:val="auto"/>
              </w:rPr>
            </w:pPr>
            <w:r>
              <w:rPr>
                <w:rFonts w:ascii="Arial" w:cs="Arial" w:eastAsia="Arial" w:hAnsi="Arial"/>
                <w:sz w:val="18"/>
                <w:szCs w:val="18"/>
                <w:color w:val="auto"/>
              </w:rPr>
              <w:t>$195,000,000</w:t>
            </w:r>
          </w:p>
        </w:tc>
        <w:tc>
          <w:tcPr>
            <w:tcW w:w="6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Revolving Loan Commitment ($)</w:t>
            </w: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0</w:t>
            </w:r>
          </w:p>
        </w:tc>
        <w:tc>
          <w:tcPr>
            <w:tcW w:w="6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Aggregate Lender’s Commitments ($)</w:t>
            </w:r>
          </w:p>
        </w:tc>
        <w:tc>
          <w:tcPr>
            <w:tcW w:w="1620" w:type="dxa"/>
            <w:vAlign w:val="bottom"/>
          </w:tcPr>
          <w:p>
            <w:pPr>
              <w:spacing w:after="0"/>
              <w:rPr>
                <w:sz w:val="20"/>
                <w:szCs w:val="20"/>
                <w:color w:val="auto"/>
              </w:rPr>
            </w:pPr>
            <w:r>
              <w:rPr>
                <w:rFonts w:ascii="Arial" w:cs="Arial" w:eastAsia="Arial" w:hAnsi="Arial"/>
                <w:sz w:val="18"/>
                <w:szCs w:val="18"/>
                <w:color w:val="auto"/>
              </w:rPr>
              <w:t>$195,000,000</w:t>
            </w:r>
          </w:p>
        </w:tc>
        <w:tc>
          <w:tcPr>
            <w:tcW w:w="6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2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1620" w:type="dxa"/>
            <w:vAlign w:val="bottom"/>
            <w:tcBorders>
              <w:bottom w:val="single" w:sz="8" w:color="C0C0C0"/>
            </w:tcBorders>
          </w:tcPr>
          <w:p>
            <w:pPr>
              <w:spacing w:after="0"/>
              <w:rPr>
                <w:sz w:val="20"/>
                <w:szCs w:val="20"/>
                <w:color w:val="auto"/>
              </w:rPr>
            </w:pPr>
          </w:p>
        </w:tc>
        <w:tc>
          <w:tcPr>
            <w:tcW w:w="602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17" w:right="239" w:bottom="1440" w:gutter="0" w:footer="0" w:header="0"/>
        </w:sectPr>
      </w:pPr>
    </w:p>
    <w:bookmarkStart w:id="201" w:name="page202"/>
    <w:bookmarkEnd w:id="2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Nordea Bank AB, London Branch</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2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b w:val="1"/>
                <w:bCs w:val="1"/>
                <w:color w:val="auto"/>
                <w:w w:val="99"/>
              </w:rPr>
              <w:t>Facility Office, address, fax number and</w:t>
            </w:r>
          </w:p>
        </w:tc>
        <w:tc>
          <w:tcPr>
            <w:tcW w:w="340" w:type="dxa"/>
            <w:vAlign w:val="bottom"/>
          </w:tcPr>
          <w:p>
            <w:pPr>
              <w:spacing w:after="0"/>
              <w:rPr>
                <w:sz w:val="15"/>
                <w:szCs w:val="15"/>
                <w:color w:val="auto"/>
              </w:rPr>
            </w:pPr>
          </w:p>
        </w:tc>
        <w:tc>
          <w:tcPr>
            <w:tcW w:w="142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Facility Office:</w:t>
            </w:r>
          </w:p>
        </w:tc>
        <w:tc>
          <w:tcPr>
            <w:tcW w:w="6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attention details for notices</w:t>
            </w:r>
          </w:p>
        </w:tc>
        <w:tc>
          <w:tcPr>
            <w:tcW w:w="1420" w:type="dxa"/>
            <w:vAlign w:val="bottom"/>
          </w:tcPr>
          <w:p>
            <w:pPr>
              <w:spacing w:after="0"/>
              <w:rPr>
                <w:sz w:val="20"/>
                <w:szCs w:val="20"/>
                <w:color w:val="auto"/>
              </w:rPr>
            </w:pPr>
            <w:r>
              <w:rPr>
                <w:rFonts w:ascii="Arial" w:cs="Arial" w:eastAsia="Arial" w:hAnsi="Arial"/>
                <w:sz w:val="18"/>
                <w:szCs w:val="18"/>
                <w:color w:val="auto"/>
              </w:rPr>
              <w:t>Address:</w:t>
            </w:r>
          </w:p>
        </w:tc>
        <w:tc>
          <w:tcPr>
            <w:tcW w:w="6220" w:type="dxa"/>
            <w:vAlign w:val="bottom"/>
          </w:tcPr>
          <w:p>
            <w:pPr>
              <w:ind w:left="300"/>
              <w:spacing w:after="0" w:line="265" w:lineRule="exact"/>
              <w:rPr>
                <w:sz w:val="20"/>
                <w:szCs w:val="20"/>
                <w:color w:val="auto"/>
              </w:rPr>
            </w:pPr>
            <w:r>
              <w:rPr>
                <w:rFonts w:ascii="Arial" w:cs="Arial" w:eastAsia="Arial" w:hAnsi="Arial"/>
                <w:sz w:val="18"/>
                <w:szCs w:val="18"/>
                <w:color w:val="auto"/>
              </w:rPr>
              <w:t>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Aldermanbury Square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220" w:type="dxa"/>
            <w:vAlign w:val="bottom"/>
          </w:tcPr>
          <w:p>
            <w:pPr>
              <w:ind w:left="300"/>
              <w:spacing w:after="0" w:line="202" w:lineRule="exact"/>
              <w:rPr>
                <w:sz w:val="20"/>
                <w:szCs w:val="20"/>
                <w:color w:val="auto"/>
              </w:rPr>
            </w:pPr>
            <w:r>
              <w:rPr>
                <w:rFonts w:ascii="Arial" w:cs="Arial" w:eastAsia="Arial" w:hAnsi="Arial"/>
                <w:sz w:val="18"/>
                <w:szCs w:val="18"/>
                <w:color w:val="auto"/>
              </w:rPr>
              <w:t>London EC2V 7AZ</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220" w:type="dxa"/>
            <w:vAlign w:val="bottom"/>
          </w:tcPr>
          <w:p>
            <w:pPr>
              <w:ind w:left="30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Fax:</w:t>
            </w:r>
          </w:p>
        </w:tc>
        <w:tc>
          <w:tcPr>
            <w:tcW w:w="6220" w:type="dxa"/>
            <w:vAlign w:val="bottom"/>
          </w:tcPr>
          <w:p>
            <w:pPr>
              <w:ind w:left="300"/>
              <w:spacing w:after="0"/>
              <w:rPr>
                <w:sz w:val="20"/>
                <w:szCs w:val="20"/>
                <w:color w:val="auto"/>
              </w:rPr>
            </w:pPr>
            <w:r>
              <w:rPr>
                <w:rFonts w:ascii="Arial" w:cs="Arial" w:eastAsia="Arial" w:hAnsi="Arial"/>
                <w:sz w:val="18"/>
                <w:szCs w:val="18"/>
                <w:color w:val="auto"/>
              </w:rPr>
              <w:t>+44(0)20 7726 9105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tcPr>
          <w:p>
            <w:pPr>
              <w:spacing w:after="0" w:line="202" w:lineRule="exact"/>
              <w:rPr>
                <w:sz w:val="20"/>
                <w:szCs w:val="20"/>
                <w:color w:val="auto"/>
              </w:rPr>
            </w:pPr>
            <w:r>
              <w:rPr>
                <w:rFonts w:ascii="Arial" w:cs="Arial" w:eastAsia="Arial" w:hAnsi="Arial"/>
                <w:sz w:val="18"/>
                <w:szCs w:val="18"/>
                <w:color w:val="auto"/>
              </w:rPr>
              <w:t>E-mail:</w:t>
            </w:r>
          </w:p>
        </w:tc>
        <w:tc>
          <w:tcPr>
            <w:tcW w:w="6220" w:type="dxa"/>
            <w:vAlign w:val="bottom"/>
          </w:tcPr>
          <w:p>
            <w:pPr>
              <w:ind w:left="300"/>
              <w:spacing w:after="0" w:line="202" w:lineRule="exact"/>
              <w:rPr>
                <w:sz w:val="20"/>
                <w:szCs w:val="20"/>
                <w:color w:val="auto"/>
              </w:rPr>
            </w:pPr>
            <w:r>
              <w:rPr>
                <w:rFonts w:ascii="Arial" w:cs="Arial" w:eastAsia="Arial" w:hAnsi="Arial"/>
                <w:sz w:val="18"/>
                <w:szCs w:val="18"/>
                <w:color w:val="auto"/>
              </w:rPr>
              <w:t>lars.kristian.klemo@nordea.com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220" w:type="dxa"/>
            <w:vAlign w:val="bottom"/>
          </w:tcPr>
          <w:p>
            <w:pPr>
              <w:ind w:left="300"/>
              <w:spacing w:after="0" w:line="202" w:lineRule="exact"/>
              <w:rPr>
                <w:sz w:val="20"/>
                <w:szCs w:val="20"/>
                <w:color w:val="auto"/>
              </w:rPr>
            </w:pPr>
            <w:r>
              <w:rPr>
                <w:rFonts w:ascii="Arial" w:cs="Arial" w:eastAsia="Arial" w:hAnsi="Arial"/>
                <w:sz w:val="18"/>
                <w:szCs w:val="18"/>
                <w:color w:val="auto"/>
              </w:rPr>
              <w:t>nasos.tsarouchis@nordea.com</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Attention:</w:t>
            </w:r>
          </w:p>
        </w:tc>
        <w:tc>
          <w:tcPr>
            <w:tcW w:w="6220" w:type="dxa"/>
            <w:vAlign w:val="bottom"/>
          </w:tcPr>
          <w:p>
            <w:pPr>
              <w:ind w:left="300"/>
              <w:spacing w:after="0"/>
              <w:rPr>
                <w:sz w:val="20"/>
                <w:szCs w:val="20"/>
                <w:color w:val="auto"/>
              </w:rPr>
            </w:pPr>
            <w:r>
              <w:rPr>
                <w:rFonts w:ascii="Arial" w:cs="Arial" w:eastAsia="Arial" w:hAnsi="Arial"/>
                <w:sz w:val="18"/>
                <w:szCs w:val="18"/>
                <w:color w:val="auto"/>
              </w:rPr>
              <w:t>Lars Kristian Klemo / Nasos Tsarouchis</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Operations/Administrations: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Address:</w:t>
            </w:r>
          </w:p>
        </w:tc>
        <w:tc>
          <w:tcPr>
            <w:tcW w:w="6220" w:type="dxa"/>
            <w:vAlign w:val="bottom"/>
          </w:tcPr>
          <w:p>
            <w:pPr>
              <w:ind w:left="300"/>
              <w:spacing w:after="0" w:line="243" w:lineRule="exact"/>
              <w:rPr>
                <w:sz w:val="20"/>
                <w:szCs w:val="20"/>
                <w:color w:val="auto"/>
              </w:rPr>
            </w:pPr>
            <w:r>
              <w:rPr>
                <w:rFonts w:ascii="Arial" w:cs="Arial" w:eastAsia="Arial" w:hAnsi="Arial"/>
                <w:sz w:val="17"/>
                <w:szCs w:val="17"/>
                <w:color w:val="auto"/>
              </w:rPr>
              <w:t>6</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Aldermanbury Square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220" w:type="dxa"/>
            <w:vAlign w:val="bottom"/>
          </w:tcPr>
          <w:p>
            <w:pPr>
              <w:ind w:left="300"/>
              <w:spacing w:after="0" w:line="202" w:lineRule="exact"/>
              <w:rPr>
                <w:sz w:val="20"/>
                <w:szCs w:val="20"/>
                <w:color w:val="auto"/>
              </w:rPr>
            </w:pPr>
            <w:r>
              <w:rPr>
                <w:rFonts w:ascii="Arial" w:cs="Arial" w:eastAsia="Arial" w:hAnsi="Arial"/>
                <w:sz w:val="18"/>
                <w:szCs w:val="18"/>
                <w:color w:val="auto"/>
              </w:rPr>
              <w:t>London EC2V 7AZ</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220" w:type="dxa"/>
            <w:vAlign w:val="bottom"/>
          </w:tcPr>
          <w:p>
            <w:pPr>
              <w:ind w:left="30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Fax:</w:t>
            </w:r>
          </w:p>
        </w:tc>
        <w:tc>
          <w:tcPr>
            <w:tcW w:w="6220" w:type="dxa"/>
            <w:vAlign w:val="bottom"/>
          </w:tcPr>
          <w:p>
            <w:pPr>
              <w:ind w:left="300"/>
              <w:spacing w:after="0"/>
              <w:rPr>
                <w:sz w:val="20"/>
                <w:szCs w:val="20"/>
                <w:color w:val="auto"/>
              </w:rPr>
            </w:pPr>
            <w:r>
              <w:rPr>
                <w:rFonts w:ascii="Arial" w:cs="Arial" w:eastAsia="Arial" w:hAnsi="Arial"/>
                <w:sz w:val="18"/>
                <w:szCs w:val="18"/>
                <w:color w:val="auto"/>
              </w:rPr>
              <w:t>+44(0)20 7726 9105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tcPr>
          <w:p>
            <w:pPr>
              <w:spacing w:after="0" w:line="202" w:lineRule="exact"/>
              <w:rPr>
                <w:sz w:val="20"/>
                <w:szCs w:val="20"/>
                <w:color w:val="auto"/>
              </w:rPr>
            </w:pPr>
            <w:r>
              <w:rPr>
                <w:rFonts w:ascii="Arial" w:cs="Arial" w:eastAsia="Arial" w:hAnsi="Arial"/>
                <w:sz w:val="18"/>
                <w:szCs w:val="18"/>
                <w:color w:val="auto"/>
              </w:rPr>
              <w:t>E-mail:</w:t>
            </w:r>
          </w:p>
        </w:tc>
        <w:tc>
          <w:tcPr>
            <w:tcW w:w="6220" w:type="dxa"/>
            <w:vAlign w:val="bottom"/>
          </w:tcPr>
          <w:p>
            <w:pPr>
              <w:ind w:left="300"/>
              <w:spacing w:after="0" w:line="202" w:lineRule="exact"/>
              <w:rPr>
                <w:sz w:val="20"/>
                <w:szCs w:val="20"/>
                <w:color w:val="auto"/>
              </w:rPr>
            </w:pPr>
            <w:r>
              <w:rPr>
                <w:rFonts w:ascii="Arial" w:cs="Arial" w:eastAsia="Arial" w:hAnsi="Arial"/>
                <w:sz w:val="18"/>
                <w:szCs w:val="18"/>
                <w:color w:val="auto"/>
              </w:rPr>
              <w:t>glenn.johnson@nordea.com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220" w:type="dxa"/>
            <w:vAlign w:val="bottom"/>
          </w:tcPr>
          <w:p>
            <w:pPr>
              <w:ind w:left="300"/>
              <w:spacing w:after="0" w:line="202" w:lineRule="exact"/>
              <w:rPr>
                <w:sz w:val="20"/>
                <w:szCs w:val="20"/>
                <w:color w:val="auto"/>
              </w:rPr>
            </w:pPr>
            <w:r>
              <w:rPr>
                <w:rFonts w:ascii="Arial" w:cs="Arial" w:eastAsia="Arial" w:hAnsi="Arial"/>
                <w:sz w:val="18"/>
                <w:szCs w:val="18"/>
                <w:color w:val="auto"/>
              </w:rPr>
              <w:t>andrew.searle@nordea.com</w:t>
            </w:r>
          </w:p>
        </w:tc>
        <w:tc>
          <w:tcPr>
            <w:tcW w:w="0" w:type="dxa"/>
            <w:vAlign w:val="bottom"/>
          </w:tcPr>
          <w:p>
            <w:pPr>
              <w:spacing w:after="0"/>
              <w:rPr>
                <w:sz w:val="1"/>
                <w:szCs w:val="1"/>
                <w:color w:val="auto"/>
              </w:rPr>
            </w:pPr>
          </w:p>
        </w:tc>
      </w:tr>
      <w:tr>
        <w:trPr>
          <w:trHeight w:val="203"/>
        </w:trPr>
        <w:tc>
          <w:tcPr>
            <w:tcW w:w="3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Term Loan Commitment ($)</w:t>
            </w:r>
          </w:p>
        </w:tc>
        <w:tc>
          <w:tcPr>
            <w:tcW w:w="1420" w:type="dxa"/>
            <w:vAlign w:val="bottom"/>
          </w:tcPr>
          <w:p>
            <w:pPr>
              <w:spacing w:after="0" w:line="202" w:lineRule="exact"/>
              <w:rPr>
                <w:sz w:val="20"/>
                <w:szCs w:val="20"/>
                <w:color w:val="auto"/>
              </w:rPr>
            </w:pPr>
            <w:r>
              <w:rPr>
                <w:rFonts w:ascii="Arial" w:cs="Arial" w:eastAsia="Arial" w:hAnsi="Arial"/>
                <w:sz w:val="18"/>
                <w:szCs w:val="18"/>
                <w:color w:val="auto"/>
              </w:rPr>
              <w:t>Attention:</w:t>
            </w:r>
          </w:p>
        </w:tc>
        <w:tc>
          <w:tcPr>
            <w:tcW w:w="6220" w:type="dxa"/>
            <w:vAlign w:val="bottom"/>
          </w:tcPr>
          <w:p>
            <w:pPr>
              <w:ind w:left="300"/>
              <w:spacing w:after="0" w:line="202" w:lineRule="exact"/>
              <w:rPr>
                <w:sz w:val="20"/>
                <w:szCs w:val="20"/>
                <w:color w:val="auto"/>
              </w:rPr>
            </w:pPr>
            <w:r>
              <w:rPr>
                <w:rFonts w:ascii="Arial" w:cs="Arial" w:eastAsia="Arial" w:hAnsi="Arial"/>
                <w:sz w:val="18"/>
                <w:szCs w:val="18"/>
                <w:color w:val="auto"/>
              </w:rPr>
              <w:t>Glenn Johnson / Andrew Searle</w:t>
            </w:r>
          </w:p>
        </w:tc>
        <w:tc>
          <w:tcPr>
            <w:tcW w:w="0" w:type="dxa"/>
            <w:vAlign w:val="bottom"/>
          </w:tcPr>
          <w:p>
            <w:pPr>
              <w:spacing w:after="0"/>
              <w:rPr>
                <w:sz w:val="1"/>
                <w:szCs w:val="1"/>
                <w:color w:val="auto"/>
              </w:rPr>
            </w:pPr>
          </w:p>
        </w:tc>
      </w:tr>
      <w:tr>
        <w:trPr>
          <w:trHeight w:val="181"/>
        </w:trPr>
        <w:tc>
          <w:tcPr>
            <w:tcW w:w="3780" w:type="dxa"/>
            <w:vAlign w:val="bottom"/>
            <w:gridSpan w:val="3"/>
            <w:vMerge w:val="continue"/>
          </w:tcPr>
          <w:p>
            <w:pPr>
              <w:spacing w:after="0"/>
              <w:rPr>
                <w:sz w:val="15"/>
                <w:szCs w:val="15"/>
                <w:color w:val="auto"/>
              </w:rPr>
            </w:pPr>
          </w:p>
        </w:tc>
        <w:tc>
          <w:tcPr>
            <w:tcW w:w="1420" w:type="dxa"/>
            <w:vAlign w:val="bottom"/>
          </w:tcPr>
          <w:p>
            <w:pPr>
              <w:spacing w:after="0" w:line="181" w:lineRule="exact"/>
              <w:rPr>
                <w:sz w:val="20"/>
                <w:szCs w:val="20"/>
                <w:color w:val="auto"/>
              </w:rPr>
            </w:pPr>
            <w:r>
              <w:rPr>
                <w:rFonts w:ascii="Arial" w:cs="Arial" w:eastAsia="Arial" w:hAnsi="Arial"/>
                <w:sz w:val="18"/>
                <w:szCs w:val="18"/>
                <w:color w:val="auto"/>
              </w:rPr>
              <w:t>$133,750,000</w:t>
            </w:r>
          </w:p>
        </w:tc>
        <w:tc>
          <w:tcPr>
            <w:tcW w:w="6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Revolving Loan Commitment ($)</w:t>
            </w:r>
          </w:p>
        </w:tc>
        <w:tc>
          <w:tcPr>
            <w:tcW w:w="1420" w:type="dxa"/>
            <w:vAlign w:val="bottom"/>
          </w:tcPr>
          <w:p>
            <w:pPr>
              <w:spacing w:after="0" w:line="202" w:lineRule="exact"/>
              <w:rPr>
                <w:sz w:val="20"/>
                <w:szCs w:val="20"/>
                <w:color w:val="auto"/>
              </w:rPr>
            </w:pPr>
            <w:r>
              <w:rPr>
                <w:rFonts w:ascii="Arial" w:cs="Arial" w:eastAsia="Arial" w:hAnsi="Arial"/>
                <w:sz w:val="18"/>
                <w:szCs w:val="18"/>
                <w:color w:val="auto"/>
              </w:rPr>
              <w:t>$0</w:t>
            </w:r>
          </w:p>
        </w:tc>
        <w:tc>
          <w:tcPr>
            <w:tcW w:w="6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Aggregate Lender’s Commitments ($)</w:t>
            </w:r>
          </w:p>
        </w:tc>
        <w:tc>
          <w:tcPr>
            <w:tcW w:w="1420" w:type="dxa"/>
            <w:vAlign w:val="bottom"/>
          </w:tcPr>
          <w:p>
            <w:pPr>
              <w:spacing w:after="0"/>
              <w:rPr>
                <w:sz w:val="20"/>
                <w:szCs w:val="20"/>
                <w:color w:val="auto"/>
              </w:rPr>
            </w:pPr>
            <w:r>
              <w:rPr>
                <w:rFonts w:ascii="Arial" w:cs="Arial" w:eastAsia="Arial" w:hAnsi="Arial"/>
                <w:sz w:val="18"/>
                <w:szCs w:val="18"/>
                <w:color w:val="auto"/>
              </w:rPr>
              <w:t>$133,750,000</w:t>
            </w: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20" w:type="dxa"/>
            <w:vAlign w:val="bottom"/>
          </w:tcPr>
          <w:p>
            <w:pPr>
              <w:ind w:left="3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2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1420" w:type="dxa"/>
            <w:vAlign w:val="bottom"/>
            <w:tcBorders>
              <w:bottom w:val="single" w:sz="8" w:color="C0C0C0"/>
            </w:tcBorders>
          </w:tcPr>
          <w:p>
            <w:pPr>
              <w:spacing w:after="0"/>
              <w:rPr>
                <w:sz w:val="20"/>
                <w:szCs w:val="20"/>
                <w:color w:val="auto"/>
              </w:rPr>
            </w:pPr>
          </w:p>
        </w:tc>
        <w:tc>
          <w:tcPr>
            <w:tcW w:w="622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16" w:right="239" w:bottom="1440" w:gutter="0" w:footer="0" w:header="0"/>
        </w:sectPr>
      </w:pPr>
    </w:p>
    <w:bookmarkStart w:id="202" w:name="page203"/>
    <w:bookmarkEnd w:id="2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Skandinaviska Enskilda Banken AB (publ)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2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b w:val="1"/>
                <w:bCs w:val="1"/>
                <w:color w:val="auto"/>
                <w:w w:val="99"/>
              </w:rPr>
              <w:t>Facility Office, address, fax number and</w:t>
            </w:r>
          </w:p>
        </w:tc>
        <w:tc>
          <w:tcPr>
            <w:tcW w:w="340" w:type="dxa"/>
            <w:vAlign w:val="bottom"/>
          </w:tcPr>
          <w:p>
            <w:pPr>
              <w:spacing w:after="0"/>
              <w:rPr>
                <w:sz w:val="15"/>
                <w:szCs w:val="15"/>
                <w:color w:val="auto"/>
              </w:rPr>
            </w:pPr>
          </w:p>
        </w:tc>
        <w:tc>
          <w:tcPr>
            <w:tcW w:w="162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Documentation:</w:t>
            </w:r>
          </w:p>
        </w:tc>
        <w:tc>
          <w:tcPr>
            <w:tcW w:w="6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attention details for notices</w:t>
            </w:r>
          </w:p>
        </w:tc>
        <w:tc>
          <w:tcPr>
            <w:tcW w:w="1620" w:type="dxa"/>
            <w:vAlign w:val="bottom"/>
          </w:tcPr>
          <w:p>
            <w:pPr>
              <w:spacing w:after="0"/>
              <w:rPr>
                <w:sz w:val="20"/>
                <w:szCs w:val="20"/>
                <w:color w:val="auto"/>
              </w:rPr>
            </w:pPr>
            <w:r>
              <w:rPr>
                <w:rFonts w:ascii="Arial" w:cs="Arial" w:eastAsia="Arial" w:hAnsi="Arial"/>
                <w:sz w:val="18"/>
                <w:szCs w:val="18"/>
                <w:color w:val="auto"/>
              </w:rPr>
              <w:t>Address:</w:t>
            </w:r>
          </w:p>
        </w:tc>
        <w:tc>
          <w:tcPr>
            <w:tcW w:w="6020" w:type="dxa"/>
            <w:vAlign w:val="bottom"/>
          </w:tcPr>
          <w:p>
            <w:pPr>
              <w:ind w:left="100"/>
              <w:spacing w:after="0"/>
              <w:rPr>
                <w:sz w:val="20"/>
                <w:szCs w:val="20"/>
                <w:color w:val="auto"/>
              </w:rPr>
            </w:pPr>
            <w:r>
              <w:rPr>
                <w:rFonts w:ascii="Arial" w:cs="Arial" w:eastAsia="Arial" w:hAnsi="Arial"/>
                <w:sz w:val="18"/>
                <w:szCs w:val="18"/>
                <w:color w:val="auto"/>
              </w:rPr>
              <w:t>Skandinaviska Enskilda Banken AB (publ)</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20" w:type="dxa"/>
            <w:vAlign w:val="bottom"/>
          </w:tcPr>
          <w:p>
            <w:pPr>
              <w:ind w:left="100"/>
              <w:spacing w:after="0"/>
              <w:rPr>
                <w:sz w:val="20"/>
                <w:szCs w:val="20"/>
                <w:color w:val="auto"/>
              </w:rPr>
            </w:pPr>
            <w:r>
              <w:rPr>
                <w:rFonts w:ascii="Arial" w:cs="Arial" w:eastAsia="Arial" w:hAnsi="Arial"/>
                <w:sz w:val="18"/>
                <w:szCs w:val="18"/>
                <w:color w:val="auto"/>
              </w:rPr>
              <w:t>Kungsträdgårdsgatan 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020" w:type="dxa"/>
            <w:vAlign w:val="bottom"/>
          </w:tcPr>
          <w:p>
            <w:pPr>
              <w:ind w:left="100"/>
              <w:spacing w:after="0"/>
              <w:rPr>
                <w:sz w:val="20"/>
                <w:szCs w:val="20"/>
                <w:color w:val="auto"/>
              </w:rPr>
            </w:pPr>
            <w:r>
              <w:rPr>
                <w:rFonts w:ascii="Arial" w:cs="Arial" w:eastAsia="Arial" w:hAnsi="Arial"/>
                <w:sz w:val="18"/>
                <w:szCs w:val="18"/>
                <w:color w:val="auto"/>
              </w:rPr>
              <w:t>106 40 Stockholm</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20" w:type="dxa"/>
            <w:vAlign w:val="bottom"/>
          </w:tcPr>
          <w:p>
            <w:pPr>
              <w:ind w:left="100"/>
              <w:spacing w:after="0"/>
              <w:rPr>
                <w:sz w:val="20"/>
                <w:szCs w:val="20"/>
                <w:color w:val="auto"/>
              </w:rPr>
            </w:pPr>
            <w:r>
              <w:rPr>
                <w:rFonts w:ascii="Arial" w:cs="Arial" w:eastAsia="Arial" w:hAnsi="Arial"/>
                <w:sz w:val="18"/>
                <w:szCs w:val="18"/>
                <w:color w:val="auto"/>
              </w:rPr>
              <w:t>Sweden</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Tel:</w:t>
            </w:r>
          </w:p>
        </w:tc>
        <w:tc>
          <w:tcPr>
            <w:tcW w:w="6020" w:type="dxa"/>
            <w:vAlign w:val="bottom"/>
          </w:tcPr>
          <w:p>
            <w:pPr>
              <w:ind w:left="100"/>
              <w:spacing w:after="0"/>
              <w:rPr>
                <w:sz w:val="20"/>
                <w:szCs w:val="20"/>
                <w:color w:val="auto"/>
              </w:rPr>
            </w:pPr>
            <w:r>
              <w:rPr>
                <w:rFonts w:ascii="Arial" w:cs="Arial" w:eastAsia="Arial" w:hAnsi="Arial"/>
                <w:sz w:val="18"/>
                <w:szCs w:val="18"/>
                <w:color w:val="auto"/>
              </w:rPr>
              <w:t>+46 8 7638000</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For Credit Matters:</w:t>
            </w:r>
          </w:p>
        </w:tc>
        <w:tc>
          <w:tcPr>
            <w:tcW w:w="6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Address:</w:t>
            </w: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SEB</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One Carter Lane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London EC4V 5AN</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20" w:type="dxa"/>
            <w:vAlign w:val="bottom"/>
          </w:tcPr>
          <w:p>
            <w:pPr>
              <w:ind w:left="10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Tel:</w:t>
            </w:r>
          </w:p>
        </w:tc>
        <w:tc>
          <w:tcPr>
            <w:tcW w:w="6020" w:type="dxa"/>
            <w:vAlign w:val="bottom"/>
          </w:tcPr>
          <w:p>
            <w:pPr>
              <w:ind w:left="100"/>
              <w:spacing w:after="0"/>
              <w:rPr>
                <w:sz w:val="20"/>
                <w:szCs w:val="20"/>
                <w:color w:val="auto"/>
              </w:rPr>
            </w:pPr>
            <w:r>
              <w:rPr>
                <w:rFonts w:ascii="Arial" w:cs="Arial" w:eastAsia="Arial" w:hAnsi="Arial"/>
                <w:sz w:val="18"/>
                <w:szCs w:val="18"/>
                <w:color w:val="auto"/>
              </w:rPr>
              <w:t>+44 20 7246 4310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Email:</w:t>
            </w: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malcolm.stonehouse@seb.co.uk</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Attention:</w:t>
            </w:r>
          </w:p>
        </w:tc>
        <w:tc>
          <w:tcPr>
            <w:tcW w:w="6020" w:type="dxa"/>
            <w:vAlign w:val="bottom"/>
          </w:tcPr>
          <w:p>
            <w:pPr>
              <w:ind w:left="100"/>
              <w:spacing w:after="0"/>
              <w:rPr>
                <w:sz w:val="20"/>
                <w:szCs w:val="20"/>
                <w:color w:val="auto"/>
              </w:rPr>
            </w:pPr>
            <w:r>
              <w:rPr>
                <w:rFonts w:ascii="Arial" w:cs="Arial" w:eastAsia="Arial" w:hAnsi="Arial"/>
                <w:sz w:val="18"/>
                <w:szCs w:val="18"/>
                <w:color w:val="auto"/>
              </w:rPr>
              <w:t>Malcolm Stonehouse</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With a copy to:</w:t>
            </w:r>
          </w:p>
        </w:tc>
        <w:tc>
          <w:tcPr>
            <w:tcW w:w="6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Address:</w:t>
            </w: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SEB</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One Carter Lane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London EC4V 5AN</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20" w:type="dxa"/>
            <w:vAlign w:val="bottom"/>
          </w:tcPr>
          <w:p>
            <w:pPr>
              <w:ind w:left="10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Tel:</w:t>
            </w:r>
          </w:p>
        </w:tc>
        <w:tc>
          <w:tcPr>
            <w:tcW w:w="6020" w:type="dxa"/>
            <w:vAlign w:val="bottom"/>
          </w:tcPr>
          <w:p>
            <w:pPr>
              <w:ind w:left="100"/>
              <w:spacing w:after="0"/>
              <w:rPr>
                <w:sz w:val="20"/>
                <w:szCs w:val="20"/>
                <w:color w:val="auto"/>
              </w:rPr>
            </w:pPr>
            <w:r>
              <w:rPr>
                <w:rFonts w:ascii="Arial" w:cs="Arial" w:eastAsia="Arial" w:hAnsi="Arial"/>
                <w:sz w:val="18"/>
                <w:szCs w:val="18"/>
                <w:color w:val="auto"/>
              </w:rPr>
              <w:t>+44 20 7246 4069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Email:</w:t>
            </w: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ina.kuliese@seb.co.uk</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Attention:</w:t>
            </w:r>
          </w:p>
        </w:tc>
        <w:tc>
          <w:tcPr>
            <w:tcW w:w="6020" w:type="dxa"/>
            <w:vAlign w:val="bottom"/>
          </w:tcPr>
          <w:p>
            <w:pPr>
              <w:ind w:left="100"/>
              <w:spacing w:after="0"/>
              <w:rPr>
                <w:sz w:val="20"/>
                <w:szCs w:val="20"/>
                <w:color w:val="auto"/>
              </w:rPr>
            </w:pPr>
            <w:r>
              <w:rPr>
                <w:rFonts w:ascii="Arial" w:cs="Arial" w:eastAsia="Arial" w:hAnsi="Arial"/>
                <w:sz w:val="18"/>
                <w:szCs w:val="18"/>
                <w:color w:val="auto"/>
              </w:rPr>
              <w:t>Ina Kuliese</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Operations/Administrations: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Address:</w:t>
            </w: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SEB Structured Credit Operations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Rissneleden 110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106 40 Stockholm</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20" w:type="dxa"/>
            <w:vAlign w:val="bottom"/>
          </w:tcPr>
          <w:p>
            <w:pPr>
              <w:ind w:left="100"/>
              <w:spacing w:after="0"/>
              <w:rPr>
                <w:sz w:val="20"/>
                <w:szCs w:val="20"/>
                <w:color w:val="auto"/>
              </w:rPr>
            </w:pPr>
            <w:r>
              <w:rPr>
                <w:rFonts w:ascii="Arial" w:cs="Arial" w:eastAsia="Arial" w:hAnsi="Arial"/>
                <w:sz w:val="18"/>
                <w:szCs w:val="18"/>
                <w:color w:val="auto"/>
              </w:rPr>
              <w:t>Sweden</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Tel:</w:t>
            </w:r>
          </w:p>
        </w:tc>
        <w:tc>
          <w:tcPr>
            <w:tcW w:w="6020" w:type="dxa"/>
            <w:vAlign w:val="bottom"/>
          </w:tcPr>
          <w:p>
            <w:pPr>
              <w:ind w:left="100"/>
              <w:spacing w:after="0"/>
              <w:rPr>
                <w:sz w:val="20"/>
                <w:szCs w:val="20"/>
                <w:color w:val="auto"/>
              </w:rPr>
            </w:pPr>
            <w:r>
              <w:rPr>
                <w:rFonts w:ascii="Arial" w:cs="Arial" w:eastAsia="Arial" w:hAnsi="Arial"/>
                <w:sz w:val="18"/>
                <w:szCs w:val="18"/>
                <w:color w:val="auto"/>
              </w:rPr>
              <w:t>+46 8 763 8640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Fax:</w:t>
            </w: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+46 8 611 0384</w:t>
            </w:r>
          </w:p>
        </w:tc>
        <w:tc>
          <w:tcPr>
            <w:tcW w:w="0" w:type="dxa"/>
            <w:vAlign w:val="bottom"/>
          </w:tcPr>
          <w:p>
            <w:pPr>
              <w:spacing w:after="0"/>
              <w:rPr>
                <w:sz w:val="1"/>
                <w:szCs w:val="1"/>
                <w:color w:val="auto"/>
              </w:rPr>
            </w:pPr>
          </w:p>
        </w:tc>
      </w:tr>
      <w:tr>
        <w:trPr>
          <w:trHeight w:val="203"/>
        </w:trPr>
        <w:tc>
          <w:tcPr>
            <w:tcW w:w="3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Term Loan Commitment ($)</w:t>
            </w: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Email:</w:t>
            </w: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sco@seb.se</w:t>
            </w:r>
          </w:p>
        </w:tc>
        <w:tc>
          <w:tcPr>
            <w:tcW w:w="0" w:type="dxa"/>
            <w:vAlign w:val="bottom"/>
          </w:tcPr>
          <w:p>
            <w:pPr>
              <w:spacing w:after="0"/>
              <w:rPr>
                <w:sz w:val="1"/>
                <w:szCs w:val="1"/>
                <w:color w:val="auto"/>
              </w:rPr>
            </w:pPr>
          </w:p>
        </w:tc>
      </w:tr>
      <w:tr>
        <w:trPr>
          <w:trHeight w:val="181"/>
        </w:trPr>
        <w:tc>
          <w:tcPr>
            <w:tcW w:w="3780" w:type="dxa"/>
            <w:vAlign w:val="bottom"/>
            <w:gridSpan w:val="3"/>
            <w:vMerge w:val="continue"/>
          </w:tcPr>
          <w:p>
            <w:pPr>
              <w:spacing w:after="0"/>
              <w:rPr>
                <w:sz w:val="15"/>
                <w:szCs w:val="15"/>
                <w:color w:val="auto"/>
              </w:rPr>
            </w:pPr>
          </w:p>
        </w:tc>
        <w:tc>
          <w:tcPr>
            <w:tcW w:w="1620" w:type="dxa"/>
            <w:vAlign w:val="bottom"/>
          </w:tcPr>
          <w:p>
            <w:pPr>
              <w:spacing w:after="0" w:line="181" w:lineRule="exact"/>
              <w:rPr>
                <w:sz w:val="20"/>
                <w:szCs w:val="20"/>
                <w:color w:val="auto"/>
              </w:rPr>
            </w:pPr>
            <w:r>
              <w:rPr>
                <w:rFonts w:ascii="Arial" w:cs="Arial" w:eastAsia="Arial" w:hAnsi="Arial"/>
                <w:sz w:val="18"/>
                <w:szCs w:val="18"/>
                <w:color w:val="auto"/>
              </w:rPr>
              <w:t>$133,750,000</w:t>
            </w:r>
          </w:p>
        </w:tc>
        <w:tc>
          <w:tcPr>
            <w:tcW w:w="6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Revolving Loan Commitment ($)</w:t>
            </w: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0</w:t>
            </w:r>
          </w:p>
        </w:tc>
        <w:tc>
          <w:tcPr>
            <w:tcW w:w="6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Aggregate Lender’s Commitments ($)</w:t>
            </w:r>
          </w:p>
        </w:tc>
        <w:tc>
          <w:tcPr>
            <w:tcW w:w="1620" w:type="dxa"/>
            <w:vAlign w:val="bottom"/>
          </w:tcPr>
          <w:p>
            <w:pPr>
              <w:spacing w:after="0"/>
              <w:rPr>
                <w:sz w:val="20"/>
                <w:szCs w:val="20"/>
                <w:color w:val="auto"/>
              </w:rPr>
            </w:pPr>
            <w:r>
              <w:rPr>
                <w:rFonts w:ascii="Arial" w:cs="Arial" w:eastAsia="Arial" w:hAnsi="Arial"/>
                <w:sz w:val="18"/>
                <w:szCs w:val="18"/>
                <w:color w:val="auto"/>
              </w:rPr>
              <w:t>$133,750,000</w:t>
            </w:r>
          </w:p>
        </w:tc>
        <w:tc>
          <w:tcPr>
            <w:tcW w:w="6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2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1620" w:type="dxa"/>
            <w:vAlign w:val="bottom"/>
            <w:tcBorders>
              <w:bottom w:val="single" w:sz="8" w:color="C0C0C0"/>
            </w:tcBorders>
          </w:tcPr>
          <w:p>
            <w:pPr>
              <w:spacing w:after="0"/>
              <w:rPr>
                <w:sz w:val="20"/>
                <w:szCs w:val="20"/>
                <w:color w:val="auto"/>
              </w:rPr>
            </w:pPr>
          </w:p>
        </w:tc>
        <w:tc>
          <w:tcPr>
            <w:tcW w:w="602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17" w:right="239" w:bottom="1440" w:gutter="0" w:footer="0" w:header="0"/>
        </w:sectPr>
      </w:pPr>
    </w:p>
    <w:bookmarkStart w:id="203" w:name="page204"/>
    <w:bookmarkEnd w:id="2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620" w:type="dxa"/>
            <w:vAlign w:val="bottom"/>
          </w:tcPr>
          <w:p>
            <w:pPr>
              <w:spacing w:after="0"/>
              <w:rPr>
                <w:sz w:val="20"/>
                <w:szCs w:val="20"/>
                <w:color w:val="auto"/>
              </w:rPr>
            </w:pPr>
            <w:r>
              <w:rPr>
                <w:rFonts w:ascii="Arial" w:cs="Arial" w:eastAsia="Arial" w:hAnsi="Arial"/>
                <w:sz w:val="18"/>
                <w:szCs w:val="18"/>
                <w:b w:val="1"/>
                <w:bCs w:val="1"/>
                <w:color w:val="auto"/>
              </w:rPr>
              <w:t>HSBC Bank plc</w:t>
            </w:r>
          </w:p>
        </w:tc>
        <w:tc>
          <w:tcPr>
            <w:tcW w:w="4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2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b w:val="1"/>
                <w:bCs w:val="1"/>
                <w:color w:val="auto"/>
                <w:w w:val="99"/>
              </w:rPr>
              <w:t>Facility Office, address, fax number and</w:t>
            </w:r>
          </w:p>
        </w:tc>
        <w:tc>
          <w:tcPr>
            <w:tcW w:w="340" w:type="dxa"/>
            <w:vAlign w:val="bottom"/>
          </w:tcPr>
          <w:p>
            <w:pPr>
              <w:spacing w:after="0"/>
              <w:rPr>
                <w:sz w:val="15"/>
                <w:szCs w:val="15"/>
                <w:color w:val="auto"/>
              </w:rPr>
            </w:pPr>
          </w:p>
        </w:tc>
        <w:tc>
          <w:tcPr>
            <w:tcW w:w="162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Facility Office:</w:t>
            </w:r>
          </w:p>
        </w:tc>
        <w:tc>
          <w:tcPr>
            <w:tcW w:w="420" w:type="dxa"/>
            <w:vAlign w:val="bottom"/>
            <w:tcBorders>
              <w:top w:val="single" w:sz="8" w:color="auto"/>
            </w:tcBorders>
          </w:tcPr>
          <w:p>
            <w:pPr>
              <w:spacing w:after="0"/>
              <w:rPr>
                <w:sz w:val="15"/>
                <w:szCs w:val="15"/>
                <w:color w:val="auto"/>
              </w:rPr>
            </w:pPr>
          </w:p>
        </w:tc>
        <w:tc>
          <w:tcPr>
            <w:tcW w:w="56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attention details for notices</w:t>
            </w:r>
          </w:p>
        </w:tc>
        <w:tc>
          <w:tcPr>
            <w:tcW w:w="1620" w:type="dxa"/>
            <w:vAlign w:val="bottom"/>
          </w:tcPr>
          <w:p>
            <w:pPr>
              <w:spacing w:after="0"/>
              <w:rPr>
                <w:sz w:val="20"/>
                <w:szCs w:val="20"/>
                <w:color w:val="auto"/>
              </w:rPr>
            </w:pPr>
            <w:r>
              <w:rPr>
                <w:rFonts w:ascii="Arial" w:cs="Arial" w:eastAsia="Arial" w:hAnsi="Arial"/>
                <w:sz w:val="18"/>
                <w:szCs w:val="18"/>
                <w:color w:val="auto"/>
              </w:rPr>
              <w:t>Address:</w:t>
            </w:r>
          </w:p>
        </w:tc>
        <w:tc>
          <w:tcPr>
            <w:tcW w:w="6020" w:type="dxa"/>
            <w:vAlign w:val="bottom"/>
            <w:gridSpan w:val="2"/>
          </w:tcPr>
          <w:p>
            <w:pPr>
              <w:ind w:left="100"/>
              <w:spacing w:after="0"/>
              <w:rPr>
                <w:sz w:val="20"/>
                <w:szCs w:val="20"/>
                <w:color w:val="auto"/>
              </w:rPr>
            </w:pPr>
            <w:r>
              <w:rPr>
                <w:rFonts w:ascii="Arial" w:cs="Arial" w:eastAsia="Arial" w:hAnsi="Arial"/>
                <w:sz w:val="18"/>
                <w:szCs w:val="18"/>
                <w:color w:val="auto"/>
              </w:rPr>
              <w:t>8 Canada Square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London, E14 5HQ</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20" w:type="dxa"/>
            <w:vAlign w:val="bottom"/>
            <w:gridSpan w:val="2"/>
          </w:tcPr>
          <w:p>
            <w:pPr>
              <w:ind w:left="10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For Credit Matters:</w:t>
            </w:r>
          </w:p>
        </w:tc>
        <w:tc>
          <w:tcPr>
            <w:tcW w:w="4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Address:</w:t>
            </w:r>
          </w:p>
        </w:tc>
        <w:tc>
          <w:tcPr>
            <w:tcW w:w="60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109-111 Messoghion Avenue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GR-115 26 Athens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20" w:type="dxa"/>
            <w:vAlign w:val="bottom"/>
            <w:gridSpan w:val="2"/>
          </w:tcPr>
          <w:p>
            <w:pPr>
              <w:ind w:left="100"/>
              <w:spacing w:after="0"/>
              <w:rPr>
                <w:sz w:val="20"/>
                <w:szCs w:val="20"/>
                <w:color w:val="auto"/>
              </w:rPr>
            </w:pPr>
            <w:r>
              <w:rPr>
                <w:rFonts w:ascii="Arial" w:cs="Arial" w:eastAsia="Arial" w:hAnsi="Arial"/>
                <w:sz w:val="18"/>
                <w:szCs w:val="18"/>
                <w:color w:val="auto"/>
              </w:rPr>
              <w:t>Greece</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Tel:</w:t>
            </w:r>
          </w:p>
        </w:tc>
        <w:tc>
          <w:tcPr>
            <w:tcW w:w="420" w:type="dxa"/>
            <w:vAlign w:val="bottom"/>
          </w:tcPr>
          <w:p>
            <w:pPr>
              <w:ind w:left="100"/>
              <w:spacing w:after="0"/>
              <w:rPr>
                <w:sz w:val="20"/>
                <w:szCs w:val="20"/>
                <w:color w:val="auto"/>
              </w:rPr>
            </w:pPr>
            <w:r>
              <w:rPr>
                <w:rFonts w:ascii="Arial" w:cs="Arial" w:eastAsia="Arial" w:hAnsi="Arial"/>
                <w:sz w:val="18"/>
                <w:szCs w:val="18"/>
                <w:color w:val="auto"/>
                <w:w w:val="98"/>
              </w:rPr>
              <w:t>+30</w:t>
            </w:r>
          </w:p>
        </w:tc>
        <w:tc>
          <w:tcPr>
            <w:tcW w:w="5600" w:type="dxa"/>
            <w:vAlign w:val="bottom"/>
          </w:tcPr>
          <w:p>
            <w:pPr>
              <w:ind w:left="20"/>
              <w:spacing w:after="0"/>
              <w:rPr>
                <w:sz w:val="20"/>
                <w:szCs w:val="20"/>
                <w:color w:val="auto"/>
              </w:rPr>
            </w:pPr>
            <w:r>
              <w:rPr>
                <w:rFonts w:ascii="Arial" w:cs="Arial" w:eastAsia="Arial" w:hAnsi="Arial"/>
                <w:sz w:val="18"/>
                <w:szCs w:val="18"/>
                <w:color w:val="auto"/>
              </w:rPr>
              <w:t>210 696 1429 / +30 210 696 1435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Fax:</w:t>
            </w:r>
          </w:p>
        </w:tc>
        <w:tc>
          <w:tcPr>
            <w:tcW w:w="420" w:type="dxa"/>
            <w:vAlign w:val="bottom"/>
          </w:tcPr>
          <w:p>
            <w:pPr>
              <w:ind w:left="100"/>
              <w:spacing w:after="0" w:line="202" w:lineRule="exact"/>
              <w:rPr>
                <w:sz w:val="20"/>
                <w:szCs w:val="20"/>
                <w:color w:val="auto"/>
              </w:rPr>
            </w:pPr>
            <w:r>
              <w:rPr>
                <w:rFonts w:ascii="Arial" w:cs="Arial" w:eastAsia="Arial" w:hAnsi="Arial"/>
                <w:sz w:val="18"/>
                <w:szCs w:val="18"/>
                <w:color w:val="auto"/>
                <w:w w:val="98"/>
              </w:rPr>
              <w:t>+30</w:t>
            </w:r>
          </w:p>
        </w:tc>
        <w:tc>
          <w:tcPr>
            <w:tcW w:w="5600" w:type="dxa"/>
            <w:vAlign w:val="bottom"/>
          </w:tcPr>
          <w:p>
            <w:pPr>
              <w:ind w:left="20"/>
              <w:spacing w:after="0" w:line="202" w:lineRule="exact"/>
              <w:rPr>
                <w:sz w:val="20"/>
                <w:szCs w:val="20"/>
                <w:color w:val="auto"/>
              </w:rPr>
            </w:pPr>
            <w:r>
              <w:rPr>
                <w:rFonts w:ascii="Arial" w:cs="Arial" w:eastAsia="Arial" w:hAnsi="Arial"/>
                <w:sz w:val="18"/>
                <w:szCs w:val="18"/>
                <w:color w:val="auto"/>
              </w:rPr>
              <w:t>210 429 0506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Email:</w:t>
            </w:r>
          </w:p>
        </w:tc>
        <w:tc>
          <w:tcPr>
            <w:tcW w:w="60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antonis.lamnides@hsbc.com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makis.mendoros@hsbc.com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Attention:</w:t>
            </w:r>
          </w:p>
        </w:tc>
        <w:tc>
          <w:tcPr>
            <w:tcW w:w="60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Antonis Lamnides (Senior Relationship Manager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Shipping) / Makis Mendoros (Head of Shipping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Client Management)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40" w:type="dxa"/>
            <w:vAlign w:val="bottom"/>
            <w:gridSpan w:val="3"/>
          </w:tcPr>
          <w:p>
            <w:pPr>
              <w:spacing w:after="0" w:line="202" w:lineRule="exact"/>
              <w:rPr>
                <w:sz w:val="20"/>
                <w:szCs w:val="20"/>
                <w:color w:val="auto"/>
              </w:rPr>
            </w:pPr>
            <w:r>
              <w:rPr>
                <w:rFonts w:ascii="Arial" w:cs="Arial" w:eastAsia="Arial" w:hAnsi="Arial"/>
                <w:sz w:val="18"/>
                <w:szCs w:val="18"/>
                <w:color w:val="auto"/>
              </w:rPr>
              <w:t>Operations/Administrations: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Address:</w:t>
            </w:r>
          </w:p>
        </w:tc>
        <w:tc>
          <w:tcPr>
            <w:tcW w:w="60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HSBC Bank Plc</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Level 27, 8 Canada Square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London, E145 HQ</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20" w:type="dxa"/>
            <w:vAlign w:val="bottom"/>
            <w:gridSpan w:val="2"/>
          </w:tcPr>
          <w:p>
            <w:pPr>
              <w:ind w:left="10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Tel:</w:t>
            </w:r>
          </w:p>
        </w:tc>
        <w:tc>
          <w:tcPr>
            <w:tcW w:w="420" w:type="dxa"/>
            <w:vAlign w:val="bottom"/>
          </w:tcPr>
          <w:p>
            <w:pPr>
              <w:ind w:left="100"/>
              <w:spacing w:after="0"/>
              <w:rPr>
                <w:sz w:val="20"/>
                <w:szCs w:val="20"/>
                <w:color w:val="auto"/>
              </w:rPr>
            </w:pPr>
            <w:r>
              <w:rPr>
                <w:rFonts w:ascii="Arial" w:cs="Arial" w:eastAsia="Arial" w:hAnsi="Arial"/>
                <w:sz w:val="18"/>
                <w:szCs w:val="18"/>
                <w:color w:val="auto"/>
                <w:w w:val="98"/>
              </w:rPr>
              <w:t>+44</w:t>
            </w:r>
          </w:p>
        </w:tc>
        <w:tc>
          <w:tcPr>
            <w:tcW w:w="5600" w:type="dxa"/>
            <w:vAlign w:val="bottom"/>
          </w:tcPr>
          <w:p>
            <w:pPr>
              <w:ind w:left="20"/>
              <w:spacing w:after="0"/>
              <w:rPr>
                <w:sz w:val="20"/>
                <w:szCs w:val="20"/>
                <w:color w:val="auto"/>
              </w:rPr>
            </w:pPr>
            <w:r>
              <w:rPr>
                <w:rFonts w:ascii="Arial" w:cs="Arial" w:eastAsia="Arial" w:hAnsi="Arial"/>
                <w:sz w:val="18"/>
                <w:szCs w:val="18"/>
                <w:color w:val="auto"/>
              </w:rPr>
              <w:t>207 992 5179 / +44 207 991 8288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Fax:</w:t>
            </w:r>
          </w:p>
        </w:tc>
        <w:tc>
          <w:tcPr>
            <w:tcW w:w="420" w:type="dxa"/>
            <w:vAlign w:val="bottom"/>
          </w:tcPr>
          <w:p>
            <w:pPr>
              <w:ind w:left="100"/>
              <w:spacing w:after="0" w:line="202" w:lineRule="exact"/>
              <w:rPr>
                <w:sz w:val="20"/>
                <w:szCs w:val="20"/>
                <w:color w:val="auto"/>
              </w:rPr>
            </w:pPr>
            <w:r>
              <w:rPr>
                <w:rFonts w:ascii="Arial" w:cs="Arial" w:eastAsia="Arial" w:hAnsi="Arial"/>
                <w:sz w:val="18"/>
                <w:szCs w:val="18"/>
                <w:color w:val="auto"/>
                <w:w w:val="98"/>
              </w:rPr>
              <w:t>+44</w:t>
            </w:r>
          </w:p>
        </w:tc>
        <w:tc>
          <w:tcPr>
            <w:tcW w:w="5600" w:type="dxa"/>
            <w:vAlign w:val="bottom"/>
          </w:tcPr>
          <w:p>
            <w:pPr>
              <w:ind w:left="20"/>
              <w:spacing w:after="0" w:line="202" w:lineRule="exact"/>
              <w:rPr>
                <w:sz w:val="20"/>
                <w:szCs w:val="20"/>
                <w:color w:val="auto"/>
              </w:rPr>
            </w:pPr>
            <w:r>
              <w:rPr>
                <w:rFonts w:ascii="Arial" w:cs="Arial" w:eastAsia="Arial" w:hAnsi="Arial"/>
                <w:sz w:val="18"/>
                <w:szCs w:val="18"/>
                <w:color w:val="auto"/>
              </w:rPr>
              <w:t>207 992 4680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Attention:</w:t>
            </w:r>
          </w:p>
        </w:tc>
        <w:tc>
          <w:tcPr>
            <w:tcW w:w="6020" w:type="dxa"/>
            <w:vAlign w:val="bottom"/>
            <w:gridSpan w:val="2"/>
          </w:tcPr>
          <w:p>
            <w:pPr>
              <w:ind w:left="100"/>
              <w:spacing w:after="0"/>
              <w:rPr>
                <w:sz w:val="20"/>
                <w:szCs w:val="20"/>
                <w:color w:val="auto"/>
              </w:rPr>
            </w:pPr>
            <w:r>
              <w:rPr>
                <w:rFonts w:ascii="Arial" w:cs="Arial" w:eastAsia="Arial" w:hAnsi="Arial"/>
                <w:sz w:val="18"/>
                <w:szCs w:val="18"/>
                <w:color w:val="auto"/>
              </w:rPr>
              <w:t>Process Manager, Loans Administration</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40" w:type="dxa"/>
            <w:vAlign w:val="bottom"/>
            <w:gridSpan w:val="3"/>
          </w:tcPr>
          <w:p>
            <w:pPr>
              <w:spacing w:after="0"/>
              <w:rPr>
                <w:sz w:val="20"/>
                <w:szCs w:val="20"/>
                <w:color w:val="auto"/>
              </w:rPr>
            </w:pPr>
            <w:r>
              <w:rPr>
                <w:rFonts w:ascii="Arial" w:cs="Arial" w:eastAsia="Arial" w:hAnsi="Arial"/>
                <w:sz w:val="18"/>
                <w:szCs w:val="18"/>
                <w:color w:val="auto"/>
              </w:rPr>
              <w:t>Operations contact International (EMEA) Loans Team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Address:</w:t>
            </w:r>
          </w:p>
        </w:tc>
        <w:tc>
          <w:tcPr>
            <w:tcW w:w="60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Corporate Trust and Loan Agency, Europe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HSBC Security Services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Level 27, 8 Canada Square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London, E145 HQ</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20" w:type="dxa"/>
            <w:vAlign w:val="bottom"/>
            <w:gridSpan w:val="2"/>
          </w:tcPr>
          <w:p>
            <w:pPr>
              <w:ind w:left="10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Tel:</w:t>
            </w:r>
          </w:p>
        </w:tc>
        <w:tc>
          <w:tcPr>
            <w:tcW w:w="420" w:type="dxa"/>
            <w:vAlign w:val="bottom"/>
          </w:tcPr>
          <w:p>
            <w:pPr>
              <w:ind w:left="100"/>
              <w:spacing w:after="0"/>
              <w:rPr>
                <w:sz w:val="20"/>
                <w:szCs w:val="20"/>
                <w:color w:val="auto"/>
              </w:rPr>
            </w:pPr>
            <w:r>
              <w:rPr>
                <w:rFonts w:ascii="Arial" w:cs="Arial" w:eastAsia="Arial" w:hAnsi="Arial"/>
                <w:sz w:val="18"/>
                <w:szCs w:val="18"/>
                <w:color w:val="auto"/>
                <w:w w:val="98"/>
              </w:rPr>
              <w:t>+44</w:t>
            </w:r>
          </w:p>
        </w:tc>
        <w:tc>
          <w:tcPr>
            <w:tcW w:w="5600" w:type="dxa"/>
            <w:vAlign w:val="bottom"/>
          </w:tcPr>
          <w:p>
            <w:pPr>
              <w:ind w:left="20"/>
              <w:spacing w:after="0"/>
              <w:rPr>
                <w:sz w:val="20"/>
                <w:szCs w:val="20"/>
                <w:color w:val="auto"/>
              </w:rPr>
            </w:pPr>
            <w:r>
              <w:rPr>
                <w:rFonts w:ascii="Arial" w:cs="Arial" w:eastAsia="Arial" w:hAnsi="Arial"/>
                <w:sz w:val="18"/>
                <w:szCs w:val="18"/>
                <w:color w:val="auto"/>
              </w:rPr>
              <w:t>207 991 8293 / +44 207 991 8295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20" w:type="dxa"/>
            <w:vAlign w:val="bottom"/>
          </w:tcPr>
          <w:p>
            <w:pPr>
              <w:ind w:left="100"/>
              <w:spacing w:after="0" w:line="202" w:lineRule="exact"/>
              <w:rPr>
                <w:sz w:val="20"/>
                <w:szCs w:val="20"/>
                <w:color w:val="auto"/>
              </w:rPr>
            </w:pPr>
            <w:r>
              <w:rPr>
                <w:rFonts w:ascii="Arial" w:cs="Arial" w:eastAsia="Arial" w:hAnsi="Arial"/>
                <w:sz w:val="18"/>
                <w:szCs w:val="18"/>
                <w:color w:val="auto"/>
                <w:w w:val="98"/>
              </w:rPr>
              <w:t>+44</w:t>
            </w:r>
          </w:p>
        </w:tc>
        <w:tc>
          <w:tcPr>
            <w:tcW w:w="5600" w:type="dxa"/>
            <w:vAlign w:val="bottom"/>
          </w:tcPr>
          <w:p>
            <w:pPr>
              <w:ind w:left="20"/>
              <w:spacing w:after="0" w:line="202" w:lineRule="exact"/>
              <w:rPr>
                <w:sz w:val="20"/>
                <w:szCs w:val="20"/>
                <w:color w:val="auto"/>
              </w:rPr>
            </w:pPr>
            <w:r>
              <w:rPr>
                <w:rFonts w:ascii="Arial" w:cs="Arial" w:eastAsia="Arial" w:hAnsi="Arial"/>
                <w:sz w:val="18"/>
                <w:szCs w:val="18"/>
                <w:color w:val="auto"/>
              </w:rPr>
              <w:t>207 991 8289 / +44 207 992 5179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Fax:</w:t>
            </w:r>
          </w:p>
        </w:tc>
        <w:tc>
          <w:tcPr>
            <w:tcW w:w="420" w:type="dxa"/>
            <w:vAlign w:val="bottom"/>
          </w:tcPr>
          <w:p>
            <w:pPr>
              <w:ind w:left="100"/>
              <w:spacing w:after="0" w:line="202" w:lineRule="exact"/>
              <w:rPr>
                <w:sz w:val="20"/>
                <w:szCs w:val="20"/>
                <w:color w:val="auto"/>
              </w:rPr>
            </w:pPr>
            <w:r>
              <w:rPr>
                <w:rFonts w:ascii="Arial" w:cs="Arial" w:eastAsia="Arial" w:hAnsi="Arial"/>
                <w:sz w:val="18"/>
                <w:szCs w:val="18"/>
                <w:color w:val="auto"/>
                <w:w w:val="98"/>
              </w:rPr>
              <w:t>+44</w:t>
            </w:r>
          </w:p>
        </w:tc>
        <w:tc>
          <w:tcPr>
            <w:tcW w:w="5600" w:type="dxa"/>
            <w:vAlign w:val="bottom"/>
          </w:tcPr>
          <w:p>
            <w:pPr>
              <w:ind w:left="20"/>
              <w:spacing w:after="0" w:line="202" w:lineRule="exact"/>
              <w:rPr>
                <w:sz w:val="20"/>
                <w:szCs w:val="20"/>
                <w:color w:val="auto"/>
              </w:rPr>
            </w:pPr>
            <w:r>
              <w:rPr>
                <w:rFonts w:ascii="Arial" w:cs="Arial" w:eastAsia="Arial" w:hAnsi="Arial"/>
                <w:sz w:val="18"/>
                <w:szCs w:val="18"/>
                <w:color w:val="auto"/>
              </w:rPr>
              <w:t>207 992 4680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Attention:</w:t>
            </w:r>
          </w:p>
        </w:tc>
        <w:tc>
          <w:tcPr>
            <w:tcW w:w="60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Loans Administration</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20" w:type="dxa"/>
            <w:vAlign w:val="bottom"/>
            <w:gridSpan w:val="2"/>
          </w:tcPr>
          <w:p>
            <w:pPr>
              <w:ind w:left="100"/>
              <w:spacing w:after="0"/>
              <w:rPr>
                <w:sz w:val="20"/>
                <w:szCs w:val="20"/>
                <w:color w:val="auto"/>
              </w:rPr>
            </w:pPr>
            <w:r>
              <w:rPr>
                <w:rFonts w:ascii="Arial" w:cs="Arial" w:eastAsia="Arial" w:hAnsi="Arial"/>
                <w:sz w:val="18"/>
                <w:szCs w:val="18"/>
                <w:color w:val="auto"/>
              </w:rPr>
              <w:t>Wei Min Lai / Vickneswary Munusamy</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40" w:type="dxa"/>
            <w:vAlign w:val="bottom"/>
            <w:gridSpan w:val="3"/>
          </w:tcPr>
          <w:p>
            <w:pPr>
              <w:spacing w:after="0"/>
              <w:rPr>
                <w:sz w:val="20"/>
                <w:szCs w:val="20"/>
                <w:color w:val="auto"/>
              </w:rPr>
            </w:pPr>
            <w:r>
              <w:rPr>
                <w:rFonts w:ascii="Arial" w:cs="Arial" w:eastAsia="Arial" w:hAnsi="Arial"/>
                <w:sz w:val="18"/>
                <w:szCs w:val="18"/>
                <w:color w:val="auto"/>
              </w:rPr>
              <w:t>Operations Contact Athens Greece: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Address:</w:t>
            </w:r>
          </w:p>
        </w:tc>
        <w:tc>
          <w:tcPr>
            <w:tcW w:w="60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109-111 Messoghion Avenue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GR-115 26 Athens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20" w:type="dxa"/>
            <w:vAlign w:val="bottom"/>
            <w:gridSpan w:val="2"/>
          </w:tcPr>
          <w:p>
            <w:pPr>
              <w:ind w:left="100"/>
              <w:spacing w:after="0"/>
              <w:rPr>
                <w:sz w:val="20"/>
                <w:szCs w:val="20"/>
                <w:color w:val="auto"/>
              </w:rPr>
            </w:pPr>
            <w:r>
              <w:rPr>
                <w:rFonts w:ascii="Arial" w:cs="Arial" w:eastAsia="Arial" w:hAnsi="Arial"/>
                <w:sz w:val="18"/>
                <w:szCs w:val="18"/>
                <w:color w:val="auto"/>
              </w:rPr>
              <w:t>Greece</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Tel:</w:t>
            </w:r>
          </w:p>
        </w:tc>
        <w:tc>
          <w:tcPr>
            <w:tcW w:w="420" w:type="dxa"/>
            <w:vAlign w:val="bottom"/>
          </w:tcPr>
          <w:p>
            <w:pPr>
              <w:ind w:left="100"/>
              <w:spacing w:after="0"/>
              <w:rPr>
                <w:sz w:val="20"/>
                <w:szCs w:val="20"/>
                <w:color w:val="auto"/>
              </w:rPr>
            </w:pPr>
            <w:r>
              <w:rPr>
                <w:rFonts w:ascii="Arial" w:cs="Arial" w:eastAsia="Arial" w:hAnsi="Arial"/>
                <w:sz w:val="18"/>
                <w:szCs w:val="18"/>
                <w:color w:val="auto"/>
                <w:w w:val="98"/>
              </w:rPr>
              <w:t>+30</w:t>
            </w:r>
          </w:p>
        </w:tc>
        <w:tc>
          <w:tcPr>
            <w:tcW w:w="5600" w:type="dxa"/>
            <w:vAlign w:val="bottom"/>
          </w:tcPr>
          <w:p>
            <w:pPr>
              <w:ind w:left="20"/>
              <w:spacing w:after="0"/>
              <w:rPr>
                <w:sz w:val="20"/>
                <w:szCs w:val="20"/>
                <w:color w:val="auto"/>
              </w:rPr>
            </w:pPr>
            <w:r>
              <w:rPr>
                <w:rFonts w:ascii="Arial" w:cs="Arial" w:eastAsia="Arial" w:hAnsi="Arial"/>
                <w:sz w:val="18"/>
                <w:szCs w:val="18"/>
                <w:color w:val="auto"/>
              </w:rPr>
              <w:t>210 696 1261 / +30 210 696 1266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20" w:type="dxa"/>
            <w:vAlign w:val="bottom"/>
          </w:tcPr>
          <w:p>
            <w:pPr>
              <w:ind w:left="100"/>
              <w:spacing w:after="0" w:line="202" w:lineRule="exact"/>
              <w:rPr>
                <w:sz w:val="20"/>
                <w:szCs w:val="20"/>
                <w:color w:val="auto"/>
              </w:rPr>
            </w:pPr>
            <w:r>
              <w:rPr>
                <w:rFonts w:ascii="Arial" w:cs="Arial" w:eastAsia="Arial" w:hAnsi="Arial"/>
                <w:sz w:val="18"/>
                <w:szCs w:val="18"/>
                <w:color w:val="auto"/>
                <w:w w:val="98"/>
              </w:rPr>
              <w:t>+30</w:t>
            </w:r>
          </w:p>
        </w:tc>
        <w:tc>
          <w:tcPr>
            <w:tcW w:w="5600" w:type="dxa"/>
            <w:vAlign w:val="bottom"/>
          </w:tcPr>
          <w:p>
            <w:pPr>
              <w:ind w:left="20"/>
              <w:spacing w:after="0" w:line="202" w:lineRule="exact"/>
              <w:rPr>
                <w:sz w:val="20"/>
                <w:szCs w:val="20"/>
                <w:color w:val="auto"/>
              </w:rPr>
            </w:pPr>
            <w:r>
              <w:rPr>
                <w:rFonts w:ascii="Arial" w:cs="Arial" w:eastAsia="Arial" w:hAnsi="Arial"/>
                <w:sz w:val="18"/>
                <w:szCs w:val="18"/>
                <w:color w:val="auto"/>
              </w:rPr>
              <w:t>210 696 1264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Fax:</w:t>
            </w:r>
          </w:p>
        </w:tc>
        <w:tc>
          <w:tcPr>
            <w:tcW w:w="420" w:type="dxa"/>
            <w:vAlign w:val="bottom"/>
          </w:tcPr>
          <w:p>
            <w:pPr>
              <w:ind w:left="100"/>
              <w:spacing w:after="0" w:line="202" w:lineRule="exact"/>
              <w:rPr>
                <w:sz w:val="20"/>
                <w:szCs w:val="20"/>
                <w:color w:val="auto"/>
              </w:rPr>
            </w:pPr>
            <w:r>
              <w:rPr>
                <w:rFonts w:ascii="Arial" w:cs="Arial" w:eastAsia="Arial" w:hAnsi="Arial"/>
                <w:sz w:val="18"/>
                <w:szCs w:val="18"/>
                <w:color w:val="auto"/>
                <w:w w:val="98"/>
              </w:rPr>
              <w:t>+30</w:t>
            </w:r>
          </w:p>
        </w:tc>
        <w:tc>
          <w:tcPr>
            <w:tcW w:w="5600" w:type="dxa"/>
            <w:vAlign w:val="bottom"/>
          </w:tcPr>
          <w:p>
            <w:pPr>
              <w:ind w:left="20"/>
              <w:spacing w:after="0" w:line="202" w:lineRule="exact"/>
              <w:rPr>
                <w:sz w:val="20"/>
                <w:szCs w:val="20"/>
                <w:color w:val="auto"/>
              </w:rPr>
            </w:pPr>
            <w:r>
              <w:rPr>
                <w:rFonts w:ascii="Arial" w:cs="Arial" w:eastAsia="Arial" w:hAnsi="Arial"/>
                <w:sz w:val="18"/>
                <w:szCs w:val="18"/>
                <w:color w:val="auto"/>
              </w:rPr>
              <w:t>210 692 9180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Email:</w:t>
            </w:r>
          </w:p>
        </w:tc>
        <w:tc>
          <w:tcPr>
            <w:tcW w:w="60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commercial.operations-gr@hsbc.com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Attention:</w:t>
            </w:r>
          </w:p>
        </w:tc>
        <w:tc>
          <w:tcPr>
            <w:tcW w:w="60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Loans Administration / Sissy Constantinidou /</w:t>
            </w:r>
          </w:p>
        </w:tc>
        <w:tc>
          <w:tcPr>
            <w:tcW w:w="0" w:type="dxa"/>
            <w:vAlign w:val="bottom"/>
          </w:tcPr>
          <w:p>
            <w:pPr>
              <w:spacing w:after="0"/>
              <w:rPr>
                <w:sz w:val="1"/>
                <w:szCs w:val="1"/>
                <w:color w:val="auto"/>
              </w:rPr>
            </w:pPr>
          </w:p>
        </w:tc>
      </w:tr>
      <w:tr>
        <w:trPr>
          <w:trHeight w:val="217"/>
        </w:trPr>
        <w:tc>
          <w:tcPr>
            <w:tcW w:w="3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Term Loan Commitment ($)</w:t>
            </w:r>
          </w:p>
        </w:tc>
        <w:tc>
          <w:tcPr>
            <w:tcW w:w="1620" w:type="dxa"/>
            <w:vAlign w:val="bottom"/>
            <w:vMerge w:val="restart"/>
          </w:tcPr>
          <w:p>
            <w:pPr>
              <w:spacing w:after="0"/>
              <w:rPr>
                <w:sz w:val="20"/>
                <w:szCs w:val="20"/>
                <w:color w:val="auto"/>
              </w:rPr>
            </w:pPr>
            <w:r>
              <w:rPr>
                <w:rFonts w:ascii="Arial" w:cs="Arial" w:eastAsia="Arial" w:hAnsi="Arial"/>
                <w:sz w:val="18"/>
                <w:szCs w:val="18"/>
                <w:color w:val="auto"/>
              </w:rPr>
              <w:t>$133,750,000</w:t>
            </w:r>
          </w:p>
        </w:tc>
        <w:tc>
          <w:tcPr>
            <w:tcW w:w="6020" w:type="dxa"/>
            <w:vAlign w:val="bottom"/>
            <w:gridSpan w:val="2"/>
          </w:tcPr>
          <w:p>
            <w:pPr>
              <w:ind w:left="100"/>
              <w:spacing w:after="0"/>
              <w:rPr>
                <w:sz w:val="20"/>
                <w:szCs w:val="20"/>
                <w:color w:val="auto"/>
              </w:rPr>
            </w:pPr>
            <w:r>
              <w:rPr>
                <w:rFonts w:ascii="Arial" w:cs="Arial" w:eastAsia="Arial" w:hAnsi="Arial"/>
                <w:sz w:val="18"/>
                <w:szCs w:val="18"/>
                <w:color w:val="auto"/>
              </w:rPr>
              <w:t>Michael Filippas / Maria Drimoussi</w:t>
            </w:r>
          </w:p>
        </w:tc>
        <w:tc>
          <w:tcPr>
            <w:tcW w:w="0" w:type="dxa"/>
            <w:vAlign w:val="bottom"/>
          </w:tcPr>
          <w:p>
            <w:pPr>
              <w:spacing w:after="0"/>
              <w:rPr>
                <w:sz w:val="1"/>
                <w:szCs w:val="1"/>
                <w:color w:val="auto"/>
              </w:rPr>
            </w:pPr>
          </w:p>
        </w:tc>
      </w:tr>
      <w:tr>
        <w:trPr>
          <w:trHeight w:val="166"/>
        </w:trPr>
        <w:tc>
          <w:tcPr>
            <w:tcW w:w="3780" w:type="dxa"/>
            <w:vAlign w:val="bottom"/>
            <w:gridSpan w:val="3"/>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Revolving Loan Commitment ($)</w:t>
            </w: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$0</w:t>
            </w:r>
          </w:p>
        </w:tc>
        <w:tc>
          <w:tcPr>
            <w:tcW w:w="4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Aggregate Lender’s Commitments ($)</w:t>
            </w:r>
          </w:p>
        </w:tc>
        <w:tc>
          <w:tcPr>
            <w:tcW w:w="1620" w:type="dxa"/>
            <w:vAlign w:val="bottom"/>
          </w:tcPr>
          <w:p>
            <w:pPr>
              <w:spacing w:after="0"/>
              <w:rPr>
                <w:sz w:val="20"/>
                <w:szCs w:val="20"/>
                <w:color w:val="auto"/>
              </w:rPr>
            </w:pPr>
            <w:r>
              <w:rPr>
                <w:rFonts w:ascii="Arial" w:cs="Arial" w:eastAsia="Arial" w:hAnsi="Arial"/>
                <w:sz w:val="18"/>
                <w:szCs w:val="18"/>
                <w:color w:val="auto"/>
              </w:rPr>
              <w:t>$133,750,000</w:t>
            </w:r>
          </w:p>
        </w:tc>
        <w:tc>
          <w:tcPr>
            <w:tcW w:w="4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17" w:right="239" w:bottom="144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225"/>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ING Bank N.V., London Branch</w:t>
            </w:r>
          </w:p>
        </w:tc>
      </w:tr>
      <w:tr>
        <w:trPr>
          <w:trHeight w:val="173"/>
        </w:trPr>
        <w:tc>
          <w:tcPr>
            <w:tcW w:w="20" w:type="dxa"/>
            <w:vAlign w:val="bottom"/>
          </w:tcPr>
          <w:p>
            <w:pPr>
              <w:spacing w:after="0"/>
              <w:rPr>
                <w:sz w:val="15"/>
                <w:szCs w:val="15"/>
                <w:color w:val="auto"/>
              </w:rPr>
            </w:pPr>
          </w:p>
        </w:tc>
        <w:tc>
          <w:tcPr>
            <w:tcW w:w="342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b w:val="1"/>
                <w:bCs w:val="1"/>
                <w:color w:val="auto"/>
                <w:w w:val="99"/>
              </w:rPr>
              <w:t>Facility Office, address, fax number and</w:t>
            </w:r>
          </w:p>
        </w:tc>
        <w:tc>
          <w:tcPr>
            <w:tcW w:w="340" w:type="dxa"/>
            <w:vAlign w:val="bottom"/>
          </w:tcPr>
          <w:p>
            <w:pPr>
              <w:spacing w:after="0"/>
              <w:rPr>
                <w:sz w:val="15"/>
                <w:szCs w:val="15"/>
                <w:color w:val="auto"/>
              </w:rPr>
            </w:pPr>
          </w:p>
        </w:tc>
        <w:tc>
          <w:tcPr>
            <w:tcW w:w="162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Facility Office:</w:t>
            </w:r>
          </w:p>
        </w:tc>
        <w:tc>
          <w:tcPr>
            <w:tcW w:w="6020" w:type="dxa"/>
            <w:vAlign w:val="bottom"/>
            <w:tcBorders>
              <w:top w:val="single" w:sz="8" w:color="auto"/>
            </w:tcBorders>
          </w:tcPr>
          <w:p>
            <w:pPr>
              <w:spacing w:after="0"/>
              <w:rPr>
                <w:sz w:val="15"/>
                <w:szCs w:val="15"/>
                <w:color w:val="auto"/>
              </w:rPr>
            </w:pPr>
          </w:p>
        </w:tc>
      </w:tr>
      <w:tr>
        <w:trPr>
          <w:trHeight w:val="225"/>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attention details for notices</w:t>
            </w:r>
          </w:p>
        </w:tc>
        <w:tc>
          <w:tcPr>
            <w:tcW w:w="1620" w:type="dxa"/>
            <w:vAlign w:val="bottom"/>
          </w:tcPr>
          <w:p>
            <w:pPr>
              <w:spacing w:after="0"/>
              <w:rPr>
                <w:sz w:val="20"/>
                <w:szCs w:val="20"/>
                <w:color w:val="auto"/>
              </w:rPr>
            </w:pPr>
            <w:r>
              <w:rPr>
                <w:rFonts w:ascii="Arial" w:cs="Arial" w:eastAsia="Arial" w:hAnsi="Arial"/>
                <w:sz w:val="18"/>
                <w:szCs w:val="18"/>
                <w:color w:val="auto"/>
              </w:rPr>
              <w:t>Address:</w:t>
            </w:r>
          </w:p>
        </w:tc>
        <w:tc>
          <w:tcPr>
            <w:tcW w:w="6020" w:type="dxa"/>
            <w:vAlign w:val="bottom"/>
          </w:tcPr>
          <w:p>
            <w:pPr>
              <w:ind w:left="100"/>
              <w:spacing w:after="0"/>
              <w:rPr>
                <w:sz w:val="20"/>
                <w:szCs w:val="20"/>
                <w:color w:val="auto"/>
              </w:rPr>
            </w:pPr>
            <w:r>
              <w:rPr>
                <w:rFonts w:ascii="Arial" w:cs="Arial" w:eastAsia="Arial" w:hAnsi="Arial"/>
                <w:sz w:val="18"/>
                <w:szCs w:val="18"/>
                <w:color w:val="auto"/>
              </w:rPr>
              <w:t>8-10 Moorgate</w:t>
            </w: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London, EC2R 6DA</w:t>
            </w: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20" w:type="dxa"/>
            <w:vAlign w:val="bottom"/>
          </w:tcPr>
          <w:p>
            <w:pPr>
              <w:ind w:left="100"/>
              <w:spacing w:after="0"/>
              <w:rPr>
                <w:sz w:val="20"/>
                <w:szCs w:val="20"/>
                <w:color w:val="auto"/>
              </w:rPr>
            </w:pPr>
            <w:r>
              <w:rPr>
                <w:rFonts w:ascii="Arial" w:cs="Arial" w:eastAsia="Arial" w:hAnsi="Arial"/>
                <w:sz w:val="18"/>
                <w:szCs w:val="18"/>
                <w:color w:val="auto"/>
              </w:rPr>
              <w:t>United Kingdom</w:t>
            </w:r>
          </w:p>
        </w:tc>
      </w:tr>
      <w:tr>
        <w:trPr>
          <w:trHeight w:val="39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For Credit Matters:</w:t>
            </w:r>
          </w:p>
        </w:tc>
        <w:tc>
          <w:tcPr>
            <w:tcW w:w="60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Address:</w:t>
            </w: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8-10 Moorgate</w:t>
            </w: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London, EC2R 6DA</w:t>
            </w: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20" w:type="dxa"/>
            <w:vAlign w:val="bottom"/>
          </w:tcPr>
          <w:p>
            <w:pPr>
              <w:ind w:left="100"/>
              <w:spacing w:after="0"/>
              <w:rPr>
                <w:sz w:val="20"/>
                <w:szCs w:val="20"/>
                <w:color w:val="auto"/>
              </w:rPr>
            </w:pPr>
            <w:r>
              <w:rPr>
                <w:rFonts w:ascii="Arial" w:cs="Arial" w:eastAsia="Arial" w:hAnsi="Arial"/>
                <w:sz w:val="18"/>
                <w:szCs w:val="18"/>
                <w:color w:val="auto"/>
              </w:rPr>
              <w:t>United Kingdom</w:t>
            </w:r>
          </w:p>
        </w:tc>
      </w:tr>
      <w:tr>
        <w:trPr>
          <w:trHeight w:val="39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Tel:</w:t>
            </w:r>
          </w:p>
        </w:tc>
        <w:tc>
          <w:tcPr>
            <w:tcW w:w="6020" w:type="dxa"/>
            <w:vAlign w:val="bottom"/>
          </w:tcPr>
          <w:p>
            <w:pPr>
              <w:ind w:left="100"/>
              <w:spacing w:after="0"/>
              <w:rPr>
                <w:sz w:val="20"/>
                <w:szCs w:val="20"/>
                <w:color w:val="auto"/>
              </w:rPr>
            </w:pPr>
            <w:r>
              <w:rPr>
                <w:rFonts w:ascii="Arial" w:cs="Arial" w:eastAsia="Arial" w:hAnsi="Arial"/>
                <w:sz w:val="18"/>
                <w:szCs w:val="18"/>
                <w:color w:val="auto"/>
              </w:rPr>
              <w:t>+44 20 7767 5586</w:t>
            </w: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Email:</w:t>
            </w: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rory.hussey@uk.ing.com</w:t>
            </w: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Attention:</w:t>
            </w:r>
          </w:p>
        </w:tc>
        <w:tc>
          <w:tcPr>
            <w:tcW w:w="6020" w:type="dxa"/>
            <w:vAlign w:val="bottom"/>
          </w:tcPr>
          <w:p>
            <w:pPr>
              <w:ind w:left="100"/>
              <w:spacing w:after="0"/>
              <w:rPr>
                <w:sz w:val="20"/>
                <w:szCs w:val="20"/>
                <w:color w:val="auto"/>
              </w:rPr>
            </w:pPr>
            <w:r>
              <w:rPr>
                <w:rFonts w:ascii="Arial" w:cs="Arial" w:eastAsia="Arial" w:hAnsi="Arial"/>
                <w:sz w:val="18"/>
                <w:szCs w:val="18"/>
                <w:color w:val="auto"/>
              </w:rPr>
              <w:t>Rorry Hussey</w:t>
            </w:r>
          </w:p>
        </w:tc>
      </w:tr>
      <w:tr>
        <w:trPr>
          <w:trHeight w:val="39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Operations/Administrations:</w:t>
            </w: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Address:</w:t>
            </w: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8-10 Moorgate</w:t>
            </w: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London, EC2R 6DA</w:t>
            </w: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20" w:type="dxa"/>
            <w:vAlign w:val="bottom"/>
          </w:tcPr>
          <w:p>
            <w:pPr>
              <w:ind w:left="100"/>
              <w:spacing w:after="0"/>
              <w:rPr>
                <w:sz w:val="20"/>
                <w:szCs w:val="20"/>
                <w:color w:val="auto"/>
              </w:rPr>
            </w:pPr>
            <w:r>
              <w:rPr>
                <w:rFonts w:ascii="Arial" w:cs="Arial" w:eastAsia="Arial" w:hAnsi="Arial"/>
                <w:sz w:val="18"/>
                <w:szCs w:val="18"/>
                <w:color w:val="auto"/>
              </w:rPr>
              <w:t>United Kingdom</w:t>
            </w:r>
          </w:p>
        </w:tc>
      </w:tr>
      <w:tr>
        <w:trPr>
          <w:trHeight w:val="39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Tel:</w:t>
            </w:r>
          </w:p>
        </w:tc>
        <w:tc>
          <w:tcPr>
            <w:tcW w:w="6020" w:type="dxa"/>
            <w:vAlign w:val="bottom"/>
          </w:tcPr>
          <w:p>
            <w:pPr>
              <w:ind w:left="100"/>
              <w:spacing w:after="0"/>
              <w:rPr>
                <w:sz w:val="20"/>
                <w:szCs w:val="20"/>
                <w:color w:val="auto"/>
              </w:rPr>
            </w:pPr>
            <w:r>
              <w:rPr>
                <w:rFonts w:ascii="Arial" w:cs="Arial" w:eastAsia="Arial" w:hAnsi="Arial"/>
                <w:sz w:val="18"/>
                <w:szCs w:val="18"/>
                <w:color w:val="auto"/>
              </w:rPr>
              <w:t>+44 20 7767 6634 / +44 20 7767 5912</w:t>
            </w: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Fax:</w:t>
            </w: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+44 20 7767 7324</w:t>
            </w: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Email:</w:t>
            </w: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GB.LDN.DEAL.EXECUTION@uk.ing.com</w:t>
            </w: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Attention:</w:t>
            </w:r>
          </w:p>
        </w:tc>
        <w:tc>
          <w:tcPr>
            <w:tcW w:w="6020" w:type="dxa"/>
            <w:vAlign w:val="bottom"/>
          </w:tcPr>
          <w:p>
            <w:pPr>
              <w:ind w:left="100"/>
              <w:spacing w:after="0"/>
              <w:rPr>
                <w:sz w:val="20"/>
                <w:szCs w:val="20"/>
                <w:color w:val="auto"/>
              </w:rPr>
            </w:pPr>
            <w:r>
              <w:rPr>
                <w:rFonts w:ascii="Arial" w:cs="Arial" w:eastAsia="Arial" w:hAnsi="Arial"/>
                <w:sz w:val="18"/>
                <w:szCs w:val="18"/>
                <w:color w:val="auto"/>
              </w:rPr>
              <w:t>Deal Execution Team</w:t>
            </w:r>
          </w:p>
        </w:tc>
      </w:tr>
      <w:tr>
        <w:trPr>
          <w:trHeight w:val="369"/>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Term Loan Commitment ($)</w:t>
            </w:r>
          </w:p>
        </w:tc>
        <w:tc>
          <w:tcPr>
            <w:tcW w:w="1620" w:type="dxa"/>
            <w:vAlign w:val="bottom"/>
          </w:tcPr>
          <w:p>
            <w:pPr>
              <w:spacing w:after="0"/>
              <w:rPr>
                <w:sz w:val="20"/>
                <w:szCs w:val="20"/>
                <w:color w:val="auto"/>
              </w:rPr>
            </w:pPr>
            <w:r>
              <w:rPr>
                <w:rFonts w:ascii="Arial" w:cs="Arial" w:eastAsia="Arial" w:hAnsi="Arial"/>
                <w:sz w:val="18"/>
                <w:szCs w:val="18"/>
                <w:color w:val="auto"/>
              </w:rPr>
              <w:t>$125,000,000</w:t>
            </w:r>
          </w:p>
        </w:tc>
        <w:tc>
          <w:tcPr>
            <w:tcW w:w="6020" w:type="dxa"/>
            <w:vAlign w:val="bottom"/>
          </w:tcPr>
          <w:p>
            <w:pPr>
              <w:spacing w:after="0"/>
              <w:rPr>
                <w:sz w:val="24"/>
                <w:szCs w:val="24"/>
                <w:color w:val="auto"/>
              </w:rPr>
            </w:pPr>
          </w:p>
        </w:tc>
      </w:tr>
      <w:tr>
        <w:trPr>
          <w:trHeight w:val="203"/>
        </w:trPr>
        <w:tc>
          <w:tcPr>
            <w:tcW w:w="37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Revolving Loan Commitment ($)</w:t>
            </w: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0</w:t>
            </w:r>
          </w:p>
        </w:tc>
        <w:tc>
          <w:tcPr>
            <w:tcW w:w="6020" w:type="dxa"/>
            <w:vAlign w:val="bottom"/>
          </w:tcPr>
          <w:p>
            <w:pPr>
              <w:spacing w:after="0"/>
              <w:rPr>
                <w:sz w:val="17"/>
                <w:szCs w:val="17"/>
                <w:color w:val="auto"/>
              </w:rPr>
            </w:pPr>
          </w:p>
        </w:tc>
      </w:tr>
      <w:tr>
        <w:trPr>
          <w:trHeight w:val="239"/>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Aggregate Lender’s Commitments ($)</w:t>
            </w:r>
          </w:p>
        </w:tc>
        <w:tc>
          <w:tcPr>
            <w:tcW w:w="1620" w:type="dxa"/>
            <w:vAlign w:val="bottom"/>
          </w:tcPr>
          <w:p>
            <w:pPr>
              <w:spacing w:after="0"/>
              <w:rPr>
                <w:sz w:val="20"/>
                <w:szCs w:val="20"/>
                <w:color w:val="auto"/>
              </w:rPr>
            </w:pPr>
            <w:r>
              <w:rPr>
                <w:rFonts w:ascii="Arial" w:cs="Arial" w:eastAsia="Arial" w:hAnsi="Arial"/>
                <w:sz w:val="18"/>
                <w:szCs w:val="18"/>
                <w:color w:val="auto"/>
              </w:rPr>
              <w:t>$125,000,000</w:t>
            </w:r>
          </w:p>
        </w:tc>
        <w:tc>
          <w:tcPr>
            <w:tcW w:w="6020" w:type="dxa"/>
            <w:vAlign w:val="bottom"/>
          </w:tcPr>
          <w:p>
            <w:pPr>
              <w:spacing w:after="0"/>
              <w:rPr>
                <w:sz w:val="20"/>
                <w:szCs w:val="20"/>
                <w:color w:val="auto"/>
              </w:rPr>
            </w:pP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Danmarks Skibskredit A/S</w:t>
            </w:r>
          </w:p>
        </w:tc>
      </w:tr>
      <w:tr>
        <w:trPr>
          <w:trHeight w:val="173"/>
        </w:trPr>
        <w:tc>
          <w:tcPr>
            <w:tcW w:w="20" w:type="dxa"/>
            <w:vAlign w:val="bottom"/>
          </w:tcPr>
          <w:p>
            <w:pPr>
              <w:spacing w:after="0"/>
              <w:rPr>
                <w:sz w:val="15"/>
                <w:szCs w:val="15"/>
                <w:color w:val="auto"/>
              </w:rPr>
            </w:pPr>
          </w:p>
        </w:tc>
        <w:tc>
          <w:tcPr>
            <w:tcW w:w="342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b w:val="1"/>
                <w:bCs w:val="1"/>
                <w:color w:val="auto"/>
                <w:w w:val="99"/>
              </w:rPr>
              <w:t>Facility Office, address, fax number and</w:t>
            </w:r>
          </w:p>
        </w:tc>
        <w:tc>
          <w:tcPr>
            <w:tcW w:w="340" w:type="dxa"/>
            <w:vAlign w:val="bottom"/>
          </w:tcPr>
          <w:p>
            <w:pPr>
              <w:spacing w:after="0"/>
              <w:rPr>
                <w:sz w:val="15"/>
                <w:szCs w:val="15"/>
                <w:color w:val="auto"/>
              </w:rPr>
            </w:pPr>
          </w:p>
        </w:tc>
        <w:tc>
          <w:tcPr>
            <w:tcW w:w="162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Facility Office:</w:t>
            </w:r>
          </w:p>
        </w:tc>
        <w:tc>
          <w:tcPr>
            <w:tcW w:w="6020" w:type="dxa"/>
            <w:vAlign w:val="bottom"/>
            <w:tcBorders>
              <w:top w:val="single" w:sz="8" w:color="auto"/>
            </w:tcBorders>
          </w:tcPr>
          <w:p>
            <w:pPr>
              <w:spacing w:after="0"/>
              <w:rPr>
                <w:sz w:val="15"/>
                <w:szCs w:val="15"/>
                <w:color w:val="auto"/>
              </w:rPr>
            </w:pPr>
          </w:p>
        </w:tc>
      </w:tr>
      <w:tr>
        <w:trPr>
          <w:trHeight w:val="225"/>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attention details for notices</w:t>
            </w:r>
          </w:p>
        </w:tc>
        <w:tc>
          <w:tcPr>
            <w:tcW w:w="1620" w:type="dxa"/>
            <w:vAlign w:val="bottom"/>
          </w:tcPr>
          <w:p>
            <w:pPr>
              <w:spacing w:after="0"/>
              <w:rPr>
                <w:sz w:val="20"/>
                <w:szCs w:val="20"/>
                <w:color w:val="auto"/>
              </w:rPr>
            </w:pPr>
            <w:r>
              <w:rPr>
                <w:rFonts w:ascii="Arial" w:cs="Arial" w:eastAsia="Arial" w:hAnsi="Arial"/>
                <w:sz w:val="18"/>
                <w:szCs w:val="18"/>
                <w:color w:val="auto"/>
              </w:rPr>
              <w:t>Address:</w:t>
            </w:r>
          </w:p>
        </w:tc>
        <w:tc>
          <w:tcPr>
            <w:tcW w:w="6020" w:type="dxa"/>
            <w:vAlign w:val="bottom"/>
          </w:tcPr>
          <w:p>
            <w:pPr>
              <w:ind w:left="100"/>
              <w:spacing w:after="0"/>
              <w:rPr>
                <w:sz w:val="20"/>
                <w:szCs w:val="20"/>
                <w:color w:val="auto"/>
              </w:rPr>
            </w:pPr>
            <w:r>
              <w:rPr>
                <w:rFonts w:ascii="Arial" w:cs="Arial" w:eastAsia="Arial" w:hAnsi="Arial"/>
                <w:sz w:val="18"/>
                <w:szCs w:val="18"/>
                <w:color w:val="auto"/>
              </w:rPr>
              <w:t>Danish Ship Finance A/S</w:t>
            </w: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Sankt Annæ Plads 3</w:t>
            </w: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DK-1250 Copenhagen</w:t>
            </w: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20" w:type="dxa"/>
            <w:vAlign w:val="bottom"/>
          </w:tcPr>
          <w:p>
            <w:pPr>
              <w:ind w:left="100"/>
              <w:spacing w:after="0"/>
              <w:rPr>
                <w:sz w:val="20"/>
                <w:szCs w:val="20"/>
                <w:color w:val="auto"/>
              </w:rPr>
            </w:pPr>
            <w:r>
              <w:rPr>
                <w:rFonts w:ascii="Arial" w:cs="Arial" w:eastAsia="Arial" w:hAnsi="Arial"/>
                <w:sz w:val="18"/>
                <w:szCs w:val="18"/>
                <w:color w:val="auto"/>
              </w:rPr>
              <w:t>Denmark</w:t>
            </w:r>
          </w:p>
        </w:tc>
      </w:tr>
      <w:tr>
        <w:trPr>
          <w:trHeight w:val="39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For Credit Matters:</w:t>
            </w:r>
          </w:p>
        </w:tc>
        <w:tc>
          <w:tcPr>
            <w:tcW w:w="60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Tel:</w:t>
            </w: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+45 33 74 10 87</w:t>
            </w: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Fax:</w:t>
            </w: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+45 33 33 93 33</w:t>
            </w: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Email:</w:t>
            </w: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tsc@shipfinance.dk / mab@shipfinance.dk</w:t>
            </w: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Attention:</w:t>
            </w:r>
          </w:p>
        </w:tc>
        <w:tc>
          <w:tcPr>
            <w:tcW w:w="6020" w:type="dxa"/>
            <w:vAlign w:val="bottom"/>
          </w:tcPr>
          <w:p>
            <w:pPr>
              <w:ind w:left="100"/>
              <w:spacing w:after="0"/>
              <w:rPr>
                <w:sz w:val="20"/>
                <w:szCs w:val="20"/>
                <w:color w:val="auto"/>
              </w:rPr>
            </w:pPr>
            <w:r>
              <w:rPr>
                <w:rFonts w:ascii="Arial" w:cs="Arial" w:eastAsia="Arial" w:hAnsi="Arial"/>
                <w:sz w:val="18"/>
                <w:szCs w:val="18"/>
                <w:color w:val="auto"/>
              </w:rPr>
              <w:t>Thomas Schiltmann and Marianne Fisches Balsnes</w:t>
            </w:r>
          </w:p>
        </w:tc>
      </w:tr>
      <w:tr>
        <w:trPr>
          <w:trHeight w:val="39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For Loan Administration/Operations:</w:t>
            </w: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Email</w:t>
            </w: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LoanAdmin@Skibskredit.dk</w:t>
            </w: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Attention:</w:t>
            </w:r>
          </w:p>
        </w:tc>
        <w:tc>
          <w:tcPr>
            <w:tcW w:w="6020" w:type="dxa"/>
            <w:vAlign w:val="bottom"/>
          </w:tcPr>
          <w:p>
            <w:pPr>
              <w:ind w:left="100"/>
              <w:spacing w:after="0"/>
              <w:rPr>
                <w:sz w:val="20"/>
                <w:szCs w:val="20"/>
                <w:color w:val="auto"/>
              </w:rPr>
            </w:pPr>
            <w:r>
              <w:rPr>
                <w:rFonts w:ascii="Arial" w:cs="Arial" w:eastAsia="Arial" w:hAnsi="Arial"/>
                <w:sz w:val="18"/>
                <w:szCs w:val="18"/>
                <w:color w:val="auto"/>
              </w:rPr>
              <w:t>Loan Administration</w:t>
            </w:r>
          </w:p>
        </w:tc>
      </w:tr>
      <w:tr>
        <w:trPr>
          <w:trHeight w:val="369"/>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Term Loan Commitment ($)</w:t>
            </w:r>
          </w:p>
        </w:tc>
        <w:tc>
          <w:tcPr>
            <w:tcW w:w="1620" w:type="dxa"/>
            <w:vAlign w:val="bottom"/>
          </w:tcPr>
          <w:p>
            <w:pPr>
              <w:spacing w:after="0"/>
              <w:rPr>
                <w:sz w:val="20"/>
                <w:szCs w:val="20"/>
                <w:color w:val="auto"/>
              </w:rPr>
            </w:pPr>
            <w:r>
              <w:rPr>
                <w:rFonts w:ascii="Arial" w:cs="Arial" w:eastAsia="Arial" w:hAnsi="Arial"/>
                <w:sz w:val="18"/>
                <w:szCs w:val="18"/>
                <w:color w:val="auto"/>
              </w:rPr>
              <w:t>$75,000,000</w:t>
            </w:r>
          </w:p>
        </w:tc>
        <w:tc>
          <w:tcPr>
            <w:tcW w:w="6020" w:type="dxa"/>
            <w:vAlign w:val="bottom"/>
          </w:tcPr>
          <w:p>
            <w:pPr>
              <w:spacing w:after="0"/>
              <w:rPr>
                <w:sz w:val="24"/>
                <w:szCs w:val="24"/>
                <w:color w:val="auto"/>
              </w:rPr>
            </w:pPr>
          </w:p>
        </w:tc>
      </w:tr>
      <w:tr>
        <w:trPr>
          <w:trHeight w:val="203"/>
        </w:trPr>
        <w:tc>
          <w:tcPr>
            <w:tcW w:w="37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Revolving Loan Commitment ($)</w:t>
            </w: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0</w:t>
            </w:r>
          </w:p>
        </w:tc>
        <w:tc>
          <w:tcPr>
            <w:tcW w:w="6020" w:type="dxa"/>
            <w:vAlign w:val="bottom"/>
          </w:tcPr>
          <w:p>
            <w:pPr>
              <w:spacing w:after="0"/>
              <w:rPr>
                <w:sz w:val="17"/>
                <w:szCs w:val="17"/>
                <w:color w:val="auto"/>
              </w:rPr>
            </w:pPr>
          </w:p>
        </w:tc>
      </w:tr>
      <w:tr>
        <w:trPr>
          <w:trHeight w:val="239"/>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Aggregate Lender’s Commitments ($)</w:t>
            </w:r>
          </w:p>
        </w:tc>
        <w:tc>
          <w:tcPr>
            <w:tcW w:w="1620" w:type="dxa"/>
            <w:vAlign w:val="bottom"/>
          </w:tcPr>
          <w:p>
            <w:pPr>
              <w:spacing w:after="0"/>
              <w:rPr>
                <w:sz w:val="20"/>
                <w:szCs w:val="20"/>
                <w:color w:val="auto"/>
              </w:rPr>
            </w:pPr>
            <w:r>
              <w:rPr>
                <w:rFonts w:ascii="Arial" w:cs="Arial" w:eastAsia="Arial" w:hAnsi="Arial"/>
                <w:sz w:val="18"/>
                <w:szCs w:val="18"/>
                <w:color w:val="auto"/>
              </w:rPr>
              <w:t>$75,000,000</w:t>
            </w:r>
          </w:p>
        </w:tc>
        <w:tc>
          <w:tcPr>
            <w:tcW w:w="602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153</w:t>
            </w:r>
          </w:p>
        </w:tc>
      </w:tr>
      <w:tr>
        <w:trPr>
          <w:trHeight w:val="237"/>
        </w:trPr>
        <w:tc>
          <w:tcPr>
            <w:tcW w:w="20" w:type="dxa"/>
            <w:vAlign w:val="bottom"/>
          </w:tcPr>
          <w:p>
            <w:pPr>
              <w:spacing w:after="0"/>
              <w:rPr>
                <w:sz w:val="20"/>
                <w:szCs w:val="20"/>
                <w:color w:val="auto"/>
              </w:rPr>
            </w:pPr>
          </w:p>
        </w:tc>
        <w:tc>
          <w:tcPr>
            <w:tcW w:w="342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1620" w:type="dxa"/>
            <w:vAlign w:val="bottom"/>
            <w:tcBorders>
              <w:bottom w:val="single" w:sz="8" w:color="C0C0C0"/>
            </w:tcBorders>
          </w:tcPr>
          <w:p>
            <w:pPr>
              <w:spacing w:after="0"/>
              <w:rPr>
                <w:sz w:val="20"/>
                <w:szCs w:val="20"/>
                <w:color w:val="auto"/>
              </w:rPr>
            </w:pPr>
          </w:p>
        </w:tc>
        <w:tc>
          <w:tcPr>
            <w:tcW w:w="602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616" w:right="23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17805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1"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color w:val="auto"/>
        </w:rPr>
        <w:t>Facility Office, address, fax number and attention details for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 Commitment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Loan Commitment ($)</w:t>
      </w:r>
    </w:p>
    <w:p>
      <w:pPr>
        <w:spacing w:after="0"/>
        <w:rPr>
          <w:sz w:val="20"/>
          <w:szCs w:val="20"/>
          <w:color w:val="auto"/>
        </w:rPr>
      </w:pPr>
      <w:r>
        <w:rPr>
          <w:rFonts w:ascii="Arial" w:cs="Arial" w:eastAsia="Arial" w:hAnsi="Arial"/>
          <w:sz w:val="18"/>
          <w:szCs w:val="18"/>
          <w:b w:val="1"/>
          <w:bCs w:val="1"/>
          <w:color w:val="auto"/>
        </w:rPr>
        <w:t>Aggregate Lender’s Commitments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The Korea Development Bank</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Facility Office:</w:t>
            </w:r>
          </w:p>
        </w:tc>
        <w:tc>
          <w:tcPr>
            <w:tcW w:w="6020" w:type="dxa"/>
            <w:vAlign w:val="bottom"/>
            <w:tcBorders>
              <w:top w:val="single" w:sz="8" w:color="auto"/>
            </w:tcBorders>
          </w:tcPr>
          <w:p>
            <w:pPr>
              <w:spacing w:after="0"/>
              <w:rPr>
                <w:sz w:val="16"/>
                <w:szCs w:val="16"/>
                <w:color w:val="auto"/>
              </w:rPr>
            </w:pPr>
          </w:p>
        </w:tc>
      </w:tr>
      <w:tr>
        <w:trPr>
          <w:trHeight w:val="203"/>
        </w:trPr>
        <w:tc>
          <w:tcPr>
            <w:tcW w:w="1620" w:type="dxa"/>
            <w:vAlign w:val="bottom"/>
          </w:tcPr>
          <w:p>
            <w:pPr>
              <w:spacing w:after="0" w:line="202" w:lineRule="exact"/>
              <w:rPr>
                <w:sz w:val="20"/>
                <w:szCs w:val="20"/>
                <w:color w:val="auto"/>
              </w:rPr>
            </w:pPr>
            <w:r>
              <w:rPr>
                <w:rFonts w:ascii="Arial" w:cs="Arial" w:eastAsia="Arial" w:hAnsi="Arial"/>
                <w:sz w:val="18"/>
                <w:szCs w:val="18"/>
                <w:color w:val="auto"/>
              </w:rPr>
              <w:t>Address:</w:t>
            </w: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14 Eunhaeng-ro, Youngdeungpo-gu</w:t>
            </w:r>
          </w:p>
        </w:tc>
      </w:tr>
      <w:tr>
        <w:trPr>
          <w:trHeight w:val="203"/>
        </w:trPr>
        <w:tc>
          <w:tcPr>
            <w:tcW w:w="1620" w:type="dxa"/>
            <w:vAlign w:val="bottom"/>
          </w:tcPr>
          <w:p>
            <w:pPr>
              <w:spacing w:after="0"/>
              <w:rPr>
                <w:sz w:val="17"/>
                <w:szCs w:val="17"/>
                <w:color w:val="auto"/>
              </w:rPr>
            </w:pP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Seoul, 07242</w:t>
            </w:r>
          </w:p>
        </w:tc>
      </w:tr>
      <w:tr>
        <w:trPr>
          <w:trHeight w:val="203"/>
        </w:trPr>
        <w:tc>
          <w:tcPr>
            <w:tcW w:w="1620" w:type="dxa"/>
            <w:vAlign w:val="bottom"/>
          </w:tcPr>
          <w:p>
            <w:pPr>
              <w:spacing w:after="0"/>
              <w:rPr>
                <w:sz w:val="17"/>
                <w:szCs w:val="17"/>
                <w:color w:val="auto"/>
              </w:rPr>
            </w:pP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Korea</w:t>
            </w:r>
          </w:p>
        </w:tc>
      </w:tr>
      <w:tr>
        <w:trPr>
          <w:trHeight w:val="217"/>
        </w:trPr>
        <w:tc>
          <w:tcPr>
            <w:tcW w:w="1620" w:type="dxa"/>
            <w:vAlign w:val="bottom"/>
          </w:tcPr>
          <w:p>
            <w:pPr>
              <w:spacing w:after="0"/>
              <w:rPr>
                <w:sz w:val="20"/>
                <w:szCs w:val="20"/>
                <w:color w:val="auto"/>
              </w:rPr>
            </w:pPr>
            <w:r>
              <w:rPr>
                <w:rFonts w:ascii="Arial" w:cs="Arial" w:eastAsia="Arial" w:hAnsi="Arial"/>
                <w:sz w:val="18"/>
                <w:szCs w:val="18"/>
                <w:color w:val="auto"/>
              </w:rPr>
              <w:t>Attention:</w:t>
            </w:r>
          </w:p>
        </w:tc>
        <w:tc>
          <w:tcPr>
            <w:tcW w:w="6020" w:type="dxa"/>
            <w:vAlign w:val="bottom"/>
          </w:tcPr>
          <w:p>
            <w:pPr>
              <w:ind w:left="100"/>
              <w:spacing w:after="0"/>
              <w:rPr>
                <w:sz w:val="20"/>
                <w:szCs w:val="20"/>
                <w:color w:val="auto"/>
              </w:rPr>
            </w:pPr>
            <w:r>
              <w:rPr>
                <w:rFonts w:ascii="Arial" w:cs="Arial" w:eastAsia="Arial" w:hAnsi="Arial"/>
                <w:sz w:val="18"/>
                <w:szCs w:val="18"/>
                <w:color w:val="auto"/>
              </w:rPr>
              <w:t>The Korea Development Bank</w:t>
            </w:r>
          </w:p>
        </w:tc>
      </w:tr>
      <w:tr>
        <w:trPr>
          <w:trHeight w:val="391"/>
        </w:trPr>
        <w:tc>
          <w:tcPr>
            <w:tcW w:w="1620" w:type="dxa"/>
            <w:vAlign w:val="bottom"/>
          </w:tcPr>
          <w:p>
            <w:pPr>
              <w:spacing w:after="0"/>
              <w:rPr>
                <w:sz w:val="20"/>
                <w:szCs w:val="20"/>
                <w:color w:val="auto"/>
              </w:rPr>
            </w:pPr>
            <w:r>
              <w:rPr>
                <w:rFonts w:ascii="Arial" w:cs="Arial" w:eastAsia="Arial" w:hAnsi="Arial"/>
                <w:sz w:val="18"/>
                <w:szCs w:val="18"/>
                <w:color w:val="auto"/>
              </w:rPr>
              <w:t>For Credit Matters:</w:t>
            </w:r>
          </w:p>
        </w:tc>
        <w:tc>
          <w:tcPr>
            <w:tcW w:w="6020" w:type="dxa"/>
            <w:vAlign w:val="bottom"/>
          </w:tcPr>
          <w:p>
            <w:pPr>
              <w:spacing w:after="0"/>
              <w:rPr>
                <w:sz w:val="24"/>
                <w:szCs w:val="24"/>
                <w:color w:val="auto"/>
              </w:rPr>
            </w:pPr>
          </w:p>
        </w:tc>
      </w:tr>
      <w:tr>
        <w:trPr>
          <w:trHeight w:val="203"/>
        </w:trPr>
        <w:tc>
          <w:tcPr>
            <w:tcW w:w="1620" w:type="dxa"/>
            <w:vAlign w:val="bottom"/>
          </w:tcPr>
          <w:p>
            <w:pPr>
              <w:spacing w:after="0" w:line="202" w:lineRule="exact"/>
              <w:rPr>
                <w:sz w:val="20"/>
                <w:szCs w:val="20"/>
                <w:color w:val="auto"/>
              </w:rPr>
            </w:pPr>
            <w:r>
              <w:rPr>
                <w:rFonts w:ascii="Arial" w:cs="Arial" w:eastAsia="Arial" w:hAnsi="Arial"/>
                <w:sz w:val="18"/>
                <w:szCs w:val="18"/>
                <w:color w:val="auto"/>
              </w:rPr>
              <w:t>Address:</w:t>
            </w: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14 Eunhaeng-ro, Youngdeungpo-gu</w:t>
            </w:r>
          </w:p>
        </w:tc>
      </w:tr>
      <w:tr>
        <w:trPr>
          <w:trHeight w:val="203"/>
        </w:trPr>
        <w:tc>
          <w:tcPr>
            <w:tcW w:w="1620" w:type="dxa"/>
            <w:vAlign w:val="bottom"/>
          </w:tcPr>
          <w:p>
            <w:pPr>
              <w:spacing w:after="0"/>
              <w:rPr>
                <w:sz w:val="17"/>
                <w:szCs w:val="17"/>
                <w:color w:val="auto"/>
              </w:rPr>
            </w:pP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Seoul, 07242</w:t>
            </w:r>
          </w:p>
        </w:tc>
      </w:tr>
      <w:tr>
        <w:trPr>
          <w:trHeight w:val="217"/>
        </w:trPr>
        <w:tc>
          <w:tcPr>
            <w:tcW w:w="1620" w:type="dxa"/>
            <w:vAlign w:val="bottom"/>
          </w:tcPr>
          <w:p>
            <w:pPr>
              <w:spacing w:after="0"/>
              <w:rPr>
                <w:sz w:val="18"/>
                <w:szCs w:val="18"/>
                <w:color w:val="auto"/>
              </w:rPr>
            </w:pPr>
          </w:p>
        </w:tc>
        <w:tc>
          <w:tcPr>
            <w:tcW w:w="6020" w:type="dxa"/>
            <w:vAlign w:val="bottom"/>
          </w:tcPr>
          <w:p>
            <w:pPr>
              <w:ind w:left="100"/>
              <w:spacing w:after="0"/>
              <w:rPr>
                <w:sz w:val="20"/>
                <w:szCs w:val="20"/>
                <w:color w:val="auto"/>
              </w:rPr>
            </w:pPr>
            <w:r>
              <w:rPr>
                <w:rFonts w:ascii="Arial" w:cs="Arial" w:eastAsia="Arial" w:hAnsi="Arial"/>
                <w:sz w:val="18"/>
                <w:szCs w:val="18"/>
                <w:color w:val="auto"/>
              </w:rPr>
              <w:t>Korea</w:t>
            </w:r>
          </w:p>
        </w:tc>
      </w:tr>
      <w:tr>
        <w:trPr>
          <w:trHeight w:val="391"/>
        </w:trPr>
        <w:tc>
          <w:tcPr>
            <w:tcW w:w="1620" w:type="dxa"/>
            <w:vAlign w:val="bottom"/>
          </w:tcPr>
          <w:p>
            <w:pPr>
              <w:spacing w:after="0"/>
              <w:rPr>
                <w:sz w:val="20"/>
                <w:szCs w:val="20"/>
                <w:color w:val="auto"/>
              </w:rPr>
            </w:pPr>
            <w:r>
              <w:rPr>
                <w:rFonts w:ascii="Arial" w:cs="Arial" w:eastAsia="Arial" w:hAnsi="Arial"/>
                <w:sz w:val="18"/>
                <w:szCs w:val="18"/>
                <w:color w:val="auto"/>
              </w:rPr>
              <w:t>Tel:</w:t>
            </w:r>
          </w:p>
        </w:tc>
        <w:tc>
          <w:tcPr>
            <w:tcW w:w="6020" w:type="dxa"/>
            <w:vAlign w:val="bottom"/>
          </w:tcPr>
          <w:p>
            <w:pPr>
              <w:ind w:left="100"/>
              <w:spacing w:after="0"/>
              <w:rPr>
                <w:sz w:val="20"/>
                <w:szCs w:val="20"/>
                <w:color w:val="auto"/>
              </w:rPr>
            </w:pPr>
            <w:r>
              <w:rPr>
                <w:rFonts w:ascii="Arial" w:cs="Arial" w:eastAsia="Arial" w:hAnsi="Arial"/>
                <w:sz w:val="18"/>
                <w:szCs w:val="18"/>
                <w:color w:val="auto"/>
              </w:rPr>
              <w:t>+82 2 787 7210 / +82 2 787 7211</w:t>
            </w:r>
          </w:p>
        </w:tc>
      </w:tr>
      <w:tr>
        <w:trPr>
          <w:trHeight w:val="203"/>
        </w:trPr>
        <w:tc>
          <w:tcPr>
            <w:tcW w:w="1620" w:type="dxa"/>
            <w:vAlign w:val="bottom"/>
          </w:tcPr>
          <w:p>
            <w:pPr>
              <w:spacing w:after="0" w:line="202" w:lineRule="exact"/>
              <w:rPr>
                <w:sz w:val="20"/>
                <w:szCs w:val="20"/>
                <w:color w:val="auto"/>
              </w:rPr>
            </w:pPr>
            <w:r>
              <w:rPr>
                <w:rFonts w:ascii="Arial" w:cs="Arial" w:eastAsia="Arial" w:hAnsi="Arial"/>
                <w:sz w:val="18"/>
                <w:szCs w:val="18"/>
                <w:color w:val="auto"/>
              </w:rPr>
              <w:t>Fax:</w:t>
            </w: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+82 2 787 7291</w:t>
            </w:r>
          </w:p>
        </w:tc>
      </w:tr>
      <w:tr>
        <w:trPr>
          <w:trHeight w:val="203"/>
        </w:trPr>
        <w:tc>
          <w:tcPr>
            <w:tcW w:w="1620" w:type="dxa"/>
            <w:vAlign w:val="bottom"/>
          </w:tcPr>
          <w:p>
            <w:pPr>
              <w:spacing w:after="0" w:line="202" w:lineRule="exact"/>
              <w:rPr>
                <w:sz w:val="20"/>
                <w:szCs w:val="20"/>
                <w:color w:val="auto"/>
              </w:rPr>
            </w:pPr>
            <w:r>
              <w:rPr>
                <w:rFonts w:ascii="Arial" w:cs="Arial" w:eastAsia="Arial" w:hAnsi="Arial"/>
                <w:sz w:val="18"/>
                <w:szCs w:val="18"/>
                <w:color w:val="auto"/>
              </w:rPr>
              <w:t>Email:</w:t>
            </w: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tincbell02@kdb.co.kr / towseul@kdb.co.kr</w:t>
            </w:r>
          </w:p>
        </w:tc>
      </w:tr>
      <w:tr>
        <w:trPr>
          <w:trHeight w:val="203"/>
        </w:trPr>
        <w:tc>
          <w:tcPr>
            <w:tcW w:w="1620" w:type="dxa"/>
            <w:vAlign w:val="bottom"/>
          </w:tcPr>
          <w:p>
            <w:pPr>
              <w:spacing w:after="0" w:line="202" w:lineRule="exact"/>
              <w:rPr>
                <w:sz w:val="20"/>
                <w:szCs w:val="20"/>
                <w:color w:val="auto"/>
              </w:rPr>
            </w:pPr>
            <w:r>
              <w:rPr>
                <w:rFonts w:ascii="Arial" w:cs="Arial" w:eastAsia="Arial" w:hAnsi="Arial"/>
                <w:sz w:val="18"/>
                <w:szCs w:val="18"/>
                <w:color w:val="auto"/>
              </w:rPr>
              <w:t>Attention:</w:t>
            </w: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Seon Min (Kevin) Kim / Seul Yi (Sue) Lee</w:t>
            </w:r>
          </w:p>
        </w:tc>
      </w:tr>
      <w:tr>
        <w:trPr>
          <w:trHeight w:val="217"/>
        </w:trPr>
        <w:tc>
          <w:tcPr>
            <w:tcW w:w="1620" w:type="dxa"/>
            <w:vAlign w:val="bottom"/>
          </w:tcPr>
          <w:p>
            <w:pPr>
              <w:spacing w:after="0"/>
              <w:rPr>
                <w:sz w:val="18"/>
                <w:szCs w:val="18"/>
                <w:color w:val="auto"/>
              </w:rPr>
            </w:pPr>
          </w:p>
        </w:tc>
        <w:tc>
          <w:tcPr>
            <w:tcW w:w="6020" w:type="dxa"/>
            <w:vAlign w:val="bottom"/>
          </w:tcPr>
          <w:p>
            <w:pPr>
              <w:ind w:left="100"/>
              <w:spacing w:after="0"/>
              <w:rPr>
                <w:sz w:val="20"/>
                <w:szCs w:val="20"/>
                <w:color w:val="auto"/>
              </w:rPr>
            </w:pPr>
            <w:r>
              <w:rPr>
                <w:rFonts w:ascii="Arial" w:cs="Arial" w:eastAsia="Arial" w:hAnsi="Arial"/>
                <w:sz w:val="18"/>
                <w:szCs w:val="18"/>
                <w:color w:val="auto"/>
              </w:rPr>
              <w:t>Project Finance Dept. I</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Operations/Administrations:</w:t>
      </w:r>
    </w:p>
    <w:p>
      <w:pPr>
        <w:spacing w:after="0" w:line="234" w:lineRule="auto"/>
        <w:tabs>
          <w:tab w:leader="none" w:pos="17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14 Eunhaeng-ro, Youngdeungpo-gu</w:t>
      </w:r>
    </w:p>
    <w:p>
      <w:pPr>
        <w:ind w:left="1720"/>
        <w:spacing w:after="0" w:line="235" w:lineRule="auto"/>
        <w:rPr>
          <w:sz w:val="20"/>
          <w:szCs w:val="20"/>
          <w:color w:val="auto"/>
        </w:rPr>
      </w:pPr>
      <w:r>
        <w:rPr>
          <w:rFonts w:ascii="Arial" w:cs="Arial" w:eastAsia="Arial" w:hAnsi="Arial"/>
          <w:sz w:val="18"/>
          <w:szCs w:val="18"/>
          <w:color w:val="auto"/>
        </w:rPr>
        <w:t>Seoul, 07242</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Korea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Tel:</w:t>
            </w:r>
          </w:p>
        </w:tc>
        <w:tc>
          <w:tcPr>
            <w:tcW w:w="3640" w:type="dxa"/>
            <w:vAlign w:val="bottom"/>
          </w:tcPr>
          <w:p>
            <w:pPr>
              <w:ind w:left="360"/>
              <w:spacing w:after="0"/>
              <w:rPr>
                <w:sz w:val="20"/>
                <w:szCs w:val="20"/>
                <w:color w:val="auto"/>
              </w:rPr>
            </w:pPr>
            <w:r>
              <w:rPr>
                <w:rFonts w:ascii="Arial" w:cs="Arial" w:eastAsia="Arial" w:hAnsi="Arial"/>
                <w:sz w:val="18"/>
                <w:szCs w:val="18"/>
                <w:color w:val="auto"/>
              </w:rPr>
              <w:t>+82 2 787 7386</w:t>
            </w:r>
          </w:p>
        </w:tc>
      </w:tr>
      <w:tr>
        <w:trPr>
          <w:trHeight w:val="203"/>
        </w:trPr>
        <w:tc>
          <w:tcPr>
            <w:tcW w:w="1360" w:type="dxa"/>
            <w:vAlign w:val="bottom"/>
          </w:tcPr>
          <w:p>
            <w:pPr>
              <w:spacing w:after="0" w:line="202" w:lineRule="exact"/>
              <w:rPr>
                <w:sz w:val="20"/>
                <w:szCs w:val="20"/>
                <w:color w:val="auto"/>
              </w:rPr>
            </w:pPr>
            <w:r>
              <w:rPr>
                <w:rFonts w:ascii="Arial" w:cs="Arial" w:eastAsia="Arial" w:hAnsi="Arial"/>
                <w:sz w:val="18"/>
                <w:szCs w:val="18"/>
                <w:color w:val="auto"/>
              </w:rPr>
              <w:t>Fax:</w:t>
            </w:r>
          </w:p>
        </w:tc>
        <w:tc>
          <w:tcPr>
            <w:tcW w:w="3640" w:type="dxa"/>
            <w:vAlign w:val="bottom"/>
          </w:tcPr>
          <w:p>
            <w:pPr>
              <w:ind w:left="360"/>
              <w:spacing w:after="0" w:line="202" w:lineRule="exact"/>
              <w:rPr>
                <w:sz w:val="20"/>
                <w:szCs w:val="20"/>
                <w:color w:val="auto"/>
              </w:rPr>
            </w:pPr>
            <w:r>
              <w:rPr>
                <w:rFonts w:ascii="Arial" w:cs="Arial" w:eastAsia="Arial" w:hAnsi="Arial"/>
                <w:sz w:val="18"/>
                <w:szCs w:val="18"/>
                <w:color w:val="auto"/>
              </w:rPr>
              <w:t>+82 2 787 5299</w:t>
            </w:r>
          </w:p>
        </w:tc>
      </w:tr>
      <w:tr>
        <w:trPr>
          <w:trHeight w:val="203"/>
        </w:trPr>
        <w:tc>
          <w:tcPr>
            <w:tcW w:w="1360" w:type="dxa"/>
            <w:vAlign w:val="bottom"/>
          </w:tcPr>
          <w:p>
            <w:pPr>
              <w:spacing w:after="0" w:line="202" w:lineRule="exact"/>
              <w:rPr>
                <w:sz w:val="20"/>
                <w:szCs w:val="20"/>
                <w:color w:val="auto"/>
              </w:rPr>
            </w:pPr>
            <w:r>
              <w:rPr>
                <w:rFonts w:ascii="Arial" w:cs="Arial" w:eastAsia="Arial" w:hAnsi="Arial"/>
                <w:sz w:val="18"/>
                <w:szCs w:val="18"/>
                <w:color w:val="auto"/>
              </w:rPr>
              <w:t>Email:</w:t>
            </w:r>
          </w:p>
        </w:tc>
        <w:tc>
          <w:tcPr>
            <w:tcW w:w="3640" w:type="dxa"/>
            <w:vAlign w:val="bottom"/>
          </w:tcPr>
          <w:p>
            <w:pPr>
              <w:ind w:left="360"/>
              <w:spacing w:after="0" w:line="202" w:lineRule="exact"/>
              <w:rPr>
                <w:sz w:val="20"/>
                <w:szCs w:val="20"/>
                <w:color w:val="auto"/>
              </w:rPr>
            </w:pPr>
            <w:r>
              <w:rPr>
                <w:rFonts w:ascii="Arial" w:cs="Arial" w:eastAsia="Arial" w:hAnsi="Arial"/>
                <w:sz w:val="18"/>
                <w:szCs w:val="18"/>
                <w:color w:val="auto"/>
                <w:w w:val="99"/>
              </w:rPr>
              <w:t>samsam@kdb.co.kr / loankdb@kdb.co.kr</w:t>
            </w:r>
          </w:p>
        </w:tc>
      </w:tr>
      <w:tr>
        <w:trPr>
          <w:trHeight w:val="203"/>
        </w:trPr>
        <w:tc>
          <w:tcPr>
            <w:tcW w:w="1360" w:type="dxa"/>
            <w:vAlign w:val="bottom"/>
          </w:tcPr>
          <w:p>
            <w:pPr>
              <w:spacing w:after="0" w:line="202" w:lineRule="exact"/>
              <w:rPr>
                <w:sz w:val="20"/>
                <w:szCs w:val="20"/>
                <w:color w:val="auto"/>
              </w:rPr>
            </w:pPr>
            <w:r>
              <w:rPr>
                <w:rFonts w:ascii="Arial" w:cs="Arial" w:eastAsia="Arial" w:hAnsi="Arial"/>
                <w:sz w:val="18"/>
                <w:szCs w:val="18"/>
                <w:color w:val="auto"/>
              </w:rPr>
              <w:t>Attention:</w:t>
            </w:r>
          </w:p>
        </w:tc>
        <w:tc>
          <w:tcPr>
            <w:tcW w:w="3640" w:type="dxa"/>
            <w:vAlign w:val="bottom"/>
          </w:tcPr>
          <w:p>
            <w:pPr>
              <w:ind w:left="360"/>
              <w:spacing w:after="0" w:line="202" w:lineRule="exact"/>
              <w:rPr>
                <w:sz w:val="20"/>
                <w:szCs w:val="20"/>
                <w:color w:val="auto"/>
              </w:rPr>
            </w:pPr>
            <w:r>
              <w:rPr>
                <w:rFonts w:ascii="Arial" w:cs="Arial" w:eastAsia="Arial" w:hAnsi="Arial"/>
                <w:sz w:val="18"/>
                <w:szCs w:val="18"/>
                <w:color w:val="auto"/>
              </w:rPr>
              <w:t>Sam NamGung / Operation Dept.</w:t>
            </w:r>
          </w:p>
        </w:tc>
      </w:tr>
      <w:tr>
        <w:trPr>
          <w:trHeight w:val="203"/>
        </w:trPr>
        <w:tc>
          <w:tcPr>
            <w:tcW w:w="1360" w:type="dxa"/>
            <w:vAlign w:val="bottom"/>
          </w:tcPr>
          <w:p>
            <w:pPr>
              <w:spacing w:after="0" w:line="202" w:lineRule="exact"/>
              <w:rPr>
                <w:sz w:val="20"/>
                <w:szCs w:val="20"/>
                <w:color w:val="auto"/>
              </w:rPr>
            </w:pPr>
            <w:r>
              <w:rPr>
                <w:rFonts w:ascii="Arial" w:cs="Arial" w:eastAsia="Arial" w:hAnsi="Arial"/>
                <w:sz w:val="18"/>
                <w:szCs w:val="18"/>
                <w:color w:val="auto"/>
              </w:rPr>
              <w:t>$70,000,000</w:t>
            </w:r>
          </w:p>
        </w:tc>
        <w:tc>
          <w:tcPr>
            <w:tcW w:w="3640" w:type="dxa"/>
            <w:vAlign w:val="bottom"/>
          </w:tcPr>
          <w:p>
            <w:pPr>
              <w:spacing w:after="0"/>
              <w:rPr>
                <w:sz w:val="17"/>
                <w:szCs w:val="17"/>
                <w:color w:val="auto"/>
              </w:rPr>
            </w:pPr>
          </w:p>
        </w:tc>
      </w:tr>
      <w:tr>
        <w:trPr>
          <w:trHeight w:val="203"/>
        </w:trPr>
        <w:tc>
          <w:tcPr>
            <w:tcW w:w="1360" w:type="dxa"/>
            <w:vAlign w:val="bottom"/>
          </w:tcPr>
          <w:p>
            <w:pPr>
              <w:spacing w:after="0" w:line="202" w:lineRule="exact"/>
              <w:rPr>
                <w:sz w:val="20"/>
                <w:szCs w:val="20"/>
                <w:color w:val="auto"/>
              </w:rPr>
            </w:pPr>
            <w:r>
              <w:rPr>
                <w:rFonts w:ascii="Arial" w:cs="Arial" w:eastAsia="Arial" w:hAnsi="Arial"/>
                <w:sz w:val="18"/>
                <w:szCs w:val="18"/>
                <w:color w:val="auto"/>
              </w:rPr>
              <w:t>0</w:t>
            </w:r>
          </w:p>
        </w:tc>
        <w:tc>
          <w:tcPr>
            <w:tcW w:w="3640" w:type="dxa"/>
            <w:vAlign w:val="bottom"/>
          </w:tcPr>
          <w:p>
            <w:pPr>
              <w:spacing w:after="0"/>
              <w:rPr>
                <w:sz w:val="17"/>
                <w:szCs w:val="17"/>
                <w:color w:val="auto"/>
              </w:rPr>
            </w:pPr>
          </w:p>
        </w:tc>
      </w:tr>
      <w:tr>
        <w:trPr>
          <w:trHeight w:val="217"/>
        </w:trPr>
        <w:tc>
          <w:tcPr>
            <w:tcW w:w="1360" w:type="dxa"/>
            <w:vAlign w:val="bottom"/>
          </w:tcPr>
          <w:p>
            <w:pPr>
              <w:spacing w:after="0"/>
              <w:rPr>
                <w:sz w:val="20"/>
                <w:szCs w:val="20"/>
                <w:color w:val="auto"/>
              </w:rPr>
            </w:pPr>
            <w:r>
              <w:rPr>
                <w:rFonts w:ascii="Arial" w:cs="Arial" w:eastAsia="Arial" w:hAnsi="Arial"/>
                <w:sz w:val="18"/>
                <w:szCs w:val="18"/>
                <w:color w:val="auto"/>
              </w:rPr>
              <w:t>$70,000,000</w:t>
            </w:r>
          </w:p>
        </w:tc>
        <w:tc>
          <w:tcPr>
            <w:tcW w:w="3640" w:type="dxa"/>
            <w:vAlign w:val="bottom"/>
          </w:tcPr>
          <w:p>
            <w:pPr>
              <w:spacing w:after="0"/>
              <w:rPr>
                <w:sz w:val="18"/>
                <w:szCs w:val="18"/>
                <w:color w:val="auto"/>
              </w:rPr>
            </w:pPr>
          </w:p>
        </w:tc>
      </w:tr>
      <w:tr>
        <w:trPr>
          <w:trHeight w:val="392"/>
        </w:trPr>
        <w:tc>
          <w:tcPr>
            <w:tcW w:w="1360" w:type="dxa"/>
            <w:vAlign w:val="bottom"/>
          </w:tcPr>
          <w:p>
            <w:pPr>
              <w:spacing w:after="0"/>
              <w:rPr>
                <w:sz w:val="24"/>
                <w:szCs w:val="24"/>
                <w:color w:val="auto"/>
              </w:rPr>
            </w:pPr>
          </w:p>
        </w:tc>
        <w:tc>
          <w:tcPr>
            <w:tcW w:w="3640" w:type="dxa"/>
            <w:vAlign w:val="bottom"/>
          </w:tcPr>
          <w:p>
            <w:pPr>
              <w:ind w:left="420"/>
              <w:spacing w:after="0"/>
              <w:rPr>
                <w:sz w:val="20"/>
                <w:szCs w:val="20"/>
                <w:color w:val="auto"/>
              </w:rPr>
            </w:pPr>
            <w:r>
              <w:rPr>
                <w:rFonts w:ascii="Arial" w:cs="Arial" w:eastAsia="Arial" w:hAnsi="Arial"/>
                <w:sz w:val="18"/>
                <w:szCs w:val="18"/>
                <w:color w:val="auto"/>
              </w:rPr>
              <w:t>154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128905</wp:posOffset>
            </wp:positionV>
            <wp:extent cx="7246620" cy="342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3420" w:space="360"/>
            <w:col w:w="7640"/>
          </w:cols>
          <w:pgMar w:left="240" w:top="616" w:right="23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225"/>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DVB Bank America N.V.</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2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b w:val="1"/>
                <w:bCs w:val="1"/>
                <w:color w:val="auto"/>
                <w:w w:val="99"/>
              </w:rPr>
              <w:t>Facility Office, address, fax number and</w:t>
            </w:r>
          </w:p>
        </w:tc>
        <w:tc>
          <w:tcPr>
            <w:tcW w:w="340" w:type="dxa"/>
            <w:vAlign w:val="bottom"/>
          </w:tcPr>
          <w:p>
            <w:pPr>
              <w:spacing w:after="0"/>
              <w:rPr>
                <w:sz w:val="15"/>
                <w:szCs w:val="15"/>
                <w:color w:val="auto"/>
              </w:rPr>
            </w:pPr>
          </w:p>
        </w:tc>
        <w:tc>
          <w:tcPr>
            <w:tcW w:w="162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Facility Office:</w:t>
            </w:r>
          </w:p>
        </w:tc>
        <w:tc>
          <w:tcPr>
            <w:tcW w:w="6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attention details for notices</w:t>
            </w:r>
          </w:p>
        </w:tc>
        <w:tc>
          <w:tcPr>
            <w:tcW w:w="1620" w:type="dxa"/>
            <w:vAlign w:val="bottom"/>
          </w:tcPr>
          <w:p>
            <w:pPr>
              <w:spacing w:after="0"/>
              <w:rPr>
                <w:sz w:val="20"/>
                <w:szCs w:val="20"/>
                <w:color w:val="auto"/>
              </w:rPr>
            </w:pPr>
            <w:r>
              <w:rPr>
                <w:rFonts w:ascii="Arial" w:cs="Arial" w:eastAsia="Arial" w:hAnsi="Arial"/>
                <w:sz w:val="18"/>
                <w:szCs w:val="18"/>
                <w:color w:val="auto"/>
              </w:rPr>
              <w:t>Address:</w:t>
            </w:r>
          </w:p>
        </w:tc>
        <w:tc>
          <w:tcPr>
            <w:tcW w:w="6020" w:type="dxa"/>
            <w:vAlign w:val="bottom"/>
          </w:tcPr>
          <w:p>
            <w:pPr>
              <w:ind w:left="100"/>
              <w:spacing w:after="0"/>
              <w:rPr>
                <w:sz w:val="20"/>
                <w:szCs w:val="20"/>
                <w:color w:val="auto"/>
              </w:rPr>
            </w:pPr>
            <w:r>
              <w:rPr>
                <w:rFonts w:ascii="Arial" w:cs="Arial" w:eastAsia="Arial" w:hAnsi="Arial"/>
                <w:sz w:val="18"/>
                <w:szCs w:val="18"/>
                <w:color w:val="auto"/>
              </w:rPr>
              <w:t>DVB Bank America N.V.</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Gaitoweg 35, Willemstad</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20" w:type="dxa"/>
            <w:vAlign w:val="bottom"/>
          </w:tcPr>
          <w:p>
            <w:pPr>
              <w:ind w:left="100"/>
              <w:spacing w:after="0"/>
              <w:rPr>
                <w:sz w:val="20"/>
                <w:szCs w:val="20"/>
                <w:color w:val="auto"/>
              </w:rPr>
            </w:pPr>
            <w:r>
              <w:rPr>
                <w:rFonts w:ascii="Arial" w:cs="Arial" w:eastAsia="Arial" w:hAnsi="Arial"/>
                <w:sz w:val="18"/>
                <w:szCs w:val="18"/>
                <w:color w:val="auto"/>
              </w:rPr>
              <w:t>Curaçao</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For Credit Matters:</w:t>
            </w:r>
          </w:p>
        </w:tc>
        <w:tc>
          <w:tcPr>
            <w:tcW w:w="6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Address:</w:t>
            </w: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DVB Bank America N.V.</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Gaitoweg 35, Willemstad</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20" w:type="dxa"/>
            <w:vAlign w:val="bottom"/>
          </w:tcPr>
          <w:p>
            <w:pPr>
              <w:ind w:left="100"/>
              <w:spacing w:after="0"/>
              <w:rPr>
                <w:sz w:val="20"/>
                <w:szCs w:val="20"/>
                <w:color w:val="auto"/>
              </w:rPr>
            </w:pPr>
            <w:r>
              <w:rPr>
                <w:rFonts w:ascii="Arial" w:cs="Arial" w:eastAsia="Arial" w:hAnsi="Arial"/>
                <w:sz w:val="18"/>
                <w:szCs w:val="18"/>
                <w:color w:val="auto"/>
              </w:rPr>
              <w:t>Curaçao</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Tel:</w:t>
            </w:r>
          </w:p>
        </w:tc>
        <w:tc>
          <w:tcPr>
            <w:tcW w:w="6020" w:type="dxa"/>
            <w:vAlign w:val="bottom"/>
          </w:tcPr>
          <w:p>
            <w:pPr>
              <w:ind w:left="100"/>
              <w:spacing w:after="0"/>
              <w:rPr>
                <w:sz w:val="20"/>
                <w:szCs w:val="20"/>
                <w:color w:val="auto"/>
              </w:rPr>
            </w:pPr>
            <w:r>
              <w:rPr>
                <w:rFonts w:ascii="Arial" w:cs="Arial" w:eastAsia="Arial" w:hAnsi="Arial"/>
                <w:sz w:val="18"/>
                <w:szCs w:val="18"/>
                <w:color w:val="auto"/>
              </w:rPr>
              <w:t>+59 99 431 8736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Fax:</w:t>
            </w: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+59 99 431 8749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Email:</w:t>
            </w: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kai.foerster@dvbbank.com</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Attention:</w:t>
            </w:r>
          </w:p>
        </w:tc>
        <w:tc>
          <w:tcPr>
            <w:tcW w:w="6020" w:type="dxa"/>
            <w:vAlign w:val="bottom"/>
          </w:tcPr>
          <w:p>
            <w:pPr>
              <w:ind w:left="100"/>
              <w:spacing w:after="0"/>
              <w:rPr>
                <w:sz w:val="20"/>
                <w:szCs w:val="20"/>
                <w:color w:val="auto"/>
              </w:rPr>
            </w:pPr>
            <w:r>
              <w:rPr>
                <w:rFonts w:ascii="Arial" w:cs="Arial" w:eastAsia="Arial" w:hAnsi="Arial"/>
                <w:sz w:val="18"/>
                <w:szCs w:val="18"/>
                <w:color w:val="auto"/>
              </w:rPr>
              <w:t>Kai Förster</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Transaction Management: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Email:</w:t>
            </w: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tm.amsterdam@dvbbank.com</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Attention:</w:t>
            </w:r>
          </w:p>
        </w:tc>
        <w:tc>
          <w:tcPr>
            <w:tcW w:w="6020" w:type="dxa"/>
            <w:vAlign w:val="bottom"/>
          </w:tcPr>
          <w:p>
            <w:pPr>
              <w:ind w:left="100"/>
              <w:spacing w:after="0"/>
              <w:rPr>
                <w:sz w:val="20"/>
                <w:szCs w:val="20"/>
                <w:color w:val="auto"/>
              </w:rPr>
            </w:pPr>
            <w:r>
              <w:rPr>
                <w:rFonts w:ascii="Arial" w:cs="Arial" w:eastAsia="Arial" w:hAnsi="Arial"/>
                <w:sz w:val="18"/>
                <w:szCs w:val="18"/>
                <w:color w:val="auto"/>
              </w:rPr>
              <w:t>Vicky Wong</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Loan Administrations: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Email:</w:t>
            </w: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tls.curacao@dvbbank.com</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Attention:</w:t>
            </w:r>
          </w:p>
        </w:tc>
        <w:tc>
          <w:tcPr>
            <w:tcW w:w="6020" w:type="dxa"/>
            <w:vAlign w:val="bottom"/>
          </w:tcPr>
          <w:p>
            <w:pPr>
              <w:ind w:left="100"/>
              <w:spacing w:after="0"/>
              <w:rPr>
                <w:sz w:val="20"/>
                <w:szCs w:val="20"/>
                <w:color w:val="auto"/>
              </w:rPr>
            </w:pPr>
            <w:r>
              <w:rPr>
                <w:rFonts w:ascii="Arial" w:cs="Arial" w:eastAsia="Arial" w:hAnsi="Arial"/>
                <w:sz w:val="18"/>
                <w:szCs w:val="18"/>
                <w:color w:val="auto"/>
              </w:rPr>
              <w:t>Eric Maduro</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With a copy to:</w:t>
            </w:r>
          </w:p>
        </w:tc>
        <w:tc>
          <w:tcPr>
            <w:tcW w:w="6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Address:</w:t>
            </w: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DVB Bank SE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Shipping Finance Europe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20" w:type="dxa"/>
            <w:vAlign w:val="bottom"/>
          </w:tcPr>
          <w:p>
            <w:pPr>
              <w:ind w:left="100"/>
              <w:spacing w:after="0" w:line="203" w:lineRule="exact"/>
              <w:rPr>
                <w:sz w:val="20"/>
                <w:szCs w:val="20"/>
                <w:color w:val="auto"/>
              </w:rPr>
            </w:pPr>
            <w:r>
              <w:rPr>
                <w:rFonts w:ascii="Arial" w:cs="Arial" w:eastAsia="Arial" w:hAnsi="Arial"/>
                <w:sz w:val="18"/>
                <w:szCs w:val="18"/>
                <w:color w:val="auto"/>
              </w:rPr>
              <w:t>WTC Schiphol Boulevard 255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6020" w:type="dxa"/>
            <w:vAlign w:val="bottom"/>
          </w:tcPr>
          <w:p>
            <w:pPr>
              <w:ind w:left="100"/>
              <w:spacing w:after="0" w:line="243" w:lineRule="exact"/>
              <w:rPr>
                <w:sz w:val="20"/>
                <w:szCs w:val="20"/>
                <w:color w:val="auto"/>
              </w:rPr>
            </w:pPr>
            <w:r>
              <w:rPr>
                <w:rFonts w:ascii="Arial" w:cs="Arial" w:eastAsia="Arial" w:hAnsi="Arial"/>
                <w:sz w:val="17"/>
                <w:szCs w:val="17"/>
                <w:color w:val="auto"/>
              </w:rPr>
              <w:t>Schiphol Tower F, 6</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NL-1118 BH, Schiphol</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20" w:type="dxa"/>
            <w:vAlign w:val="bottom"/>
          </w:tcPr>
          <w:p>
            <w:pPr>
              <w:ind w:left="100"/>
              <w:spacing w:after="0"/>
              <w:rPr>
                <w:sz w:val="20"/>
                <w:szCs w:val="20"/>
                <w:color w:val="auto"/>
              </w:rPr>
            </w:pPr>
            <w:r>
              <w:rPr>
                <w:rFonts w:ascii="Arial" w:cs="Arial" w:eastAsia="Arial" w:hAnsi="Arial"/>
                <w:sz w:val="18"/>
                <w:szCs w:val="18"/>
                <w:color w:val="auto"/>
              </w:rPr>
              <w:t>The Netherlands</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Fax:</w:t>
            </w:r>
          </w:p>
        </w:tc>
        <w:tc>
          <w:tcPr>
            <w:tcW w:w="6020" w:type="dxa"/>
            <w:vAlign w:val="bottom"/>
          </w:tcPr>
          <w:p>
            <w:pPr>
              <w:ind w:left="100"/>
              <w:spacing w:after="0"/>
              <w:rPr>
                <w:sz w:val="20"/>
                <w:szCs w:val="20"/>
                <w:color w:val="auto"/>
              </w:rPr>
            </w:pPr>
            <w:r>
              <w:rPr>
                <w:rFonts w:ascii="Arial" w:cs="Arial" w:eastAsia="Arial" w:hAnsi="Arial"/>
                <w:sz w:val="18"/>
                <w:szCs w:val="18"/>
                <w:color w:val="auto"/>
              </w:rPr>
              <w:t>+31 88 399 8127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Email:</w:t>
            </w: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einar.grunerhegge@dvbbank.com</w:t>
            </w:r>
          </w:p>
        </w:tc>
        <w:tc>
          <w:tcPr>
            <w:tcW w:w="0" w:type="dxa"/>
            <w:vAlign w:val="bottom"/>
          </w:tcPr>
          <w:p>
            <w:pPr>
              <w:spacing w:after="0"/>
              <w:rPr>
                <w:sz w:val="1"/>
                <w:szCs w:val="1"/>
                <w:color w:val="auto"/>
              </w:rPr>
            </w:pPr>
          </w:p>
        </w:tc>
      </w:tr>
      <w:tr>
        <w:trPr>
          <w:trHeight w:val="203"/>
        </w:trPr>
        <w:tc>
          <w:tcPr>
            <w:tcW w:w="3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Term Loan Commitment ($)</w:t>
            </w: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Attention:</w:t>
            </w:r>
          </w:p>
        </w:tc>
        <w:tc>
          <w:tcPr>
            <w:tcW w:w="6020" w:type="dxa"/>
            <w:vAlign w:val="bottom"/>
          </w:tcPr>
          <w:p>
            <w:pPr>
              <w:ind w:left="100"/>
              <w:spacing w:after="0" w:line="202" w:lineRule="exact"/>
              <w:rPr>
                <w:sz w:val="20"/>
                <w:szCs w:val="20"/>
                <w:color w:val="auto"/>
              </w:rPr>
            </w:pPr>
            <w:r>
              <w:rPr>
                <w:rFonts w:ascii="Arial" w:cs="Arial" w:eastAsia="Arial" w:hAnsi="Arial"/>
                <w:sz w:val="18"/>
                <w:szCs w:val="18"/>
                <w:color w:val="auto"/>
              </w:rPr>
              <w:t>Einar Grüner-Hegge</w:t>
            </w:r>
          </w:p>
        </w:tc>
        <w:tc>
          <w:tcPr>
            <w:tcW w:w="0" w:type="dxa"/>
            <w:vAlign w:val="bottom"/>
          </w:tcPr>
          <w:p>
            <w:pPr>
              <w:spacing w:after="0"/>
              <w:rPr>
                <w:sz w:val="1"/>
                <w:szCs w:val="1"/>
                <w:color w:val="auto"/>
              </w:rPr>
            </w:pPr>
          </w:p>
        </w:tc>
      </w:tr>
      <w:tr>
        <w:trPr>
          <w:trHeight w:val="181"/>
        </w:trPr>
        <w:tc>
          <w:tcPr>
            <w:tcW w:w="3780" w:type="dxa"/>
            <w:vAlign w:val="bottom"/>
            <w:gridSpan w:val="3"/>
            <w:vMerge w:val="continue"/>
          </w:tcPr>
          <w:p>
            <w:pPr>
              <w:spacing w:after="0"/>
              <w:rPr>
                <w:sz w:val="15"/>
                <w:szCs w:val="15"/>
                <w:color w:val="auto"/>
              </w:rPr>
            </w:pPr>
          </w:p>
        </w:tc>
        <w:tc>
          <w:tcPr>
            <w:tcW w:w="1620" w:type="dxa"/>
            <w:vAlign w:val="bottom"/>
          </w:tcPr>
          <w:p>
            <w:pPr>
              <w:spacing w:after="0" w:line="181" w:lineRule="exact"/>
              <w:rPr>
                <w:sz w:val="20"/>
                <w:szCs w:val="20"/>
                <w:color w:val="auto"/>
              </w:rPr>
            </w:pPr>
            <w:r>
              <w:rPr>
                <w:rFonts w:ascii="Arial" w:cs="Arial" w:eastAsia="Arial" w:hAnsi="Arial"/>
                <w:sz w:val="18"/>
                <w:szCs w:val="18"/>
                <w:color w:val="auto"/>
              </w:rPr>
              <w:t>$50,000,000</w:t>
            </w:r>
          </w:p>
        </w:tc>
        <w:tc>
          <w:tcPr>
            <w:tcW w:w="6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Revolving Loan Commitment ($)</w:t>
            </w:r>
          </w:p>
        </w:tc>
        <w:tc>
          <w:tcPr>
            <w:tcW w:w="1620" w:type="dxa"/>
            <w:vAlign w:val="bottom"/>
          </w:tcPr>
          <w:p>
            <w:pPr>
              <w:spacing w:after="0" w:line="202" w:lineRule="exact"/>
              <w:rPr>
                <w:sz w:val="20"/>
                <w:szCs w:val="20"/>
                <w:color w:val="auto"/>
              </w:rPr>
            </w:pPr>
            <w:r>
              <w:rPr>
                <w:rFonts w:ascii="Arial" w:cs="Arial" w:eastAsia="Arial" w:hAnsi="Arial"/>
                <w:sz w:val="18"/>
                <w:szCs w:val="18"/>
                <w:color w:val="auto"/>
              </w:rPr>
              <w:t>0</w:t>
            </w:r>
          </w:p>
        </w:tc>
        <w:tc>
          <w:tcPr>
            <w:tcW w:w="6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Aggregate Lender’s Commitments ($)</w:t>
            </w:r>
          </w:p>
        </w:tc>
        <w:tc>
          <w:tcPr>
            <w:tcW w:w="1620" w:type="dxa"/>
            <w:vAlign w:val="bottom"/>
          </w:tcPr>
          <w:p>
            <w:pPr>
              <w:spacing w:after="0"/>
              <w:rPr>
                <w:sz w:val="20"/>
                <w:szCs w:val="20"/>
                <w:color w:val="auto"/>
              </w:rPr>
            </w:pPr>
            <w:r>
              <w:rPr>
                <w:rFonts w:ascii="Arial" w:cs="Arial" w:eastAsia="Arial" w:hAnsi="Arial"/>
                <w:sz w:val="18"/>
                <w:szCs w:val="18"/>
                <w:color w:val="auto"/>
              </w:rPr>
              <w:t>$50,000,000</w:t>
            </w:r>
          </w:p>
        </w:tc>
        <w:tc>
          <w:tcPr>
            <w:tcW w:w="6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2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1620" w:type="dxa"/>
            <w:vAlign w:val="bottom"/>
            <w:tcBorders>
              <w:bottom w:val="single" w:sz="8" w:color="C0C0C0"/>
            </w:tcBorders>
          </w:tcPr>
          <w:p>
            <w:pPr>
              <w:spacing w:after="0"/>
              <w:rPr>
                <w:sz w:val="20"/>
                <w:szCs w:val="20"/>
                <w:color w:val="auto"/>
              </w:rPr>
            </w:pPr>
          </w:p>
        </w:tc>
        <w:tc>
          <w:tcPr>
            <w:tcW w:w="602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16" w:right="239" w:bottom="1440" w:gutter="0" w:footer="0" w:header="0"/>
        </w:sectPr>
      </w:pPr>
    </w:p>
    <w:bookmarkStart w:id="207" w:name="page208"/>
    <w:bookmarkEnd w:id="207"/>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17805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1"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color w:val="auto"/>
        </w:rPr>
        <w:t>Facility Office, address, fax number and attention details for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17805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1"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color w:val="auto"/>
        </w:rPr>
        <w:t>Facility Office, address, fax number and attention details for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17805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34" w:lineRule="auto"/>
        <w:rPr>
          <w:sz w:val="20"/>
          <w:szCs w:val="20"/>
          <w:color w:val="auto"/>
        </w:rPr>
      </w:pPr>
      <w:r>
        <w:rPr>
          <w:rFonts w:ascii="Arial" w:cs="Arial" w:eastAsia="Arial" w:hAnsi="Arial"/>
          <w:sz w:val="18"/>
          <w:szCs w:val="18"/>
          <w:b w:val="1"/>
          <w:bCs w:val="1"/>
          <w:color w:val="auto"/>
        </w:rPr>
        <w:t>Name</w:t>
      </w:r>
    </w:p>
    <w:p>
      <w:pPr>
        <w:spacing w:after="0" w:line="235" w:lineRule="auto"/>
        <w:rPr>
          <w:sz w:val="20"/>
          <w:szCs w:val="20"/>
          <w:color w:val="auto"/>
        </w:rPr>
      </w:pPr>
      <w:r>
        <w:rPr>
          <w:rFonts w:ascii="Arial" w:cs="Arial" w:eastAsia="Arial" w:hAnsi="Arial"/>
          <w:sz w:val="18"/>
          <w:szCs w:val="18"/>
          <w:b w:val="1"/>
          <w:bCs w:val="1"/>
          <w:color w:val="auto"/>
        </w:rPr>
        <w:t>Name</w:t>
      </w:r>
    </w:p>
    <w:p>
      <w:pPr>
        <w:spacing w:after="0" w:line="235" w:lineRule="auto"/>
        <w:rPr>
          <w:sz w:val="20"/>
          <w:szCs w:val="20"/>
          <w:color w:val="auto"/>
        </w:rPr>
      </w:pPr>
      <w:r>
        <w:rPr>
          <w:rFonts w:ascii="Arial" w:cs="Arial" w:eastAsia="Arial" w:hAnsi="Arial"/>
          <w:sz w:val="18"/>
          <w:szCs w:val="18"/>
          <w:b w:val="1"/>
          <w:bCs w:val="1"/>
          <w:color w:val="auto"/>
        </w:rPr>
        <w:t>Name</w:t>
      </w:r>
    </w:p>
    <w:p>
      <w:pPr>
        <w:spacing w:after="0" w:line="235" w:lineRule="auto"/>
        <w:rPr>
          <w:sz w:val="20"/>
          <w:szCs w:val="20"/>
          <w:color w:val="auto"/>
        </w:rPr>
      </w:pPr>
      <w:r>
        <w:rPr>
          <w:rFonts w:ascii="Arial" w:cs="Arial" w:eastAsia="Arial" w:hAnsi="Arial"/>
          <w:sz w:val="18"/>
          <w:szCs w:val="18"/>
          <w:b w:val="1"/>
          <w:bCs w:val="1"/>
          <w:color w:val="auto"/>
        </w:rPr>
        <w:t>Name</w:t>
      </w:r>
    </w:p>
    <w:p>
      <w:pPr>
        <w:spacing w:after="0" w:line="235" w:lineRule="auto"/>
        <w:rPr>
          <w:sz w:val="20"/>
          <w:szCs w:val="20"/>
          <w:color w:val="auto"/>
        </w:rPr>
      </w:pPr>
      <w:r>
        <w:rPr>
          <w:rFonts w:ascii="Arial" w:cs="Arial" w:eastAsia="Arial" w:hAnsi="Arial"/>
          <w:sz w:val="18"/>
          <w:szCs w:val="18"/>
          <w:b w:val="1"/>
          <w:bCs w:val="1"/>
          <w:color w:val="auto"/>
        </w:rPr>
        <w:t>Name</w:t>
      </w:r>
    </w:p>
    <w:p>
      <w:pPr>
        <w:spacing w:after="0"/>
        <w:rPr>
          <w:sz w:val="20"/>
          <w:szCs w:val="20"/>
          <w:color w:val="auto"/>
        </w:rPr>
      </w:pPr>
      <w:r>
        <w:rPr>
          <w:rFonts w:ascii="Arial" w:cs="Arial" w:eastAsia="Arial" w:hAnsi="Arial"/>
          <w:sz w:val="18"/>
          <w:szCs w:val="18"/>
          <w:b w:val="1"/>
          <w:bCs w:val="1"/>
          <w:color w:val="auto"/>
        </w:rPr>
        <w:t>Name</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17805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17805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1"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color w:val="auto"/>
        </w:rPr>
        <w:t>Facility Office, address, fax number and attention details for notices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1140" w:type="dxa"/>
            <w:vAlign w:val="bottom"/>
          </w:tcPr>
          <w:p>
            <w:pPr>
              <w:spacing w:after="0"/>
              <w:rPr>
                <w:sz w:val="20"/>
                <w:szCs w:val="20"/>
                <w:color w:val="auto"/>
              </w:rPr>
            </w:pPr>
          </w:p>
        </w:tc>
        <w:tc>
          <w:tcPr>
            <w:tcW w:w="6500" w:type="dxa"/>
            <w:vAlign w:val="bottom"/>
          </w:tcPr>
          <w:p>
            <w:pPr>
              <w:ind w:left="360"/>
              <w:spacing w:after="0"/>
              <w:rPr>
                <w:sz w:val="20"/>
                <w:szCs w:val="20"/>
                <w:color w:val="auto"/>
              </w:rPr>
            </w:pPr>
            <w:r>
              <w:rPr>
                <w:rFonts w:ascii="Arial" w:cs="Arial" w:eastAsia="Arial" w:hAnsi="Arial"/>
                <w:sz w:val="18"/>
                <w:szCs w:val="18"/>
                <w:b w:val="1"/>
                <w:bCs w:val="1"/>
                <w:color w:val="auto"/>
              </w:rPr>
              <w:t>The Agent</w:t>
            </w:r>
          </w:p>
        </w:tc>
      </w:tr>
      <w:tr>
        <w:trPr>
          <w:trHeight w:val="392"/>
        </w:trPr>
        <w:tc>
          <w:tcPr>
            <w:tcW w:w="7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Nordea Bank AB, London Branch</w:t>
            </w:r>
          </w:p>
        </w:tc>
      </w:tr>
      <w:tr>
        <w:trPr>
          <w:trHeight w:val="236"/>
        </w:trPr>
        <w:tc>
          <w:tcPr>
            <w:tcW w:w="1140" w:type="dxa"/>
            <w:vAlign w:val="bottom"/>
          </w:tcPr>
          <w:p>
            <w:pPr>
              <w:spacing w:after="0"/>
              <w:rPr>
                <w:sz w:val="20"/>
                <w:szCs w:val="20"/>
                <w:color w:val="auto"/>
              </w:rPr>
            </w:pPr>
            <w:r>
              <w:rPr>
                <w:rFonts w:ascii="Arial" w:cs="Arial" w:eastAsia="Arial" w:hAnsi="Arial"/>
                <w:sz w:val="18"/>
                <w:szCs w:val="18"/>
                <w:color w:val="auto"/>
              </w:rPr>
              <w:t>Address:</w:t>
            </w:r>
          </w:p>
        </w:tc>
        <w:tc>
          <w:tcPr>
            <w:tcW w:w="6500" w:type="dxa"/>
            <w:vAlign w:val="bottom"/>
          </w:tcPr>
          <w:p>
            <w:pPr>
              <w:ind w:left="580"/>
              <w:spacing w:after="0" w:line="236" w:lineRule="exact"/>
              <w:rPr>
                <w:sz w:val="20"/>
                <w:szCs w:val="20"/>
                <w:color w:val="auto"/>
              </w:rPr>
            </w:pPr>
            <w:r>
              <w:rPr>
                <w:rFonts w:ascii="Arial" w:cs="Arial" w:eastAsia="Arial" w:hAnsi="Arial"/>
                <w:sz w:val="17"/>
                <w:szCs w:val="17"/>
                <w:color w:val="auto"/>
              </w:rPr>
              <w:t>6</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 Aldermanbury Square</w:t>
            </w:r>
          </w:p>
        </w:tc>
      </w:tr>
      <w:tr>
        <w:trPr>
          <w:trHeight w:val="203"/>
        </w:trPr>
        <w:tc>
          <w:tcPr>
            <w:tcW w:w="1140" w:type="dxa"/>
            <w:vAlign w:val="bottom"/>
          </w:tcPr>
          <w:p>
            <w:pPr>
              <w:spacing w:after="0"/>
              <w:rPr>
                <w:sz w:val="17"/>
                <w:szCs w:val="17"/>
                <w:color w:val="auto"/>
              </w:rPr>
            </w:pPr>
          </w:p>
        </w:tc>
        <w:tc>
          <w:tcPr>
            <w:tcW w:w="6500" w:type="dxa"/>
            <w:vAlign w:val="bottom"/>
          </w:tcPr>
          <w:p>
            <w:pPr>
              <w:ind w:left="580"/>
              <w:spacing w:after="0" w:line="202" w:lineRule="exact"/>
              <w:rPr>
                <w:sz w:val="20"/>
                <w:szCs w:val="20"/>
                <w:color w:val="auto"/>
              </w:rPr>
            </w:pPr>
            <w:r>
              <w:rPr>
                <w:rFonts w:ascii="Arial" w:cs="Arial" w:eastAsia="Arial" w:hAnsi="Arial"/>
                <w:sz w:val="18"/>
                <w:szCs w:val="18"/>
                <w:color w:val="auto"/>
              </w:rPr>
              <w:t>London EC2V 7AZ</w:t>
            </w:r>
          </w:p>
        </w:tc>
      </w:tr>
      <w:tr>
        <w:trPr>
          <w:trHeight w:val="217"/>
        </w:trPr>
        <w:tc>
          <w:tcPr>
            <w:tcW w:w="1140" w:type="dxa"/>
            <w:vAlign w:val="bottom"/>
          </w:tcPr>
          <w:p>
            <w:pPr>
              <w:spacing w:after="0"/>
              <w:rPr>
                <w:sz w:val="18"/>
                <w:szCs w:val="18"/>
                <w:color w:val="auto"/>
              </w:rPr>
            </w:pPr>
          </w:p>
        </w:tc>
        <w:tc>
          <w:tcPr>
            <w:tcW w:w="6500" w:type="dxa"/>
            <w:vAlign w:val="bottom"/>
          </w:tcPr>
          <w:p>
            <w:pPr>
              <w:ind w:left="580"/>
              <w:spacing w:after="0"/>
              <w:rPr>
                <w:sz w:val="20"/>
                <w:szCs w:val="20"/>
                <w:color w:val="auto"/>
              </w:rPr>
            </w:pPr>
            <w:r>
              <w:rPr>
                <w:rFonts w:ascii="Arial" w:cs="Arial" w:eastAsia="Arial" w:hAnsi="Arial"/>
                <w:sz w:val="18"/>
                <w:szCs w:val="18"/>
                <w:color w:val="auto"/>
              </w:rPr>
              <w:t>United Kingdom</w:t>
            </w:r>
          </w:p>
        </w:tc>
      </w:tr>
      <w:tr>
        <w:trPr>
          <w:trHeight w:val="391"/>
        </w:trPr>
        <w:tc>
          <w:tcPr>
            <w:tcW w:w="1140" w:type="dxa"/>
            <w:vAlign w:val="bottom"/>
          </w:tcPr>
          <w:p>
            <w:pPr>
              <w:spacing w:after="0"/>
              <w:rPr>
                <w:sz w:val="20"/>
                <w:szCs w:val="20"/>
                <w:color w:val="auto"/>
              </w:rPr>
            </w:pPr>
            <w:r>
              <w:rPr>
                <w:rFonts w:ascii="Arial" w:cs="Arial" w:eastAsia="Arial" w:hAnsi="Arial"/>
                <w:sz w:val="18"/>
                <w:szCs w:val="18"/>
                <w:color w:val="auto"/>
              </w:rPr>
              <w:t>Fax:</w:t>
            </w:r>
          </w:p>
        </w:tc>
        <w:tc>
          <w:tcPr>
            <w:tcW w:w="6500" w:type="dxa"/>
            <w:vAlign w:val="bottom"/>
          </w:tcPr>
          <w:p>
            <w:pPr>
              <w:ind w:left="580"/>
              <w:spacing w:after="0"/>
              <w:rPr>
                <w:sz w:val="20"/>
                <w:szCs w:val="20"/>
                <w:color w:val="auto"/>
              </w:rPr>
            </w:pPr>
            <w:r>
              <w:rPr>
                <w:rFonts w:ascii="Arial" w:cs="Arial" w:eastAsia="Arial" w:hAnsi="Arial"/>
                <w:sz w:val="18"/>
                <w:szCs w:val="18"/>
                <w:color w:val="auto"/>
              </w:rPr>
              <w:t>+44(0)20 7726 9105</w:t>
            </w:r>
          </w:p>
        </w:tc>
      </w:tr>
      <w:tr>
        <w:trPr>
          <w:trHeight w:val="203"/>
        </w:trPr>
        <w:tc>
          <w:tcPr>
            <w:tcW w:w="1140" w:type="dxa"/>
            <w:vAlign w:val="bottom"/>
          </w:tcPr>
          <w:p>
            <w:pPr>
              <w:spacing w:after="0" w:line="202" w:lineRule="exact"/>
              <w:rPr>
                <w:sz w:val="20"/>
                <w:szCs w:val="20"/>
                <w:color w:val="auto"/>
              </w:rPr>
            </w:pPr>
            <w:r>
              <w:rPr>
                <w:rFonts w:ascii="Arial" w:cs="Arial" w:eastAsia="Arial" w:hAnsi="Arial"/>
                <w:sz w:val="18"/>
                <w:szCs w:val="18"/>
                <w:color w:val="auto"/>
              </w:rPr>
              <w:t>E-mail:</w:t>
            </w:r>
          </w:p>
        </w:tc>
        <w:tc>
          <w:tcPr>
            <w:tcW w:w="6500" w:type="dxa"/>
            <w:vAlign w:val="bottom"/>
          </w:tcPr>
          <w:p>
            <w:pPr>
              <w:ind w:left="580"/>
              <w:spacing w:after="0" w:line="202" w:lineRule="exact"/>
              <w:rPr>
                <w:sz w:val="20"/>
                <w:szCs w:val="20"/>
                <w:color w:val="auto"/>
              </w:rPr>
            </w:pPr>
            <w:r>
              <w:rPr>
                <w:rFonts w:ascii="Arial" w:cs="Arial" w:eastAsia="Arial" w:hAnsi="Arial"/>
                <w:sz w:val="18"/>
                <w:szCs w:val="18"/>
                <w:color w:val="auto"/>
              </w:rPr>
              <w:t>lars.kristian.klemo@nordea.com /</w:t>
            </w:r>
          </w:p>
        </w:tc>
      </w:tr>
      <w:tr>
        <w:trPr>
          <w:trHeight w:val="203"/>
        </w:trPr>
        <w:tc>
          <w:tcPr>
            <w:tcW w:w="1140" w:type="dxa"/>
            <w:vAlign w:val="bottom"/>
          </w:tcPr>
          <w:p>
            <w:pPr>
              <w:spacing w:after="0"/>
              <w:rPr>
                <w:sz w:val="17"/>
                <w:szCs w:val="17"/>
                <w:color w:val="auto"/>
              </w:rPr>
            </w:pPr>
          </w:p>
        </w:tc>
        <w:tc>
          <w:tcPr>
            <w:tcW w:w="6500" w:type="dxa"/>
            <w:vAlign w:val="bottom"/>
          </w:tcPr>
          <w:p>
            <w:pPr>
              <w:ind w:left="580"/>
              <w:spacing w:after="0" w:line="202" w:lineRule="exact"/>
              <w:rPr>
                <w:sz w:val="20"/>
                <w:szCs w:val="20"/>
                <w:color w:val="auto"/>
              </w:rPr>
            </w:pPr>
            <w:r>
              <w:rPr>
                <w:rFonts w:ascii="Arial" w:cs="Arial" w:eastAsia="Arial" w:hAnsi="Arial"/>
                <w:sz w:val="18"/>
                <w:szCs w:val="18"/>
                <w:color w:val="auto"/>
              </w:rPr>
              <w:t>nasos.tsarouchis@nordea.com</w:t>
            </w:r>
          </w:p>
        </w:tc>
      </w:tr>
      <w:tr>
        <w:trPr>
          <w:trHeight w:val="217"/>
        </w:trPr>
        <w:tc>
          <w:tcPr>
            <w:tcW w:w="1140" w:type="dxa"/>
            <w:vAlign w:val="bottom"/>
          </w:tcPr>
          <w:p>
            <w:pPr>
              <w:spacing w:after="0"/>
              <w:rPr>
                <w:sz w:val="20"/>
                <w:szCs w:val="20"/>
                <w:color w:val="auto"/>
              </w:rPr>
            </w:pPr>
            <w:r>
              <w:rPr>
                <w:rFonts w:ascii="Arial" w:cs="Arial" w:eastAsia="Arial" w:hAnsi="Arial"/>
                <w:sz w:val="18"/>
                <w:szCs w:val="18"/>
                <w:color w:val="auto"/>
              </w:rPr>
              <w:t>Attention:</w:t>
            </w:r>
          </w:p>
        </w:tc>
        <w:tc>
          <w:tcPr>
            <w:tcW w:w="6500" w:type="dxa"/>
            <w:vAlign w:val="bottom"/>
          </w:tcPr>
          <w:p>
            <w:pPr>
              <w:ind w:left="580"/>
              <w:spacing w:after="0"/>
              <w:rPr>
                <w:sz w:val="20"/>
                <w:szCs w:val="20"/>
                <w:color w:val="auto"/>
              </w:rPr>
            </w:pPr>
            <w:r>
              <w:rPr>
                <w:rFonts w:ascii="Arial" w:cs="Arial" w:eastAsia="Arial" w:hAnsi="Arial"/>
                <w:sz w:val="18"/>
                <w:szCs w:val="18"/>
                <w:color w:val="auto"/>
              </w:rPr>
              <w:t>Lars Kristian Klemo / Nasos Tsarouchis</w:t>
            </w: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40" w:type="dxa"/>
            <w:vAlign w:val="bottom"/>
          </w:tcPr>
          <w:p>
            <w:pPr>
              <w:spacing w:after="0"/>
              <w:rPr>
                <w:sz w:val="20"/>
                <w:szCs w:val="20"/>
                <w:color w:val="auto"/>
              </w:rPr>
            </w:pPr>
          </w:p>
        </w:tc>
        <w:tc>
          <w:tcPr>
            <w:tcW w:w="6700" w:type="dxa"/>
            <w:vAlign w:val="bottom"/>
          </w:tcPr>
          <w:p>
            <w:pPr>
              <w:ind w:left="180"/>
              <w:spacing w:after="0"/>
              <w:rPr>
                <w:sz w:val="20"/>
                <w:szCs w:val="20"/>
                <w:color w:val="auto"/>
              </w:rPr>
            </w:pPr>
            <w:r>
              <w:rPr>
                <w:rFonts w:ascii="Arial" w:cs="Arial" w:eastAsia="Arial" w:hAnsi="Arial"/>
                <w:sz w:val="18"/>
                <w:szCs w:val="18"/>
                <w:b w:val="1"/>
                <w:bCs w:val="1"/>
                <w:color w:val="auto"/>
              </w:rPr>
              <w:t>The Security Agent</w:t>
            </w:r>
          </w:p>
        </w:tc>
      </w:tr>
      <w:tr>
        <w:trPr>
          <w:trHeight w:val="392"/>
        </w:trPr>
        <w:tc>
          <w:tcPr>
            <w:tcW w:w="7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Nordea Bank AB, London Branch</w:t>
            </w:r>
          </w:p>
        </w:tc>
      </w:tr>
      <w:tr>
        <w:trPr>
          <w:trHeight w:val="236"/>
        </w:trPr>
        <w:tc>
          <w:tcPr>
            <w:tcW w:w="940" w:type="dxa"/>
            <w:vAlign w:val="bottom"/>
          </w:tcPr>
          <w:p>
            <w:pPr>
              <w:spacing w:after="0"/>
              <w:rPr>
                <w:sz w:val="20"/>
                <w:szCs w:val="20"/>
                <w:color w:val="auto"/>
              </w:rPr>
            </w:pPr>
            <w:r>
              <w:rPr>
                <w:rFonts w:ascii="Arial" w:cs="Arial" w:eastAsia="Arial" w:hAnsi="Arial"/>
                <w:sz w:val="18"/>
                <w:szCs w:val="18"/>
                <w:color w:val="auto"/>
              </w:rPr>
              <w:t>Address:</w:t>
            </w:r>
          </w:p>
        </w:tc>
        <w:tc>
          <w:tcPr>
            <w:tcW w:w="6700" w:type="dxa"/>
            <w:vAlign w:val="bottom"/>
          </w:tcPr>
          <w:p>
            <w:pPr>
              <w:ind w:left="780"/>
              <w:spacing w:after="0" w:line="236" w:lineRule="exact"/>
              <w:rPr>
                <w:sz w:val="20"/>
                <w:szCs w:val="20"/>
                <w:color w:val="auto"/>
              </w:rPr>
            </w:pPr>
            <w:r>
              <w:rPr>
                <w:rFonts w:ascii="Arial" w:cs="Arial" w:eastAsia="Arial" w:hAnsi="Arial"/>
                <w:sz w:val="17"/>
                <w:szCs w:val="17"/>
                <w:color w:val="auto"/>
              </w:rPr>
              <w:t>6</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 Aldermanbury Square</w:t>
            </w:r>
          </w:p>
        </w:tc>
      </w:tr>
      <w:tr>
        <w:trPr>
          <w:trHeight w:val="203"/>
        </w:trPr>
        <w:tc>
          <w:tcPr>
            <w:tcW w:w="940" w:type="dxa"/>
            <w:vAlign w:val="bottom"/>
          </w:tcPr>
          <w:p>
            <w:pPr>
              <w:spacing w:after="0"/>
              <w:rPr>
                <w:sz w:val="17"/>
                <w:szCs w:val="17"/>
                <w:color w:val="auto"/>
              </w:rPr>
            </w:pPr>
          </w:p>
        </w:tc>
        <w:tc>
          <w:tcPr>
            <w:tcW w:w="6700" w:type="dxa"/>
            <w:vAlign w:val="bottom"/>
          </w:tcPr>
          <w:p>
            <w:pPr>
              <w:ind w:left="780"/>
              <w:spacing w:after="0" w:line="202" w:lineRule="exact"/>
              <w:rPr>
                <w:sz w:val="20"/>
                <w:szCs w:val="20"/>
                <w:color w:val="auto"/>
              </w:rPr>
            </w:pPr>
            <w:r>
              <w:rPr>
                <w:rFonts w:ascii="Arial" w:cs="Arial" w:eastAsia="Arial" w:hAnsi="Arial"/>
                <w:sz w:val="18"/>
                <w:szCs w:val="18"/>
                <w:color w:val="auto"/>
              </w:rPr>
              <w:t>London EC2V 7AZ</w:t>
            </w:r>
          </w:p>
        </w:tc>
      </w:tr>
      <w:tr>
        <w:trPr>
          <w:trHeight w:val="217"/>
        </w:trPr>
        <w:tc>
          <w:tcPr>
            <w:tcW w:w="940" w:type="dxa"/>
            <w:vAlign w:val="bottom"/>
          </w:tcPr>
          <w:p>
            <w:pPr>
              <w:spacing w:after="0"/>
              <w:rPr>
                <w:sz w:val="18"/>
                <w:szCs w:val="18"/>
                <w:color w:val="auto"/>
              </w:rPr>
            </w:pPr>
          </w:p>
        </w:tc>
        <w:tc>
          <w:tcPr>
            <w:tcW w:w="6700" w:type="dxa"/>
            <w:vAlign w:val="bottom"/>
          </w:tcPr>
          <w:p>
            <w:pPr>
              <w:ind w:left="780"/>
              <w:spacing w:after="0"/>
              <w:rPr>
                <w:sz w:val="20"/>
                <w:szCs w:val="20"/>
                <w:color w:val="auto"/>
              </w:rPr>
            </w:pPr>
            <w:r>
              <w:rPr>
                <w:rFonts w:ascii="Arial" w:cs="Arial" w:eastAsia="Arial" w:hAnsi="Arial"/>
                <w:sz w:val="18"/>
                <w:szCs w:val="18"/>
                <w:color w:val="auto"/>
              </w:rPr>
              <w:t>United Kingdom</w:t>
            </w:r>
          </w:p>
        </w:tc>
      </w:tr>
      <w:tr>
        <w:trPr>
          <w:trHeight w:val="391"/>
        </w:trPr>
        <w:tc>
          <w:tcPr>
            <w:tcW w:w="940" w:type="dxa"/>
            <w:vAlign w:val="bottom"/>
          </w:tcPr>
          <w:p>
            <w:pPr>
              <w:spacing w:after="0"/>
              <w:rPr>
                <w:sz w:val="20"/>
                <w:szCs w:val="20"/>
                <w:color w:val="auto"/>
              </w:rPr>
            </w:pPr>
            <w:r>
              <w:rPr>
                <w:rFonts w:ascii="Arial" w:cs="Arial" w:eastAsia="Arial" w:hAnsi="Arial"/>
                <w:sz w:val="18"/>
                <w:szCs w:val="18"/>
                <w:color w:val="auto"/>
              </w:rPr>
              <w:t>Fax:</w:t>
            </w:r>
          </w:p>
        </w:tc>
        <w:tc>
          <w:tcPr>
            <w:tcW w:w="6700" w:type="dxa"/>
            <w:vAlign w:val="bottom"/>
          </w:tcPr>
          <w:p>
            <w:pPr>
              <w:ind w:left="780"/>
              <w:spacing w:after="0"/>
              <w:rPr>
                <w:sz w:val="20"/>
                <w:szCs w:val="20"/>
                <w:color w:val="auto"/>
              </w:rPr>
            </w:pPr>
            <w:r>
              <w:rPr>
                <w:rFonts w:ascii="Arial" w:cs="Arial" w:eastAsia="Arial" w:hAnsi="Arial"/>
                <w:sz w:val="18"/>
                <w:szCs w:val="18"/>
                <w:color w:val="auto"/>
              </w:rPr>
              <w:t>+44(0)20 7726 9105</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E-mail:</w:t>
            </w:r>
          </w:p>
        </w:tc>
        <w:tc>
          <w:tcPr>
            <w:tcW w:w="6700" w:type="dxa"/>
            <w:vAlign w:val="bottom"/>
          </w:tcPr>
          <w:p>
            <w:pPr>
              <w:ind w:left="780"/>
              <w:spacing w:after="0" w:line="202" w:lineRule="exact"/>
              <w:rPr>
                <w:sz w:val="20"/>
                <w:szCs w:val="20"/>
                <w:color w:val="auto"/>
              </w:rPr>
            </w:pPr>
            <w:r>
              <w:rPr>
                <w:rFonts w:ascii="Arial" w:cs="Arial" w:eastAsia="Arial" w:hAnsi="Arial"/>
                <w:sz w:val="18"/>
                <w:szCs w:val="18"/>
                <w:color w:val="auto"/>
              </w:rPr>
              <w:t>lars.kristian.klemo@nordea.com /</w:t>
            </w:r>
          </w:p>
        </w:tc>
      </w:tr>
      <w:tr>
        <w:trPr>
          <w:trHeight w:val="203"/>
        </w:trPr>
        <w:tc>
          <w:tcPr>
            <w:tcW w:w="940" w:type="dxa"/>
            <w:vAlign w:val="bottom"/>
          </w:tcPr>
          <w:p>
            <w:pPr>
              <w:spacing w:after="0"/>
              <w:rPr>
                <w:sz w:val="17"/>
                <w:szCs w:val="17"/>
                <w:color w:val="auto"/>
              </w:rPr>
            </w:pPr>
          </w:p>
        </w:tc>
        <w:tc>
          <w:tcPr>
            <w:tcW w:w="6700" w:type="dxa"/>
            <w:vAlign w:val="bottom"/>
          </w:tcPr>
          <w:p>
            <w:pPr>
              <w:ind w:left="780"/>
              <w:spacing w:after="0" w:line="202" w:lineRule="exact"/>
              <w:rPr>
                <w:sz w:val="20"/>
                <w:szCs w:val="20"/>
                <w:color w:val="auto"/>
              </w:rPr>
            </w:pPr>
            <w:r>
              <w:rPr>
                <w:rFonts w:ascii="Arial" w:cs="Arial" w:eastAsia="Arial" w:hAnsi="Arial"/>
                <w:sz w:val="18"/>
                <w:szCs w:val="18"/>
                <w:color w:val="auto"/>
              </w:rPr>
              <w:t>nasos.tsarouchis@nordea.com</w:t>
            </w:r>
          </w:p>
        </w:tc>
      </w:tr>
      <w:tr>
        <w:trPr>
          <w:trHeight w:val="217"/>
        </w:trPr>
        <w:tc>
          <w:tcPr>
            <w:tcW w:w="940" w:type="dxa"/>
            <w:vAlign w:val="bottom"/>
          </w:tcPr>
          <w:p>
            <w:pPr>
              <w:spacing w:after="0"/>
              <w:rPr>
                <w:sz w:val="20"/>
                <w:szCs w:val="20"/>
                <w:color w:val="auto"/>
              </w:rPr>
            </w:pPr>
            <w:r>
              <w:rPr>
                <w:rFonts w:ascii="Arial" w:cs="Arial" w:eastAsia="Arial" w:hAnsi="Arial"/>
                <w:sz w:val="18"/>
                <w:szCs w:val="18"/>
                <w:color w:val="auto"/>
              </w:rPr>
              <w:t>Attention:</w:t>
            </w:r>
          </w:p>
        </w:tc>
        <w:tc>
          <w:tcPr>
            <w:tcW w:w="6700" w:type="dxa"/>
            <w:vAlign w:val="bottom"/>
          </w:tcPr>
          <w:p>
            <w:pPr>
              <w:ind w:left="780"/>
              <w:spacing w:after="0"/>
              <w:rPr>
                <w:sz w:val="20"/>
                <w:szCs w:val="20"/>
                <w:color w:val="auto"/>
              </w:rPr>
            </w:pPr>
            <w:r>
              <w:rPr>
                <w:rFonts w:ascii="Arial" w:cs="Arial" w:eastAsia="Arial" w:hAnsi="Arial"/>
                <w:sz w:val="18"/>
                <w:szCs w:val="18"/>
                <w:color w:val="auto"/>
              </w:rPr>
              <w:t>Lars Kristian Klemo / Nasos Tsarouchis</w:t>
            </w:r>
          </w:p>
        </w:tc>
      </w:tr>
    </w:tbl>
    <w:p>
      <w:pPr>
        <w:spacing w:after="0" w:line="166" w:lineRule="exact"/>
        <w:rPr>
          <w:sz w:val="20"/>
          <w:szCs w:val="20"/>
          <w:color w:val="auto"/>
        </w:rPr>
      </w:pPr>
    </w:p>
    <w:p>
      <w:pPr>
        <w:jc w:val="center"/>
        <w:ind w:right="3760"/>
        <w:spacing w:after="0"/>
        <w:rPr>
          <w:sz w:val="20"/>
          <w:szCs w:val="20"/>
          <w:color w:val="auto"/>
        </w:rPr>
      </w:pPr>
      <w:r>
        <w:rPr>
          <w:rFonts w:ascii="Arial" w:cs="Arial" w:eastAsia="Arial" w:hAnsi="Arial"/>
          <w:sz w:val="18"/>
          <w:szCs w:val="18"/>
          <w:b w:val="1"/>
          <w:bCs w:val="1"/>
          <w:color w:val="auto"/>
        </w:rPr>
        <w:t>The Arrangers</w:t>
      </w:r>
    </w:p>
    <w:p>
      <w:pPr>
        <w:spacing w:after="0" w:line="18" w:lineRule="exact"/>
        <w:rPr>
          <w:sz w:val="20"/>
          <w:szCs w:val="20"/>
          <w:color w:val="auto"/>
        </w:rPr>
      </w:pPr>
    </w:p>
    <w:p>
      <w:pPr>
        <w:jc w:val="center"/>
        <w:ind w:right="3760"/>
        <w:spacing w:after="0"/>
        <w:rPr>
          <w:sz w:val="20"/>
          <w:szCs w:val="20"/>
          <w:color w:val="auto"/>
        </w:rPr>
      </w:pPr>
      <w:r>
        <w:rPr>
          <w:rFonts w:ascii="Arial" w:cs="Arial" w:eastAsia="Arial" w:hAnsi="Arial"/>
          <w:sz w:val="18"/>
          <w:szCs w:val="18"/>
          <w:b w:val="1"/>
          <w:bCs w:val="1"/>
          <w:color w:val="auto"/>
        </w:rPr>
        <w:t>Mandated Lead Arrangers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Citigroup Global Markets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485394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Suisse AG</w:t>
      </w:r>
    </w:p>
    <w:p>
      <w:pPr>
        <w:spacing w:after="0" w:line="234" w:lineRule="auto"/>
        <w:rPr>
          <w:sz w:val="20"/>
          <w:szCs w:val="20"/>
          <w:color w:val="auto"/>
        </w:rPr>
      </w:pPr>
      <w:r>
        <w:rPr>
          <w:rFonts w:ascii="Arial" w:cs="Arial" w:eastAsia="Arial" w:hAnsi="Arial"/>
          <w:sz w:val="18"/>
          <w:szCs w:val="18"/>
          <w:b w:val="1"/>
          <w:bCs w:val="1"/>
          <w:color w:val="auto"/>
        </w:rPr>
        <w:t>Nordea Bank, London Branch</w:t>
      </w:r>
    </w:p>
    <w:p>
      <w:pPr>
        <w:spacing w:after="0" w:line="235" w:lineRule="auto"/>
        <w:rPr>
          <w:sz w:val="20"/>
          <w:szCs w:val="20"/>
          <w:color w:val="auto"/>
        </w:rPr>
      </w:pPr>
      <w:r>
        <w:rPr>
          <w:rFonts w:ascii="Arial" w:cs="Arial" w:eastAsia="Arial" w:hAnsi="Arial"/>
          <w:sz w:val="18"/>
          <w:szCs w:val="18"/>
          <w:b w:val="1"/>
          <w:bCs w:val="1"/>
          <w:color w:val="auto"/>
        </w:rPr>
        <w:t>Skandinaviska Enskilda Banken AB (publ)</w:t>
      </w:r>
    </w:p>
    <w:p>
      <w:pPr>
        <w:spacing w:after="0" w:line="235" w:lineRule="auto"/>
        <w:rPr>
          <w:sz w:val="20"/>
          <w:szCs w:val="20"/>
          <w:color w:val="auto"/>
        </w:rPr>
      </w:pPr>
      <w:r>
        <w:rPr>
          <w:rFonts w:ascii="Arial" w:cs="Arial" w:eastAsia="Arial" w:hAnsi="Arial"/>
          <w:sz w:val="18"/>
          <w:szCs w:val="18"/>
          <w:b w:val="1"/>
          <w:bCs w:val="1"/>
          <w:color w:val="auto"/>
        </w:rPr>
        <w:t>HSBC Bank plc</w:t>
      </w:r>
    </w:p>
    <w:p>
      <w:pPr>
        <w:spacing w:after="0" w:line="235" w:lineRule="auto"/>
        <w:rPr>
          <w:sz w:val="20"/>
          <w:szCs w:val="20"/>
          <w:color w:val="auto"/>
        </w:rPr>
      </w:pPr>
      <w:r>
        <w:rPr>
          <w:rFonts w:ascii="Arial" w:cs="Arial" w:eastAsia="Arial" w:hAnsi="Arial"/>
          <w:sz w:val="18"/>
          <w:szCs w:val="18"/>
          <w:b w:val="1"/>
          <w:bCs w:val="1"/>
          <w:color w:val="auto"/>
        </w:rPr>
        <w:t>ING Bank N.V., London Branch</w:t>
      </w:r>
    </w:p>
    <w:p>
      <w:pPr>
        <w:spacing w:after="0" w:line="235" w:lineRule="auto"/>
        <w:rPr>
          <w:sz w:val="20"/>
          <w:szCs w:val="20"/>
          <w:color w:val="auto"/>
        </w:rPr>
      </w:pPr>
      <w:r>
        <w:rPr>
          <w:rFonts w:ascii="Arial" w:cs="Arial" w:eastAsia="Arial" w:hAnsi="Arial"/>
          <w:sz w:val="18"/>
          <w:szCs w:val="18"/>
          <w:b w:val="1"/>
          <w:bCs w:val="1"/>
          <w:color w:val="auto"/>
        </w:rPr>
        <w:t>Danmarks Skibskredit A/S</w:t>
      </w:r>
    </w:p>
    <w:p>
      <w:pPr>
        <w:spacing w:after="0"/>
        <w:rPr>
          <w:sz w:val="20"/>
          <w:szCs w:val="20"/>
          <w:color w:val="auto"/>
        </w:rPr>
      </w:pPr>
      <w:r>
        <w:rPr>
          <w:rFonts w:ascii="Arial" w:cs="Arial" w:eastAsia="Arial" w:hAnsi="Arial"/>
          <w:sz w:val="18"/>
          <w:szCs w:val="18"/>
          <w:b w:val="1"/>
          <w:bCs w:val="1"/>
          <w:color w:val="auto"/>
        </w:rPr>
        <w:t>The Korea Development Bank</w:t>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Arrangers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DVB Bank America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485394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The Global Co-ordinator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Citigroup Global Markets Limited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Address:</w:t>
            </w:r>
          </w:p>
        </w:tc>
        <w:tc>
          <w:tcPr>
            <w:tcW w:w="6400" w:type="dxa"/>
            <w:vAlign w:val="bottom"/>
            <w:tcBorders>
              <w:top w:val="single" w:sz="8" w:color="auto"/>
            </w:tcBorders>
          </w:tcPr>
          <w:p>
            <w:pPr>
              <w:ind w:left="480"/>
              <w:spacing w:after="0" w:line="195" w:lineRule="exact"/>
              <w:rPr>
                <w:sz w:val="20"/>
                <w:szCs w:val="20"/>
                <w:color w:val="auto"/>
              </w:rPr>
            </w:pPr>
            <w:r>
              <w:rPr>
                <w:rFonts w:ascii="Arial" w:cs="Arial" w:eastAsia="Arial" w:hAnsi="Arial"/>
                <w:sz w:val="18"/>
                <w:szCs w:val="18"/>
                <w:color w:val="auto"/>
              </w:rPr>
              <w:t>Citigroup Centre</w:t>
            </w:r>
          </w:p>
        </w:tc>
      </w:tr>
      <w:tr>
        <w:trPr>
          <w:trHeight w:val="203"/>
        </w:trPr>
        <w:tc>
          <w:tcPr>
            <w:tcW w:w="1240" w:type="dxa"/>
            <w:vAlign w:val="bottom"/>
          </w:tcPr>
          <w:p>
            <w:pPr>
              <w:spacing w:after="0"/>
              <w:rPr>
                <w:sz w:val="17"/>
                <w:szCs w:val="17"/>
                <w:color w:val="auto"/>
              </w:rPr>
            </w:pPr>
          </w:p>
        </w:tc>
        <w:tc>
          <w:tcPr>
            <w:tcW w:w="6400" w:type="dxa"/>
            <w:vAlign w:val="bottom"/>
          </w:tcPr>
          <w:p>
            <w:pPr>
              <w:ind w:left="480"/>
              <w:spacing w:after="0" w:line="202" w:lineRule="exact"/>
              <w:rPr>
                <w:sz w:val="20"/>
                <w:szCs w:val="20"/>
                <w:color w:val="auto"/>
              </w:rPr>
            </w:pPr>
            <w:r>
              <w:rPr>
                <w:rFonts w:ascii="Arial" w:cs="Arial" w:eastAsia="Arial" w:hAnsi="Arial"/>
                <w:sz w:val="18"/>
                <w:szCs w:val="18"/>
                <w:color w:val="auto"/>
              </w:rPr>
              <w:t>33 Canada Square</w:t>
            </w:r>
          </w:p>
        </w:tc>
      </w:tr>
      <w:tr>
        <w:trPr>
          <w:trHeight w:val="203"/>
        </w:trPr>
        <w:tc>
          <w:tcPr>
            <w:tcW w:w="1240" w:type="dxa"/>
            <w:vAlign w:val="bottom"/>
          </w:tcPr>
          <w:p>
            <w:pPr>
              <w:spacing w:after="0"/>
              <w:rPr>
                <w:sz w:val="17"/>
                <w:szCs w:val="17"/>
                <w:color w:val="auto"/>
              </w:rPr>
            </w:pPr>
          </w:p>
        </w:tc>
        <w:tc>
          <w:tcPr>
            <w:tcW w:w="6400" w:type="dxa"/>
            <w:vAlign w:val="bottom"/>
          </w:tcPr>
          <w:p>
            <w:pPr>
              <w:ind w:left="480"/>
              <w:spacing w:after="0" w:line="202" w:lineRule="exact"/>
              <w:rPr>
                <w:sz w:val="20"/>
                <w:szCs w:val="20"/>
                <w:color w:val="auto"/>
              </w:rPr>
            </w:pPr>
            <w:r>
              <w:rPr>
                <w:rFonts w:ascii="Arial" w:cs="Arial" w:eastAsia="Arial" w:hAnsi="Arial"/>
                <w:sz w:val="18"/>
                <w:szCs w:val="18"/>
                <w:color w:val="auto"/>
              </w:rPr>
              <w:t>London E14 5LB</w:t>
            </w:r>
          </w:p>
        </w:tc>
      </w:tr>
      <w:tr>
        <w:trPr>
          <w:trHeight w:val="217"/>
        </w:trPr>
        <w:tc>
          <w:tcPr>
            <w:tcW w:w="1240" w:type="dxa"/>
            <w:vAlign w:val="bottom"/>
          </w:tcPr>
          <w:p>
            <w:pPr>
              <w:spacing w:after="0"/>
              <w:rPr>
                <w:sz w:val="18"/>
                <w:szCs w:val="18"/>
                <w:color w:val="auto"/>
              </w:rPr>
            </w:pPr>
          </w:p>
        </w:tc>
        <w:tc>
          <w:tcPr>
            <w:tcW w:w="6400" w:type="dxa"/>
            <w:vAlign w:val="bottom"/>
          </w:tcPr>
          <w:p>
            <w:pPr>
              <w:ind w:left="480"/>
              <w:spacing w:after="0"/>
              <w:rPr>
                <w:sz w:val="20"/>
                <w:szCs w:val="20"/>
                <w:color w:val="auto"/>
              </w:rPr>
            </w:pPr>
            <w:r>
              <w:rPr>
                <w:rFonts w:ascii="Arial" w:cs="Arial" w:eastAsia="Arial" w:hAnsi="Arial"/>
                <w:sz w:val="18"/>
                <w:szCs w:val="18"/>
                <w:color w:val="auto"/>
              </w:rPr>
              <w:t>United Kingdom</w:t>
            </w:r>
          </w:p>
        </w:tc>
      </w:tr>
      <w:tr>
        <w:trPr>
          <w:trHeight w:val="391"/>
        </w:trPr>
        <w:tc>
          <w:tcPr>
            <w:tcW w:w="1240" w:type="dxa"/>
            <w:vAlign w:val="bottom"/>
          </w:tcPr>
          <w:p>
            <w:pPr>
              <w:spacing w:after="0"/>
              <w:rPr>
                <w:sz w:val="20"/>
                <w:szCs w:val="20"/>
                <w:color w:val="auto"/>
              </w:rPr>
            </w:pPr>
            <w:r>
              <w:rPr>
                <w:rFonts w:ascii="Arial" w:cs="Arial" w:eastAsia="Arial" w:hAnsi="Arial"/>
                <w:sz w:val="18"/>
                <w:szCs w:val="18"/>
                <w:color w:val="auto"/>
              </w:rPr>
              <w:t>Fax:</w:t>
            </w:r>
          </w:p>
        </w:tc>
        <w:tc>
          <w:tcPr>
            <w:tcW w:w="6400" w:type="dxa"/>
            <w:vAlign w:val="bottom"/>
          </w:tcPr>
          <w:p>
            <w:pPr>
              <w:ind w:left="480"/>
              <w:spacing w:after="0"/>
              <w:rPr>
                <w:sz w:val="20"/>
                <w:szCs w:val="20"/>
                <w:color w:val="auto"/>
              </w:rPr>
            </w:pPr>
            <w:r>
              <w:rPr>
                <w:rFonts w:ascii="Arial" w:cs="Arial" w:eastAsia="Arial" w:hAnsi="Arial"/>
                <w:sz w:val="18"/>
                <w:szCs w:val="18"/>
                <w:color w:val="auto"/>
              </w:rPr>
              <w:t>+44 20 3364 2230</w:t>
            </w:r>
          </w:p>
        </w:tc>
      </w:tr>
      <w:tr>
        <w:trPr>
          <w:trHeight w:val="217"/>
        </w:trPr>
        <w:tc>
          <w:tcPr>
            <w:tcW w:w="1240" w:type="dxa"/>
            <w:vAlign w:val="bottom"/>
          </w:tcPr>
          <w:p>
            <w:pPr>
              <w:spacing w:after="0"/>
              <w:rPr>
                <w:sz w:val="20"/>
                <w:szCs w:val="20"/>
                <w:color w:val="auto"/>
              </w:rPr>
            </w:pPr>
            <w:r>
              <w:rPr>
                <w:rFonts w:ascii="Arial" w:cs="Arial" w:eastAsia="Arial" w:hAnsi="Arial"/>
                <w:sz w:val="18"/>
                <w:szCs w:val="18"/>
                <w:color w:val="auto"/>
              </w:rPr>
              <w:t>Attention:</w:t>
            </w:r>
          </w:p>
        </w:tc>
        <w:tc>
          <w:tcPr>
            <w:tcW w:w="6400" w:type="dxa"/>
            <w:vAlign w:val="bottom"/>
          </w:tcPr>
          <w:p>
            <w:pPr>
              <w:ind w:left="480"/>
              <w:spacing w:after="0"/>
              <w:rPr>
                <w:sz w:val="20"/>
                <w:szCs w:val="20"/>
                <w:color w:val="auto"/>
              </w:rPr>
            </w:pPr>
            <w:r>
              <w:rPr>
                <w:rFonts w:ascii="Arial" w:cs="Arial" w:eastAsia="Arial" w:hAnsi="Arial"/>
                <w:sz w:val="18"/>
                <w:szCs w:val="18"/>
                <w:color w:val="auto"/>
              </w:rPr>
              <w:t>Vassilios Maroulis</w:t>
            </w:r>
          </w:p>
        </w:tc>
      </w:tr>
      <w:tr>
        <w:trPr>
          <w:trHeight w:val="392"/>
        </w:trPr>
        <w:tc>
          <w:tcPr>
            <w:tcW w:w="1240" w:type="dxa"/>
            <w:vAlign w:val="bottom"/>
          </w:tcPr>
          <w:p>
            <w:pPr>
              <w:spacing w:after="0"/>
              <w:rPr>
                <w:sz w:val="24"/>
                <w:szCs w:val="24"/>
                <w:color w:val="auto"/>
              </w:rPr>
            </w:pPr>
          </w:p>
        </w:tc>
        <w:tc>
          <w:tcPr>
            <w:tcW w:w="6400" w:type="dxa"/>
            <w:vAlign w:val="bottom"/>
          </w:tcPr>
          <w:p>
            <w:pPr>
              <w:ind w:left="540"/>
              <w:spacing w:after="0"/>
              <w:rPr>
                <w:sz w:val="20"/>
                <w:szCs w:val="20"/>
                <w:color w:val="auto"/>
              </w:rPr>
            </w:pPr>
            <w:r>
              <w:rPr>
                <w:rFonts w:ascii="Arial" w:cs="Arial" w:eastAsia="Arial" w:hAnsi="Arial"/>
                <w:sz w:val="18"/>
                <w:szCs w:val="18"/>
                <w:color w:val="auto"/>
              </w:rPr>
              <w:t>156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128905</wp:posOffset>
            </wp:positionV>
            <wp:extent cx="7246620" cy="342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3420" w:space="360"/>
            <w:col w:w="7640"/>
          </w:cols>
          <w:pgMar w:left="240" w:top="617" w:right="239"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40" w:type="dxa"/>
            <w:vAlign w:val="bottom"/>
          </w:tcPr>
          <w:p>
            <w:pPr>
              <w:ind w:left="1180"/>
              <w:spacing w:after="0"/>
              <w:rPr>
                <w:sz w:val="20"/>
                <w:szCs w:val="20"/>
                <w:color w:val="auto"/>
              </w:rPr>
            </w:pPr>
            <w:r>
              <w:rPr>
                <w:rFonts w:ascii="Arial" w:cs="Arial" w:eastAsia="Arial" w:hAnsi="Arial"/>
                <w:sz w:val="18"/>
                <w:szCs w:val="18"/>
                <w:b w:val="1"/>
                <w:bCs w:val="1"/>
                <w:color w:val="auto"/>
              </w:rPr>
              <w:t>The Bookrunners</w:t>
            </w:r>
          </w:p>
        </w:tc>
      </w:tr>
      <w:tr>
        <w:trPr>
          <w:trHeight w:val="392"/>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7640" w:type="dxa"/>
            <w:vAlign w:val="bottom"/>
          </w:tcPr>
          <w:p>
            <w:pPr>
              <w:spacing w:after="0"/>
              <w:rPr>
                <w:sz w:val="20"/>
                <w:szCs w:val="20"/>
                <w:color w:val="auto"/>
              </w:rPr>
            </w:pPr>
            <w:r>
              <w:rPr>
                <w:rFonts w:ascii="Arial" w:cs="Arial" w:eastAsia="Arial" w:hAnsi="Arial"/>
                <w:sz w:val="18"/>
                <w:szCs w:val="18"/>
                <w:b w:val="1"/>
                <w:bCs w:val="1"/>
                <w:color w:val="auto"/>
              </w:rPr>
              <w:t>Citigroup Global Markets Limited</w:t>
            </w:r>
          </w:p>
        </w:tc>
      </w:tr>
      <w:tr>
        <w:trPr>
          <w:trHeight w:val="173"/>
        </w:trPr>
        <w:tc>
          <w:tcPr>
            <w:tcW w:w="20" w:type="dxa"/>
            <w:vAlign w:val="bottom"/>
          </w:tcPr>
          <w:p>
            <w:pPr>
              <w:spacing w:after="0"/>
              <w:rPr>
                <w:sz w:val="15"/>
                <w:szCs w:val="15"/>
                <w:color w:val="auto"/>
              </w:rPr>
            </w:pPr>
          </w:p>
        </w:tc>
        <w:tc>
          <w:tcPr>
            <w:tcW w:w="342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b w:val="1"/>
                <w:bCs w:val="1"/>
                <w:color w:val="auto"/>
              </w:rPr>
              <w:t>Name</w:t>
            </w:r>
          </w:p>
        </w:tc>
        <w:tc>
          <w:tcPr>
            <w:tcW w:w="340" w:type="dxa"/>
            <w:vAlign w:val="bottom"/>
          </w:tcPr>
          <w:p>
            <w:pPr>
              <w:spacing w:after="0"/>
              <w:rPr>
                <w:sz w:val="15"/>
                <w:szCs w:val="15"/>
                <w:color w:val="auto"/>
              </w:rPr>
            </w:pPr>
          </w:p>
        </w:tc>
        <w:tc>
          <w:tcPr>
            <w:tcW w:w="764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b w:val="1"/>
                <w:bCs w:val="1"/>
                <w:color w:val="auto"/>
              </w:rPr>
              <w:t>Credit Suisse AG</w:t>
            </w:r>
          </w:p>
        </w:tc>
      </w:tr>
      <w:tr>
        <w:trPr>
          <w:trHeight w:val="203"/>
        </w:trPr>
        <w:tc>
          <w:tcPr>
            <w:tcW w:w="37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Name</w:t>
            </w:r>
          </w:p>
        </w:tc>
        <w:tc>
          <w:tcPr>
            <w:tcW w:w="7640" w:type="dxa"/>
            <w:vAlign w:val="bottom"/>
          </w:tcPr>
          <w:p>
            <w:pPr>
              <w:spacing w:after="0" w:line="202" w:lineRule="exact"/>
              <w:rPr>
                <w:sz w:val="20"/>
                <w:szCs w:val="20"/>
                <w:color w:val="auto"/>
              </w:rPr>
            </w:pPr>
            <w:r>
              <w:rPr>
                <w:rFonts w:ascii="Arial" w:cs="Arial" w:eastAsia="Arial" w:hAnsi="Arial"/>
                <w:sz w:val="18"/>
                <w:szCs w:val="18"/>
                <w:b w:val="1"/>
                <w:bCs w:val="1"/>
                <w:color w:val="auto"/>
              </w:rPr>
              <w:t>Nordea Bank, London Branch</w:t>
            </w:r>
          </w:p>
        </w:tc>
      </w:tr>
      <w:tr>
        <w:trPr>
          <w:trHeight w:val="203"/>
        </w:trPr>
        <w:tc>
          <w:tcPr>
            <w:tcW w:w="37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Name</w:t>
            </w:r>
          </w:p>
        </w:tc>
        <w:tc>
          <w:tcPr>
            <w:tcW w:w="7640" w:type="dxa"/>
            <w:vAlign w:val="bottom"/>
          </w:tcPr>
          <w:p>
            <w:pPr>
              <w:spacing w:after="0" w:line="202" w:lineRule="exact"/>
              <w:rPr>
                <w:sz w:val="20"/>
                <w:szCs w:val="20"/>
                <w:color w:val="auto"/>
              </w:rPr>
            </w:pPr>
            <w:r>
              <w:rPr>
                <w:rFonts w:ascii="Arial" w:cs="Arial" w:eastAsia="Arial" w:hAnsi="Arial"/>
                <w:sz w:val="18"/>
                <w:szCs w:val="18"/>
                <w:b w:val="1"/>
                <w:bCs w:val="1"/>
                <w:color w:val="auto"/>
              </w:rPr>
              <w:t>Skandinaviska Enskilda Banken AB (publ)</w:t>
            </w:r>
          </w:p>
        </w:tc>
      </w:tr>
      <w:tr>
        <w:trPr>
          <w:trHeight w:val="203"/>
        </w:trPr>
        <w:tc>
          <w:tcPr>
            <w:tcW w:w="37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Name</w:t>
            </w:r>
          </w:p>
        </w:tc>
        <w:tc>
          <w:tcPr>
            <w:tcW w:w="7640" w:type="dxa"/>
            <w:vAlign w:val="bottom"/>
          </w:tcPr>
          <w:p>
            <w:pPr>
              <w:spacing w:after="0" w:line="202" w:lineRule="exact"/>
              <w:rPr>
                <w:sz w:val="20"/>
                <w:szCs w:val="20"/>
                <w:color w:val="auto"/>
              </w:rPr>
            </w:pPr>
            <w:r>
              <w:rPr>
                <w:rFonts w:ascii="Arial" w:cs="Arial" w:eastAsia="Arial" w:hAnsi="Arial"/>
                <w:sz w:val="18"/>
                <w:szCs w:val="18"/>
                <w:b w:val="1"/>
                <w:bCs w:val="1"/>
                <w:color w:val="auto"/>
              </w:rPr>
              <w:t>HSBC Bank plc</w:t>
            </w:r>
          </w:p>
        </w:tc>
      </w:tr>
      <w:tr>
        <w:trPr>
          <w:trHeight w:val="239"/>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7640" w:type="dxa"/>
            <w:vAlign w:val="bottom"/>
          </w:tcPr>
          <w:p>
            <w:pPr>
              <w:spacing w:after="0"/>
              <w:rPr>
                <w:sz w:val="20"/>
                <w:szCs w:val="20"/>
                <w:color w:val="auto"/>
              </w:rPr>
            </w:pPr>
            <w:r>
              <w:rPr>
                <w:rFonts w:ascii="Arial" w:cs="Arial" w:eastAsia="Arial" w:hAnsi="Arial"/>
                <w:sz w:val="18"/>
                <w:szCs w:val="18"/>
                <w:b w:val="1"/>
                <w:bCs w:val="1"/>
                <w:color w:val="auto"/>
              </w:rPr>
              <w:t>ING Bank N.V., London Branch</w:t>
            </w:r>
          </w:p>
        </w:tc>
      </w:tr>
      <w:tr>
        <w:trPr>
          <w:trHeight w:val="392"/>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40" w:type="dxa"/>
            <w:vAlign w:val="bottom"/>
          </w:tcPr>
          <w:p>
            <w:pPr>
              <w:ind w:left="1780"/>
              <w:spacing w:after="0"/>
              <w:rPr>
                <w:sz w:val="20"/>
                <w:szCs w:val="20"/>
                <w:color w:val="auto"/>
              </w:rPr>
            </w:pPr>
            <w:r>
              <w:rPr>
                <w:rFonts w:ascii="Arial" w:cs="Arial" w:eastAsia="Arial" w:hAnsi="Arial"/>
                <w:sz w:val="18"/>
                <w:szCs w:val="18"/>
                <w:color w:val="auto"/>
              </w:rPr>
              <w:t>157</w:t>
            </w:r>
          </w:p>
        </w:tc>
      </w:tr>
      <w:tr>
        <w:trPr>
          <w:trHeight w:val="237"/>
        </w:trPr>
        <w:tc>
          <w:tcPr>
            <w:tcW w:w="20" w:type="dxa"/>
            <w:vAlign w:val="bottom"/>
          </w:tcPr>
          <w:p>
            <w:pPr>
              <w:spacing w:after="0"/>
              <w:rPr>
                <w:sz w:val="20"/>
                <w:szCs w:val="20"/>
                <w:color w:val="auto"/>
              </w:rPr>
            </w:pPr>
          </w:p>
        </w:tc>
        <w:tc>
          <w:tcPr>
            <w:tcW w:w="342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764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616" w:right="239" w:bottom="1440" w:gutter="0" w:footer="0" w:header="0"/>
        </w:sectPr>
      </w:pPr>
    </w:p>
    <w:bookmarkStart w:id="209" w:name="page210"/>
    <w:bookmarkEnd w:id="2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40" w:type="dxa"/>
            <w:vAlign w:val="bottom"/>
          </w:tcPr>
          <w:p>
            <w:pPr>
              <w:jc w:val="center"/>
              <w:ind w:left="1128"/>
              <w:spacing w:after="0"/>
              <w:rPr>
                <w:sz w:val="20"/>
                <w:szCs w:val="20"/>
                <w:color w:val="auto"/>
              </w:rPr>
            </w:pPr>
            <w:r>
              <w:rPr>
                <w:rFonts w:ascii="Arial" w:cs="Arial" w:eastAsia="Arial" w:hAnsi="Arial"/>
                <w:sz w:val="22"/>
                <w:szCs w:val="22"/>
                <w:b w:val="1"/>
                <w:bCs w:val="1"/>
                <w:color w:val="auto"/>
                <w:w w:val="98"/>
              </w:rPr>
              <w:t>Schedule 2</w:t>
            </w:r>
          </w:p>
        </w:tc>
        <w:tc>
          <w:tcPr>
            <w:tcW w:w="5000" w:type="dxa"/>
            <w:vAlign w:val="bottom"/>
          </w:tcPr>
          <w:p>
            <w:pPr>
              <w:spacing w:after="0"/>
              <w:rPr>
                <w:sz w:val="21"/>
                <w:szCs w:val="21"/>
                <w:color w:val="auto"/>
              </w:rPr>
            </w:pPr>
          </w:p>
        </w:tc>
      </w:tr>
      <w:tr>
        <w:trPr>
          <w:trHeight w:val="286"/>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40" w:type="dxa"/>
            <w:vAlign w:val="bottom"/>
            <w:gridSpan w:val="2"/>
          </w:tcPr>
          <w:p>
            <w:pPr>
              <w:jc w:val="center"/>
              <w:ind w:right="3670"/>
              <w:spacing w:after="0"/>
              <w:rPr>
                <w:sz w:val="20"/>
                <w:szCs w:val="20"/>
                <w:color w:val="auto"/>
              </w:rPr>
            </w:pPr>
            <w:r>
              <w:rPr>
                <w:rFonts w:ascii="Arial" w:cs="Arial" w:eastAsia="Arial" w:hAnsi="Arial"/>
                <w:sz w:val="22"/>
                <w:szCs w:val="22"/>
                <w:b w:val="1"/>
                <w:bCs w:val="1"/>
                <w:color w:val="auto"/>
                <w:w w:val="98"/>
              </w:rPr>
              <w:t>Ship information</w:t>
            </w:r>
          </w:p>
        </w:tc>
      </w:tr>
      <w:tr>
        <w:trPr>
          <w:trHeight w:val="449"/>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40" w:type="dxa"/>
            <w:vAlign w:val="bottom"/>
          </w:tcPr>
          <w:p>
            <w:pPr>
              <w:jc w:val="center"/>
              <w:ind w:left="1128"/>
              <w:spacing w:after="0"/>
              <w:rPr>
                <w:sz w:val="20"/>
                <w:szCs w:val="20"/>
                <w:color w:val="auto"/>
              </w:rPr>
            </w:pPr>
            <w:r>
              <w:rPr>
                <w:rFonts w:ascii="Arial" w:cs="Arial" w:eastAsia="Arial" w:hAnsi="Arial"/>
                <w:sz w:val="18"/>
                <w:szCs w:val="18"/>
                <w:b w:val="1"/>
                <w:bCs w:val="1"/>
                <w:color w:val="auto"/>
              </w:rPr>
              <w:t>Ship A</w:t>
            </w:r>
          </w:p>
        </w:tc>
        <w:tc>
          <w:tcPr>
            <w:tcW w:w="5000" w:type="dxa"/>
            <w:vAlign w:val="bottom"/>
          </w:tcPr>
          <w:p>
            <w:pPr>
              <w:spacing w:after="0"/>
              <w:rPr>
                <w:sz w:val="24"/>
                <w:szCs w:val="24"/>
                <w:color w:val="auto"/>
              </w:rPr>
            </w:pPr>
          </w:p>
        </w:tc>
      </w:tr>
      <w:tr>
        <w:trPr>
          <w:trHeight w:val="392"/>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Owner</w:t>
            </w:r>
          </w:p>
        </w:tc>
        <w:tc>
          <w:tcPr>
            <w:tcW w:w="2640" w:type="dxa"/>
            <w:vAlign w:val="bottom"/>
          </w:tcPr>
          <w:p>
            <w:pPr>
              <w:spacing w:after="0"/>
              <w:rPr>
                <w:sz w:val="20"/>
                <w:szCs w:val="20"/>
                <w:color w:val="auto"/>
              </w:rPr>
            </w:pPr>
            <w:r>
              <w:rPr>
                <w:rFonts w:ascii="Arial" w:cs="Arial" w:eastAsia="Arial" w:hAnsi="Arial"/>
                <w:sz w:val="18"/>
                <w:szCs w:val="18"/>
                <w:b w:val="1"/>
                <w:bCs w:val="1"/>
                <w:color w:val="auto"/>
              </w:rPr>
              <w:t>GAS-one Ltd.</w:t>
            </w:r>
          </w:p>
        </w:tc>
        <w:tc>
          <w:tcPr>
            <w:tcW w:w="5000" w:type="dxa"/>
            <w:vAlign w:val="bottom"/>
          </w:tcPr>
          <w:p>
            <w:pPr>
              <w:spacing w:after="0"/>
              <w:rPr>
                <w:sz w:val="24"/>
                <w:szCs w:val="24"/>
                <w:color w:val="auto"/>
              </w:rPr>
            </w:pPr>
          </w:p>
        </w:tc>
      </w:tr>
      <w:tr>
        <w:trPr>
          <w:trHeight w:val="232"/>
        </w:trPr>
        <w:tc>
          <w:tcPr>
            <w:tcW w:w="20" w:type="dxa"/>
            <w:vAlign w:val="bottom"/>
          </w:tcPr>
          <w:p>
            <w:pPr>
              <w:spacing w:after="0"/>
              <w:rPr>
                <w:sz w:val="20"/>
                <w:szCs w:val="20"/>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Ship Name</w:t>
            </w:r>
          </w:p>
        </w:tc>
        <w:tc>
          <w:tcPr>
            <w:tcW w:w="340" w:type="dxa"/>
            <w:vAlign w:val="bottom"/>
          </w:tcPr>
          <w:p>
            <w:pPr>
              <w:spacing w:after="0"/>
              <w:rPr>
                <w:sz w:val="20"/>
                <w:szCs w:val="20"/>
                <w:color w:val="auto"/>
              </w:rPr>
            </w:pPr>
          </w:p>
        </w:tc>
        <w:tc>
          <w:tcPr>
            <w:tcW w:w="264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GasLog Savannah</w:t>
            </w:r>
          </w:p>
        </w:tc>
        <w:tc>
          <w:tcPr>
            <w:tcW w:w="5000" w:type="dxa"/>
            <w:vAlign w:val="bottom"/>
            <w:tcBorders>
              <w:top w:val="single" w:sz="8" w:color="auto"/>
            </w:tcBorders>
          </w:tcPr>
          <w:p>
            <w:pPr>
              <w:spacing w:after="0"/>
              <w:rPr>
                <w:sz w:val="20"/>
                <w:szCs w:val="20"/>
                <w:color w:val="auto"/>
              </w:rPr>
            </w:pPr>
          </w:p>
        </w:tc>
      </w:tr>
      <w:tr>
        <w:trPr>
          <w:trHeight w:val="382"/>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Term Loan Ship Commitment</w:t>
            </w:r>
          </w:p>
        </w:tc>
        <w:tc>
          <w:tcPr>
            <w:tcW w:w="2640" w:type="dxa"/>
            <w:vAlign w:val="bottom"/>
          </w:tcPr>
          <w:p>
            <w:pPr>
              <w:spacing w:after="0"/>
              <w:rPr>
                <w:sz w:val="20"/>
                <w:szCs w:val="20"/>
                <w:color w:val="auto"/>
              </w:rPr>
            </w:pPr>
            <w:r>
              <w:rPr>
                <w:rFonts w:ascii="Arial" w:cs="Arial" w:eastAsia="Arial" w:hAnsi="Arial"/>
                <w:sz w:val="18"/>
                <w:szCs w:val="18"/>
                <w:color w:val="auto"/>
              </w:rPr>
              <w:t>$110,586,901</w:t>
            </w:r>
          </w:p>
        </w:tc>
        <w:tc>
          <w:tcPr>
            <w:tcW w:w="5000" w:type="dxa"/>
            <w:vAlign w:val="bottom"/>
          </w:tcPr>
          <w:p>
            <w:pPr>
              <w:spacing w:after="0"/>
              <w:rPr>
                <w:sz w:val="24"/>
                <w:szCs w:val="24"/>
                <w:color w:val="auto"/>
              </w:rPr>
            </w:pPr>
          </w:p>
        </w:tc>
      </w:tr>
      <w:tr>
        <w:trPr>
          <w:trHeight w:val="405"/>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Revolving Loan Ship Commitment</w:t>
            </w:r>
          </w:p>
        </w:tc>
        <w:tc>
          <w:tcPr>
            <w:tcW w:w="2640" w:type="dxa"/>
            <w:vAlign w:val="bottom"/>
          </w:tcPr>
          <w:p>
            <w:pPr>
              <w:spacing w:after="0"/>
              <w:rPr>
                <w:sz w:val="20"/>
                <w:szCs w:val="20"/>
                <w:color w:val="auto"/>
              </w:rPr>
            </w:pPr>
            <w:r>
              <w:rPr>
                <w:rFonts w:ascii="Arial" w:cs="Arial" w:eastAsia="Arial" w:hAnsi="Arial"/>
                <w:sz w:val="18"/>
                <w:szCs w:val="18"/>
                <w:color w:val="auto"/>
              </w:rPr>
              <w:t>$11,640,726</w:t>
            </w:r>
          </w:p>
        </w:tc>
        <w:tc>
          <w:tcPr>
            <w:tcW w:w="5000" w:type="dxa"/>
            <w:vAlign w:val="bottom"/>
          </w:tcPr>
          <w:p>
            <w:pPr>
              <w:spacing w:after="0"/>
              <w:rPr>
                <w:sz w:val="24"/>
                <w:szCs w:val="24"/>
                <w:color w:val="auto"/>
              </w:rPr>
            </w:pPr>
          </w:p>
        </w:tc>
      </w:tr>
      <w:tr>
        <w:trPr>
          <w:trHeight w:val="405"/>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Ship Aggregate Commitments</w:t>
            </w:r>
          </w:p>
        </w:tc>
        <w:tc>
          <w:tcPr>
            <w:tcW w:w="2640" w:type="dxa"/>
            <w:vAlign w:val="bottom"/>
          </w:tcPr>
          <w:p>
            <w:pPr>
              <w:spacing w:after="0"/>
              <w:rPr>
                <w:sz w:val="20"/>
                <w:szCs w:val="20"/>
                <w:color w:val="auto"/>
              </w:rPr>
            </w:pPr>
            <w:r>
              <w:rPr>
                <w:rFonts w:ascii="Arial" w:cs="Arial" w:eastAsia="Arial" w:hAnsi="Arial"/>
                <w:sz w:val="18"/>
                <w:szCs w:val="18"/>
                <w:color w:val="auto"/>
              </w:rPr>
              <w:t>$122,227,627</w:t>
            </w:r>
          </w:p>
        </w:tc>
        <w:tc>
          <w:tcPr>
            <w:tcW w:w="5000" w:type="dxa"/>
            <w:vAlign w:val="bottom"/>
          </w:tcPr>
          <w:p>
            <w:pPr>
              <w:spacing w:after="0"/>
              <w:rPr>
                <w:sz w:val="24"/>
                <w:szCs w:val="24"/>
                <w:color w:val="auto"/>
              </w:rPr>
            </w:pPr>
          </w:p>
        </w:tc>
      </w:tr>
      <w:tr>
        <w:trPr>
          <w:trHeight w:val="405"/>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Flag State</w:t>
            </w:r>
          </w:p>
        </w:tc>
        <w:tc>
          <w:tcPr>
            <w:tcW w:w="2640" w:type="dxa"/>
            <w:vAlign w:val="bottom"/>
          </w:tcPr>
          <w:p>
            <w:pPr>
              <w:spacing w:after="0"/>
              <w:rPr>
                <w:sz w:val="20"/>
                <w:szCs w:val="20"/>
                <w:color w:val="auto"/>
              </w:rPr>
            </w:pPr>
            <w:r>
              <w:rPr>
                <w:rFonts w:ascii="Arial" w:cs="Arial" w:eastAsia="Arial" w:hAnsi="Arial"/>
                <w:sz w:val="18"/>
                <w:szCs w:val="18"/>
                <w:color w:val="auto"/>
              </w:rPr>
              <w:t>Bermuda</w:t>
            </w:r>
          </w:p>
        </w:tc>
        <w:tc>
          <w:tcPr>
            <w:tcW w:w="5000" w:type="dxa"/>
            <w:vAlign w:val="bottom"/>
          </w:tcPr>
          <w:p>
            <w:pPr>
              <w:spacing w:after="0"/>
              <w:rPr>
                <w:sz w:val="24"/>
                <w:szCs w:val="24"/>
                <w:color w:val="auto"/>
              </w:rPr>
            </w:pPr>
          </w:p>
        </w:tc>
      </w:tr>
      <w:tr>
        <w:trPr>
          <w:trHeight w:val="391"/>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Charter description:</w:t>
            </w:r>
          </w:p>
        </w:tc>
        <w:tc>
          <w:tcPr>
            <w:tcW w:w="7640" w:type="dxa"/>
            <w:vAlign w:val="bottom"/>
            <w:gridSpan w:val="2"/>
          </w:tcPr>
          <w:p>
            <w:pPr>
              <w:spacing w:after="0"/>
              <w:rPr>
                <w:sz w:val="20"/>
                <w:szCs w:val="20"/>
                <w:color w:val="auto"/>
              </w:rPr>
            </w:pPr>
            <w:r>
              <w:rPr>
                <w:rFonts w:ascii="Arial" w:cs="Arial" w:eastAsia="Arial" w:hAnsi="Arial"/>
                <w:sz w:val="18"/>
                <w:szCs w:val="18"/>
                <w:color w:val="auto"/>
              </w:rPr>
              <w:t>A time charter between GAS-one Ltd. and the relevant Charterer documented by a master time</w:t>
            </w: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40" w:type="dxa"/>
            <w:vAlign w:val="bottom"/>
            <w:gridSpan w:val="2"/>
          </w:tcPr>
          <w:p>
            <w:pPr>
              <w:spacing w:after="0" w:line="202" w:lineRule="exact"/>
              <w:rPr>
                <w:sz w:val="20"/>
                <w:szCs w:val="20"/>
                <w:color w:val="auto"/>
              </w:rPr>
            </w:pPr>
            <w:r>
              <w:rPr>
                <w:rFonts w:ascii="Arial" w:cs="Arial" w:eastAsia="Arial" w:hAnsi="Arial"/>
                <w:sz w:val="18"/>
                <w:szCs w:val="18"/>
                <w:color w:val="auto"/>
              </w:rPr>
              <w:t>charter party dated 9 May 2011 and a confirmation memorandum dated 9 May 2011 as</w:t>
            </w: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amended by addendum No. 1 dated 9 May 2011</w:t>
            </w:r>
          </w:p>
        </w:tc>
      </w:tr>
      <w:tr>
        <w:trPr>
          <w:trHeight w:val="405"/>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Charterer:</w:t>
            </w:r>
          </w:p>
        </w:tc>
        <w:tc>
          <w:tcPr>
            <w:tcW w:w="7640" w:type="dxa"/>
            <w:vAlign w:val="bottom"/>
            <w:gridSpan w:val="2"/>
          </w:tcPr>
          <w:p>
            <w:pPr>
              <w:spacing w:after="0"/>
              <w:rPr>
                <w:sz w:val="20"/>
                <w:szCs w:val="20"/>
                <w:color w:val="auto"/>
              </w:rPr>
            </w:pPr>
            <w:r>
              <w:rPr>
                <w:rFonts w:ascii="Arial" w:cs="Arial" w:eastAsia="Arial" w:hAnsi="Arial"/>
                <w:sz w:val="18"/>
                <w:szCs w:val="18"/>
                <w:color w:val="auto"/>
              </w:rPr>
              <w:t>Methane Services Limited, a UK company</w:t>
            </w:r>
          </w:p>
        </w:tc>
      </w:tr>
      <w:tr>
        <w:trPr>
          <w:trHeight w:val="372"/>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Classification</w:t>
            </w:r>
          </w:p>
        </w:tc>
        <w:tc>
          <w:tcPr>
            <w:tcW w:w="764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A1</w:t>
            </w:r>
            <w:r>
              <w:rPr>
                <w:rFonts w:ascii="Arial" w:cs="Arial" w:eastAsia="Arial" w:hAnsi="Arial"/>
                <w:sz w:val="18"/>
                <w:szCs w:val="18"/>
                <w:color w:val="auto"/>
              </w:rPr>
              <w:t>, Liquefied Gas Carrier, ship type: 2G/(Membrane Tank , maximum pressure 0.25bar and</w:t>
            </w:r>
          </w:p>
        </w:tc>
      </w:tr>
      <w:tr>
        <w:trPr>
          <w:trHeight w:val="262"/>
        </w:trPr>
        <w:tc>
          <w:tcPr>
            <w:tcW w:w="2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minimum temperature -163°C)</w:t>
            </w:r>
          </w:p>
        </w:tc>
        <w:tc>
          <w:tcPr>
            <w:tcW w:w="5000" w:type="dxa"/>
            <w:vAlign w:val="bottom"/>
          </w:tcPr>
          <w:p>
            <w:pPr>
              <w:ind w:left="140"/>
              <w:spacing w:after="0" w:line="207" w:lineRule="exact"/>
              <w:rPr>
                <w:sz w:val="20"/>
                <w:szCs w:val="20"/>
                <w:color w:val="auto"/>
              </w:rPr>
            </w:pP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AMS</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ACCU</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APS</w:t>
            </w:r>
            <w:r>
              <w:rPr>
                <w:rFonts w:ascii="Arial" w:cs="Arial" w:eastAsia="Arial" w:hAnsi="Arial"/>
                <w:sz w:val="18"/>
                <w:szCs w:val="18"/>
                <w:color w:val="auto"/>
              </w:rPr>
              <w:t>, SH, SHCM, NIBS , ES, POT,</w:t>
            </w: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RRDA, UWILD, PMP+, CRC, SFA 40, SH-DLA , RES, PORT, RW, DFD,</w:t>
            </w:r>
          </w:p>
        </w:tc>
      </w:tr>
      <w:tr>
        <w:trPr>
          <w:trHeight w:val="405"/>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Classification Society</w:t>
            </w:r>
          </w:p>
        </w:tc>
        <w:tc>
          <w:tcPr>
            <w:tcW w:w="2640" w:type="dxa"/>
            <w:vAlign w:val="bottom"/>
          </w:tcPr>
          <w:p>
            <w:pPr>
              <w:spacing w:after="0"/>
              <w:rPr>
                <w:sz w:val="20"/>
                <w:szCs w:val="20"/>
                <w:color w:val="auto"/>
              </w:rPr>
            </w:pPr>
            <w:r>
              <w:rPr>
                <w:rFonts w:ascii="Arial" w:cs="Arial" w:eastAsia="Arial" w:hAnsi="Arial"/>
                <w:sz w:val="18"/>
                <w:szCs w:val="18"/>
                <w:color w:val="auto"/>
              </w:rPr>
              <w:t>American Bureau of Shipping</w:t>
            </w:r>
          </w:p>
        </w:tc>
        <w:tc>
          <w:tcPr>
            <w:tcW w:w="5000" w:type="dxa"/>
            <w:vAlign w:val="bottom"/>
          </w:tcPr>
          <w:p>
            <w:pPr>
              <w:spacing w:after="0"/>
              <w:rPr>
                <w:sz w:val="24"/>
                <w:szCs w:val="24"/>
                <w:color w:val="auto"/>
              </w:rPr>
            </w:pPr>
          </w:p>
        </w:tc>
      </w:tr>
      <w:tr>
        <w:trPr>
          <w:trHeight w:val="405"/>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IMO number</w:t>
            </w:r>
          </w:p>
        </w:tc>
        <w:tc>
          <w:tcPr>
            <w:tcW w:w="2640" w:type="dxa"/>
            <w:vAlign w:val="bottom"/>
          </w:tcPr>
          <w:p>
            <w:pPr>
              <w:spacing w:after="0"/>
              <w:rPr>
                <w:sz w:val="20"/>
                <w:szCs w:val="20"/>
                <w:color w:val="auto"/>
              </w:rPr>
            </w:pPr>
            <w:r>
              <w:rPr>
                <w:rFonts w:ascii="Arial" w:cs="Arial" w:eastAsia="Arial" w:hAnsi="Arial"/>
                <w:sz w:val="18"/>
                <w:szCs w:val="18"/>
                <w:color w:val="auto"/>
              </w:rPr>
              <w:t>9352860</w:t>
            </w:r>
          </w:p>
        </w:tc>
        <w:tc>
          <w:tcPr>
            <w:tcW w:w="5000" w:type="dxa"/>
            <w:vAlign w:val="bottom"/>
          </w:tcPr>
          <w:p>
            <w:pPr>
              <w:spacing w:after="0"/>
              <w:rPr>
                <w:sz w:val="24"/>
                <w:szCs w:val="24"/>
                <w:color w:val="auto"/>
              </w:rPr>
            </w:pPr>
          </w:p>
        </w:tc>
      </w:tr>
      <w:tr>
        <w:trPr>
          <w:trHeight w:val="405"/>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Year of built</w:t>
            </w:r>
          </w:p>
        </w:tc>
        <w:tc>
          <w:tcPr>
            <w:tcW w:w="2640" w:type="dxa"/>
            <w:vAlign w:val="bottom"/>
          </w:tcPr>
          <w:p>
            <w:pPr>
              <w:spacing w:after="0"/>
              <w:rPr>
                <w:sz w:val="20"/>
                <w:szCs w:val="20"/>
                <w:color w:val="auto"/>
              </w:rPr>
            </w:pPr>
            <w:r>
              <w:rPr>
                <w:rFonts w:ascii="Arial" w:cs="Arial" w:eastAsia="Arial" w:hAnsi="Arial"/>
                <w:sz w:val="18"/>
                <w:szCs w:val="18"/>
                <w:color w:val="auto"/>
              </w:rPr>
              <w:t>2010</w:t>
            </w:r>
          </w:p>
        </w:tc>
        <w:tc>
          <w:tcPr>
            <w:tcW w:w="5000" w:type="dxa"/>
            <w:vAlign w:val="bottom"/>
          </w:tcPr>
          <w:p>
            <w:pPr>
              <w:spacing w:after="0"/>
              <w:rPr>
                <w:sz w:val="24"/>
                <w:szCs w:val="24"/>
                <w:color w:val="auto"/>
              </w:rPr>
            </w:pPr>
          </w:p>
        </w:tc>
      </w:tr>
      <w:tr>
        <w:trPr>
          <w:trHeight w:val="405"/>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Major Casualty Amount</w:t>
            </w:r>
          </w:p>
        </w:tc>
        <w:tc>
          <w:tcPr>
            <w:tcW w:w="2640" w:type="dxa"/>
            <w:vAlign w:val="bottom"/>
          </w:tcPr>
          <w:p>
            <w:pPr>
              <w:spacing w:after="0"/>
              <w:rPr>
                <w:sz w:val="20"/>
                <w:szCs w:val="20"/>
                <w:color w:val="auto"/>
              </w:rPr>
            </w:pPr>
            <w:r>
              <w:rPr>
                <w:rFonts w:ascii="Arial" w:cs="Arial" w:eastAsia="Arial" w:hAnsi="Arial"/>
                <w:sz w:val="18"/>
                <w:szCs w:val="18"/>
                <w:color w:val="auto"/>
              </w:rPr>
              <w:t>$5,000,000</w:t>
            </w:r>
          </w:p>
        </w:tc>
        <w:tc>
          <w:tcPr>
            <w:tcW w:w="500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40" w:type="dxa"/>
            <w:vAlign w:val="bottom"/>
          </w:tcPr>
          <w:p>
            <w:pPr>
              <w:jc w:val="center"/>
              <w:ind w:left="1128"/>
              <w:spacing w:after="0"/>
              <w:rPr>
                <w:sz w:val="20"/>
                <w:szCs w:val="20"/>
                <w:color w:val="auto"/>
              </w:rPr>
            </w:pPr>
            <w:r>
              <w:rPr>
                <w:rFonts w:ascii="Arial" w:cs="Arial" w:eastAsia="Arial" w:hAnsi="Arial"/>
                <w:sz w:val="18"/>
                <w:szCs w:val="18"/>
                <w:color w:val="auto"/>
                <w:w w:val="99"/>
              </w:rPr>
              <w:t>158</w:t>
            </w:r>
          </w:p>
        </w:tc>
        <w:tc>
          <w:tcPr>
            <w:tcW w:w="500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342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2640" w:type="dxa"/>
            <w:vAlign w:val="bottom"/>
            <w:tcBorders>
              <w:bottom w:val="single" w:sz="8" w:color="C0C0C0"/>
            </w:tcBorders>
          </w:tcPr>
          <w:p>
            <w:pPr>
              <w:spacing w:after="0"/>
              <w:rPr>
                <w:sz w:val="20"/>
                <w:szCs w:val="20"/>
                <w:color w:val="auto"/>
              </w:rPr>
            </w:pPr>
          </w:p>
        </w:tc>
        <w:tc>
          <w:tcPr>
            <w:tcW w:w="5000" w:type="dxa"/>
            <w:vAlign w:val="bottom"/>
            <w:tcBorders>
              <w:bottom w:val="single" w:sz="8" w:color="C0C0C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-1722755</wp:posOffset>
            </wp:positionV>
            <wp:extent cx="197485" cy="1117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97485" cy="111760"/>
                    </a:xfrm>
                    <a:prstGeom prst="rect">
                      <a:avLst/>
                    </a:prstGeom>
                    <a:noFill/>
                  </pic:spPr>
                </pic:pic>
              </a:graphicData>
            </a:graphic>
          </wp:anchor>
        </w:drawing>
      </w:r>
    </w:p>
    <w:p>
      <w:pPr>
        <w:sectPr>
          <w:pgSz w:w="11900" w:h="16838" w:orient="portrait"/>
          <w:cols w:equalWidth="0" w:num="1">
            <w:col w:w="11420"/>
          </w:cols>
          <w:pgMar w:left="240" w:top="597" w:right="239"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239"/>
        </w:trPr>
        <w:tc>
          <w:tcPr>
            <w:tcW w:w="3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0" w:type="dxa"/>
            <w:vAlign w:val="bottom"/>
          </w:tcPr>
          <w:p>
            <w:pPr>
              <w:ind w:left="1640"/>
              <w:spacing w:after="0"/>
              <w:rPr>
                <w:sz w:val="20"/>
                <w:szCs w:val="20"/>
                <w:color w:val="auto"/>
              </w:rPr>
            </w:pPr>
            <w:r>
              <w:rPr>
                <w:rFonts w:ascii="Arial" w:cs="Arial" w:eastAsia="Arial" w:hAnsi="Arial"/>
                <w:sz w:val="18"/>
                <w:szCs w:val="18"/>
                <w:b w:val="1"/>
                <w:bCs w:val="1"/>
                <w:color w:val="auto"/>
              </w:rPr>
              <w:t>Ship B</w:t>
            </w:r>
          </w:p>
        </w:tc>
        <w:tc>
          <w:tcPr>
            <w:tcW w:w="5040" w:type="dxa"/>
            <w:vAlign w:val="bottom"/>
          </w:tcPr>
          <w:p>
            <w:pPr>
              <w:spacing w:after="0"/>
              <w:rPr>
                <w:sz w:val="20"/>
                <w:szCs w:val="20"/>
                <w:color w:val="auto"/>
              </w:rPr>
            </w:pPr>
          </w:p>
        </w:tc>
      </w:tr>
      <w:tr>
        <w:trPr>
          <w:trHeight w:val="473"/>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Owner</w:t>
            </w:r>
          </w:p>
        </w:tc>
        <w:tc>
          <w:tcPr>
            <w:tcW w:w="340" w:type="dxa"/>
            <w:vAlign w:val="bottom"/>
          </w:tcPr>
          <w:p>
            <w:pPr>
              <w:spacing w:after="0"/>
              <w:rPr>
                <w:sz w:val="24"/>
                <w:szCs w:val="24"/>
                <w:color w:val="auto"/>
              </w:rPr>
            </w:pP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GAS-two Ltd.</w:t>
            </w:r>
          </w:p>
        </w:tc>
        <w:tc>
          <w:tcPr>
            <w:tcW w:w="5040" w:type="dxa"/>
            <w:vAlign w:val="bottom"/>
            <w:tcBorders>
              <w:bottom w:val="single" w:sz="8" w:color="auto"/>
            </w:tcBorders>
          </w:tcPr>
          <w:p>
            <w:pPr>
              <w:spacing w:after="0"/>
              <w:rPr>
                <w:sz w:val="24"/>
                <w:szCs w:val="24"/>
                <w:color w:val="auto"/>
              </w:rPr>
            </w:pPr>
          </w:p>
        </w:tc>
      </w:tr>
      <w:tr>
        <w:trPr>
          <w:trHeight w:val="291"/>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Ship Name</w:t>
            </w:r>
          </w:p>
        </w:tc>
        <w:tc>
          <w:tcPr>
            <w:tcW w:w="2600" w:type="dxa"/>
            <w:vAlign w:val="bottom"/>
          </w:tcPr>
          <w:p>
            <w:pPr>
              <w:spacing w:after="0"/>
              <w:rPr>
                <w:sz w:val="20"/>
                <w:szCs w:val="20"/>
                <w:color w:val="auto"/>
              </w:rPr>
            </w:pPr>
            <w:r>
              <w:rPr>
                <w:rFonts w:ascii="Arial" w:cs="Arial" w:eastAsia="Arial" w:hAnsi="Arial"/>
                <w:sz w:val="18"/>
                <w:szCs w:val="18"/>
                <w:i w:val="1"/>
                <w:iCs w:val="1"/>
                <w:color w:val="auto"/>
              </w:rPr>
              <w:t>GasLog Singapore</w:t>
            </w:r>
          </w:p>
        </w:tc>
        <w:tc>
          <w:tcPr>
            <w:tcW w:w="5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Term Loan Ship Commitment</w:t>
            </w:r>
          </w:p>
        </w:tc>
        <w:tc>
          <w:tcPr>
            <w:tcW w:w="2600" w:type="dxa"/>
            <w:vAlign w:val="bottom"/>
          </w:tcPr>
          <w:p>
            <w:pPr>
              <w:spacing w:after="0"/>
              <w:rPr>
                <w:sz w:val="20"/>
                <w:szCs w:val="20"/>
                <w:color w:val="auto"/>
              </w:rPr>
            </w:pPr>
            <w:r>
              <w:rPr>
                <w:rFonts w:ascii="Arial" w:cs="Arial" w:eastAsia="Arial" w:hAnsi="Arial"/>
                <w:sz w:val="18"/>
                <w:szCs w:val="18"/>
                <w:color w:val="auto"/>
              </w:rPr>
              <w:t>$111,202,983</w:t>
            </w:r>
          </w:p>
        </w:tc>
        <w:tc>
          <w:tcPr>
            <w:tcW w:w="5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Revolving Loan Ship Commitment</w:t>
            </w:r>
          </w:p>
        </w:tc>
        <w:tc>
          <w:tcPr>
            <w:tcW w:w="2600" w:type="dxa"/>
            <w:vAlign w:val="bottom"/>
          </w:tcPr>
          <w:p>
            <w:pPr>
              <w:spacing w:after="0"/>
              <w:rPr>
                <w:sz w:val="20"/>
                <w:szCs w:val="20"/>
                <w:color w:val="auto"/>
              </w:rPr>
            </w:pPr>
            <w:r>
              <w:rPr>
                <w:rFonts w:ascii="Arial" w:cs="Arial" w:eastAsia="Arial" w:hAnsi="Arial"/>
                <w:sz w:val="18"/>
                <w:szCs w:val="18"/>
                <w:color w:val="auto"/>
              </w:rPr>
              <w:t>$11,705,577</w:t>
            </w:r>
          </w:p>
        </w:tc>
        <w:tc>
          <w:tcPr>
            <w:tcW w:w="5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Ship Aggregate Commitments</w:t>
            </w:r>
          </w:p>
        </w:tc>
        <w:tc>
          <w:tcPr>
            <w:tcW w:w="2600" w:type="dxa"/>
            <w:vAlign w:val="bottom"/>
          </w:tcPr>
          <w:p>
            <w:pPr>
              <w:spacing w:after="0"/>
              <w:rPr>
                <w:sz w:val="20"/>
                <w:szCs w:val="20"/>
                <w:color w:val="auto"/>
              </w:rPr>
            </w:pPr>
            <w:r>
              <w:rPr>
                <w:rFonts w:ascii="Arial" w:cs="Arial" w:eastAsia="Arial" w:hAnsi="Arial"/>
                <w:sz w:val="18"/>
                <w:szCs w:val="18"/>
                <w:color w:val="auto"/>
              </w:rPr>
              <w:t>$122,908,560</w:t>
            </w:r>
          </w:p>
        </w:tc>
        <w:tc>
          <w:tcPr>
            <w:tcW w:w="5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Flag State</w:t>
            </w:r>
          </w:p>
        </w:tc>
        <w:tc>
          <w:tcPr>
            <w:tcW w:w="2600" w:type="dxa"/>
            <w:vAlign w:val="bottom"/>
          </w:tcPr>
          <w:p>
            <w:pPr>
              <w:spacing w:after="0"/>
              <w:rPr>
                <w:sz w:val="20"/>
                <w:szCs w:val="20"/>
                <w:color w:val="auto"/>
              </w:rPr>
            </w:pPr>
            <w:r>
              <w:rPr>
                <w:rFonts w:ascii="Arial" w:cs="Arial" w:eastAsia="Arial" w:hAnsi="Arial"/>
                <w:sz w:val="18"/>
                <w:szCs w:val="18"/>
                <w:color w:val="auto"/>
              </w:rPr>
              <w:t>Bermuda</w:t>
            </w:r>
          </w:p>
        </w:tc>
        <w:tc>
          <w:tcPr>
            <w:tcW w:w="5040" w:type="dxa"/>
            <w:vAlign w:val="bottom"/>
          </w:tcPr>
          <w:p>
            <w:pPr>
              <w:spacing w:after="0"/>
              <w:rPr>
                <w:sz w:val="24"/>
                <w:szCs w:val="24"/>
                <w:color w:val="auto"/>
              </w:rPr>
            </w:pPr>
          </w:p>
        </w:tc>
      </w:tr>
      <w:tr>
        <w:trPr>
          <w:trHeight w:val="269"/>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Charter description:</w:t>
            </w:r>
          </w:p>
        </w:tc>
        <w:tc>
          <w:tcPr>
            <w:tcW w:w="7640" w:type="dxa"/>
            <w:vAlign w:val="bottom"/>
            <w:gridSpan w:val="2"/>
          </w:tcPr>
          <w:p>
            <w:pPr>
              <w:spacing w:after="0"/>
              <w:rPr>
                <w:sz w:val="20"/>
                <w:szCs w:val="20"/>
                <w:color w:val="auto"/>
              </w:rPr>
            </w:pPr>
            <w:r>
              <w:rPr>
                <w:rFonts w:ascii="Arial" w:cs="Arial" w:eastAsia="Arial" w:hAnsi="Arial"/>
                <w:sz w:val="18"/>
                <w:szCs w:val="18"/>
                <w:color w:val="auto"/>
              </w:rPr>
              <w:t>A time charter between GAS-two Ltd. and the relevant Charterer documented by a master time</w:t>
            </w:r>
          </w:p>
        </w:tc>
      </w:tr>
      <w:tr>
        <w:trPr>
          <w:trHeight w:val="203"/>
        </w:trPr>
        <w:tc>
          <w:tcPr>
            <w:tcW w:w="3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40" w:type="dxa"/>
            <w:vAlign w:val="bottom"/>
            <w:gridSpan w:val="2"/>
          </w:tcPr>
          <w:p>
            <w:pPr>
              <w:spacing w:after="0" w:line="202" w:lineRule="exact"/>
              <w:rPr>
                <w:sz w:val="20"/>
                <w:szCs w:val="20"/>
                <w:color w:val="auto"/>
              </w:rPr>
            </w:pPr>
            <w:r>
              <w:rPr>
                <w:rFonts w:ascii="Arial" w:cs="Arial" w:eastAsia="Arial" w:hAnsi="Arial"/>
                <w:sz w:val="18"/>
                <w:szCs w:val="18"/>
                <w:color w:val="auto"/>
              </w:rPr>
              <w:t>charter party dated 9 May 2011 and a confirmation memorandum dated 9 May 2011 as</w:t>
            </w:r>
          </w:p>
        </w:tc>
      </w:tr>
      <w:tr>
        <w:trPr>
          <w:trHeight w:val="217"/>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amended by an amendment and restatement agreement dated 17 June 2013</w:t>
            </w: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Charterer:</w:t>
            </w:r>
          </w:p>
        </w:tc>
        <w:tc>
          <w:tcPr>
            <w:tcW w:w="7640" w:type="dxa"/>
            <w:vAlign w:val="bottom"/>
            <w:gridSpan w:val="2"/>
          </w:tcPr>
          <w:p>
            <w:pPr>
              <w:spacing w:after="0"/>
              <w:rPr>
                <w:sz w:val="20"/>
                <w:szCs w:val="20"/>
                <w:color w:val="auto"/>
              </w:rPr>
            </w:pPr>
            <w:r>
              <w:rPr>
                <w:rFonts w:ascii="Arial" w:cs="Arial" w:eastAsia="Arial" w:hAnsi="Arial"/>
                <w:sz w:val="18"/>
                <w:szCs w:val="18"/>
                <w:color w:val="auto"/>
              </w:rPr>
              <w:t>Methane Services Limited, a UK company</w:t>
            </w:r>
          </w:p>
        </w:tc>
      </w:tr>
      <w:tr>
        <w:trPr>
          <w:trHeight w:val="250"/>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Classification</w:t>
            </w:r>
          </w:p>
        </w:tc>
        <w:tc>
          <w:tcPr>
            <w:tcW w:w="764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A1</w:t>
            </w:r>
            <w:r>
              <w:rPr>
                <w:rFonts w:ascii="Arial" w:cs="Arial" w:eastAsia="Arial" w:hAnsi="Arial"/>
                <w:sz w:val="18"/>
                <w:szCs w:val="18"/>
                <w:color w:val="auto"/>
              </w:rPr>
              <w:t>, Liquefied Gas Carrier, ship type: 2G/(Membrane Tank , maximum pressure 0.25bar and</w:t>
            </w:r>
          </w:p>
        </w:tc>
      </w:tr>
      <w:tr>
        <w:trPr>
          <w:trHeight w:val="262"/>
        </w:trPr>
        <w:tc>
          <w:tcPr>
            <w:tcW w:w="3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minimum temperature -163°C)</w:t>
            </w:r>
          </w:p>
        </w:tc>
        <w:tc>
          <w:tcPr>
            <w:tcW w:w="50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AMS</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ACCU</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APS</w:t>
            </w:r>
            <w:r>
              <w:rPr>
                <w:rFonts w:ascii="Arial" w:cs="Arial" w:eastAsia="Arial" w:hAnsi="Arial"/>
                <w:sz w:val="18"/>
                <w:szCs w:val="18"/>
                <w:color w:val="auto"/>
              </w:rPr>
              <w:t>, SH, SHCM, NIBS , ES, POT,</w:t>
            </w:r>
          </w:p>
        </w:tc>
      </w:tr>
      <w:tr>
        <w:trPr>
          <w:trHeight w:val="217"/>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RRDA, UWILD, TCM, CRC, SFA 40, SH-DLA , PMP, RES, PORT, RW, DFD</w:t>
            </w: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Classification Society</w:t>
            </w:r>
          </w:p>
        </w:tc>
        <w:tc>
          <w:tcPr>
            <w:tcW w:w="2600" w:type="dxa"/>
            <w:vAlign w:val="bottom"/>
          </w:tcPr>
          <w:p>
            <w:pPr>
              <w:spacing w:after="0"/>
              <w:rPr>
                <w:sz w:val="20"/>
                <w:szCs w:val="20"/>
                <w:color w:val="auto"/>
              </w:rPr>
            </w:pPr>
            <w:r>
              <w:rPr>
                <w:rFonts w:ascii="Arial" w:cs="Arial" w:eastAsia="Arial" w:hAnsi="Arial"/>
                <w:sz w:val="18"/>
                <w:szCs w:val="18"/>
                <w:color w:val="auto"/>
              </w:rPr>
              <w:t>American Bureau of Shipping</w:t>
            </w:r>
          </w:p>
        </w:tc>
        <w:tc>
          <w:tcPr>
            <w:tcW w:w="5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IMO number</w:t>
            </w:r>
          </w:p>
        </w:tc>
        <w:tc>
          <w:tcPr>
            <w:tcW w:w="2600" w:type="dxa"/>
            <w:vAlign w:val="bottom"/>
          </w:tcPr>
          <w:p>
            <w:pPr>
              <w:spacing w:after="0"/>
              <w:rPr>
                <w:sz w:val="20"/>
                <w:szCs w:val="20"/>
                <w:color w:val="auto"/>
              </w:rPr>
            </w:pPr>
            <w:r>
              <w:rPr>
                <w:rFonts w:ascii="Arial" w:cs="Arial" w:eastAsia="Arial" w:hAnsi="Arial"/>
                <w:sz w:val="18"/>
                <w:szCs w:val="18"/>
                <w:color w:val="auto"/>
              </w:rPr>
              <w:t>9355604</w:t>
            </w:r>
          </w:p>
        </w:tc>
        <w:tc>
          <w:tcPr>
            <w:tcW w:w="5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Year of built</w:t>
            </w:r>
          </w:p>
        </w:tc>
        <w:tc>
          <w:tcPr>
            <w:tcW w:w="2600" w:type="dxa"/>
            <w:vAlign w:val="bottom"/>
          </w:tcPr>
          <w:p>
            <w:pPr>
              <w:spacing w:after="0"/>
              <w:rPr>
                <w:sz w:val="20"/>
                <w:szCs w:val="20"/>
                <w:color w:val="auto"/>
              </w:rPr>
            </w:pPr>
            <w:r>
              <w:rPr>
                <w:rFonts w:ascii="Arial" w:cs="Arial" w:eastAsia="Arial" w:hAnsi="Arial"/>
                <w:sz w:val="18"/>
                <w:szCs w:val="18"/>
                <w:color w:val="auto"/>
              </w:rPr>
              <w:t>2010</w:t>
            </w:r>
          </w:p>
        </w:tc>
        <w:tc>
          <w:tcPr>
            <w:tcW w:w="5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Major Casualty Amount</w:t>
            </w:r>
          </w:p>
        </w:tc>
        <w:tc>
          <w:tcPr>
            <w:tcW w:w="2600" w:type="dxa"/>
            <w:vAlign w:val="bottom"/>
          </w:tcPr>
          <w:p>
            <w:pPr>
              <w:spacing w:after="0"/>
              <w:rPr>
                <w:sz w:val="20"/>
                <w:szCs w:val="20"/>
                <w:color w:val="auto"/>
              </w:rPr>
            </w:pPr>
            <w:r>
              <w:rPr>
                <w:rFonts w:ascii="Arial" w:cs="Arial" w:eastAsia="Arial" w:hAnsi="Arial"/>
                <w:sz w:val="18"/>
                <w:szCs w:val="18"/>
                <w:color w:val="auto"/>
              </w:rPr>
              <w:t>$5,000,000</w:t>
            </w:r>
          </w:p>
        </w:tc>
        <w:tc>
          <w:tcPr>
            <w:tcW w:w="5040" w:type="dxa"/>
            <w:vAlign w:val="bottom"/>
          </w:tcPr>
          <w:p>
            <w:pPr>
              <w:spacing w:after="0"/>
              <w:rPr>
                <w:sz w:val="24"/>
                <w:szCs w:val="24"/>
                <w:color w:val="auto"/>
              </w:rPr>
            </w:pPr>
          </w:p>
        </w:tc>
      </w:tr>
      <w:tr>
        <w:trPr>
          <w:trHeight w:val="392"/>
        </w:trPr>
        <w:tc>
          <w:tcPr>
            <w:tcW w:w="3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0" w:type="dxa"/>
            <w:vAlign w:val="bottom"/>
          </w:tcPr>
          <w:p>
            <w:pPr>
              <w:ind w:left="1780"/>
              <w:spacing w:after="0"/>
              <w:rPr>
                <w:sz w:val="20"/>
                <w:szCs w:val="20"/>
                <w:color w:val="auto"/>
              </w:rPr>
            </w:pPr>
            <w:r>
              <w:rPr>
                <w:rFonts w:ascii="Arial" w:cs="Arial" w:eastAsia="Arial" w:hAnsi="Arial"/>
                <w:sz w:val="18"/>
                <w:szCs w:val="18"/>
                <w:color w:val="auto"/>
              </w:rPr>
              <w:t>159</w:t>
            </w:r>
          </w:p>
        </w:tc>
        <w:tc>
          <w:tcPr>
            <w:tcW w:w="5040" w:type="dxa"/>
            <w:vAlign w:val="bottom"/>
          </w:tcPr>
          <w:p>
            <w:pPr>
              <w:spacing w:after="0"/>
              <w:rPr>
                <w:sz w:val="24"/>
                <w:szCs w:val="24"/>
                <w:color w:val="auto"/>
              </w:rPr>
            </w:pPr>
          </w:p>
        </w:tc>
      </w:tr>
      <w:tr>
        <w:trPr>
          <w:trHeight w:val="237"/>
        </w:trPr>
        <w:tc>
          <w:tcPr>
            <w:tcW w:w="344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2600" w:type="dxa"/>
            <w:vAlign w:val="bottom"/>
            <w:tcBorders>
              <w:bottom w:val="single" w:sz="8" w:color="C0C0C0"/>
            </w:tcBorders>
          </w:tcPr>
          <w:p>
            <w:pPr>
              <w:spacing w:after="0"/>
              <w:rPr>
                <w:sz w:val="20"/>
                <w:szCs w:val="20"/>
                <w:color w:val="auto"/>
              </w:rPr>
            </w:pPr>
          </w:p>
        </w:tc>
        <w:tc>
          <w:tcPr>
            <w:tcW w:w="5040" w:type="dxa"/>
            <w:vAlign w:val="bottom"/>
            <w:tcBorders>
              <w:bottom w:val="single" w:sz="8" w:color="C0C0C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-1414145</wp:posOffset>
            </wp:positionV>
            <wp:extent cx="197485" cy="1117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97485" cy="111760"/>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211" w:name="page212"/>
    <w:bookmarkEnd w:id="211"/>
    <w:tbl>
      <w:tblPr>
        <w:tblLayout w:type="fixed"/>
        <w:tblInd w:w="0" w:type="dxa"/>
        <w:tblCellMar>
          <w:top w:w="0" w:type="dxa"/>
          <w:left w:w="0" w:type="dxa"/>
          <w:bottom w:w="0" w:type="dxa"/>
          <w:right w:w="0" w:type="dxa"/>
        </w:tblCellMar>
      </w:tblPr>
      <w:tr>
        <w:trPr>
          <w:trHeight w:val="239"/>
        </w:trPr>
        <w:tc>
          <w:tcPr>
            <w:tcW w:w="3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0" w:type="dxa"/>
            <w:vAlign w:val="bottom"/>
          </w:tcPr>
          <w:p>
            <w:pPr>
              <w:ind w:left="1640"/>
              <w:spacing w:after="0"/>
              <w:rPr>
                <w:sz w:val="20"/>
                <w:szCs w:val="20"/>
                <w:color w:val="auto"/>
              </w:rPr>
            </w:pPr>
            <w:r>
              <w:rPr>
                <w:rFonts w:ascii="Arial" w:cs="Arial" w:eastAsia="Arial" w:hAnsi="Arial"/>
                <w:sz w:val="18"/>
                <w:szCs w:val="18"/>
                <w:b w:val="1"/>
                <w:bCs w:val="1"/>
                <w:color w:val="auto"/>
              </w:rPr>
              <w:t>Ship C</w:t>
            </w:r>
          </w:p>
        </w:tc>
        <w:tc>
          <w:tcPr>
            <w:tcW w:w="4040" w:type="dxa"/>
            <w:vAlign w:val="bottom"/>
          </w:tcPr>
          <w:p>
            <w:pPr>
              <w:spacing w:after="0"/>
              <w:rPr>
                <w:sz w:val="20"/>
                <w:szCs w:val="20"/>
                <w:color w:val="auto"/>
              </w:rPr>
            </w:pPr>
          </w:p>
        </w:tc>
      </w:tr>
      <w:tr>
        <w:trPr>
          <w:trHeight w:val="473"/>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Owner</w:t>
            </w:r>
          </w:p>
        </w:tc>
        <w:tc>
          <w:tcPr>
            <w:tcW w:w="340" w:type="dxa"/>
            <w:vAlign w:val="bottom"/>
          </w:tcPr>
          <w:p>
            <w:pPr>
              <w:spacing w:after="0"/>
              <w:rPr>
                <w:sz w:val="24"/>
                <w:szCs w:val="24"/>
                <w:color w:val="auto"/>
              </w:rPr>
            </w:pP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GAS-six Ltd.</w:t>
            </w:r>
          </w:p>
        </w:tc>
        <w:tc>
          <w:tcPr>
            <w:tcW w:w="4040" w:type="dxa"/>
            <w:vAlign w:val="bottom"/>
            <w:tcBorders>
              <w:bottom w:val="single" w:sz="8" w:color="auto"/>
            </w:tcBorders>
          </w:tcPr>
          <w:p>
            <w:pPr>
              <w:spacing w:after="0"/>
              <w:rPr>
                <w:sz w:val="24"/>
                <w:szCs w:val="24"/>
                <w:color w:val="auto"/>
              </w:rPr>
            </w:pPr>
          </w:p>
        </w:tc>
      </w:tr>
      <w:tr>
        <w:trPr>
          <w:trHeight w:val="291"/>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Ship Name</w:t>
            </w:r>
          </w:p>
        </w:tc>
        <w:tc>
          <w:tcPr>
            <w:tcW w:w="3600" w:type="dxa"/>
            <w:vAlign w:val="bottom"/>
          </w:tcPr>
          <w:p>
            <w:pPr>
              <w:spacing w:after="0"/>
              <w:rPr>
                <w:sz w:val="20"/>
                <w:szCs w:val="20"/>
                <w:color w:val="auto"/>
              </w:rPr>
            </w:pPr>
            <w:r>
              <w:rPr>
                <w:rFonts w:ascii="Arial" w:cs="Arial" w:eastAsia="Arial" w:hAnsi="Arial"/>
                <w:sz w:val="18"/>
                <w:szCs w:val="18"/>
                <w:i w:val="1"/>
                <w:iCs w:val="1"/>
                <w:color w:val="auto"/>
              </w:rPr>
              <w:t>GasLog Skagen</w:t>
            </w:r>
          </w:p>
        </w:tc>
        <w:tc>
          <w:tcPr>
            <w:tcW w:w="4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Term Loan Ship Commitment</w:t>
            </w:r>
          </w:p>
        </w:tc>
        <w:tc>
          <w:tcPr>
            <w:tcW w:w="3600" w:type="dxa"/>
            <w:vAlign w:val="bottom"/>
          </w:tcPr>
          <w:p>
            <w:pPr>
              <w:spacing w:after="0"/>
              <w:rPr>
                <w:sz w:val="20"/>
                <w:szCs w:val="20"/>
                <w:color w:val="auto"/>
              </w:rPr>
            </w:pPr>
            <w:r>
              <w:rPr>
                <w:rFonts w:ascii="Arial" w:cs="Arial" w:eastAsia="Arial" w:hAnsi="Arial"/>
                <w:sz w:val="18"/>
                <w:szCs w:val="18"/>
                <w:color w:val="auto"/>
              </w:rPr>
              <w:t>$121,368,353</w:t>
            </w:r>
          </w:p>
        </w:tc>
        <w:tc>
          <w:tcPr>
            <w:tcW w:w="4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Revolving Loan Ship Commitment</w:t>
            </w:r>
          </w:p>
        </w:tc>
        <w:tc>
          <w:tcPr>
            <w:tcW w:w="3600" w:type="dxa"/>
            <w:vAlign w:val="bottom"/>
          </w:tcPr>
          <w:p>
            <w:pPr>
              <w:spacing w:after="0"/>
              <w:rPr>
                <w:sz w:val="20"/>
                <w:szCs w:val="20"/>
                <w:color w:val="auto"/>
              </w:rPr>
            </w:pPr>
            <w:r>
              <w:rPr>
                <w:rFonts w:ascii="Arial" w:cs="Arial" w:eastAsia="Arial" w:hAnsi="Arial"/>
                <w:sz w:val="18"/>
                <w:szCs w:val="18"/>
                <w:color w:val="auto"/>
              </w:rPr>
              <w:t>$12,775,616</w:t>
            </w:r>
          </w:p>
        </w:tc>
        <w:tc>
          <w:tcPr>
            <w:tcW w:w="4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Ship Aggregate Commitments</w:t>
            </w:r>
          </w:p>
        </w:tc>
        <w:tc>
          <w:tcPr>
            <w:tcW w:w="3600" w:type="dxa"/>
            <w:vAlign w:val="bottom"/>
          </w:tcPr>
          <w:p>
            <w:pPr>
              <w:spacing w:after="0"/>
              <w:rPr>
                <w:sz w:val="20"/>
                <w:szCs w:val="20"/>
                <w:color w:val="auto"/>
              </w:rPr>
            </w:pPr>
            <w:r>
              <w:rPr>
                <w:rFonts w:ascii="Arial" w:cs="Arial" w:eastAsia="Arial" w:hAnsi="Arial"/>
                <w:sz w:val="18"/>
                <w:szCs w:val="18"/>
                <w:color w:val="auto"/>
              </w:rPr>
              <w:t>$134,143,969</w:t>
            </w:r>
          </w:p>
        </w:tc>
        <w:tc>
          <w:tcPr>
            <w:tcW w:w="4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Flag State</w:t>
            </w:r>
          </w:p>
        </w:tc>
        <w:tc>
          <w:tcPr>
            <w:tcW w:w="3600" w:type="dxa"/>
            <w:vAlign w:val="bottom"/>
          </w:tcPr>
          <w:p>
            <w:pPr>
              <w:spacing w:after="0"/>
              <w:rPr>
                <w:sz w:val="20"/>
                <w:szCs w:val="20"/>
                <w:color w:val="auto"/>
              </w:rPr>
            </w:pPr>
            <w:r>
              <w:rPr>
                <w:rFonts w:ascii="Arial" w:cs="Arial" w:eastAsia="Arial" w:hAnsi="Arial"/>
                <w:sz w:val="18"/>
                <w:szCs w:val="18"/>
                <w:color w:val="auto"/>
              </w:rPr>
              <w:t>Bermuda</w:t>
            </w:r>
          </w:p>
        </w:tc>
        <w:tc>
          <w:tcPr>
            <w:tcW w:w="4040" w:type="dxa"/>
            <w:vAlign w:val="bottom"/>
          </w:tcPr>
          <w:p>
            <w:pPr>
              <w:spacing w:after="0"/>
              <w:rPr>
                <w:sz w:val="24"/>
                <w:szCs w:val="24"/>
                <w:color w:val="auto"/>
              </w:rPr>
            </w:pPr>
          </w:p>
        </w:tc>
      </w:tr>
      <w:tr>
        <w:trPr>
          <w:trHeight w:val="269"/>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Charter description:</w:t>
            </w:r>
          </w:p>
        </w:tc>
        <w:tc>
          <w:tcPr>
            <w:tcW w:w="7640" w:type="dxa"/>
            <w:vAlign w:val="bottom"/>
            <w:gridSpan w:val="2"/>
          </w:tcPr>
          <w:p>
            <w:pPr>
              <w:spacing w:after="0"/>
              <w:rPr>
                <w:sz w:val="20"/>
                <w:szCs w:val="20"/>
                <w:color w:val="auto"/>
              </w:rPr>
            </w:pPr>
            <w:r>
              <w:rPr>
                <w:rFonts w:ascii="Arial" w:cs="Arial" w:eastAsia="Arial" w:hAnsi="Arial"/>
                <w:sz w:val="18"/>
                <w:szCs w:val="18"/>
                <w:color w:val="auto"/>
              </w:rPr>
              <w:t>A time charter between GAS-six Ltd. and the relevant Charterer documented by a master time</w:t>
            </w:r>
          </w:p>
        </w:tc>
      </w:tr>
      <w:tr>
        <w:trPr>
          <w:trHeight w:val="203"/>
        </w:trPr>
        <w:tc>
          <w:tcPr>
            <w:tcW w:w="3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40" w:type="dxa"/>
            <w:vAlign w:val="bottom"/>
            <w:gridSpan w:val="2"/>
          </w:tcPr>
          <w:p>
            <w:pPr>
              <w:spacing w:after="0" w:line="202" w:lineRule="exact"/>
              <w:rPr>
                <w:sz w:val="20"/>
                <w:szCs w:val="20"/>
                <w:color w:val="auto"/>
              </w:rPr>
            </w:pPr>
            <w:r>
              <w:rPr>
                <w:rFonts w:ascii="Arial" w:cs="Arial" w:eastAsia="Arial" w:hAnsi="Arial"/>
                <w:sz w:val="18"/>
                <w:szCs w:val="18"/>
                <w:color w:val="auto"/>
              </w:rPr>
              <w:t>charter party dated 9 May 2011, a seasonal confirmation memorandum dated 8 February 2013</w:t>
            </w:r>
          </w:p>
        </w:tc>
      </w:tr>
      <w:tr>
        <w:trPr>
          <w:trHeight w:val="203"/>
        </w:trPr>
        <w:tc>
          <w:tcPr>
            <w:tcW w:w="3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40" w:type="dxa"/>
            <w:vAlign w:val="bottom"/>
            <w:gridSpan w:val="2"/>
          </w:tcPr>
          <w:p>
            <w:pPr>
              <w:spacing w:after="0" w:line="202" w:lineRule="exact"/>
              <w:rPr>
                <w:sz w:val="20"/>
                <w:szCs w:val="20"/>
                <w:color w:val="auto"/>
              </w:rPr>
            </w:pPr>
            <w:r>
              <w:rPr>
                <w:rFonts w:ascii="Arial" w:cs="Arial" w:eastAsia="Arial" w:hAnsi="Arial"/>
                <w:sz w:val="18"/>
                <w:szCs w:val="18"/>
                <w:color w:val="auto"/>
              </w:rPr>
              <w:t>and a confirmation memorandum dated 9 May 2011 as amended by an amendment and</w:t>
            </w:r>
          </w:p>
        </w:tc>
      </w:tr>
      <w:tr>
        <w:trPr>
          <w:trHeight w:val="217"/>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restatement agreement dated 17 June 2013 and by addendum No. 1 dated 20 April 2015</w:t>
            </w: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Charterer:</w:t>
            </w:r>
          </w:p>
        </w:tc>
        <w:tc>
          <w:tcPr>
            <w:tcW w:w="3600" w:type="dxa"/>
            <w:vAlign w:val="bottom"/>
          </w:tcPr>
          <w:p>
            <w:pPr>
              <w:spacing w:after="0"/>
              <w:rPr>
                <w:sz w:val="20"/>
                <w:szCs w:val="20"/>
                <w:color w:val="auto"/>
              </w:rPr>
            </w:pPr>
            <w:r>
              <w:rPr>
                <w:rFonts w:ascii="Arial" w:cs="Arial" w:eastAsia="Arial" w:hAnsi="Arial"/>
                <w:sz w:val="18"/>
                <w:szCs w:val="18"/>
                <w:color w:val="auto"/>
              </w:rPr>
              <w:t>Methane Services Limited, a UK company</w:t>
            </w:r>
          </w:p>
        </w:tc>
        <w:tc>
          <w:tcPr>
            <w:tcW w:w="4040" w:type="dxa"/>
            <w:vAlign w:val="bottom"/>
          </w:tcPr>
          <w:p>
            <w:pPr>
              <w:spacing w:after="0"/>
              <w:rPr>
                <w:sz w:val="24"/>
                <w:szCs w:val="24"/>
                <w:color w:val="auto"/>
              </w:rPr>
            </w:pPr>
          </w:p>
        </w:tc>
      </w:tr>
      <w:tr>
        <w:trPr>
          <w:trHeight w:val="291"/>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Classification</w:t>
            </w:r>
          </w:p>
        </w:tc>
        <w:tc>
          <w:tcPr>
            <w:tcW w:w="764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A1</w:t>
            </w:r>
            <w:r>
              <w:rPr>
                <w:rFonts w:ascii="Arial" w:cs="Arial" w:eastAsia="Arial" w:hAnsi="Arial"/>
                <w:sz w:val="18"/>
                <w:szCs w:val="18"/>
                <w:color w:val="auto"/>
              </w:rPr>
              <w:t>, Liquefied Natural Gas Carrier, ship type: 2G/(Membrane Tank , maximum pressure</w:t>
            </w:r>
          </w:p>
        </w:tc>
      </w:tr>
      <w:tr>
        <w:trPr>
          <w:trHeight w:val="262"/>
        </w:trPr>
        <w:tc>
          <w:tcPr>
            <w:tcW w:w="3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0.25bar and minimum temperature -163°C)</w:t>
            </w:r>
          </w:p>
        </w:tc>
        <w:tc>
          <w:tcPr>
            <w:tcW w:w="4040" w:type="dxa"/>
            <w:vAlign w:val="bottom"/>
          </w:tcPr>
          <w:p>
            <w:pPr>
              <w:ind w:left="200"/>
              <w:spacing w:after="0" w:line="242" w:lineRule="exact"/>
              <w:rPr>
                <w:sz w:val="20"/>
                <w:szCs w:val="20"/>
                <w:color w:val="auto"/>
              </w:rPr>
            </w:pP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AMS</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ACCU</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APS</w:t>
            </w:r>
            <w:r>
              <w:rPr>
                <w:rFonts w:ascii="Arial" w:cs="Arial" w:eastAsia="Arial" w:hAnsi="Arial"/>
                <w:sz w:val="21"/>
                <w:szCs w:val="21"/>
                <w:color w:val="auto"/>
              </w:rPr>
              <w:t>,</w:t>
            </w:r>
            <w:r>
              <w:rPr>
                <w:rFonts w:ascii="Arial" w:cs="Arial" w:eastAsia="Arial" w:hAnsi="Arial"/>
                <w:sz w:val="18"/>
                <w:szCs w:val="18"/>
                <w:color w:val="auto"/>
              </w:rPr>
              <w:t xml:space="preserve"> SH, CPS, SHCM,</w:t>
            </w:r>
          </w:p>
        </w:tc>
      </w:tr>
      <w:tr>
        <w:trPr>
          <w:trHeight w:val="203"/>
        </w:trPr>
        <w:tc>
          <w:tcPr>
            <w:tcW w:w="3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40" w:type="dxa"/>
            <w:vAlign w:val="bottom"/>
            <w:gridSpan w:val="2"/>
          </w:tcPr>
          <w:p>
            <w:pPr>
              <w:spacing w:after="0" w:line="202" w:lineRule="exact"/>
              <w:rPr>
                <w:sz w:val="20"/>
                <w:szCs w:val="20"/>
                <w:color w:val="auto"/>
              </w:rPr>
            </w:pPr>
            <w:r>
              <w:rPr>
                <w:rFonts w:ascii="Arial" w:cs="Arial" w:eastAsia="Arial" w:hAnsi="Arial"/>
                <w:sz w:val="18"/>
                <w:szCs w:val="18"/>
                <w:color w:val="auto"/>
                <w:w w:val="99"/>
              </w:rPr>
              <w:t>NIBS , POT, RRDA, ENVIRO+, UWILD, TCM, CRC, SFA 40, SH-DLA , PMP, RES, PORT, RW,</w:t>
            </w:r>
          </w:p>
        </w:tc>
      </w:tr>
      <w:tr>
        <w:trPr>
          <w:trHeight w:val="217"/>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DFD</w:t>
            </w:r>
          </w:p>
        </w:tc>
        <w:tc>
          <w:tcPr>
            <w:tcW w:w="4040" w:type="dxa"/>
            <w:vAlign w:val="bottom"/>
          </w:tcPr>
          <w:p>
            <w:pPr>
              <w:spacing w:after="0"/>
              <w:rPr>
                <w:sz w:val="18"/>
                <w:szCs w:val="18"/>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Classification Society</w:t>
            </w:r>
          </w:p>
        </w:tc>
        <w:tc>
          <w:tcPr>
            <w:tcW w:w="3600" w:type="dxa"/>
            <w:vAlign w:val="bottom"/>
          </w:tcPr>
          <w:p>
            <w:pPr>
              <w:spacing w:after="0"/>
              <w:rPr>
                <w:sz w:val="20"/>
                <w:szCs w:val="20"/>
                <w:color w:val="auto"/>
              </w:rPr>
            </w:pPr>
            <w:r>
              <w:rPr>
                <w:rFonts w:ascii="Arial" w:cs="Arial" w:eastAsia="Arial" w:hAnsi="Arial"/>
                <w:sz w:val="18"/>
                <w:szCs w:val="18"/>
                <w:color w:val="auto"/>
              </w:rPr>
              <w:t>American Bureau of Shipping</w:t>
            </w:r>
          </w:p>
        </w:tc>
        <w:tc>
          <w:tcPr>
            <w:tcW w:w="4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IMO number</w:t>
            </w:r>
          </w:p>
        </w:tc>
        <w:tc>
          <w:tcPr>
            <w:tcW w:w="3600" w:type="dxa"/>
            <w:vAlign w:val="bottom"/>
          </w:tcPr>
          <w:p>
            <w:pPr>
              <w:spacing w:after="0"/>
              <w:rPr>
                <w:sz w:val="20"/>
                <w:szCs w:val="20"/>
                <w:color w:val="auto"/>
              </w:rPr>
            </w:pPr>
            <w:r>
              <w:rPr>
                <w:rFonts w:ascii="Arial" w:cs="Arial" w:eastAsia="Arial" w:hAnsi="Arial"/>
                <w:sz w:val="18"/>
                <w:szCs w:val="18"/>
                <w:color w:val="auto"/>
              </w:rPr>
              <w:t>9626285</w:t>
            </w:r>
          </w:p>
        </w:tc>
        <w:tc>
          <w:tcPr>
            <w:tcW w:w="4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Year of built</w:t>
            </w:r>
          </w:p>
        </w:tc>
        <w:tc>
          <w:tcPr>
            <w:tcW w:w="3600" w:type="dxa"/>
            <w:vAlign w:val="bottom"/>
          </w:tcPr>
          <w:p>
            <w:pPr>
              <w:spacing w:after="0"/>
              <w:rPr>
                <w:sz w:val="20"/>
                <w:szCs w:val="20"/>
                <w:color w:val="auto"/>
              </w:rPr>
            </w:pPr>
            <w:r>
              <w:rPr>
                <w:rFonts w:ascii="Arial" w:cs="Arial" w:eastAsia="Arial" w:hAnsi="Arial"/>
                <w:sz w:val="18"/>
                <w:szCs w:val="18"/>
                <w:color w:val="auto"/>
              </w:rPr>
              <w:t>2013</w:t>
            </w:r>
          </w:p>
        </w:tc>
        <w:tc>
          <w:tcPr>
            <w:tcW w:w="4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Major Casualty Amount</w:t>
            </w:r>
          </w:p>
        </w:tc>
        <w:tc>
          <w:tcPr>
            <w:tcW w:w="3600" w:type="dxa"/>
            <w:vAlign w:val="bottom"/>
          </w:tcPr>
          <w:p>
            <w:pPr>
              <w:spacing w:after="0"/>
              <w:rPr>
                <w:sz w:val="20"/>
                <w:szCs w:val="20"/>
                <w:color w:val="auto"/>
              </w:rPr>
            </w:pPr>
            <w:r>
              <w:rPr>
                <w:rFonts w:ascii="Arial" w:cs="Arial" w:eastAsia="Arial" w:hAnsi="Arial"/>
                <w:sz w:val="18"/>
                <w:szCs w:val="18"/>
                <w:color w:val="auto"/>
              </w:rPr>
              <w:t>$5,000,000</w:t>
            </w:r>
          </w:p>
        </w:tc>
        <w:tc>
          <w:tcPr>
            <w:tcW w:w="4040" w:type="dxa"/>
            <w:vAlign w:val="bottom"/>
          </w:tcPr>
          <w:p>
            <w:pPr>
              <w:spacing w:after="0"/>
              <w:rPr>
                <w:sz w:val="24"/>
                <w:szCs w:val="24"/>
                <w:color w:val="auto"/>
              </w:rPr>
            </w:pPr>
          </w:p>
        </w:tc>
      </w:tr>
      <w:tr>
        <w:trPr>
          <w:trHeight w:val="392"/>
        </w:trPr>
        <w:tc>
          <w:tcPr>
            <w:tcW w:w="3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0" w:type="dxa"/>
            <w:vAlign w:val="bottom"/>
          </w:tcPr>
          <w:p>
            <w:pPr>
              <w:ind w:left="1780"/>
              <w:spacing w:after="0"/>
              <w:rPr>
                <w:sz w:val="20"/>
                <w:szCs w:val="20"/>
                <w:color w:val="auto"/>
              </w:rPr>
            </w:pPr>
            <w:r>
              <w:rPr>
                <w:rFonts w:ascii="Arial" w:cs="Arial" w:eastAsia="Arial" w:hAnsi="Arial"/>
                <w:sz w:val="18"/>
                <w:szCs w:val="18"/>
                <w:color w:val="auto"/>
              </w:rPr>
              <w:t>160</w:t>
            </w:r>
          </w:p>
        </w:tc>
        <w:tc>
          <w:tcPr>
            <w:tcW w:w="4040" w:type="dxa"/>
            <w:vAlign w:val="bottom"/>
          </w:tcPr>
          <w:p>
            <w:pPr>
              <w:spacing w:after="0"/>
              <w:rPr>
                <w:sz w:val="24"/>
                <w:szCs w:val="24"/>
                <w:color w:val="auto"/>
              </w:rPr>
            </w:pPr>
          </w:p>
        </w:tc>
      </w:tr>
      <w:tr>
        <w:trPr>
          <w:trHeight w:val="237"/>
        </w:trPr>
        <w:tc>
          <w:tcPr>
            <w:tcW w:w="344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3600" w:type="dxa"/>
            <w:vAlign w:val="bottom"/>
            <w:tcBorders>
              <w:bottom w:val="single" w:sz="8" w:color="C0C0C0"/>
            </w:tcBorders>
          </w:tcPr>
          <w:p>
            <w:pPr>
              <w:spacing w:after="0"/>
              <w:rPr>
                <w:sz w:val="20"/>
                <w:szCs w:val="20"/>
                <w:color w:val="auto"/>
              </w:rPr>
            </w:pPr>
          </w:p>
        </w:tc>
        <w:tc>
          <w:tcPr>
            <w:tcW w:w="4040" w:type="dxa"/>
            <w:vAlign w:val="bottom"/>
            <w:tcBorders>
              <w:bottom w:val="single" w:sz="8" w:color="C0C0C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-1543050</wp:posOffset>
            </wp:positionV>
            <wp:extent cx="197485" cy="1117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97485" cy="111760"/>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239"/>
        </w:trPr>
        <w:tc>
          <w:tcPr>
            <w:tcW w:w="3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0" w:type="dxa"/>
            <w:vAlign w:val="bottom"/>
          </w:tcPr>
          <w:p>
            <w:pPr>
              <w:ind w:left="1640"/>
              <w:spacing w:after="0"/>
              <w:rPr>
                <w:sz w:val="20"/>
                <w:szCs w:val="20"/>
                <w:color w:val="auto"/>
              </w:rPr>
            </w:pPr>
            <w:r>
              <w:rPr>
                <w:rFonts w:ascii="Arial" w:cs="Arial" w:eastAsia="Arial" w:hAnsi="Arial"/>
                <w:sz w:val="18"/>
                <w:szCs w:val="18"/>
                <w:b w:val="1"/>
                <w:bCs w:val="1"/>
                <w:color w:val="auto"/>
              </w:rPr>
              <w:t>Ship D</w:t>
            </w:r>
          </w:p>
        </w:tc>
        <w:tc>
          <w:tcPr>
            <w:tcW w:w="4040" w:type="dxa"/>
            <w:vAlign w:val="bottom"/>
          </w:tcPr>
          <w:p>
            <w:pPr>
              <w:spacing w:after="0"/>
              <w:rPr>
                <w:sz w:val="20"/>
                <w:szCs w:val="20"/>
                <w:color w:val="auto"/>
              </w:rPr>
            </w:pPr>
          </w:p>
        </w:tc>
      </w:tr>
      <w:tr>
        <w:trPr>
          <w:trHeight w:val="473"/>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Owner</w:t>
            </w:r>
          </w:p>
        </w:tc>
        <w:tc>
          <w:tcPr>
            <w:tcW w:w="340" w:type="dxa"/>
            <w:vAlign w:val="bottom"/>
          </w:tcPr>
          <w:p>
            <w:pPr>
              <w:spacing w:after="0"/>
              <w:rPr>
                <w:sz w:val="24"/>
                <w:szCs w:val="24"/>
                <w:color w:val="auto"/>
              </w:rPr>
            </w:pP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GAS-seven Ltd.</w:t>
            </w:r>
          </w:p>
        </w:tc>
        <w:tc>
          <w:tcPr>
            <w:tcW w:w="4040" w:type="dxa"/>
            <w:vAlign w:val="bottom"/>
            <w:tcBorders>
              <w:bottom w:val="single" w:sz="8" w:color="auto"/>
            </w:tcBorders>
          </w:tcPr>
          <w:p>
            <w:pPr>
              <w:spacing w:after="0"/>
              <w:rPr>
                <w:sz w:val="24"/>
                <w:szCs w:val="24"/>
                <w:color w:val="auto"/>
              </w:rPr>
            </w:pPr>
          </w:p>
        </w:tc>
      </w:tr>
      <w:tr>
        <w:trPr>
          <w:trHeight w:val="291"/>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Ship Name</w:t>
            </w:r>
          </w:p>
        </w:tc>
        <w:tc>
          <w:tcPr>
            <w:tcW w:w="3600" w:type="dxa"/>
            <w:vAlign w:val="bottom"/>
          </w:tcPr>
          <w:p>
            <w:pPr>
              <w:spacing w:after="0"/>
              <w:rPr>
                <w:sz w:val="20"/>
                <w:szCs w:val="20"/>
                <w:color w:val="auto"/>
              </w:rPr>
            </w:pPr>
            <w:r>
              <w:rPr>
                <w:rFonts w:ascii="Arial" w:cs="Arial" w:eastAsia="Arial" w:hAnsi="Arial"/>
                <w:sz w:val="18"/>
                <w:szCs w:val="18"/>
                <w:i w:val="1"/>
                <w:iCs w:val="1"/>
                <w:color w:val="auto"/>
              </w:rPr>
              <w:t>GasLog Seattle</w:t>
            </w:r>
          </w:p>
        </w:tc>
        <w:tc>
          <w:tcPr>
            <w:tcW w:w="4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Term Loan Ship Commitment</w:t>
            </w:r>
          </w:p>
        </w:tc>
        <w:tc>
          <w:tcPr>
            <w:tcW w:w="3600" w:type="dxa"/>
            <w:vAlign w:val="bottom"/>
          </w:tcPr>
          <w:p>
            <w:pPr>
              <w:spacing w:after="0"/>
              <w:rPr>
                <w:sz w:val="20"/>
                <w:szCs w:val="20"/>
                <w:color w:val="auto"/>
              </w:rPr>
            </w:pPr>
            <w:r>
              <w:rPr>
                <w:rFonts w:ascii="Arial" w:cs="Arial" w:eastAsia="Arial" w:hAnsi="Arial"/>
                <w:sz w:val="18"/>
                <w:szCs w:val="18"/>
                <w:color w:val="auto"/>
              </w:rPr>
              <w:t>$122,292,478</w:t>
            </w:r>
          </w:p>
        </w:tc>
        <w:tc>
          <w:tcPr>
            <w:tcW w:w="4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Revolving Loan Ship Commitment</w:t>
            </w:r>
          </w:p>
        </w:tc>
        <w:tc>
          <w:tcPr>
            <w:tcW w:w="3600" w:type="dxa"/>
            <w:vAlign w:val="bottom"/>
          </w:tcPr>
          <w:p>
            <w:pPr>
              <w:spacing w:after="0"/>
              <w:rPr>
                <w:sz w:val="20"/>
                <w:szCs w:val="20"/>
                <w:color w:val="auto"/>
              </w:rPr>
            </w:pPr>
            <w:r>
              <w:rPr>
                <w:rFonts w:ascii="Arial" w:cs="Arial" w:eastAsia="Arial" w:hAnsi="Arial"/>
                <w:sz w:val="18"/>
                <w:szCs w:val="18"/>
                <w:color w:val="auto"/>
              </w:rPr>
              <w:t>$12,872,892</w:t>
            </w:r>
          </w:p>
        </w:tc>
        <w:tc>
          <w:tcPr>
            <w:tcW w:w="4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Ship Aggregate Commitments</w:t>
            </w:r>
          </w:p>
        </w:tc>
        <w:tc>
          <w:tcPr>
            <w:tcW w:w="3600" w:type="dxa"/>
            <w:vAlign w:val="bottom"/>
          </w:tcPr>
          <w:p>
            <w:pPr>
              <w:spacing w:after="0"/>
              <w:rPr>
                <w:sz w:val="20"/>
                <w:szCs w:val="20"/>
                <w:color w:val="auto"/>
              </w:rPr>
            </w:pPr>
            <w:r>
              <w:rPr>
                <w:rFonts w:ascii="Arial" w:cs="Arial" w:eastAsia="Arial" w:hAnsi="Arial"/>
                <w:sz w:val="18"/>
                <w:szCs w:val="18"/>
                <w:color w:val="auto"/>
              </w:rPr>
              <w:t>$135,165,370</w:t>
            </w:r>
          </w:p>
        </w:tc>
        <w:tc>
          <w:tcPr>
            <w:tcW w:w="4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Flag State</w:t>
            </w:r>
          </w:p>
        </w:tc>
        <w:tc>
          <w:tcPr>
            <w:tcW w:w="3600" w:type="dxa"/>
            <w:vAlign w:val="bottom"/>
          </w:tcPr>
          <w:p>
            <w:pPr>
              <w:spacing w:after="0"/>
              <w:rPr>
                <w:sz w:val="20"/>
                <w:szCs w:val="20"/>
                <w:color w:val="auto"/>
              </w:rPr>
            </w:pPr>
            <w:r>
              <w:rPr>
                <w:rFonts w:ascii="Arial" w:cs="Arial" w:eastAsia="Arial" w:hAnsi="Arial"/>
                <w:sz w:val="18"/>
                <w:szCs w:val="18"/>
                <w:color w:val="auto"/>
              </w:rPr>
              <w:t>Bermuda</w:t>
            </w:r>
          </w:p>
        </w:tc>
        <w:tc>
          <w:tcPr>
            <w:tcW w:w="4040" w:type="dxa"/>
            <w:vAlign w:val="bottom"/>
          </w:tcPr>
          <w:p>
            <w:pPr>
              <w:spacing w:after="0"/>
              <w:rPr>
                <w:sz w:val="24"/>
                <w:szCs w:val="24"/>
                <w:color w:val="auto"/>
              </w:rPr>
            </w:pPr>
          </w:p>
        </w:tc>
      </w:tr>
      <w:tr>
        <w:trPr>
          <w:trHeight w:val="269"/>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Charter description:</w:t>
            </w:r>
          </w:p>
        </w:tc>
        <w:tc>
          <w:tcPr>
            <w:tcW w:w="7640" w:type="dxa"/>
            <w:vAlign w:val="bottom"/>
            <w:gridSpan w:val="2"/>
          </w:tcPr>
          <w:p>
            <w:pPr>
              <w:spacing w:after="0"/>
              <w:rPr>
                <w:sz w:val="20"/>
                <w:szCs w:val="20"/>
                <w:color w:val="auto"/>
              </w:rPr>
            </w:pPr>
            <w:r>
              <w:rPr>
                <w:rFonts w:ascii="Arial" w:cs="Arial" w:eastAsia="Arial" w:hAnsi="Arial"/>
                <w:sz w:val="18"/>
                <w:szCs w:val="18"/>
                <w:color w:val="auto"/>
              </w:rPr>
              <w:t>A time charter between GAS-seven Ltd. and the relevant Charterer documented by a master</w:t>
            </w:r>
          </w:p>
        </w:tc>
      </w:tr>
      <w:tr>
        <w:trPr>
          <w:trHeight w:val="203"/>
        </w:trPr>
        <w:tc>
          <w:tcPr>
            <w:tcW w:w="3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40" w:type="dxa"/>
            <w:vAlign w:val="bottom"/>
            <w:gridSpan w:val="2"/>
          </w:tcPr>
          <w:p>
            <w:pPr>
              <w:spacing w:after="0" w:line="202" w:lineRule="exact"/>
              <w:rPr>
                <w:sz w:val="20"/>
                <w:szCs w:val="20"/>
                <w:color w:val="auto"/>
              </w:rPr>
            </w:pPr>
            <w:r>
              <w:rPr>
                <w:rFonts w:ascii="Arial" w:cs="Arial" w:eastAsia="Arial" w:hAnsi="Arial"/>
                <w:sz w:val="18"/>
                <w:szCs w:val="18"/>
                <w:color w:val="auto"/>
              </w:rPr>
              <w:t>agreement dated 11 May and a time charter dated 11 May 2011 as amended by addendum</w:t>
            </w:r>
          </w:p>
        </w:tc>
      </w:tr>
      <w:tr>
        <w:trPr>
          <w:trHeight w:val="217"/>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no.1 dated 17 July 2012 and addendum no. 2 dated 21 May 2014</w:t>
            </w: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Charterer:</w:t>
            </w:r>
          </w:p>
        </w:tc>
        <w:tc>
          <w:tcPr>
            <w:tcW w:w="3600" w:type="dxa"/>
            <w:vAlign w:val="bottom"/>
          </w:tcPr>
          <w:p>
            <w:pPr>
              <w:spacing w:after="0"/>
              <w:rPr>
                <w:sz w:val="20"/>
                <w:szCs w:val="20"/>
                <w:color w:val="auto"/>
              </w:rPr>
            </w:pPr>
            <w:r>
              <w:rPr>
                <w:rFonts w:ascii="Arial" w:cs="Arial" w:eastAsia="Arial" w:hAnsi="Arial"/>
                <w:sz w:val="18"/>
                <w:szCs w:val="18"/>
                <w:color w:val="auto"/>
              </w:rPr>
              <w:t>Shell Tanker (Singapore) Private Limited</w:t>
            </w:r>
          </w:p>
        </w:tc>
        <w:tc>
          <w:tcPr>
            <w:tcW w:w="4040" w:type="dxa"/>
            <w:vAlign w:val="bottom"/>
          </w:tcPr>
          <w:p>
            <w:pPr>
              <w:spacing w:after="0"/>
              <w:rPr>
                <w:sz w:val="24"/>
                <w:szCs w:val="24"/>
                <w:color w:val="auto"/>
              </w:rPr>
            </w:pPr>
          </w:p>
        </w:tc>
      </w:tr>
      <w:tr>
        <w:trPr>
          <w:trHeight w:val="250"/>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Classification</w:t>
            </w:r>
          </w:p>
        </w:tc>
        <w:tc>
          <w:tcPr>
            <w:tcW w:w="764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A1</w:t>
            </w:r>
            <w:r>
              <w:rPr>
                <w:rFonts w:ascii="Arial" w:cs="Arial" w:eastAsia="Arial" w:hAnsi="Arial"/>
                <w:sz w:val="18"/>
                <w:szCs w:val="18"/>
                <w:color w:val="auto"/>
              </w:rPr>
              <w:t>, Liquefied Natural Gas Carrier, ship type: 2G/(Membrane Tank , maximum pressure</w:t>
            </w:r>
          </w:p>
        </w:tc>
      </w:tr>
      <w:tr>
        <w:trPr>
          <w:trHeight w:val="262"/>
        </w:trPr>
        <w:tc>
          <w:tcPr>
            <w:tcW w:w="3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0.25bar and minimum temperature -163°C)</w:t>
            </w:r>
          </w:p>
        </w:tc>
        <w:tc>
          <w:tcPr>
            <w:tcW w:w="4040" w:type="dxa"/>
            <w:vAlign w:val="bottom"/>
          </w:tcPr>
          <w:p>
            <w:pPr>
              <w:ind w:left="200"/>
              <w:spacing w:after="0" w:line="207" w:lineRule="exact"/>
              <w:rPr>
                <w:sz w:val="20"/>
                <w:szCs w:val="20"/>
                <w:color w:val="auto"/>
              </w:rPr>
            </w:pP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AMS</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ACCU</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APS</w:t>
            </w:r>
            <w:r>
              <w:rPr>
                <w:rFonts w:ascii="Arial" w:cs="Arial" w:eastAsia="Arial" w:hAnsi="Arial"/>
                <w:sz w:val="18"/>
                <w:szCs w:val="18"/>
                <w:color w:val="auto"/>
              </w:rPr>
              <w:t>, SH, CPS, SHCM,</w:t>
            </w:r>
          </w:p>
        </w:tc>
      </w:tr>
      <w:tr>
        <w:trPr>
          <w:trHeight w:val="203"/>
        </w:trPr>
        <w:tc>
          <w:tcPr>
            <w:tcW w:w="3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40" w:type="dxa"/>
            <w:vAlign w:val="bottom"/>
            <w:gridSpan w:val="2"/>
          </w:tcPr>
          <w:p>
            <w:pPr>
              <w:spacing w:after="0" w:line="202" w:lineRule="exact"/>
              <w:rPr>
                <w:sz w:val="20"/>
                <w:szCs w:val="20"/>
                <w:color w:val="auto"/>
              </w:rPr>
            </w:pPr>
            <w:r>
              <w:rPr>
                <w:rFonts w:ascii="Arial" w:cs="Arial" w:eastAsia="Arial" w:hAnsi="Arial"/>
                <w:sz w:val="18"/>
                <w:szCs w:val="18"/>
                <w:color w:val="auto"/>
                <w:w w:val="99"/>
              </w:rPr>
              <w:t>NIBS , POT, RRDA, ENVIRO+, UWILD, TCM, CRC, SFA 40, SH-DLA , PMP, RES, PORT, RW,</w:t>
            </w:r>
          </w:p>
        </w:tc>
      </w:tr>
      <w:tr>
        <w:trPr>
          <w:trHeight w:val="217"/>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DFD</w:t>
            </w:r>
          </w:p>
        </w:tc>
        <w:tc>
          <w:tcPr>
            <w:tcW w:w="4040" w:type="dxa"/>
            <w:vAlign w:val="bottom"/>
          </w:tcPr>
          <w:p>
            <w:pPr>
              <w:spacing w:after="0"/>
              <w:rPr>
                <w:sz w:val="18"/>
                <w:szCs w:val="18"/>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Classification Society</w:t>
            </w:r>
          </w:p>
        </w:tc>
        <w:tc>
          <w:tcPr>
            <w:tcW w:w="3600" w:type="dxa"/>
            <w:vAlign w:val="bottom"/>
          </w:tcPr>
          <w:p>
            <w:pPr>
              <w:spacing w:after="0"/>
              <w:rPr>
                <w:sz w:val="20"/>
                <w:szCs w:val="20"/>
                <w:color w:val="auto"/>
              </w:rPr>
            </w:pPr>
            <w:r>
              <w:rPr>
                <w:rFonts w:ascii="Arial" w:cs="Arial" w:eastAsia="Arial" w:hAnsi="Arial"/>
                <w:sz w:val="18"/>
                <w:szCs w:val="18"/>
                <w:color w:val="auto"/>
              </w:rPr>
              <w:t>American Bureau of Shipping</w:t>
            </w:r>
          </w:p>
        </w:tc>
        <w:tc>
          <w:tcPr>
            <w:tcW w:w="4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IMO number</w:t>
            </w:r>
          </w:p>
        </w:tc>
        <w:tc>
          <w:tcPr>
            <w:tcW w:w="3600" w:type="dxa"/>
            <w:vAlign w:val="bottom"/>
          </w:tcPr>
          <w:p>
            <w:pPr>
              <w:spacing w:after="0"/>
              <w:rPr>
                <w:sz w:val="20"/>
                <w:szCs w:val="20"/>
                <w:color w:val="auto"/>
              </w:rPr>
            </w:pPr>
            <w:r>
              <w:rPr>
                <w:rFonts w:ascii="Arial" w:cs="Arial" w:eastAsia="Arial" w:hAnsi="Arial"/>
                <w:sz w:val="18"/>
                <w:szCs w:val="18"/>
                <w:color w:val="auto"/>
              </w:rPr>
              <w:t>9634086</w:t>
            </w:r>
          </w:p>
        </w:tc>
        <w:tc>
          <w:tcPr>
            <w:tcW w:w="4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Year of built</w:t>
            </w:r>
          </w:p>
        </w:tc>
        <w:tc>
          <w:tcPr>
            <w:tcW w:w="3600" w:type="dxa"/>
            <w:vAlign w:val="bottom"/>
          </w:tcPr>
          <w:p>
            <w:pPr>
              <w:spacing w:after="0"/>
              <w:rPr>
                <w:sz w:val="20"/>
                <w:szCs w:val="20"/>
                <w:color w:val="auto"/>
              </w:rPr>
            </w:pPr>
            <w:r>
              <w:rPr>
                <w:rFonts w:ascii="Arial" w:cs="Arial" w:eastAsia="Arial" w:hAnsi="Arial"/>
                <w:sz w:val="18"/>
                <w:szCs w:val="18"/>
                <w:color w:val="auto"/>
              </w:rPr>
              <w:t>2013</w:t>
            </w:r>
          </w:p>
        </w:tc>
        <w:tc>
          <w:tcPr>
            <w:tcW w:w="4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Major Casualty Amount</w:t>
            </w:r>
          </w:p>
        </w:tc>
        <w:tc>
          <w:tcPr>
            <w:tcW w:w="3600" w:type="dxa"/>
            <w:vAlign w:val="bottom"/>
          </w:tcPr>
          <w:p>
            <w:pPr>
              <w:spacing w:after="0"/>
              <w:rPr>
                <w:sz w:val="20"/>
                <w:szCs w:val="20"/>
                <w:color w:val="auto"/>
              </w:rPr>
            </w:pPr>
            <w:r>
              <w:rPr>
                <w:rFonts w:ascii="Arial" w:cs="Arial" w:eastAsia="Arial" w:hAnsi="Arial"/>
                <w:sz w:val="18"/>
                <w:szCs w:val="18"/>
                <w:color w:val="auto"/>
              </w:rPr>
              <w:t>$5,000,000</w:t>
            </w:r>
          </w:p>
        </w:tc>
        <w:tc>
          <w:tcPr>
            <w:tcW w:w="4040" w:type="dxa"/>
            <w:vAlign w:val="bottom"/>
          </w:tcPr>
          <w:p>
            <w:pPr>
              <w:spacing w:after="0"/>
              <w:rPr>
                <w:sz w:val="24"/>
                <w:szCs w:val="24"/>
                <w:color w:val="auto"/>
              </w:rPr>
            </w:pPr>
          </w:p>
        </w:tc>
      </w:tr>
      <w:tr>
        <w:trPr>
          <w:trHeight w:val="392"/>
        </w:trPr>
        <w:tc>
          <w:tcPr>
            <w:tcW w:w="3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0" w:type="dxa"/>
            <w:vAlign w:val="bottom"/>
          </w:tcPr>
          <w:p>
            <w:pPr>
              <w:ind w:left="1780"/>
              <w:spacing w:after="0"/>
              <w:rPr>
                <w:sz w:val="20"/>
                <w:szCs w:val="20"/>
                <w:color w:val="auto"/>
              </w:rPr>
            </w:pPr>
            <w:r>
              <w:rPr>
                <w:rFonts w:ascii="Arial" w:cs="Arial" w:eastAsia="Arial" w:hAnsi="Arial"/>
                <w:sz w:val="18"/>
                <w:szCs w:val="18"/>
                <w:color w:val="auto"/>
              </w:rPr>
              <w:t>161</w:t>
            </w:r>
          </w:p>
        </w:tc>
        <w:tc>
          <w:tcPr>
            <w:tcW w:w="4040" w:type="dxa"/>
            <w:vAlign w:val="bottom"/>
          </w:tcPr>
          <w:p>
            <w:pPr>
              <w:spacing w:after="0"/>
              <w:rPr>
                <w:sz w:val="24"/>
                <w:szCs w:val="24"/>
                <w:color w:val="auto"/>
              </w:rPr>
            </w:pPr>
          </w:p>
        </w:tc>
      </w:tr>
      <w:tr>
        <w:trPr>
          <w:trHeight w:val="237"/>
        </w:trPr>
        <w:tc>
          <w:tcPr>
            <w:tcW w:w="344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3600" w:type="dxa"/>
            <w:vAlign w:val="bottom"/>
            <w:tcBorders>
              <w:bottom w:val="single" w:sz="8" w:color="C0C0C0"/>
            </w:tcBorders>
          </w:tcPr>
          <w:p>
            <w:pPr>
              <w:spacing w:after="0"/>
              <w:rPr>
                <w:sz w:val="20"/>
                <w:szCs w:val="20"/>
                <w:color w:val="auto"/>
              </w:rPr>
            </w:pPr>
          </w:p>
        </w:tc>
        <w:tc>
          <w:tcPr>
            <w:tcW w:w="4040" w:type="dxa"/>
            <w:vAlign w:val="bottom"/>
            <w:tcBorders>
              <w:bottom w:val="single" w:sz="8" w:color="C0C0C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-1543050</wp:posOffset>
            </wp:positionV>
            <wp:extent cx="197485" cy="1117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97485" cy="111760"/>
                    </a:xfrm>
                    <a:prstGeom prst="rect">
                      <a:avLst/>
                    </a:prstGeom>
                    <a:noFill/>
                  </pic:spPr>
                </pic:pic>
              </a:graphicData>
            </a:graphic>
          </wp:anchor>
        </w:drawing>
      </w:r>
    </w:p>
    <w:p>
      <w:pPr>
        <w:sectPr>
          <w:pgSz w:w="11900" w:h="16838" w:orient="portrait"/>
          <w:cols w:equalWidth="0" w:num="1">
            <w:col w:w="11420"/>
          </w:cols>
          <w:pgMar w:left="240" w:top="617" w:right="239" w:bottom="1440" w:gutter="0" w:footer="0" w:header="0"/>
        </w:sectPr>
      </w:pPr>
    </w:p>
    <w:bookmarkStart w:id="213" w:name="page214"/>
    <w:bookmarkEnd w:id="213"/>
    <w:tbl>
      <w:tblPr>
        <w:tblLayout w:type="fixed"/>
        <w:tblInd w:w="0" w:type="dxa"/>
        <w:tblCellMar>
          <w:top w:w="0" w:type="dxa"/>
          <w:left w:w="0" w:type="dxa"/>
          <w:bottom w:w="0" w:type="dxa"/>
          <w:right w:w="0" w:type="dxa"/>
        </w:tblCellMar>
      </w:tblPr>
      <w:tr>
        <w:trPr>
          <w:trHeight w:val="239"/>
        </w:trPr>
        <w:tc>
          <w:tcPr>
            <w:tcW w:w="3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0" w:type="dxa"/>
            <w:vAlign w:val="bottom"/>
          </w:tcPr>
          <w:p>
            <w:pPr>
              <w:ind w:left="1660"/>
              <w:spacing w:after="0"/>
              <w:rPr>
                <w:sz w:val="20"/>
                <w:szCs w:val="20"/>
                <w:color w:val="auto"/>
              </w:rPr>
            </w:pPr>
            <w:r>
              <w:rPr>
                <w:rFonts w:ascii="Arial" w:cs="Arial" w:eastAsia="Arial" w:hAnsi="Arial"/>
                <w:sz w:val="18"/>
                <w:szCs w:val="18"/>
                <w:b w:val="1"/>
                <w:bCs w:val="1"/>
                <w:color w:val="auto"/>
              </w:rPr>
              <w:t>Ship E</w:t>
            </w:r>
          </w:p>
        </w:tc>
        <w:tc>
          <w:tcPr>
            <w:tcW w:w="4040" w:type="dxa"/>
            <w:vAlign w:val="bottom"/>
          </w:tcPr>
          <w:p>
            <w:pPr>
              <w:spacing w:after="0"/>
              <w:rPr>
                <w:sz w:val="20"/>
                <w:szCs w:val="20"/>
                <w:color w:val="auto"/>
              </w:rPr>
            </w:pPr>
          </w:p>
        </w:tc>
      </w:tr>
      <w:tr>
        <w:trPr>
          <w:trHeight w:val="473"/>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Owner</w:t>
            </w:r>
          </w:p>
        </w:tc>
        <w:tc>
          <w:tcPr>
            <w:tcW w:w="340" w:type="dxa"/>
            <w:vAlign w:val="bottom"/>
          </w:tcPr>
          <w:p>
            <w:pPr>
              <w:spacing w:after="0"/>
              <w:rPr>
                <w:sz w:val="24"/>
                <w:szCs w:val="24"/>
                <w:color w:val="auto"/>
              </w:rPr>
            </w:pP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GAS-eight Ltd.</w:t>
            </w:r>
          </w:p>
        </w:tc>
        <w:tc>
          <w:tcPr>
            <w:tcW w:w="4040" w:type="dxa"/>
            <w:vAlign w:val="bottom"/>
            <w:tcBorders>
              <w:bottom w:val="single" w:sz="8" w:color="auto"/>
            </w:tcBorders>
          </w:tcPr>
          <w:p>
            <w:pPr>
              <w:spacing w:after="0"/>
              <w:rPr>
                <w:sz w:val="24"/>
                <w:szCs w:val="24"/>
                <w:color w:val="auto"/>
              </w:rPr>
            </w:pPr>
          </w:p>
        </w:tc>
      </w:tr>
      <w:tr>
        <w:trPr>
          <w:trHeight w:val="291"/>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Ship Name</w:t>
            </w:r>
          </w:p>
        </w:tc>
        <w:tc>
          <w:tcPr>
            <w:tcW w:w="3600" w:type="dxa"/>
            <w:vAlign w:val="bottom"/>
          </w:tcPr>
          <w:p>
            <w:pPr>
              <w:spacing w:after="0"/>
              <w:rPr>
                <w:sz w:val="20"/>
                <w:szCs w:val="20"/>
                <w:color w:val="auto"/>
              </w:rPr>
            </w:pPr>
            <w:r>
              <w:rPr>
                <w:rFonts w:ascii="Arial" w:cs="Arial" w:eastAsia="Arial" w:hAnsi="Arial"/>
                <w:sz w:val="18"/>
                <w:szCs w:val="18"/>
                <w:i w:val="1"/>
                <w:iCs w:val="1"/>
                <w:color w:val="auto"/>
              </w:rPr>
              <w:t>Solaris</w:t>
            </w:r>
          </w:p>
        </w:tc>
        <w:tc>
          <w:tcPr>
            <w:tcW w:w="4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Term Loan Ship Commitment</w:t>
            </w:r>
          </w:p>
        </w:tc>
        <w:tc>
          <w:tcPr>
            <w:tcW w:w="3600" w:type="dxa"/>
            <w:vAlign w:val="bottom"/>
          </w:tcPr>
          <w:p>
            <w:pPr>
              <w:spacing w:after="0"/>
              <w:rPr>
                <w:sz w:val="20"/>
                <w:szCs w:val="20"/>
                <w:color w:val="auto"/>
              </w:rPr>
            </w:pPr>
            <w:r>
              <w:rPr>
                <w:rFonts w:ascii="Arial" w:cs="Arial" w:eastAsia="Arial" w:hAnsi="Arial"/>
                <w:sz w:val="18"/>
                <w:szCs w:val="18"/>
                <w:color w:val="auto"/>
              </w:rPr>
              <w:t>$124,140,726</w:t>
            </w:r>
          </w:p>
        </w:tc>
        <w:tc>
          <w:tcPr>
            <w:tcW w:w="4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Revolving Loan Ship Commitment</w:t>
            </w:r>
          </w:p>
        </w:tc>
        <w:tc>
          <w:tcPr>
            <w:tcW w:w="3600" w:type="dxa"/>
            <w:vAlign w:val="bottom"/>
          </w:tcPr>
          <w:p>
            <w:pPr>
              <w:spacing w:after="0"/>
              <w:rPr>
                <w:sz w:val="20"/>
                <w:szCs w:val="20"/>
                <w:color w:val="auto"/>
              </w:rPr>
            </w:pPr>
            <w:r>
              <w:rPr>
                <w:rFonts w:ascii="Arial" w:cs="Arial" w:eastAsia="Arial" w:hAnsi="Arial"/>
                <w:sz w:val="18"/>
                <w:szCs w:val="18"/>
                <w:color w:val="auto"/>
              </w:rPr>
              <w:t>$13,067,445</w:t>
            </w:r>
          </w:p>
        </w:tc>
        <w:tc>
          <w:tcPr>
            <w:tcW w:w="4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Ship Aggregate Commitments</w:t>
            </w:r>
          </w:p>
        </w:tc>
        <w:tc>
          <w:tcPr>
            <w:tcW w:w="3600" w:type="dxa"/>
            <w:vAlign w:val="bottom"/>
          </w:tcPr>
          <w:p>
            <w:pPr>
              <w:spacing w:after="0"/>
              <w:rPr>
                <w:sz w:val="20"/>
                <w:szCs w:val="20"/>
                <w:color w:val="auto"/>
              </w:rPr>
            </w:pPr>
            <w:r>
              <w:rPr>
                <w:rFonts w:ascii="Arial" w:cs="Arial" w:eastAsia="Arial" w:hAnsi="Arial"/>
                <w:sz w:val="18"/>
                <w:szCs w:val="18"/>
                <w:color w:val="auto"/>
              </w:rPr>
              <w:t>$137,208,171</w:t>
            </w:r>
          </w:p>
        </w:tc>
        <w:tc>
          <w:tcPr>
            <w:tcW w:w="4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Flag State</w:t>
            </w:r>
          </w:p>
        </w:tc>
        <w:tc>
          <w:tcPr>
            <w:tcW w:w="3600" w:type="dxa"/>
            <w:vAlign w:val="bottom"/>
          </w:tcPr>
          <w:p>
            <w:pPr>
              <w:spacing w:after="0"/>
              <w:rPr>
                <w:sz w:val="20"/>
                <w:szCs w:val="20"/>
                <w:color w:val="auto"/>
              </w:rPr>
            </w:pPr>
            <w:r>
              <w:rPr>
                <w:rFonts w:ascii="Arial" w:cs="Arial" w:eastAsia="Arial" w:hAnsi="Arial"/>
                <w:sz w:val="18"/>
                <w:szCs w:val="18"/>
                <w:color w:val="auto"/>
              </w:rPr>
              <w:t>Bermuda</w:t>
            </w:r>
          </w:p>
        </w:tc>
        <w:tc>
          <w:tcPr>
            <w:tcW w:w="4040" w:type="dxa"/>
            <w:vAlign w:val="bottom"/>
          </w:tcPr>
          <w:p>
            <w:pPr>
              <w:spacing w:after="0"/>
              <w:rPr>
                <w:sz w:val="24"/>
                <w:szCs w:val="24"/>
                <w:color w:val="auto"/>
              </w:rPr>
            </w:pPr>
          </w:p>
        </w:tc>
      </w:tr>
      <w:tr>
        <w:trPr>
          <w:trHeight w:val="269"/>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Charter description:</w:t>
            </w:r>
          </w:p>
        </w:tc>
        <w:tc>
          <w:tcPr>
            <w:tcW w:w="7640" w:type="dxa"/>
            <w:vAlign w:val="bottom"/>
            <w:gridSpan w:val="2"/>
          </w:tcPr>
          <w:p>
            <w:pPr>
              <w:spacing w:after="0"/>
              <w:rPr>
                <w:sz w:val="20"/>
                <w:szCs w:val="20"/>
                <w:color w:val="auto"/>
              </w:rPr>
            </w:pPr>
            <w:r>
              <w:rPr>
                <w:rFonts w:ascii="Arial" w:cs="Arial" w:eastAsia="Arial" w:hAnsi="Arial"/>
                <w:sz w:val="18"/>
                <w:szCs w:val="18"/>
                <w:color w:val="auto"/>
              </w:rPr>
              <w:t>A time charter between GAS-eight Ltd. and the relevant Charterer documented by a master</w:t>
            </w:r>
          </w:p>
        </w:tc>
      </w:tr>
      <w:tr>
        <w:trPr>
          <w:trHeight w:val="203"/>
        </w:trPr>
        <w:tc>
          <w:tcPr>
            <w:tcW w:w="3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40" w:type="dxa"/>
            <w:vAlign w:val="bottom"/>
            <w:gridSpan w:val="2"/>
          </w:tcPr>
          <w:p>
            <w:pPr>
              <w:spacing w:after="0" w:line="202" w:lineRule="exact"/>
              <w:rPr>
                <w:sz w:val="20"/>
                <w:szCs w:val="20"/>
                <w:color w:val="auto"/>
              </w:rPr>
            </w:pPr>
            <w:r>
              <w:rPr>
                <w:rFonts w:ascii="Arial" w:cs="Arial" w:eastAsia="Arial" w:hAnsi="Arial"/>
                <w:sz w:val="18"/>
                <w:szCs w:val="18"/>
                <w:color w:val="auto"/>
              </w:rPr>
              <w:t>agreement dated 11 May and a time charter dated 11 May 2011 as amended by addendum</w:t>
            </w:r>
          </w:p>
        </w:tc>
      </w:tr>
      <w:tr>
        <w:trPr>
          <w:trHeight w:val="217"/>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no.1 dated 17 July 2012 and addendum no. 2 dated 21 May 2014</w:t>
            </w: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Charterer:</w:t>
            </w:r>
          </w:p>
        </w:tc>
        <w:tc>
          <w:tcPr>
            <w:tcW w:w="3600" w:type="dxa"/>
            <w:vAlign w:val="bottom"/>
          </w:tcPr>
          <w:p>
            <w:pPr>
              <w:spacing w:after="0"/>
              <w:rPr>
                <w:sz w:val="20"/>
                <w:szCs w:val="20"/>
                <w:color w:val="auto"/>
              </w:rPr>
            </w:pPr>
            <w:r>
              <w:rPr>
                <w:rFonts w:ascii="Arial" w:cs="Arial" w:eastAsia="Arial" w:hAnsi="Arial"/>
                <w:sz w:val="18"/>
                <w:szCs w:val="18"/>
                <w:color w:val="auto"/>
              </w:rPr>
              <w:t>Shell Tanker (Singapore) Private Limited</w:t>
            </w:r>
          </w:p>
        </w:tc>
        <w:tc>
          <w:tcPr>
            <w:tcW w:w="4040" w:type="dxa"/>
            <w:vAlign w:val="bottom"/>
          </w:tcPr>
          <w:p>
            <w:pPr>
              <w:spacing w:after="0"/>
              <w:rPr>
                <w:sz w:val="24"/>
                <w:szCs w:val="24"/>
                <w:color w:val="auto"/>
              </w:rPr>
            </w:pPr>
          </w:p>
        </w:tc>
      </w:tr>
      <w:tr>
        <w:trPr>
          <w:trHeight w:val="250"/>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Classification</w:t>
            </w:r>
          </w:p>
        </w:tc>
        <w:tc>
          <w:tcPr>
            <w:tcW w:w="764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A1</w:t>
            </w:r>
            <w:r>
              <w:rPr>
                <w:rFonts w:ascii="Arial" w:cs="Arial" w:eastAsia="Arial" w:hAnsi="Arial"/>
                <w:sz w:val="18"/>
                <w:szCs w:val="18"/>
                <w:color w:val="auto"/>
              </w:rPr>
              <w:t>, Liquefied Natural Gas Carrier, ship type: 2G/(Membrane Tank , maximum pressure</w:t>
            </w:r>
          </w:p>
        </w:tc>
      </w:tr>
      <w:tr>
        <w:trPr>
          <w:trHeight w:val="262"/>
        </w:trPr>
        <w:tc>
          <w:tcPr>
            <w:tcW w:w="3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0.25bar and minimum temperature -163°C)</w:t>
            </w:r>
          </w:p>
        </w:tc>
        <w:tc>
          <w:tcPr>
            <w:tcW w:w="4040" w:type="dxa"/>
            <w:vAlign w:val="bottom"/>
          </w:tcPr>
          <w:p>
            <w:pPr>
              <w:ind w:left="200"/>
              <w:spacing w:after="0" w:line="207" w:lineRule="exact"/>
              <w:rPr>
                <w:sz w:val="20"/>
                <w:szCs w:val="20"/>
                <w:color w:val="auto"/>
              </w:rPr>
            </w:pP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AMS</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ACCU</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APS</w:t>
            </w:r>
            <w:r>
              <w:rPr>
                <w:rFonts w:ascii="Arial" w:cs="Arial" w:eastAsia="Arial" w:hAnsi="Arial"/>
                <w:sz w:val="18"/>
                <w:szCs w:val="18"/>
                <w:color w:val="auto"/>
              </w:rPr>
              <w:t>, SH, CPS, SHCM,</w:t>
            </w:r>
          </w:p>
        </w:tc>
      </w:tr>
      <w:tr>
        <w:trPr>
          <w:trHeight w:val="203"/>
        </w:trPr>
        <w:tc>
          <w:tcPr>
            <w:tcW w:w="3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40" w:type="dxa"/>
            <w:vAlign w:val="bottom"/>
            <w:gridSpan w:val="2"/>
          </w:tcPr>
          <w:p>
            <w:pPr>
              <w:spacing w:after="0" w:line="202" w:lineRule="exact"/>
              <w:rPr>
                <w:sz w:val="20"/>
                <w:szCs w:val="20"/>
                <w:color w:val="auto"/>
              </w:rPr>
            </w:pPr>
            <w:r>
              <w:rPr>
                <w:rFonts w:ascii="Arial" w:cs="Arial" w:eastAsia="Arial" w:hAnsi="Arial"/>
                <w:sz w:val="18"/>
                <w:szCs w:val="18"/>
                <w:color w:val="auto"/>
                <w:w w:val="99"/>
              </w:rPr>
              <w:t>NIBS , POT, RRDA, ENVIRO+, UWILD, TCM, CRC, SFA 40, SH-DLA , PMP, RES, PORT, RW,</w:t>
            </w:r>
          </w:p>
        </w:tc>
      </w:tr>
      <w:tr>
        <w:trPr>
          <w:trHeight w:val="217"/>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DFD</w:t>
            </w:r>
          </w:p>
        </w:tc>
        <w:tc>
          <w:tcPr>
            <w:tcW w:w="4040" w:type="dxa"/>
            <w:vAlign w:val="bottom"/>
          </w:tcPr>
          <w:p>
            <w:pPr>
              <w:spacing w:after="0"/>
              <w:rPr>
                <w:sz w:val="18"/>
                <w:szCs w:val="18"/>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Classification Society</w:t>
            </w:r>
          </w:p>
        </w:tc>
        <w:tc>
          <w:tcPr>
            <w:tcW w:w="3600" w:type="dxa"/>
            <w:vAlign w:val="bottom"/>
          </w:tcPr>
          <w:p>
            <w:pPr>
              <w:spacing w:after="0"/>
              <w:rPr>
                <w:sz w:val="20"/>
                <w:szCs w:val="20"/>
                <w:color w:val="auto"/>
              </w:rPr>
            </w:pPr>
            <w:r>
              <w:rPr>
                <w:rFonts w:ascii="Arial" w:cs="Arial" w:eastAsia="Arial" w:hAnsi="Arial"/>
                <w:sz w:val="18"/>
                <w:szCs w:val="18"/>
                <w:color w:val="auto"/>
              </w:rPr>
              <w:t>American Bureau of Shipping</w:t>
            </w:r>
          </w:p>
        </w:tc>
        <w:tc>
          <w:tcPr>
            <w:tcW w:w="4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IMO number</w:t>
            </w:r>
          </w:p>
        </w:tc>
        <w:tc>
          <w:tcPr>
            <w:tcW w:w="3600" w:type="dxa"/>
            <w:vAlign w:val="bottom"/>
          </w:tcPr>
          <w:p>
            <w:pPr>
              <w:spacing w:after="0"/>
              <w:rPr>
                <w:sz w:val="20"/>
                <w:szCs w:val="20"/>
                <w:color w:val="auto"/>
              </w:rPr>
            </w:pPr>
            <w:r>
              <w:rPr>
                <w:rFonts w:ascii="Arial" w:cs="Arial" w:eastAsia="Arial" w:hAnsi="Arial"/>
                <w:sz w:val="18"/>
                <w:szCs w:val="18"/>
                <w:color w:val="auto"/>
              </w:rPr>
              <w:t>9634098</w:t>
            </w:r>
          </w:p>
        </w:tc>
        <w:tc>
          <w:tcPr>
            <w:tcW w:w="4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Year of built</w:t>
            </w:r>
          </w:p>
        </w:tc>
        <w:tc>
          <w:tcPr>
            <w:tcW w:w="3600" w:type="dxa"/>
            <w:vAlign w:val="bottom"/>
          </w:tcPr>
          <w:p>
            <w:pPr>
              <w:spacing w:after="0"/>
              <w:rPr>
                <w:sz w:val="20"/>
                <w:szCs w:val="20"/>
                <w:color w:val="auto"/>
              </w:rPr>
            </w:pPr>
            <w:r>
              <w:rPr>
                <w:rFonts w:ascii="Arial" w:cs="Arial" w:eastAsia="Arial" w:hAnsi="Arial"/>
                <w:sz w:val="18"/>
                <w:szCs w:val="18"/>
                <w:color w:val="auto"/>
              </w:rPr>
              <w:t>2014</w:t>
            </w:r>
          </w:p>
        </w:tc>
        <w:tc>
          <w:tcPr>
            <w:tcW w:w="4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Major Casualty Amount</w:t>
            </w:r>
          </w:p>
        </w:tc>
        <w:tc>
          <w:tcPr>
            <w:tcW w:w="3600" w:type="dxa"/>
            <w:vAlign w:val="bottom"/>
          </w:tcPr>
          <w:p>
            <w:pPr>
              <w:spacing w:after="0"/>
              <w:rPr>
                <w:sz w:val="20"/>
                <w:szCs w:val="20"/>
                <w:color w:val="auto"/>
              </w:rPr>
            </w:pPr>
            <w:r>
              <w:rPr>
                <w:rFonts w:ascii="Arial" w:cs="Arial" w:eastAsia="Arial" w:hAnsi="Arial"/>
                <w:sz w:val="18"/>
                <w:szCs w:val="18"/>
                <w:color w:val="auto"/>
              </w:rPr>
              <w:t>$5,000,000</w:t>
            </w:r>
          </w:p>
        </w:tc>
        <w:tc>
          <w:tcPr>
            <w:tcW w:w="4040" w:type="dxa"/>
            <w:vAlign w:val="bottom"/>
          </w:tcPr>
          <w:p>
            <w:pPr>
              <w:spacing w:after="0"/>
              <w:rPr>
                <w:sz w:val="24"/>
                <w:szCs w:val="24"/>
                <w:color w:val="auto"/>
              </w:rPr>
            </w:pPr>
          </w:p>
        </w:tc>
      </w:tr>
      <w:tr>
        <w:trPr>
          <w:trHeight w:val="392"/>
        </w:trPr>
        <w:tc>
          <w:tcPr>
            <w:tcW w:w="3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0" w:type="dxa"/>
            <w:vAlign w:val="bottom"/>
          </w:tcPr>
          <w:p>
            <w:pPr>
              <w:ind w:left="1780"/>
              <w:spacing w:after="0"/>
              <w:rPr>
                <w:sz w:val="20"/>
                <w:szCs w:val="20"/>
                <w:color w:val="auto"/>
              </w:rPr>
            </w:pPr>
            <w:r>
              <w:rPr>
                <w:rFonts w:ascii="Arial" w:cs="Arial" w:eastAsia="Arial" w:hAnsi="Arial"/>
                <w:sz w:val="18"/>
                <w:szCs w:val="18"/>
                <w:color w:val="auto"/>
              </w:rPr>
              <w:t>162</w:t>
            </w:r>
          </w:p>
        </w:tc>
        <w:tc>
          <w:tcPr>
            <w:tcW w:w="4040" w:type="dxa"/>
            <w:vAlign w:val="bottom"/>
          </w:tcPr>
          <w:p>
            <w:pPr>
              <w:spacing w:after="0"/>
              <w:rPr>
                <w:sz w:val="24"/>
                <w:szCs w:val="24"/>
                <w:color w:val="auto"/>
              </w:rPr>
            </w:pPr>
          </w:p>
        </w:tc>
      </w:tr>
      <w:tr>
        <w:trPr>
          <w:trHeight w:val="237"/>
        </w:trPr>
        <w:tc>
          <w:tcPr>
            <w:tcW w:w="344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3600" w:type="dxa"/>
            <w:vAlign w:val="bottom"/>
            <w:tcBorders>
              <w:bottom w:val="single" w:sz="8" w:color="C0C0C0"/>
            </w:tcBorders>
          </w:tcPr>
          <w:p>
            <w:pPr>
              <w:spacing w:after="0"/>
              <w:rPr>
                <w:sz w:val="20"/>
                <w:szCs w:val="20"/>
                <w:color w:val="auto"/>
              </w:rPr>
            </w:pPr>
          </w:p>
        </w:tc>
        <w:tc>
          <w:tcPr>
            <w:tcW w:w="4040" w:type="dxa"/>
            <w:vAlign w:val="bottom"/>
            <w:tcBorders>
              <w:bottom w:val="single" w:sz="8" w:color="C0C0C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-1543050</wp:posOffset>
            </wp:positionV>
            <wp:extent cx="197485" cy="1117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97485" cy="111760"/>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214" w:name="page215"/>
    <w:bookmarkEnd w:id="214"/>
    <w:tbl>
      <w:tblPr>
        <w:tblLayout w:type="fixed"/>
        <w:tblInd w:w="0" w:type="dxa"/>
        <w:tblCellMar>
          <w:top w:w="0" w:type="dxa"/>
          <w:left w:w="0" w:type="dxa"/>
          <w:bottom w:w="0" w:type="dxa"/>
          <w:right w:w="0" w:type="dxa"/>
        </w:tblCellMar>
      </w:tblPr>
      <w:tr>
        <w:trPr>
          <w:trHeight w:val="239"/>
        </w:trPr>
        <w:tc>
          <w:tcPr>
            <w:tcW w:w="3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0" w:type="dxa"/>
            <w:vAlign w:val="bottom"/>
          </w:tcPr>
          <w:p>
            <w:pPr>
              <w:ind w:left="1660"/>
              <w:spacing w:after="0"/>
              <w:rPr>
                <w:sz w:val="20"/>
                <w:szCs w:val="20"/>
                <w:color w:val="auto"/>
              </w:rPr>
            </w:pPr>
            <w:r>
              <w:rPr>
                <w:rFonts w:ascii="Arial" w:cs="Arial" w:eastAsia="Arial" w:hAnsi="Arial"/>
                <w:sz w:val="18"/>
                <w:szCs w:val="18"/>
                <w:b w:val="1"/>
                <w:bCs w:val="1"/>
                <w:color w:val="auto"/>
              </w:rPr>
              <w:t>Ship F</w:t>
            </w:r>
          </w:p>
        </w:tc>
        <w:tc>
          <w:tcPr>
            <w:tcW w:w="4040" w:type="dxa"/>
            <w:vAlign w:val="bottom"/>
          </w:tcPr>
          <w:p>
            <w:pPr>
              <w:spacing w:after="0"/>
              <w:rPr>
                <w:sz w:val="20"/>
                <w:szCs w:val="20"/>
                <w:color w:val="auto"/>
              </w:rPr>
            </w:pPr>
          </w:p>
        </w:tc>
      </w:tr>
      <w:tr>
        <w:trPr>
          <w:trHeight w:val="473"/>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Owner</w:t>
            </w:r>
          </w:p>
        </w:tc>
        <w:tc>
          <w:tcPr>
            <w:tcW w:w="340" w:type="dxa"/>
            <w:vAlign w:val="bottom"/>
          </w:tcPr>
          <w:p>
            <w:pPr>
              <w:spacing w:after="0"/>
              <w:rPr>
                <w:sz w:val="24"/>
                <w:szCs w:val="24"/>
                <w:color w:val="auto"/>
              </w:rPr>
            </w:pP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GAS-nine Ltd.</w:t>
            </w:r>
          </w:p>
        </w:tc>
        <w:tc>
          <w:tcPr>
            <w:tcW w:w="4040" w:type="dxa"/>
            <w:vAlign w:val="bottom"/>
            <w:tcBorders>
              <w:bottom w:val="single" w:sz="8" w:color="auto"/>
            </w:tcBorders>
          </w:tcPr>
          <w:p>
            <w:pPr>
              <w:spacing w:after="0"/>
              <w:rPr>
                <w:sz w:val="24"/>
                <w:szCs w:val="24"/>
                <w:color w:val="auto"/>
              </w:rPr>
            </w:pPr>
          </w:p>
        </w:tc>
      </w:tr>
      <w:tr>
        <w:trPr>
          <w:trHeight w:val="291"/>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Ship Name</w:t>
            </w:r>
          </w:p>
        </w:tc>
        <w:tc>
          <w:tcPr>
            <w:tcW w:w="3600" w:type="dxa"/>
            <w:vAlign w:val="bottom"/>
          </w:tcPr>
          <w:p>
            <w:pPr>
              <w:spacing w:after="0"/>
              <w:rPr>
                <w:sz w:val="20"/>
                <w:szCs w:val="20"/>
                <w:color w:val="auto"/>
              </w:rPr>
            </w:pPr>
            <w:r>
              <w:rPr>
                <w:rFonts w:ascii="Arial" w:cs="Arial" w:eastAsia="Arial" w:hAnsi="Arial"/>
                <w:sz w:val="18"/>
                <w:szCs w:val="18"/>
                <w:i w:val="1"/>
                <w:iCs w:val="1"/>
                <w:color w:val="auto"/>
              </w:rPr>
              <w:t>GasLog Saratoga</w:t>
            </w:r>
          </w:p>
        </w:tc>
        <w:tc>
          <w:tcPr>
            <w:tcW w:w="4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Term Loan Ship Commitment</w:t>
            </w:r>
          </w:p>
        </w:tc>
        <w:tc>
          <w:tcPr>
            <w:tcW w:w="3600" w:type="dxa"/>
            <w:vAlign w:val="bottom"/>
          </w:tcPr>
          <w:p>
            <w:pPr>
              <w:spacing w:after="0"/>
              <w:rPr>
                <w:sz w:val="20"/>
                <w:szCs w:val="20"/>
                <w:color w:val="auto"/>
              </w:rPr>
            </w:pPr>
            <w:r>
              <w:rPr>
                <w:rFonts w:ascii="Arial" w:cs="Arial" w:eastAsia="Arial" w:hAnsi="Arial"/>
                <w:sz w:val="18"/>
                <w:szCs w:val="18"/>
                <w:color w:val="auto"/>
              </w:rPr>
              <w:t>$125,680,934</w:t>
            </w:r>
          </w:p>
        </w:tc>
        <w:tc>
          <w:tcPr>
            <w:tcW w:w="4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Revolving Loan Ship Commitment</w:t>
            </w:r>
          </w:p>
        </w:tc>
        <w:tc>
          <w:tcPr>
            <w:tcW w:w="3600" w:type="dxa"/>
            <w:vAlign w:val="bottom"/>
          </w:tcPr>
          <w:p>
            <w:pPr>
              <w:spacing w:after="0"/>
              <w:rPr>
                <w:sz w:val="20"/>
                <w:szCs w:val="20"/>
                <w:color w:val="auto"/>
              </w:rPr>
            </w:pPr>
            <w:r>
              <w:rPr>
                <w:rFonts w:ascii="Arial" w:cs="Arial" w:eastAsia="Arial" w:hAnsi="Arial"/>
                <w:sz w:val="18"/>
                <w:szCs w:val="18"/>
                <w:color w:val="auto"/>
              </w:rPr>
              <w:t>$13,229,572</w:t>
            </w:r>
          </w:p>
        </w:tc>
        <w:tc>
          <w:tcPr>
            <w:tcW w:w="4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Ship Aggregate Commitments</w:t>
            </w:r>
          </w:p>
        </w:tc>
        <w:tc>
          <w:tcPr>
            <w:tcW w:w="3600" w:type="dxa"/>
            <w:vAlign w:val="bottom"/>
          </w:tcPr>
          <w:p>
            <w:pPr>
              <w:spacing w:after="0"/>
              <w:rPr>
                <w:sz w:val="20"/>
                <w:szCs w:val="20"/>
                <w:color w:val="auto"/>
              </w:rPr>
            </w:pPr>
            <w:r>
              <w:rPr>
                <w:rFonts w:ascii="Arial" w:cs="Arial" w:eastAsia="Arial" w:hAnsi="Arial"/>
                <w:sz w:val="18"/>
                <w:szCs w:val="18"/>
                <w:color w:val="auto"/>
              </w:rPr>
              <w:t>$138,910,506</w:t>
            </w:r>
          </w:p>
        </w:tc>
        <w:tc>
          <w:tcPr>
            <w:tcW w:w="4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Flag State</w:t>
            </w:r>
          </w:p>
        </w:tc>
        <w:tc>
          <w:tcPr>
            <w:tcW w:w="3600" w:type="dxa"/>
            <w:vAlign w:val="bottom"/>
          </w:tcPr>
          <w:p>
            <w:pPr>
              <w:spacing w:after="0"/>
              <w:rPr>
                <w:sz w:val="20"/>
                <w:szCs w:val="20"/>
                <w:color w:val="auto"/>
              </w:rPr>
            </w:pPr>
            <w:r>
              <w:rPr>
                <w:rFonts w:ascii="Arial" w:cs="Arial" w:eastAsia="Arial" w:hAnsi="Arial"/>
                <w:sz w:val="18"/>
                <w:szCs w:val="18"/>
                <w:color w:val="auto"/>
              </w:rPr>
              <w:t>Bermuda</w:t>
            </w:r>
          </w:p>
        </w:tc>
        <w:tc>
          <w:tcPr>
            <w:tcW w:w="4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Charter description:</w:t>
            </w:r>
          </w:p>
        </w:tc>
        <w:tc>
          <w:tcPr>
            <w:tcW w:w="3600" w:type="dxa"/>
            <w:vAlign w:val="bottom"/>
          </w:tcPr>
          <w:p>
            <w:pPr>
              <w:spacing w:after="0"/>
              <w:rPr>
                <w:sz w:val="20"/>
                <w:szCs w:val="20"/>
                <w:color w:val="auto"/>
              </w:rPr>
            </w:pPr>
            <w:r>
              <w:rPr>
                <w:rFonts w:ascii="Arial" w:cs="Arial" w:eastAsia="Arial" w:hAnsi="Arial"/>
                <w:sz w:val="18"/>
                <w:szCs w:val="18"/>
                <w:color w:val="auto"/>
              </w:rPr>
              <w:t>N/A</w:t>
            </w:r>
          </w:p>
        </w:tc>
        <w:tc>
          <w:tcPr>
            <w:tcW w:w="4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Charterer:</w:t>
            </w:r>
          </w:p>
        </w:tc>
        <w:tc>
          <w:tcPr>
            <w:tcW w:w="3600" w:type="dxa"/>
            <w:vAlign w:val="bottom"/>
          </w:tcPr>
          <w:p>
            <w:pPr>
              <w:spacing w:after="0"/>
              <w:rPr>
                <w:sz w:val="20"/>
                <w:szCs w:val="20"/>
                <w:color w:val="auto"/>
              </w:rPr>
            </w:pPr>
            <w:r>
              <w:rPr>
                <w:rFonts w:ascii="Arial" w:cs="Arial" w:eastAsia="Arial" w:hAnsi="Arial"/>
                <w:sz w:val="18"/>
                <w:szCs w:val="18"/>
                <w:color w:val="auto"/>
              </w:rPr>
              <w:t>N/A</w:t>
            </w:r>
          </w:p>
        </w:tc>
        <w:tc>
          <w:tcPr>
            <w:tcW w:w="4040" w:type="dxa"/>
            <w:vAlign w:val="bottom"/>
          </w:tcPr>
          <w:p>
            <w:pPr>
              <w:spacing w:after="0"/>
              <w:rPr>
                <w:sz w:val="24"/>
                <w:szCs w:val="24"/>
                <w:color w:val="auto"/>
              </w:rPr>
            </w:pPr>
          </w:p>
        </w:tc>
      </w:tr>
      <w:tr>
        <w:trPr>
          <w:trHeight w:val="250"/>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Classification</w:t>
            </w:r>
          </w:p>
        </w:tc>
        <w:tc>
          <w:tcPr>
            <w:tcW w:w="764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A1</w:t>
            </w:r>
            <w:r>
              <w:rPr>
                <w:rFonts w:ascii="Arial" w:cs="Arial" w:eastAsia="Arial" w:hAnsi="Arial"/>
                <w:sz w:val="18"/>
                <w:szCs w:val="18"/>
                <w:color w:val="auto"/>
              </w:rPr>
              <w:t>, Liquefied Natural Gas Carrier, ship type: 2G/(Membrane Tank , maximum pressure</w:t>
            </w:r>
          </w:p>
        </w:tc>
      </w:tr>
      <w:tr>
        <w:trPr>
          <w:trHeight w:val="262"/>
        </w:trPr>
        <w:tc>
          <w:tcPr>
            <w:tcW w:w="3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0.25bar and minimum temperature -163°C)</w:t>
            </w:r>
          </w:p>
        </w:tc>
        <w:tc>
          <w:tcPr>
            <w:tcW w:w="4040" w:type="dxa"/>
            <w:vAlign w:val="bottom"/>
          </w:tcPr>
          <w:p>
            <w:pPr>
              <w:ind w:left="200"/>
              <w:spacing w:after="0" w:line="207" w:lineRule="exact"/>
              <w:rPr>
                <w:sz w:val="20"/>
                <w:szCs w:val="20"/>
                <w:color w:val="auto"/>
              </w:rPr>
            </w:pP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AMS</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ACCU</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APS</w:t>
            </w:r>
            <w:r>
              <w:rPr>
                <w:rFonts w:ascii="Arial" w:cs="Arial" w:eastAsia="Arial" w:hAnsi="Arial"/>
                <w:sz w:val="18"/>
                <w:szCs w:val="18"/>
                <w:color w:val="auto"/>
              </w:rPr>
              <w:t>, SH, CPS, SHCM,</w:t>
            </w:r>
          </w:p>
        </w:tc>
      </w:tr>
      <w:tr>
        <w:trPr>
          <w:trHeight w:val="203"/>
        </w:trPr>
        <w:tc>
          <w:tcPr>
            <w:tcW w:w="3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40" w:type="dxa"/>
            <w:vAlign w:val="bottom"/>
            <w:gridSpan w:val="2"/>
          </w:tcPr>
          <w:p>
            <w:pPr>
              <w:spacing w:after="0" w:line="202" w:lineRule="exact"/>
              <w:rPr>
                <w:sz w:val="20"/>
                <w:szCs w:val="20"/>
                <w:color w:val="auto"/>
              </w:rPr>
            </w:pPr>
            <w:r>
              <w:rPr>
                <w:rFonts w:ascii="Arial" w:cs="Arial" w:eastAsia="Arial" w:hAnsi="Arial"/>
                <w:sz w:val="18"/>
                <w:szCs w:val="18"/>
                <w:color w:val="auto"/>
                <w:w w:val="99"/>
              </w:rPr>
              <w:t>NIBS , POT, RRDA, ENVIRO+, UWILD, TCM, CRC, SFA 40, SH-DLA , PMP, RES, PORT, RW,</w:t>
            </w:r>
          </w:p>
        </w:tc>
      </w:tr>
      <w:tr>
        <w:trPr>
          <w:trHeight w:val="217"/>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DFD</w:t>
            </w:r>
          </w:p>
        </w:tc>
        <w:tc>
          <w:tcPr>
            <w:tcW w:w="4040" w:type="dxa"/>
            <w:vAlign w:val="bottom"/>
          </w:tcPr>
          <w:p>
            <w:pPr>
              <w:spacing w:after="0"/>
              <w:rPr>
                <w:sz w:val="18"/>
                <w:szCs w:val="18"/>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Classification Society</w:t>
            </w:r>
          </w:p>
        </w:tc>
        <w:tc>
          <w:tcPr>
            <w:tcW w:w="3600" w:type="dxa"/>
            <w:vAlign w:val="bottom"/>
          </w:tcPr>
          <w:p>
            <w:pPr>
              <w:spacing w:after="0"/>
              <w:rPr>
                <w:sz w:val="20"/>
                <w:szCs w:val="20"/>
                <w:color w:val="auto"/>
              </w:rPr>
            </w:pPr>
            <w:r>
              <w:rPr>
                <w:rFonts w:ascii="Arial" w:cs="Arial" w:eastAsia="Arial" w:hAnsi="Arial"/>
                <w:sz w:val="18"/>
                <w:szCs w:val="18"/>
                <w:color w:val="auto"/>
              </w:rPr>
              <w:t>American Bureau of Shipping</w:t>
            </w:r>
          </w:p>
        </w:tc>
        <w:tc>
          <w:tcPr>
            <w:tcW w:w="4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IMO number</w:t>
            </w:r>
          </w:p>
        </w:tc>
        <w:tc>
          <w:tcPr>
            <w:tcW w:w="3600" w:type="dxa"/>
            <w:vAlign w:val="bottom"/>
          </w:tcPr>
          <w:p>
            <w:pPr>
              <w:spacing w:after="0"/>
              <w:rPr>
                <w:sz w:val="20"/>
                <w:szCs w:val="20"/>
                <w:color w:val="auto"/>
              </w:rPr>
            </w:pPr>
            <w:r>
              <w:rPr>
                <w:rFonts w:ascii="Arial" w:cs="Arial" w:eastAsia="Arial" w:hAnsi="Arial"/>
                <w:sz w:val="18"/>
                <w:szCs w:val="18"/>
                <w:color w:val="auto"/>
              </w:rPr>
              <w:t>9638903</w:t>
            </w:r>
          </w:p>
        </w:tc>
        <w:tc>
          <w:tcPr>
            <w:tcW w:w="4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Year of built</w:t>
            </w:r>
          </w:p>
        </w:tc>
        <w:tc>
          <w:tcPr>
            <w:tcW w:w="3600" w:type="dxa"/>
            <w:vAlign w:val="bottom"/>
          </w:tcPr>
          <w:p>
            <w:pPr>
              <w:spacing w:after="0"/>
              <w:rPr>
                <w:sz w:val="20"/>
                <w:szCs w:val="20"/>
                <w:color w:val="auto"/>
              </w:rPr>
            </w:pPr>
            <w:r>
              <w:rPr>
                <w:rFonts w:ascii="Arial" w:cs="Arial" w:eastAsia="Arial" w:hAnsi="Arial"/>
                <w:sz w:val="18"/>
                <w:szCs w:val="18"/>
                <w:color w:val="auto"/>
              </w:rPr>
              <w:t>2014</w:t>
            </w:r>
          </w:p>
        </w:tc>
        <w:tc>
          <w:tcPr>
            <w:tcW w:w="4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Major Casualty Amount</w:t>
            </w:r>
          </w:p>
        </w:tc>
        <w:tc>
          <w:tcPr>
            <w:tcW w:w="3600" w:type="dxa"/>
            <w:vAlign w:val="bottom"/>
          </w:tcPr>
          <w:p>
            <w:pPr>
              <w:spacing w:after="0"/>
              <w:rPr>
                <w:sz w:val="20"/>
                <w:szCs w:val="20"/>
                <w:color w:val="auto"/>
              </w:rPr>
            </w:pPr>
            <w:r>
              <w:rPr>
                <w:rFonts w:ascii="Arial" w:cs="Arial" w:eastAsia="Arial" w:hAnsi="Arial"/>
                <w:sz w:val="18"/>
                <w:szCs w:val="18"/>
                <w:color w:val="auto"/>
              </w:rPr>
              <w:t>$5,000,000</w:t>
            </w:r>
          </w:p>
        </w:tc>
        <w:tc>
          <w:tcPr>
            <w:tcW w:w="4040" w:type="dxa"/>
            <w:vAlign w:val="bottom"/>
          </w:tcPr>
          <w:p>
            <w:pPr>
              <w:spacing w:after="0"/>
              <w:rPr>
                <w:sz w:val="24"/>
                <w:szCs w:val="24"/>
                <w:color w:val="auto"/>
              </w:rPr>
            </w:pPr>
          </w:p>
        </w:tc>
      </w:tr>
      <w:tr>
        <w:trPr>
          <w:trHeight w:val="392"/>
        </w:trPr>
        <w:tc>
          <w:tcPr>
            <w:tcW w:w="3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0" w:type="dxa"/>
            <w:vAlign w:val="bottom"/>
          </w:tcPr>
          <w:p>
            <w:pPr>
              <w:ind w:left="1780"/>
              <w:spacing w:after="0"/>
              <w:rPr>
                <w:sz w:val="20"/>
                <w:szCs w:val="20"/>
                <w:color w:val="auto"/>
              </w:rPr>
            </w:pPr>
            <w:r>
              <w:rPr>
                <w:rFonts w:ascii="Arial" w:cs="Arial" w:eastAsia="Arial" w:hAnsi="Arial"/>
                <w:sz w:val="18"/>
                <w:szCs w:val="18"/>
                <w:color w:val="auto"/>
              </w:rPr>
              <w:t>163</w:t>
            </w:r>
          </w:p>
        </w:tc>
        <w:tc>
          <w:tcPr>
            <w:tcW w:w="4040" w:type="dxa"/>
            <w:vAlign w:val="bottom"/>
          </w:tcPr>
          <w:p>
            <w:pPr>
              <w:spacing w:after="0"/>
              <w:rPr>
                <w:sz w:val="24"/>
                <w:szCs w:val="24"/>
                <w:color w:val="auto"/>
              </w:rPr>
            </w:pPr>
          </w:p>
        </w:tc>
      </w:tr>
      <w:tr>
        <w:trPr>
          <w:trHeight w:val="237"/>
        </w:trPr>
        <w:tc>
          <w:tcPr>
            <w:tcW w:w="344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3600" w:type="dxa"/>
            <w:vAlign w:val="bottom"/>
            <w:tcBorders>
              <w:bottom w:val="single" w:sz="8" w:color="C0C0C0"/>
            </w:tcBorders>
          </w:tcPr>
          <w:p>
            <w:pPr>
              <w:spacing w:after="0"/>
              <w:rPr>
                <w:sz w:val="20"/>
                <w:szCs w:val="20"/>
                <w:color w:val="auto"/>
              </w:rPr>
            </w:pPr>
          </w:p>
        </w:tc>
        <w:tc>
          <w:tcPr>
            <w:tcW w:w="4040" w:type="dxa"/>
            <w:vAlign w:val="bottom"/>
            <w:tcBorders>
              <w:bottom w:val="single" w:sz="8" w:color="C0C0C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-1543050</wp:posOffset>
            </wp:positionV>
            <wp:extent cx="197485" cy="1117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97485" cy="111760"/>
                    </a:xfrm>
                    <a:prstGeom prst="rect">
                      <a:avLst/>
                    </a:prstGeom>
                    <a:noFill/>
                  </pic:spPr>
                </pic:pic>
              </a:graphicData>
            </a:graphic>
          </wp:anchor>
        </w:drawing>
      </w:r>
    </w:p>
    <w:p>
      <w:pPr>
        <w:sectPr>
          <w:pgSz w:w="11900" w:h="16838" w:orient="portrait"/>
          <w:cols w:equalWidth="0" w:num="1">
            <w:col w:w="11420"/>
          </w:cols>
          <w:pgMar w:left="240" w:top="617" w:right="239" w:bottom="1440" w:gutter="0" w:footer="0" w:header="0"/>
        </w:sectPr>
      </w:pPr>
    </w:p>
    <w:bookmarkStart w:id="215" w:name="page216"/>
    <w:bookmarkEnd w:id="215"/>
    <w:tbl>
      <w:tblPr>
        <w:tblLayout w:type="fixed"/>
        <w:tblInd w:w="0" w:type="dxa"/>
        <w:tblCellMar>
          <w:top w:w="0" w:type="dxa"/>
          <w:left w:w="0" w:type="dxa"/>
          <w:bottom w:w="0" w:type="dxa"/>
          <w:right w:w="0" w:type="dxa"/>
        </w:tblCellMar>
      </w:tblPr>
      <w:tr>
        <w:trPr>
          <w:trHeight w:val="239"/>
        </w:trPr>
        <w:tc>
          <w:tcPr>
            <w:tcW w:w="3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0" w:type="dxa"/>
            <w:vAlign w:val="bottom"/>
          </w:tcPr>
          <w:p>
            <w:pPr>
              <w:ind w:left="1640"/>
              <w:spacing w:after="0"/>
              <w:rPr>
                <w:sz w:val="20"/>
                <w:szCs w:val="20"/>
                <w:color w:val="auto"/>
              </w:rPr>
            </w:pPr>
            <w:r>
              <w:rPr>
                <w:rFonts w:ascii="Arial" w:cs="Arial" w:eastAsia="Arial" w:hAnsi="Arial"/>
                <w:sz w:val="18"/>
                <w:szCs w:val="18"/>
                <w:b w:val="1"/>
                <w:bCs w:val="1"/>
                <w:color w:val="auto"/>
              </w:rPr>
              <w:t>Ship G</w:t>
            </w:r>
          </w:p>
        </w:tc>
        <w:tc>
          <w:tcPr>
            <w:tcW w:w="4040" w:type="dxa"/>
            <w:vAlign w:val="bottom"/>
          </w:tcPr>
          <w:p>
            <w:pPr>
              <w:spacing w:after="0"/>
              <w:rPr>
                <w:sz w:val="20"/>
                <w:szCs w:val="20"/>
                <w:color w:val="auto"/>
              </w:rPr>
            </w:pPr>
          </w:p>
        </w:tc>
      </w:tr>
      <w:tr>
        <w:trPr>
          <w:trHeight w:val="473"/>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Owner</w:t>
            </w:r>
          </w:p>
        </w:tc>
        <w:tc>
          <w:tcPr>
            <w:tcW w:w="340" w:type="dxa"/>
            <w:vAlign w:val="bottom"/>
          </w:tcPr>
          <w:p>
            <w:pPr>
              <w:spacing w:after="0"/>
              <w:rPr>
                <w:sz w:val="24"/>
                <w:szCs w:val="24"/>
                <w:color w:val="auto"/>
              </w:rPr>
            </w:pP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GAS-ten Ltd.</w:t>
            </w:r>
          </w:p>
        </w:tc>
        <w:tc>
          <w:tcPr>
            <w:tcW w:w="4040" w:type="dxa"/>
            <w:vAlign w:val="bottom"/>
            <w:tcBorders>
              <w:bottom w:val="single" w:sz="8" w:color="auto"/>
            </w:tcBorders>
          </w:tcPr>
          <w:p>
            <w:pPr>
              <w:spacing w:after="0"/>
              <w:rPr>
                <w:sz w:val="24"/>
                <w:szCs w:val="24"/>
                <w:color w:val="auto"/>
              </w:rPr>
            </w:pPr>
          </w:p>
        </w:tc>
      </w:tr>
      <w:tr>
        <w:trPr>
          <w:trHeight w:val="291"/>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Ship Name</w:t>
            </w:r>
          </w:p>
        </w:tc>
        <w:tc>
          <w:tcPr>
            <w:tcW w:w="3600" w:type="dxa"/>
            <w:vAlign w:val="bottom"/>
          </w:tcPr>
          <w:p>
            <w:pPr>
              <w:spacing w:after="0"/>
              <w:rPr>
                <w:sz w:val="20"/>
                <w:szCs w:val="20"/>
                <w:color w:val="auto"/>
              </w:rPr>
            </w:pPr>
            <w:r>
              <w:rPr>
                <w:rFonts w:ascii="Arial" w:cs="Arial" w:eastAsia="Arial" w:hAnsi="Arial"/>
                <w:sz w:val="18"/>
                <w:szCs w:val="18"/>
                <w:i w:val="1"/>
                <w:iCs w:val="1"/>
                <w:color w:val="auto"/>
              </w:rPr>
              <w:t>GasLog Salem</w:t>
            </w:r>
          </w:p>
        </w:tc>
        <w:tc>
          <w:tcPr>
            <w:tcW w:w="4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Term Loan Ship Commitment</w:t>
            </w:r>
          </w:p>
        </w:tc>
        <w:tc>
          <w:tcPr>
            <w:tcW w:w="3600" w:type="dxa"/>
            <w:vAlign w:val="bottom"/>
          </w:tcPr>
          <w:p>
            <w:pPr>
              <w:spacing w:after="0"/>
              <w:rPr>
                <w:sz w:val="20"/>
                <w:szCs w:val="20"/>
                <w:color w:val="auto"/>
              </w:rPr>
            </w:pPr>
            <w:r>
              <w:rPr>
                <w:rFonts w:ascii="Arial" w:cs="Arial" w:eastAsia="Arial" w:hAnsi="Arial"/>
                <w:sz w:val="18"/>
                <w:szCs w:val="18"/>
                <w:color w:val="auto"/>
              </w:rPr>
              <w:t>$127,529,182</w:t>
            </w:r>
          </w:p>
        </w:tc>
        <w:tc>
          <w:tcPr>
            <w:tcW w:w="4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Revolving Loan Ship Commitment</w:t>
            </w:r>
          </w:p>
        </w:tc>
        <w:tc>
          <w:tcPr>
            <w:tcW w:w="3600" w:type="dxa"/>
            <w:vAlign w:val="bottom"/>
          </w:tcPr>
          <w:p>
            <w:pPr>
              <w:spacing w:after="0"/>
              <w:rPr>
                <w:sz w:val="20"/>
                <w:szCs w:val="20"/>
                <w:color w:val="auto"/>
              </w:rPr>
            </w:pPr>
            <w:r>
              <w:rPr>
                <w:rFonts w:ascii="Arial" w:cs="Arial" w:eastAsia="Arial" w:hAnsi="Arial"/>
                <w:sz w:val="18"/>
                <w:szCs w:val="18"/>
                <w:color w:val="auto"/>
              </w:rPr>
              <w:t>$13,424,125</w:t>
            </w:r>
          </w:p>
        </w:tc>
        <w:tc>
          <w:tcPr>
            <w:tcW w:w="4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Ship Aggregate Commitments</w:t>
            </w:r>
          </w:p>
        </w:tc>
        <w:tc>
          <w:tcPr>
            <w:tcW w:w="3600" w:type="dxa"/>
            <w:vAlign w:val="bottom"/>
          </w:tcPr>
          <w:p>
            <w:pPr>
              <w:spacing w:after="0"/>
              <w:rPr>
                <w:sz w:val="20"/>
                <w:szCs w:val="20"/>
                <w:color w:val="auto"/>
              </w:rPr>
            </w:pPr>
            <w:r>
              <w:rPr>
                <w:rFonts w:ascii="Arial" w:cs="Arial" w:eastAsia="Arial" w:hAnsi="Arial"/>
                <w:sz w:val="18"/>
                <w:szCs w:val="18"/>
                <w:color w:val="auto"/>
              </w:rPr>
              <w:t>$140,953,307</w:t>
            </w:r>
          </w:p>
        </w:tc>
        <w:tc>
          <w:tcPr>
            <w:tcW w:w="4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Flag State</w:t>
            </w:r>
          </w:p>
        </w:tc>
        <w:tc>
          <w:tcPr>
            <w:tcW w:w="3600" w:type="dxa"/>
            <w:vAlign w:val="bottom"/>
          </w:tcPr>
          <w:p>
            <w:pPr>
              <w:spacing w:after="0"/>
              <w:rPr>
                <w:sz w:val="20"/>
                <w:szCs w:val="20"/>
                <w:color w:val="auto"/>
              </w:rPr>
            </w:pPr>
            <w:r>
              <w:rPr>
                <w:rFonts w:ascii="Arial" w:cs="Arial" w:eastAsia="Arial" w:hAnsi="Arial"/>
                <w:sz w:val="18"/>
                <w:szCs w:val="18"/>
                <w:color w:val="auto"/>
              </w:rPr>
              <w:t>Bermuda</w:t>
            </w:r>
          </w:p>
        </w:tc>
        <w:tc>
          <w:tcPr>
            <w:tcW w:w="4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Charter description:</w:t>
            </w:r>
          </w:p>
        </w:tc>
        <w:tc>
          <w:tcPr>
            <w:tcW w:w="3600" w:type="dxa"/>
            <w:vAlign w:val="bottom"/>
          </w:tcPr>
          <w:p>
            <w:pPr>
              <w:spacing w:after="0"/>
              <w:rPr>
                <w:sz w:val="20"/>
                <w:szCs w:val="20"/>
                <w:color w:val="auto"/>
              </w:rPr>
            </w:pPr>
            <w:r>
              <w:rPr>
                <w:rFonts w:ascii="Arial" w:cs="Arial" w:eastAsia="Arial" w:hAnsi="Arial"/>
                <w:sz w:val="18"/>
                <w:szCs w:val="18"/>
                <w:color w:val="auto"/>
              </w:rPr>
              <w:t>N/A</w:t>
            </w:r>
          </w:p>
        </w:tc>
        <w:tc>
          <w:tcPr>
            <w:tcW w:w="4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Charterer:</w:t>
            </w:r>
          </w:p>
        </w:tc>
        <w:tc>
          <w:tcPr>
            <w:tcW w:w="3600" w:type="dxa"/>
            <w:vAlign w:val="bottom"/>
          </w:tcPr>
          <w:p>
            <w:pPr>
              <w:spacing w:after="0"/>
              <w:rPr>
                <w:sz w:val="20"/>
                <w:szCs w:val="20"/>
                <w:color w:val="auto"/>
              </w:rPr>
            </w:pPr>
            <w:r>
              <w:rPr>
                <w:rFonts w:ascii="Arial" w:cs="Arial" w:eastAsia="Arial" w:hAnsi="Arial"/>
                <w:sz w:val="18"/>
                <w:szCs w:val="18"/>
                <w:color w:val="auto"/>
              </w:rPr>
              <w:t>N/A</w:t>
            </w:r>
          </w:p>
        </w:tc>
        <w:tc>
          <w:tcPr>
            <w:tcW w:w="4040" w:type="dxa"/>
            <w:vAlign w:val="bottom"/>
          </w:tcPr>
          <w:p>
            <w:pPr>
              <w:spacing w:after="0"/>
              <w:rPr>
                <w:sz w:val="24"/>
                <w:szCs w:val="24"/>
                <w:color w:val="auto"/>
              </w:rPr>
            </w:pPr>
          </w:p>
        </w:tc>
      </w:tr>
      <w:tr>
        <w:trPr>
          <w:trHeight w:val="250"/>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Classification</w:t>
            </w:r>
          </w:p>
        </w:tc>
        <w:tc>
          <w:tcPr>
            <w:tcW w:w="764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A1</w:t>
            </w:r>
            <w:r>
              <w:rPr>
                <w:rFonts w:ascii="Arial" w:cs="Arial" w:eastAsia="Arial" w:hAnsi="Arial"/>
                <w:sz w:val="18"/>
                <w:szCs w:val="18"/>
                <w:color w:val="auto"/>
              </w:rPr>
              <w:t>, Liquefied Natural Gas Carrier, ship type: 2G/(Membrane Tank , maximum pressure</w:t>
            </w:r>
          </w:p>
        </w:tc>
      </w:tr>
      <w:tr>
        <w:trPr>
          <w:trHeight w:val="262"/>
        </w:trPr>
        <w:tc>
          <w:tcPr>
            <w:tcW w:w="3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0.25bar and minimum temperature -163°C)</w:t>
            </w:r>
          </w:p>
        </w:tc>
        <w:tc>
          <w:tcPr>
            <w:tcW w:w="4040" w:type="dxa"/>
            <w:vAlign w:val="bottom"/>
          </w:tcPr>
          <w:p>
            <w:pPr>
              <w:ind w:left="200"/>
              <w:spacing w:after="0" w:line="207" w:lineRule="exact"/>
              <w:rPr>
                <w:sz w:val="20"/>
                <w:szCs w:val="20"/>
                <w:color w:val="auto"/>
              </w:rPr>
            </w:pP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AMS</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ACCU</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APS</w:t>
            </w:r>
            <w:r>
              <w:rPr>
                <w:rFonts w:ascii="Arial" w:cs="Arial" w:eastAsia="Arial" w:hAnsi="Arial"/>
                <w:sz w:val="18"/>
                <w:szCs w:val="18"/>
                <w:color w:val="auto"/>
              </w:rPr>
              <w:t>, SH, CPS, SHCM,</w:t>
            </w:r>
          </w:p>
        </w:tc>
      </w:tr>
      <w:tr>
        <w:trPr>
          <w:trHeight w:val="217"/>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NIBS , POT, RRDA, ENVIRO+, UWILD, TCM, CRC, SFA 40, SH-DLA , RES, PORT, RW, DFD</w:t>
            </w: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Classification Society</w:t>
            </w:r>
          </w:p>
        </w:tc>
        <w:tc>
          <w:tcPr>
            <w:tcW w:w="3600" w:type="dxa"/>
            <w:vAlign w:val="bottom"/>
          </w:tcPr>
          <w:p>
            <w:pPr>
              <w:spacing w:after="0"/>
              <w:rPr>
                <w:sz w:val="20"/>
                <w:szCs w:val="20"/>
                <w:color w:val="auto"/>
              </w:rPr>
            </w:pPr>
            <w:r>
              <w:rPr>
                <w:rFonts w:ascii="Arial" w:cs="Arial" w:eastAsia="Arial" w:hAnsi="Arial"/>
                <w:sz w:val="18"/>
                <w:szCs w:val="18"/>
                <w:color w:val="auto"/>
              </w:rPr>
              <w:t>American Bureau of Shipping</w:t>
            </w:r>
          </w:p>
        </w:tc>
        <w:tc>
          <w:tcPr>
            <w:tcW w:w="4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IMO number</w:t>
            </w:r>
          </w:p>
        </w:tc>
        <w:tc>
          <w:tcPr>
            <w:tcW w:w="3600" w:type="dxa"/>
            <w:vAlign w:val="bottom"/>
          </w:tcPr>
          <w:p>
            <w:pPr>
              <w:spacing w:after="0"/>
              <w:rPr>
                <w:sz w:val="20"/>
                <w:szCs w:val="20"/>
                <w:color w:val="auto"/>
              </w:rPr>
            </w:pPr>
            <w:r>
              <w:rPr>
                <w:rFonts w:ascii="Arial" w:cs="Arial" w:eastAsia="Arial" w:hAnsi="Arial"/>
                <w:sz w:val="18"/>
                <w:szCs w:val="18"/>
                <w:color w:val="auto"/>
              </w:rPr>
              <w:t>9638915</w:t>
            </w:r>
          </w:p>
        </w:tc>
        <w:tc>
          <w:tcPr>
            <w:tcW w:w="4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Year of built</w:t>
            </w:r>
          </w:p>
        </w:tc>
        <w:tc>
          <w:tcPr>
            <w:tcW w:w="3600" w:type="dxa"/>
            <w:vAlign w:val="bottom"/>
          </w:tcPr>
          <w:p>
            <w:pPr>
              <w:spacing w:after="0"/>
              <w:rPr>
                <w:sz w:val="20"/>
                <w:szCs w:val="20"/>
                <w:color w:val="auto"/>
              </w:rPr>
            </w:pPr>
            <w:r>
              <w:rPr>
                <w:rFonts w:ascii="Arial" w:cs="Arial" w:eastAsia="Arial" w:hAnsi="Arial"/>
                <w:sz w:val="18"/>
                <w:szCs w:val="18"/>
                <w:color w:val="auto"/>
              </w:rPr>
              <w:t>2015</w:t>
            </w:r>
          </w:p>
        </w:tc>
        <w:tc>
          <w:tcPr>
            <w:tcW w:w="4040" w:type="dxa"/>
            <w:vAlign w:val="bottom"/>
          </w:tcPr>
          <w:p>
            <w:pPr>
              <w:spacing w:after="0"/>
              <w:rPr>
                <w:sz w:val="24"/>
                <w:szCs w:val="24"/>
                <w:color w:val="auto"/>
              </w:rPr>
            </w:pP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Major Casualty Amount</w:t>
            </w:r>
          </w:p>
        </w:tc>
        <w:tc>
          <w:tcPr>
            <w:tcW w:w="3600" w:type="dxa"/>
            <w:vAlign w:val="bottom"/>
          </w:tcPr>
          <w:p>
            <w:pPr>
              <w:spacing w:after="0"/>
              <w:rPr>
                <w:sz w:val="20"/>
                <w:szCs w:val="20"/>
                <w:color w:val="auto"/>
              </w:rPr>
            </w:pPr>
            <w:r>
              <w:rPr>
                <w:rFonts w:ascii="Arial" w:cs="Arial" w:eastAsia="Arial" w:hAnsi="Arial"/>
                <w:sz w:val="18"/>
                <w:szCs w:val="18"/>
                <w:color w:val="auto"/>
              </w:rPr>
              <w:t>$5,000,000</w:t>
            </w:r>
          </w:p>
        </w:tc>
        <w:tc>
          <w:tcPr>
            <w:tcW w:w="4040" w:type="dxa"/>
            <w:vAlign w:val="bottom"/>
          </w:tcPr>
          <w:p>
            <w:pPr>
              <w:spacing w:after="0"/>
              <w:rPr>
                <w:sz w:val="24"/>
                <w:szCs w:val="24"/>
                <w:color w:val="auto"/>
              </w:rPr>
            </w:pPr>
          </w:p>
        </w:tc>
      </w:tr>
      <w:tr>
        <w:trPr>
          <w:trHeight w:val="392"/>
        </w:trPr>
        <w:tc>
          <w:tcPr>
            <w:tcW w:w="3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0" w:type="dxa"/>
            <w:vAlign w:val="bottom"/>
          </w:tcPr>
          <w:p>
            <w:pPr>
              <w:ind w:left="1780"/>
              <w:spacing w:after="0"/>
              <w:rPr>
                <w:sz w:val="20"/>
                <w:szCs w:val="20"/>
                <w:color w:val="auto"/>
              </w:rPr>
            </w:pPr>
            <w:r>
              <w:rPr>
                <w:rFonts w:ascii="Arial" w:cs="Arial" w:eastAsia="Arial" w:hAnsi="Arial"/>
                <w:sz w:val="18"/>
                <w:szCs w:val="18"/>
                <w:color w:val="auto"/>
              </w:rPr>
              <w:t>164</w:t>
            </w:r>
          </w:p>
        </w:tc>
        <w:tc>
          <w:tcPr>
            <w:tcW w:w="4040" w:type="dxa"/>
            <w:vAlign w:val="bottom"/>
          </w:tcPr>
          <w:p>
            <w:pPr>
              <w:spacing w:after="0"/>
              <w:rPr>
                <w:sz w:val="24"/>
                <w:szCs w:val="24"/>
                <w:color w:val="auto"/>
              </w:rPr>
            </w:pPr>
          </w:p>
        </w:tc>
      </w:tr>
      <w:tr>
        <w:trPr>
          <w:trHeight w:val="237"/>
        </w:trPr>
        <w:tc>
          <w:tcPr>
            <w:tcW w:w="344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3600" w:type="dxa"/>
            <w:vAlign w:val="bottom"/>
            <w:tcBorders>
              <w:bottom w:val="single" w:sz="8" w:color="C0C0C0"/>
            </w:tcBorders>
          </w:tcPr>
          <w:p>
            <w:pPr>
              <w:spacing w:after="0"/>
              <w:rPr>
                <w:sz w:val="20"/>
                <w:szCs w:val="20"/>
                <w:color w:val="auto"/>
              </w:rPr>
            </w:pPr>
          </w:p>
        </w:tc>
        <w:tc>
          <w:tcPr>
            <w:tcW w:w="4040" w:type="dxa"/>
            <w:vAlign w:val="bottom"/>
            <w:tcBorders>
              <w:bottom w:val="single" w:sz="8" w:color="C0C0C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-1414145</wp:posOffset>
            </wp:positionV>
            <wp:extent cx="197485" cy="1117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97485" cy="111760"/>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216" w:name="page217"/>
    <w:bookmarkEnd w:id="216"/>
    <w:tbl>
      <w:tblPr>
        <w:tblLayout w:type="fixed"/>
        <w:tblInd w:w="0" w:type="dxa"/>
        <w:tblCellMar>
          <w:top w:w="0" w:type="dxa"/>
          <w:left w:w="0" w:type="dxa"/>
          <w:bottom w:w="0" w:type="dxa"/>
          <w:right w:w="0" w:type="dxa"/>
        </w:tblCellMar>
      </w:tblPr>
      <w:tr>
        <w:trPr>
          <w:trHeight w:val="239"/>
        </w:trPr>
        <w:tc>
          <w:tcPr>
            <w:tcW w:w="3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40" w:type="dxa"/>
            <w:vAlign w:val="bottom"/>
          </w:tcPr>
          <w:p>
            <w:pPr>
              <w:ind w:left="1640"/>
              <w:spacing w:after="0"/>
              <w:rPr>
                <w:sz w:val="20"/>
                <w:szCs w:val="20"/>
                <w:color w:val="auto"/>
              </w:rPr>
            </w:pPr>
            <w:r>
              <w:rPr>
                <w:rFonts w:ascii="Arial" w:cs="Arial" w:eastAsia="Arial" w:hAnsi="Arial"/>
                <w:sz w:val="18"/>
                <w:szCs w:val="18"/>
                <w:b w:val="1"/>
                <w:bCs w:val="1"/>
                <w:color w:val="auto"/>
              </w:rPr>
              <w:t>Ship H</w:t>
            </w:r>
          </w:p>
        </w:tc>
      </w:tr>
      <w:tr>
        <w:trPr>
          <w:trHeight w:val="473"/>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Owner</w:t>
            </w:r>
          </w:p>
        </w:tc>
        <w:tc>
          <w:tcPr>
            <w:tcW w:w="340" w:type="dxa"/>
            <w:vAlign w:val="bottom"/>
          </w:tcPr>
          <w:p>
            <w:pPr>
              <w:spacing w:after="0"/>
              <w:rPr>
                <w:sz w:val="24"/>
                <w:szCs w:val="24"/>
                <w:color w:val="auto"/>
              </w:rPr>
            </w:pPr>
          </w:p>
        </w:tc>
        <w:tc>
          <w:tcPr>
            <w:tcW w:w="7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GAS-fifteen Ltd.</w:t>
            </w:r>
          </w:p>
        </w:tc>
      </w:tr>
      <w:tr>
        <w:trPr>
          <w:trHeight w:val="291"/>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Ship Name</w:t>
            </w:r>
          </w:p>
        </w:tc>
        <w:tc>
          <w:tcPr>
            <w:tcW w:w="7640" w:type="dxa"/>
            <w:vAlign w:val="bottom"/>
          </w:tcPr>
          <w:p>
            <w:pPr>
              <w:spacing w:after="0"/>
              <w:rPr>
                <w:sz w:val="20"/>
                <w:szCs w:val="20"/>
                <w:color w:val="auto"/>
              </w:rPr>
            </w:pPr>
            <w:r>
              <w:rPr>
                <w:rFonts w:ascii="Arial" w:cs="Arial" w:eastAsia="Arial" w:hAnsi="Arial"/>
                <w:sz w:val="18"/>
                <w:szCs w:val="18"/>
                <w:i w:val="1"/>
                <w:iCs w:val="1"/>
                <w:color w:val="auto"/>
              </w:rPr>
              <w:t>GasLog Chelsea</w:t>
            </w: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Term Loan Ship Commitment</w:t>
            </w:r>
          </w:p>
        </w:tc>
        <w:tc>
          <w:tcPr>
            <w:tcW w:w="7640" w:type="dxa"/>
            <w:vAlign w:val="bottom"/>
          </w:tcPr>
          <w:p>
            <w:pPr>
              <w:spacing w:after="0"/>
              <w:rPr>
                <w:sz w:val="20"/>
                <w:szCs w:val="20"/>
                <w:color w:val="auto"/>
              </w:rPr>
            </w:pPr>
            <w:r>
              <w:rPr>
                <w:rFonts w:ascii="Arial" w:cs="Arial" w:eastAsia="Arial" w:hAnsi="Arial"/>
                <w:sz w:val="18"/>
                <w:szCs w:val="18"/>
                <w:color w:val="auto"/>
              </w:rPr>
              <w:t>$107,198,443</w:t>
            </w: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Revolving Loan Ship Commitment</w:t>
            </w:r>
          </w:p>
        </w:tc>
        <w:tc>
          <w:tcPr>
            <w:tcW w:w="7640" w:type="dxa"/>
            <w:vAlign w:val="bottom"/>
          </w:tcPr>
          <w:p>
            <w:pPr>
              <w:spacing w:after="0"/>
              <w:rPr>
                <w:sz w:val="20"/>
                <w:szCs w:val="20"/>
                <w:color w:val="auto"/>
              </w:rPr>
            </w:pPr>
            <w:r>
              <w:rPr>
                <w:rFonts w:ascii="Arial" w:cs="Arial" w:eastAsia="Arial" w:hAnsi="Arial"/>
                <w:sz w:val="18"/>
                <w:szCs w:val="18"/>
                <w:color w:val="auto"/>
              </w:rPr>
              <w:t>$11,284,047</w:t>
            </w: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Ship Aggregate Commitments</w:t>
            </w:r>
          </w:p>
        </w:tc>
        <w:tc>
          <w:tcPr>
            <w:tcW w:w="7640" w:type="dxa"/>
            <w:vAlign w:val="bottom"/>
          </w:tcPr>
          <w:p>
            <w:pPr>
              <w:spacing w:after="0"/>
              <w:rPr>
                <w:sz w:val="20"/>
                <w:szCs w:val="20"/>
                <w:color w:val="auto"/>
              </w:rPr>
            </w:pPr>
            <w:r>
              <w:rPr>
                <w:rFonts w:ascii="Arial" w:cs="Arial" w:eastAsia="Arial" w:hAnsi="Arial"/>
                <w:sz w:val="18"/>
                <w:szCs w:val="18"/>
                <w:color w:val="auto"/>
              </w:rPr>
              <w:t>$118,482,490</w:t>
            </w: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Flag State</w:t>
            </w:r>
          </w:p>
        </w:tc>
        <w:tc>
          <w:tcPr>
            <w:tcW w:w="7640" w:type="dxa"/>
            <w:vAlign w:val="bottom"/>
          </w:tcPr>
          <w:p>
            <w:pPr>
              <w:spacing w:after="0"/>
              <w:rPr>
                <w:sz w:val="20"/>
                <w:szCs w:val="20"/>
                <w:color w:val="auto"/>
              </w:rPr>
            </w:pPr>
            <w:r>
              <w:rPr>
                <w:rFonts w:ascii="Arial" w:cs="Arial" w:eastAsia="Arial" w:hAnsi="Arial"/>
                <w:sz w:val="18"/>
                <w:szCs w:val="18"/>
                <w:color w:val="auto"/>
              </w:rPr>
              <w:t>Bermuda</w:t>
            </w: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Charter description:</w:t>
            </w:r>
          </w:p>
        </w:tc>
        <w:tc>
          <w:tcPr>
            <w:tcW w:w="7640" w:type="dxa"/>
            <w:vAlign w:val="bottom"/>
          </w:tcPr>
          <w:p>
            <w:pPr>
              <w:spacing w:after="0"/>
              <w:rPr>
                <w:sz w:val="20"/>
                <w:szCs w:val="20"/>
                <w:color w:val="auto"/>
              </w:rPr>
            </w:pPr>
            <w:r>
              <w:rPr>
                <w:rFonts w:ascii="Arial" w:cs="Arial" w:eastAsia="Arial" w:hAnsi="Arial"/>
                <w:sz w:val="18"/>
                <w:szCs w:val="18"/>
                <w:color w:val="auto"/>
              </w:rPr>
              <w:t>N/A</w:t>
            </w: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Charterer:</w:t>
            </w:r>
          </w:p>
        </w:tc>
        <w:tc>
          <w:tcPr>
            <w:tcW w:w="7640" w:type="dxa"/>
            <w:vAlign w:val="bottom"/>
          </w:tcPr>
          <w:p>
            <w:pPr>
              <w:spacing w:after="0"/>
              <w:rPr>
                <w:sz w:val="20"/>
                <w:szCs w:val="20"/>
                <w:color w:val="auto"/>
              </w:rPr>
            </w:pPr>
            <w:r>
              <w:rPr>
                <w:rFonts w:ascii="Arial" w:cs="Arial" w:eastAsia="Arial" w:hAnsi="Arial"/>
                <w:sz w:val="18"/>
                <w:szCs w:val="18"/>
                <w:color w:val="auto"/>
              </w:rPr>
              <w:t>N/A</w:t>
            </w:r>
          </w:p>
        </w:tc>
      </w:tr>
      <w:tr>
        <w:trPr>
          <w:trHeight w:val="283"/>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Classification</w:t>
            </w:r>
          </w:p>
        </w:tc>
        <w:tc>
          <w:tcPr>
            <w:tcW w:w="7640" w:type="dxa"/>
            <w:vAlign w:val="bottom"/>
          </w:tcPr>
          <w:p>
            <w:pPr>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color w:val="auto"/>
              </w:rPr>
              <w:t>1A1 Tanker for liquefied gas BIS Clean E0 NAUT(OC) NAUTICUS(Newbuilding) TMON, Ship</w:t>
            </w:r>
          </w:p>
        </w:tc>
      </w:tr>
      <w:tr>
        <w:trPr>
          <w:trHeight w:val="203"/>
        </w:trPr>
        <w:tc>
          <w:tcPr>
            <w:tcW w:w="3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40" w:type="dxa"/>
            <w:vAlign w:val="bottom"/>
          </w:tcPr>
          <w:p>
            <w:pPr>
              <w:spacing w:after="0" w:line="202" w:lineRule="exact"/>
              <w:rPr>
                <w:sz w:val="20"/>
                <w:szCs w:val="20"/>
                <w:color w:val="auto"/>
              </w:rPr>
            </w:pPr>
            <w:r>
              <w:rPr>
                <w:rFonts w:ascii="Arial" w:cs="Arial" w:eastAsia="Arial" w:hAnsi="Arial"/>
                <w:sz w:val="18"/>
                <w:szCs w:val="18"/>
                <w:color w:val="auto"/>
              </w:rPr>
              <w:t>type 2G (-163oC,500kg/m3,0.25bar g) ERS,</w:t>
            </w:r>
          </w:p>
        </w:tc>
      </w:tr>
      <w:tr>
        <w:trPr>
          <w:trHeight w:val="217"/>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171 - Liquefied Gas Carrier(LNG)</w:t>
            </w: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Classification Society</w:t>
            </w:r>
          </w:p>
        </w:tc>
        <w:tc>
          <w:tcPr>
            <w:tcW w:w="7640" w:type="dxa"/>
            <w:vAlign w:val="bottom"/>
          </w:tcPr>
          <w:p>
            <w:pPr>
              <w:spacing w:after="0"/>
              <w:rPr>
                <w:sz w:val="20"/>
                <w:szCs w:val="20"/>
                <w:color w:val="auto"/>
              </w:rPr>
            </w:pPr>
            <w:r>
              <w:rPr>
                <w:rFonts w:ascii="Arial" w:cs="Arial" w:eastAsia="Arial" w:hAnsi="Arial"/>
                <w:sz w:val="18"/>
                <w:szCs w:val="18"/>
                <w:color w:val="auto"/>
              </w:rPr>
              <w:t>American Bureau of Shipping</w:t>
            </w: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IMO number</w:t>
            </w:r>
          </w:p>
        </w:tc>
        <w:tc>
          <w:tcPr>
            <w:tcW w:w="7640" w:type="dxa"/>
            <w:vAlign w:val="bottom"/>
          </w:tcPr>
          <w:p>
            <w:pPr>
              <w:spacing w:after="0"/>
              <w:rPr>
                <w:sz w:val="20"/>
                <w:szCs w:val="20"/>
                <w:color w:val="auto"/>
              </w:rPr>
            </w:pPr>
            <w:r>
              <w:rPr>
                <w:rFonts w:ascii="Arial" w:cs="Arial" w:eastAsia="Arial" w:hAnsi="Arial"/>
                <w:sz w:val="18"/>
                <w:szCs w:val="18"/>
                <w:color w:val="auto"/>
              </w:rPr>
              <w:t>9390185</w:t>
            </w: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Year of built</w:t>
            </w:r>
          </w:p>
        </w:tc>
        <w:tc>
          <w:tcPr>
            <w:tcW w:w="7640" w:type="dxa"/>
            <w:vAlign w:val="bottom"/>
          </w:tcPr>
          <w:p>
            <w:pPr>
              <w:spacing w:after="0"/>
              <w:rPr>
                <w:sz w:val="20"/>
                <w:szCs w:val="20"/>
                <w:color w:val="auto"/>
              </w:rPr>
            </w:pPr>
            <w:r>
              <w:rPr>
                <w:rFonts w:ascii="Arial" w:cs="Arial" w:eastAsia="Arial" w:hAnsi="Arial"/>
                <w:sz w:val="18"/>
                <w:szCs w:val="18"/>
                <w:color w:val="auto"/>
              </w:rPr>
              <w:t>2010</w:t>
            </w:r>
          </w:p>
        </w:tc>
      </w:tr>
      <w:tr>
        <w:trPr>
          <w:trHeight w:val="28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Major Casualty Amount</w:t>
            </w:r>
          </w:p>
        </w:tc>
        <w:tc>
          <w:tcPr>
            <w:tcW w:w="7640" w:type="dxa"/>
            <w:vAlign w:val="bottom"/>
          </w:tcPr>
          <w:p>
            <w:pPr>
              <w:spacing w:after="0"/>
              <w:rPr>
                <w:sz w:val="20"/>
                <w:szCs w:val="20"/>
                <w:color w:val="auto"/>
              </w:rPr>
            </w:pPr>
            <w:r>
              <w:rPr>
                <w:rFonts w:ascii="Arial" w:cs="Arial" w:eastAsia="Arial" w:hAnsi="Arial"/>
                <w:sz w:val="18"/>
                <w:szCs w:val="18"/>
                <w:color w:val="auto"/>
              </w:rPr>
              <w:t>$5,000,000</w:t>
            </w:r>
          </w:p>
        </w:tc>
      </w:tr>
      <w:tr>
        <w:trPr>
          <w:trHeight w:val="392"/>
        </w:trPr>
        <w:tc>
          <w:tcPr>
            <w:tcW w:w="3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40" w:type="dxa"/>
            <w:vAlign w:val="bottom"/>
          </w:tcPr>
          <w:p>
            <w:pPr>
              <w:ind w:left="1780"/>
              <w:spacing w:after="0"/>
              <w:rPr>
                <w:sz w:val="20"/>
                <w:szCs w:val="20"/>
                <w:color w:val="auto"/>
              </w:rPr>
            </w:pPr>
            <w:r>
              <w:rPr>
                <w:rFonts w:ascii="Arial" w:cs="Arial" w:eastAsia="Arial" w:hAnsi="Arial"/>
                <w:sz w:val="18"/>
                <w:szCs w:val="18"/>
                <w:color w:val="auto"/>
              </w:rPr>
              <w:t>165</w:t>
            </w:r>
          </w:p>
        </w:tc>
      </w:tr>
      <w:tr>
        <w:trPr>
          <w:trHeight w:val="237"/>
        </w:trPr>
        <w:tc>
          <w:tcPr>
            <w:tcW w:w="344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764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617" w:right="239" w:bottom="1440" w:gutter="0" w:footer="0" w:header="0"/>
        </w:sectPr>
      </w:pPr>
    </w:p>
    <w:bookmarkStart w:id="217" w:name="page218"/>
    <w:bookmarkEnd w:id="217"/>
    <w:p>
      <w:pPr>
        <w:jc w:val="center"/>
        <w:spacing w:after="0"/>
        <w:rPr>
          <w:sz w:val="20"/>
          <w:szCs w:val="20"/>
          <w:color w:val="auto"/>
        </w:rPr>
      </w:pPr>
      <w:r>
        <w:rPr>
          <w:rFonts w:ascii="Arial" w:cs="Arial" w:eastAsia="Arial" w:hAnsi="Arial"/>
          <w:sz w:val="22"/>
          <w:szCs w:val="22"/>
          <w:b w:val="1"/>
          <w:bCs w:val="1"/>
          <w:color w:val="auto"/>
        </w:rPr>
        <w:t>Schedule 3</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precedent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 to any Utilisation</w:t>
      </w:r>
    </w:p>
    <w:p>
      <w:pPr>
        <w:spacing w:after="0" w:line="176" w:lineRule="exact"/>
        <w:rPr>
          <w:sz w:val="20"/>
          <w:szCs w:val="20"/>
          <w:color w:val="auto"/>
        </w:rPr>
      </w:pPr>
    </w:p>
    <w:p>
      <w:pPr>
        <w:ind w:left="540" w:hanging="532"/>
        <w:spacing w:after="0"/>
        <w:tabs>
          <w:tab w:leader="none" w:pos="540" w:val="left"/>
        </w:tabs>
        <w:numPr>
          <w:ilvl w:val="0"/>
          <w:numId w:val="429"/>
        </w:numPr>
        <w:rPr>
          <w:rFonts w:ascii="Arial" w:cs="Arial" w:eastAsia="Arial" w:hAnsi="Arial"/>
          <w:sz w:val="18"/>
          <w:szCs w:val="18"/>
          <w:b w:val="1"/>
          <w:bCs w:val="1"/>
          <w:color w:val="auto"/>
        </w:rPr>
      </w:pPr>
      <w:r>
        <w:rPr>
          <w:rFonts w:ascii="Arial" w:cs="Arial" w:eastAsia="Arial" w:hAnsi="Arial"/>
          <w:sz w:val="18"/>
          <w:szCs w:val="18"/>
          <w:b w:val="1"/>
          <w:bCs w:val="1"/>
          <w:color w:val="auto"/>
        </w:rPr>
        <w:t>Obligors’ corporate documents</w:t>
      </w:r>
    </w:p>
    <w:p>
      <w:pPr>
        <w:spacing w:after="0" w:line="220" w:lineRule="exact"/>
        <w:rPr>
          <w:rFonts w:ascii="Arial" w:cs="Arial" w:eastAsia="Arial" w:hAnsi="Arial"/>
          <w:sz w:val="18"/>
          <w:szCs w:val="18"/>
          <w:b w:val="1"/>
          <w:bCs w:val="1"/>
          <w:color w:val="auto"/>
        </w:rPr>
      </w:pPr>
    </w:p>
    <w:p>
      <w:pPr>
        <w:ind w:left="1080" w:hanging="532"/>
        <w:spacing w:after="0" w:line="246" w:lineRule="auto"/>
        <w:tabs>
          <w:tab w:leader="none" w:pos="1080" w:val="left"/>
        </w:tabs>
        <w:numPr>
          <w:ilvl w:val="1"/>
          <w:numId w:val="429"/>
        </w:numPr>
        <w:rPr>
          <w:rFonts w:ascii="Arial" w:cs="Arial" w:eastAsia="Arial" w:hAnsi="Arial"/>
          <w:sz w:val="18"/>
          <w:szCs w:val="18"/>
          <w:color w:val="auto"/>
        </w:rPr>
      </w:pPr>
      <w:r>
        <w:rPr>
          <w:rFonts w:ascii="Arial" w:cs="Arial" w:eastAsia="Arial" w:hAnsi="Arial"/>
          <w:sz w:val="18"/>
          <w:szCs w:val="18"/>
          <w:color w:val="auto"/>
        </w:rPr>
        <w:t>A copy of the Constitutional Documents and, if applicable, a certificate of good standing of each Obligor and each Manager (other than the Shell Technical Manager).</w:t>
      </w:r>
    </w:p>
    <w:p>
      <w:pPr>
        <w:spacing w:after="0" w:line="183" w:lineRule="exact"/>
        <w:rPr>
          <w:rFonts w:ascii="Arial" w:cs="Arial" w:eastAsia="Arial" w:hAnsi="Arial"/>
          <w:sz w:val="18"/>
          <w:szCs w:val="18"/>
          <w:color w:val="auto"/>
        </w:rPr>
      </w:pPr>
    </w:p>
    <w:p>
      <w:pPr>
        <w:ind w:left="1080" w:hanging="532"/>
        <w:spacing w:after="0" w:line="246" w:lineRule="auto"/>
        <w:tabs>
          <w:tab w:leader="none" w:pos="1080" w:val="left"/>
        </w:tabs>
        <w:numPr>
          <w:ilvl w:val="1"/>
          <w:numId w:val="429"/>
        </w:numPr>
        <w:rPr>
          <w:rFonts w:ascii="Arial" w:cs="Arial" w:eastAsia="Arial" w:hAnsi="Arial"/>
          <w:sz w:val="18"/>
          <w:szCs w:val="18"/>
          <w:color w:val="auto"/>
        </w:rPr>
      </w:pPr>
      <w:r>
        <w:rPr>
          <w:rFonts w:ascii="Arial" w:cs="Arial" w:eastAsia="Arial" w:hAnsi="Arial"/>
          <w:sz w:val="18"/>
          <w:szCs w:val="18"/>
          <w:color w:val="auto"/>
        </w:rPr>
        <w:t>A copy of a resolution of the board of directors of each Obligor and each Manager (other than the Shell Technical Manager) (or, if applicable, any committee of such board empowered to approve and authorise the following matters):</w:t>
      </w:r>
    </w:p>
    <w:p>
      <w:pPr>
        <w:spacing w:after="0" w:line="161" w:lineRule="exact"/>
        <w:rPr>
          <w:rFonts w:ascii="Arial" w:cs="Arial" w:eastAsia="Arial" w:hAnsi="Arial"/>
          <w:sz w:val="18"/>
          <w:szCs w:val="18"/>
          <w:color w:val="auto"/>
        </w:rPr>
      </w:pPr>
    </w:p>
    <w:p>
      <w:pPr>
        <w:ind w:left="1560" w:hanging="539"/>
        <w:spacing w:after="0" w:line="271" w:lineRule="auto"/>
        <w:tabs>
          <w:tab w:leader="none" w:pos="1560" w:val="left"/>
        </w:tabs>
        <w:numPr>
          <w:ilvl w:val="2"/>
          <w:numId w:val="429"/>
        </w:numPr>
        <w:rPr>
          <w:rFonts w:ascii="Arial" w:cs="Arial" w:eastAsia="Arial" w:hAnsi="Arial"/>
          <w:sz w:val="18"/>
          <w:szCs w:val="18"/>
          <w:color w:val="auto"/>
        </w:rPr>
      </w:pPr>
      <w:r>
        <w:rPr>
          <w:rFonts w:ascii="Arial" w:cs="Arial" w:eastAsia="Arial" w:hAnsi="Arial"/>
          <w:sz w:val="18"/>
          <w:szCs w:val="18"/>
          <w:color w:val="auto"/>
        </w:rPr>
        <w:t>approving the terms of, and the transactions contemplated by, the Finance Documents or any Charter (</w:t>
      </w:r>
      <w:r>
        <w:rPr>
          <w:rFonts w:ascii="Arial" w:cs="Arial" w:eastAsia="Arial" w:hAnsi="Arial"/>
          <w:sz w:val="18"/>
          <w:szCs w:val="18"/>
          <w:b w:val="1"/>
          <w:bCs w:val="1"/>
          <w:color w:val="auto"/>
        </w:rPr>
        <w:t>Relevant</w:t>
      </w:r>
      <w:r>
        <w:rPr>
          <w:rFonts w:ascii="Arial" w:cs="Arial" w:eastAsia="Arial" w:hAnsi="Arial"/>
          <w:sz w:val="18"/>
          <w:szCs w:val="18"/>
          <w:color w:val="auto"/>
        </w:rPr>
        <w:t xml:space="preserve"> </w:t>
      </w:r>
      <w:r>
        <w:rPr>
          <w:rFonts w:ascii="Arial" w:cs="Arial" w:eastAsia="Arial" w:hAnsi="Arial"/>
          <w:sz w:val="18"/>
          <w:szCs w:val="18"/>
          <w:b w:val="1"/>
          <w:bCs w:val="1"/>
          <w:color w:val="auto"/>
        </w:rPr>
        <w:t>Documents</w:t>
      </w:r>
      <w:r>
        <w:rPr>
          <w:rFonts w:ascii="Arial" w:cs="Arial" w:eastAsia="Arial" w:hAnsi="Arial"/>
          <w:sz w:val="18"/>
          <w:szCs w:val="18"/>
          <w:color w:val="auto"/>
        </w:rPr>
        <w:t>) to which it is a party and resolving that it execute the Relevant Documents to which it is a party;</w:t>
      </w:r>
    </w:p>
    <w:p>
      <w:pPr>
        <w:spacing w:after="0" w:line="162" w:lineRule="exact"/>
        <w:rPr>
          <w:rFonts w:ascii="Arial" w:cs="Arial" w:eastAsia="Arial" w:hAnsi="Arial"/>
          <w:sz w:val="18"/>
          <w:szCs w:val="18"/>
          <w:color w:val="auto"/>
        </w:rPr>
      </w:pPr>
    </w:p>
    <w:p>
      <w:pPr>
        <w:ind w:left="1560" w:hanging="539"/>
        <w:spacing w:after="0"/>
        <w:tabs>
          <w:tab w:leader="none" w:pos="1560" w:val="left"/>
        </w:tabs>
        <w:numPr>
          <w:ilvl w:val="2"/>
          <w:numId w:val="429"/>
        </w:numPr>
        <w:rPr>
          <w:rFonts w:ascii="Arial" w:cs="Arial" w:eastAsia="Arial" w:hAnsi="Arial"/>
          <w:sz w:val="18"/>
          <w:szCs w:val="18"/>
          <w:color w:val="auto"/>
        </w:rPr>
      </w:pPr>
      <w:r>
        <w:rPr>
          <w:rFonts w:ascii="Arial" w:cs="Arial" w:eastAsia="Arial" w:hAnsi="Arial"/>
          <w:sz w:val="18"/>
          <w:szCs w:val="18"/>
          <w:color w:val="auto"/>
        </w:rPr>
        <w:t>authorising a specified person or persons to execute the Relevant Documents to which it is a party on its behalf; and</w:t>
      </w:r>
    </w:p>
    <w:p>
      <w:pPr>
        <w:spacing w:after="0" w:line="198" w:lineRule="exact"/>
        <w:rPr>
          <w:rFonts w:ascii="Arial" w:cs="Arial" w:eastAsia="Arial" w:hAnsi="Arial"/>
          <w:sz w:val="18"/>
          <w:szCs w:val="18"/>
          <w:color w:val="auto"/>
        </w:rPr>
      </w:pPr>
    </w:p>
    <w:p>
      <w:pPr>
        <w:ind w:left="1560" w:right="40" w:hanging="539"/>
        <w:spacing w:after="0"/>
        <w:tabs>
          <w:tab w:leader="none" w:pos="1560" w:val="left"/>
        </w:tabs>
        <w:numPr>
          <w:ilvl w:val="2"/>
          <w:numId w:val="429"/>
        </w:numPr>
        <w:rPr>
          <w:rFonts w:ascii="Arial" w:cs="Arial" w:eastAsia="Arial" w:hAnsi="Arial"/>
          <w:sz w:val="18"/>
          <w:szCs w:val="18"/>
          <w:color w:val="auto"/>
        </w:rPr>
      </w:pPr>
      <w:r>
        <w:rPr>
          <w:rFonts w:ascii="Arial" w:cs="Arial" w:eastAsia="Arial" w:hAnsi="Arial"/>
          <w:sz w:val="18"/>
          <w:szCs w:val="18"/>
          <w:color w:val="auto"/>
        </w:rPr>
        <w:t>authorising a specified person or persons, on its behalf, to sign and/or despatch all documents and notices (including, if relevant, any Utilisation Request) to be signed and/or despatched by it under or in connection with the Relevant Documents to which it is a party.</w:t>
      </w:r>
    </w:p>
    <w:p>
      <w:pPr>
        <w:spacing w:after="0" w:line="189" w:lineRule="exact"/>
        <w:rPr>
          <w:rFonts w:ascii="Arial" w:cs="Arial" w:eastAsia="Arial" w:hAnsi="Arial"/>
          <w:sz w:val="18"/>
          <w:szCs w:val="18"/>
          <w:color w:val="auto"/>
        </w:rPr>
      </w:pPr>
    </w:p>
    <w:p>
      <w:pPr>
        <w:ind w:left="1080" w:hanging="532"/>
        <w:spacing w:after="0" w:line="246" w:lineRule="auto"/>
        <w:tabs>
          <w:tab w:leader="none" w:pos="1080" w:val="left"/>
        </w:tabs>
        <w:numPr>
          <w:ilvl w:val="1"/>
          <w:numId w:val="429"/>
        </w:numPr>
        <w:rPr>
          <w:rFonts w:ascii="Arial" w:cs="Arial" w:eastAsia="Arial" w:hAnsi="Arial"/>
          <w:sz w:val="18"/>
          <w:szCs w:val="18"/>
          <w:color w:val="auto"/>
        </w:rPr>
      </w:pPr>
      <w:r>
        <w:rPr>
          <w:rFonts w:ascii="Arial" w:cs="Arial" w:eastAsia="Arial" w:hAnsi="Arial"/>
          <w:sz w:val="18"/>
          <w:szCs w:val="18"/>
          <w:color w:val="auto"/>
        </w:rPr>
        <w:t>A specimen of the signature of each person authorised by the resolution referred to in paragraph (b) above in relation to the Finance Documents and any related documents.</w:t>
      </w:r>
    </w:p>
    <w:p>
      <w:pPr>
        <w:spacing w:after="0" w:line="183" w:lineRule="exact"/>
        <w:rPr>
          <w:rFonts w:ascii="Arial" w:cs="Arial" w:eastAsia="Arial" w:hAnsi="Arial"/>
          <w:sz w:val="18"/>
          <w:szCs w:val="18"/>
          <w:color w:val="auto"/>
        </w:rPr>
      </w:pPr>
    </w:p>
    <w:p>
      <w:pPr>
        <w:jc w:val="both"/>
        <w:ind w:left="1080" w:hanging="532"/>
        <w:spacing w:after="0" w:line="239" w:lineRule="auto"/>
        <w:tabs>
          <w:tab w:leader="none" w:pos="1080" w:val="left"/>
        </w:tabs>
        <w:numPr>
          <w:ilvl w:val="1"/>
          <w:numId w:val="429"/>
        </w:numPr>
        <w:rPr>
          <w:rFonts w:ascii="Arial" w:cs="Arial" w:eastAsia="Arial" w:hAnsi="Arial"/>
          <w:sz w:val="18"/>
          <w:szCs w:val="18"/>
          <w:color w:val="auto"/>
        </w:rPr>
      </w:pPr>
      <w:r>
        <w:rPr>
          <w:rFonts w:ascii="Arial" w:cs="Arial" w:eastAsia="Arial" w:hAnsi="Arial"/>
          <w:sz w:val="18"/>
          <w:szCs w:val="18"/>
          <w:color w:val="auto"/>
        </w:rPr>
        <w:t>If a requirement under the Constitutional Documents of each Obligor or under Bermudian law, a copy of a resolution signed by all the holders of the issued shares in each Obligor and each Manager (other than the Shell Technical Manager), approving the terms of, and the transactions contemplated by, the Relevant Documents to which such Obligor or a Manager (other than the Shell Technical Manager) is a party.</w:t>
      </w:r>
    </w:p>
    <w:p>
      <w:pPr>
        <w:spacing w:after="0" w:line="188" w:lineRule="exact"/>
        <w:rPr>
          <w:rFonts w:ascii="Arial" w:cs="Arial" w:eastAsia="Arial" w:hAnsi="Arial"/>
          <w:sz w:val="18"/>
          <w:szCs w:val="18"/>
          <w:color w:val="auto"/>
        </w:rPr>
      </w:pPr>
    </w:p>
    <w:p>
      <w:pPr>
        <w:jc w:val="both"/>
        <w:ind w:left="1080" w:hanging="532"/>
        <w:spacing w:after="0"/>
        <w:tabs>
          <w:tab w:leader="none" w:pos="1080" w:val="left"/>
        </w:tabs>
        <w:numPr>
          <w:ilvl w:val="1"/>
          <w:numId w:val="429"/>
        </w:numPr>
        <w:rPr>
          <w:rFonts w:ascii="Arial" w:cs="Arial" w:eastAsia="Arial" w:hAnsi="Arial"/>
          <w:sz w:val="18"/>
          <w:szCs w:val="18"/>
          <w:color w:val="auto"/>
        </w:rPr>
      </w:pPr>
      <w:r>
        <w:rPr>
          <w:rFonts w:ascii="Arial" w:cs="Arial" w:eastAsia="Arial" w:hAnsi="Arial"/>
          <w:sz w:val="18"/>
          <w:szCs w:val="18"/>
          <w:color w:val="auto"/>
        </w:rPr>
        <w:t>If a requirement under the Constitutional Documents of each Obligor or a Manager (other than the Shell Technical Manager) or under Bermudian law, a copy of a resolution of the board of directors of each corporate shareholder of each Obligor and each Manager (other than the Shell Technical Manager) approving the terms of the resolution referred to in paragraph (d) above.</w:t>
      </w:r>
    </w:p>
    <w:p>
      <w:pPr>
        <w:spacing w:after="0" w:line="189" w:lineRule="exact"/>
        <w:rPr>
          <w:rFonts w:ascii="Arial" w:cs="Arial" w:eastAsia="Arial" w:hAnsi="Arial"/>
          <w:sz w:val="18"/>
          <w:szCs w:val="18"/>
          <w:color w:val="auto"/>
        </w:rPr>
      </w:pPr>
    </w:p>
    <w:p>
      <w:pPr>
        <w:ind w:left="1080" w:right="20" w:hanging="532"/>
        <w:spacing w:after="0" w:line="246" w:lineRule="auto"/>
        <w:tabs>
          <w:tab w:leader="none" w:pos="1080" w:val="left"/>
        </w:tabs>
        <w:numPr>
          <w:ilvl w:val="1"/>
          <w:numId w:val="429"/>
        </w:numPr>
        <w:rPr>
          <w:rFonts w:ascii="Arial" w:cs="Arial" w:eastAsia="Arial" w:hAnsi="Arial"/>
          <w:sz w:val="18"/>
          <w:szCs w:val="18"/>
          <w:color w:val="auto"/>
        </w:rPr>
      </w:pPr>
      <w:r>
        <w:rPr>
          <w:rFonts w:ascii="Arial" w:cs="Arial" w:eastAsia="Arial" w:hAnsi="Arial"/>
          <w:sz w:val="18"/>
          <w:szCs w:val="18"/>
          <w:color w:val="auto"/>
        </w:rPr>
        <w:t>A copy of any power of attorney under which any person is to execute any of the Relevant Documents on behalf of any Obligor and each Manager (other than the Shell Technical Manager).</w:t>
      </w:r>
    </w:p>
    <w:p>
      <w:pPr>
        <w:spacing w:after="0" w:line="183" w:lineRule="exact"/>
        <w:rPr>
          <w:rFonts w:ascii="Arial" w:cs="Arial" w:eastAsia="Arial" w:hAnsi="Arial"/>
          <w:sz w:val="18"/>
          <w:szCs w:val="18"/>
          <w:color w:val="auto"/>
        </w:rPr>
      </w:pPr>
    </w:p>
    <w:p>
      <w:pPr>
        <w:jc w:val="both"/>
        <w:ind w:left="1080" w:hanging="532"/>
        <w:spacing w:after="0" w:line="239" w:lineRule="auto"/>
        <w:tabs>
          <w:tab w:leader="none" w:pos="1080" w:val="left"/>
        </w:tabs>
        <w:numPr>
          <w:ilvl w:val="1"/>
          <w:numId w:val="429"/>
        </w:numPr>
        <w:rPr>
          <w:rFonts w:ascii="Arial" w:cs="Arial" w:eastAsia="Arial" w:hAnsi="Arial"/>
          <w:sz w:val="18"/>
          <w:szCs w:val="18"/>
          <w:color w:val="auto"/>
        </w:rPr>
      </w:pPr>
      <w:r>
        <w:rPr>
          <w:rFonts w:ascii="Arial" w:cs="Arial" w:eastAsia="Arial" w:hAnsi="Arial"/>
          <w:sz w:val="18"/>
          <w:szCs w:val="18"/>
          <w:color w:val="auto"/>
        </w:rPr>
        <w:t>A certificate of an authorised signatory of the relevant Obligor and each Manager (other than the Shell Technical Manager) certifying that each copy document relating to it specified in this Part of this Schedule is correct, complete and in full force and effect and has not been amended or superseded as at a date no earlier than the date of this Agreement and that any such resolutions or power of attorney have not been revoked.</w:t>
      </w:r>
    </w:p>
    <w:p>
      <w:pPr>
        <w:spacing w:after="0" w:line="166" w:lineRule="exact"/>
        <w:rPr>
          <w:sz w:val="20"/>
          <w:szCs w:val="20"/>
          <w:color w:val="auto"/>
        </w:rPr>
      </w:pPr>
    </w:p>
    <w:p>
      <w:pPr>
        <w:ind w:left="540" w:hanging="532"/>
        <w:spacing w:after="0"/>
        <w:tabs>
          <w:tab w:leader="none" w:pos="540" w:val="left"/>
        </w:tabs>
        <w:numPr>
          <w:ilvl w:val="0"/>
          <w:numId w:val="430"/>
        </w:numPr>
        <w:rPr>
          <w:rFonts w:ascii="Arial" w:cs="Arial" w:eastAsia="Arial" w:hAnsi="Arial"/>
          <w:sz w:val="18"/>
          <w:szCs w:val="18"/>
          <w:b w:val="1"/>
          <w:bCs w:val="1"/>
          <w:color w:val="auto"/>
        </w:rPr>
      </w:pPr>
      <w:r>
        <w:rPr>
          <w:rFonts w:ascii="Arial" w:cs="Arial" w:eastAsia="Arial" w:hAnsi="Arial"/>
          <w:sz w:val="18"/>
          <w:szCs w:val="18"/>
          <w:b w:val="1"/>
          <w:bCs w:val="1"/>
          <w:color w:val="auto"/>
        </w:rPr>
        <w:t>Charters</w:t>
      </w:r>
    </w:p>
    <w:p>
      <w:pPr>
        <w:spacing w:after="0" w:line="220"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The Charters for each of Ship A, Ship B, Ship C, Ship D and Ship E duly executed and with charter tenors which are no less than:</w:t>
      </w:r>
    </w:p>
    <w:p>
      <w:pPr>
        <w:spacing w:after="0" w:line="198" w:lineRule="exact"/>
        <w:rPr>
          <w:sz w:val="20"/>
          <w:szCs w:val="20"/>
          <w:color w:val="auto"/>
        </w:rPr>
      </w:pPr>
    </w:p>
    <w:p>
      <w:pPr>
        <w:ind w:left="1080" w:right="20" w:hanging="532"/>
        <w:spacing w:after="0" w:line="246" w:lineRule="auto"/>
        <w:tabs>
          <w:tab w:leader="none" w:pos="108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64 months ending on September 2016 under the Charter in relation to Ship A and which includes a Charterer’s option to extend for at least 78 months;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18" w:name="page219"/>
    <w:bookmarkEnd w:id="218"/>
    <w:p>
      <w:pPr>
        <w:ind w:left="1080" w:right="20" w:hanging="532"/>
        <w:spacing w:after="0" w:line="246" w:lineRule="auto"/>
        <w:tabs>
          <w:tab w:leader="none" w:pos="108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64 months ending on September 2016 under the Charter in relation to Ship B and which includes a Charterer’s option to extend for at least 90 months;</w:t>
      </w:r>
    </w:p>
    <w:p>
      <w:pPr>
        <w:spacing w:after="0" w:line="183" w:lineRule="exact"/>
        <w:rPr>
          <w:rFonts w:ascii="Arial" w:cs="Arial" w:eastAsia="Arial" w:hAnsi="Arial"/>
          <w:sz w:val="18"/>
          <w:szCs w:val="18"/>
          <w:color w:val="auto"/>
        </w:rPr>
      </w:pPr>
    </w:p>
    <w:p>
      <w:pPr>
        <w:jc w:val="both"/>
        <w:ind w:left="1080" w:hanging="532"/>
        <w:spacing w:after="0"/>
        <w:tabs>
          <w:tab w:leader="none" w:pos="108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38 months ending on September 2016 under the Charter in relation to Ship C and a further 60 months seasonal charter, of which 7 months each year are firm and which includes two further Charterer’s options to extend, each one for a further 60 month seasonal charter, of which 7 months each year are firm;</w:t>
      </w:r>
    </w:p>
    <w:p>
      <w:pPr>
        <w:spacing w:after="0" w:line="189"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84 months ending on December 2020 under the Charter in relation to Ship D and which includes a Charterer’s option to extend for at least 60 months; and</w:t>
      </w:r>
    </w:p>
    <w:p>
      <w:pPr>
        <w:spacing w:after="0" w:line="183"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84 months ending on June 2021 under the Charter in relation to Ship E and which includes a Charterer’s option to extend for at least 60 months,</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and otherwise in form satisfactory to the Majority Lenders.</w:t>
      </w:r>
    </w:p>
    <w:p>
      <w:pPr>
        <w:spacing w:after="0" w:line="176" w:lineRule="exact"/>
        <w:rPr>
          <w:sz w:val="20"/>
          <w:szCs w:val="20"/>
          <w:color w:val="auto"/>
        </w:rPr>
      </w:pPr>
    </w:p>
    <w:p>
      <w:pPr>
        <w:ind w:left="540" w:hanging="532"/>
        <w:spacing w:after="0"/>
        <w:tabs>
          <w:tab w:leader="none" w:pos="540" w:val="left"/>
        </w:tabs>
        <w:numPr>
          <w:ilvl w:val="0"/>
          <w:numId w:val="433"/>
        </w:numPr>
        <w:rPr>
          <w:rFonts w:ascii="Arial" w:cs="Arial" w:eastAsia="Arial" w:hAnsi="Arial"/>
          <w:sz w:val="18"/>
          <w:szCs w:val="18"/>
          <w:b w:val="1"/>
          <w:bCs w:val="1"/>
          <w:color w:val="auto"/>
        </w:rPr>
      </w:pPr>
      <w:r>
        <w:rPr>
          <w:rFonts w:ascii="Arial" w:cs="Arial" w:eastAsia="Arial" w:hAnsi="Arial"/>
          <w:sz w:val="18"/>
          <w:szCs w:val="18"/>
          <w:b w:val="1"/>
          <w:bCs w:val="1"/>
          <w:color w:val="auto"/>
        </w:rPr>
        <w:t>Security</w:t>
      </w:r>
    </w:p>
    <w:p>
      <w:pPr>
        <w:spacing w:after="0" w:line="220" w:lineRule="exact"/>
        <w:rPr>
          <w:sz w:val="20"/>
          <w:szCs w:val="20"/>
          <w:color w:val="auto"/>
        </w:rPr>
      </w:pPr>
    </w:p>
    <w:p>
      <w:pPr>
        <w:ind w:left="540"/>
        <w:spacing w:after="0" w:line="246" w:lineRule="auto"/>
        <w:rPr>
          <w:sz w:val="20"/>
          <w:szCs w:val="20"/>
          <w:color w:val="auto"/>
        </w:rPr>
      </w:pPr>
      <w:r>
        <w:rPr>
          <w:rFonts w:ascii="Arial" w:cs="Arial" w:eastAsia="Arial" w:hAnsi="Arial"/>
          <w:sz w:val="18"/>
          <w:szCs w:val="18"/>
          <w:color w:val="auto"/>
        </w:rPr>
        <w:t>The Share Security in respect of each Borrower duly executed by GasLog Carriers together with all letters, transfers, certificates and other documents required to be delivered under each such Share Security.</w:t>
      </w:r>
    </w:p>
    <w:p>
      <w:pPr>
        <w:spacing w:after="0" w:line="161" w:lineRule="exact"/>
        <w:rPr>
          <w:sz w:val="20"/>
          <w:szCs w:val="20"/>
          <w:color w:val="auto"/>
        </w:rPr>
      </w:pPr>
    </w:p>
    <w:p>
      <w:pPr>
        <w:ind w:left="540" w:hanging="532"/>
        <w:spacing w:after="0"/>
        <w:tabs>
          <w:tab w:leader="none" w:pos="540" w:val="left"/>
        </w:tabs>
        <w:numPr>
          <w:ilvl w:val="0"/>
          <w:numId w:val="434"/>
        </w:numPr>
        <w:rPr>
          <w:rFonts w:ascii="Arial" w:cs="Arial" w:eastAsia="Arial" w:hAnsi="Arial"/>
          <w:sz w:val="18"/>
          <w:szCs w:val="18"/>
          <w:b w:val="1"/>
          <w:bCs w:val="1"/>
          <w:color w:val="auto"/>
        </w:rPr>
      </w:pPr>
      <w:r>
        <w:rPr>
          <w:rFonts w:ascii="Arial" w:cs="Arial" w:eastAsia="Arial" w:hAnsi="Arial"/>
          <w:sz w:val="18"/>
          <w:szCs w:val="18"/>
          <w:b w:val="1"/>
          <w:bCs w:val="1"/>
          <w:color w:val="auto"/>
        </w:rPr>
        <w:t>Legal opinions</w:t>
      </w:r>
    </w:p>
    <w:p>
      <w:pPr>
        <w:spacing w:after="0" w:line="220" w:lineRule="exact"/>
        <w:rPr>
          <w:rFonts w:ascii="Arial" w:cs="Arial" w:eastAsia="Arial" w:hAnsi="Arial"/>
          <w:sz w:val="18"/>
          <w:szCs w:val="18"/>
          <w:b w:val="1"/>
          <w:bCs w:val="1"/>
          <w:color w:val="auto"/>
        </w:rPr>
      </w:pPr>
    </w:p>
    <w:p>
      <w:pPr>
        <w:jc w:val="both"/>
        <w:ind w:left="540"/>
        <w:spacing w:after="0"/>
        <w:rPr>
          <w:rFonts w:ascii="Arial" w:cs="Arial" w:eastAsia="Arial" w:hAnsi="Arial"/>
          <w:sz w:val="18"/>
          <w:szCs w:val="18"/>
          <w:b w:val="1"/>
          <w:bCs w:val="1"/>
          <w:color w:val="auto"/>
        </w:rPr>
      </w:pPr>
      <w:r>
        <w:rPr>
          <w:rFonts w:ascii="Arial" w:cs="Arial" w:eastAsia="Arial" w:hAnsi="Arial"/>
          <w:sz w:val="18"/>
          <w:szCs w:val="18"/>
          <w:color w:val="auto"/>
        </w:rPr>
        <w:t>The following legal opinions, each addressed to the Agent, the Security Agent and the Lenders (and in a form and substance reasonably satisfactory to the Agent, the Lenders) and capable of being relied upon by any persons who become Lenders pursuant to the primary syndication of the Facilities:</w:t>
      </w:r>
    </w:p>
    <w:p>
      <w:pPr>
        <w:spacing w:after="0" w:line="189" w:lineRule="exact"/>
        <w:rPr>
          <w:rFonts w:ascii="Arial" w:cs="Arial" w:eastAsia="Arial" w:hAnsi="Arial"/>
          <w:sz w:val="18"/>
          <w:szCs w:val="18"/>
          <w:b w:val="1"/>
          <w:bCs w:val="1"/>
          <w:color w:val="auto"/>
        </w:rPr>
      </w:pPr>
    </w:p>
    <w:p>
      <w:pPr>
        <w:ind w:left="1080" w:hanging="532"/>
        <w:spacing w:after="0"/>
        <w:tabs>
          <w:tab w:leader="none" w:pos="108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A legal opinion of Norton Rose Fulbright Greece on matters of English law.</w:t>
      </w:r>
    </w:p>
    <w:p>
      <w:pPr>
        <w:spacing w:after="0" w:line="198" w:lineRule="exact"/>
        <w:rPr>
          <w:rFonts w:ascii="Arial" w:cs="Arial" w:eastAsia="Arial" w:hAnsi="Arial"/>
          <w:sz w:val="18"/>
          <w:szCs w:val="18"/>
          <w:color w:val="auto"/>
        </w:rPr>
      </w:pPr>
    </w:p>
    <w:p>
      <w:pPr>
        <w:jc w:val="both"/>
        <w:ind w:left="1080" w:hanging="532"/>
        <w:spacing w:after="0"/>
        <w:tabs>
          <w:tab w:leader="none" w:pos="108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A legal opinion of the legal advisers to the Arrangers and the Agent in each jurisdiction (other than England) in which an Obligor is incorporated and/or which is or is to be the Flag State of a Mortgaged Ship, or in which an Account opened at the relevant time is established.</w:t>
      </w:r>
    </w:p>
    <w:p>
      <w:pPr>
        <w:spacing w:after="0" w:line="167" w:lineRule="exact"/>
        <w:rPr>
          <w:sz w:val="20"/>
          <w:szCs w:val="20"/>
          <w:color w:val="auto"/>
        </w:rPr>
      </w:pPr>
    </w:p>
    <w:p>
      <w:pPr>
        <w:ind w:left="540" w:hanging="532"/>
        <w:spacing w:after="0"/>
        <w:tabs>
          <w:tab w:leader="none" w:pos="540" w:val="left"/>
        </w:tabs>
        <w:numPr>
          <w:ilvl w:val="0"/>
          <w:numId w:val="435"/>
        </w:numPr>
        <w:rPr>
          <w:rFonts w:ascii="Arial" w:cs="Arial" w:eastAsia="Arial" w:hAnsi="Arial"/>
          <w:sz w:val="18"/>
          <w:szCs w:val="18"/>
          <w:b w:val="1"/>
          <w:bCs w:val="1"/>
          <w:color w:val="auto"/>
        </w:rPr>
      </w:pPr>
      <w:r>
        <w:rPr>
          <w:rFonts w:ascii="Arial" w:cs="Arial" w:eastAsia="Arial" w:hAnsi="Arial"/>
          <w:sz w:val="18"/>
          <w:szCs w:val="18"/>
          <w:b w:val="1"/>
          <w:bCs w:val="1"/>
          <w:color w:val="auto"/>
        </w:rPr>
        <w:t>Other documents and evidence</w:t>
      </w:r>
    </w:p>
    <w:p>
      <w:pPr>
        <w:spacing w:after="0" w:line="202" w:lineRule="exact"/>
        <w:rPr>
          <w:rFonts w:ascii="Arial" w:cs="Arial" w:eastAsia="Arial" w:hAnsi="Arial"/>
          <w:sz w:val="18"/>
          <w:szCs w:val="18"/>
          <w:b w:val="1"/>
          <w:bCs w:val="1"/>
          <w:color w:val="auto"/>
        </w:rPr>
      </w:pPr>
    </w:p>
    <w:p>
      <w:pPr>
        <w:ind w:left="1080" w:right="20" w:hanging="532"/>
        <w:spacing w:after="0" w:line="267" w:lineRule="auto"/>
        <w:tabs>
          <w:tab w:leader="none" w:pos="108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Evidence that any process agent referred to in clause 45.2 (</w:t>
      </w:r>
      <w:r>
        <w:rPr>
          <w:rFonts w:ascii="Arial" w:cs="Arial" w:eastAsia="Arial" w:hAnsi="Arial"/>
          <w:sz w:val="18"/>
          <w:szCs w:val="18"/>
          <w:i w:val="1"/>
          <w:iCs w:val="1"/>
          <w:color w:val="auto"/>
        </w:rPr>
        <w:t>Service of process</w:t>
      </w:r>
      <w:r>
        <w:rPr>
          <w:rFonts w:ascii="Arial" w:cs="Arial" w:eastAsia="Arial" w:hAnsi="Arial"/>
          <w:sz w:val="18"/>
          <w:szCs w:val="18"/>
          <w:color w:val="auto"/>
        </w:rPr>
        <w:t>) or any equivalent provision of any other Finance Document entered into on or before the first Utilisation Date, if not an Obligor, has accepted its appointment.</w:t>
      </w:r>
    </w:p>
    <w:p>
      <w:pPr>
        <w:spacing w:after="0" w:line="165" w:lineRule="exact"/>
        <w:rPr>
          <w:rFonts w:ascii="Arial" w:cs="Arial" w:eastAsia="Arial" w:hAnsi="Arial"/>
          <w:sz w:val="18"/>
          <w:szCs w:val="18"/>
          <w:color w:val="auto"/>
        </w:rPr>
      </w:pPr>
    </w:p>
    <w:p>
      <w:pPr>
        <w:ind w:left="1080" w:hanging="532"/>
        <w:spacing w:after="0"/>
        <w:tabs>
          <w:tab w:leader="none" w:pos="108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Each Fee Letter duly executed by the parties thereto.</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The Original Financial Statements, together with a Compliance Certificate.</w:t>
      </w:r>
    </w:p>
    <w:p>
      <w:pPr>
        <w:spacing w:after="0" w:line="176" w:lineRule="exact"/>
        <w:rPr>
          <w:sz w:val="20"/>
          <w:szCs w:val="20"/>
          <w:color w:val="auto"/>
        </w:rPr>
      </w:pPr>
    </w:p>
    <w:p>
      <w:pPr>
        <w:ind w:left="540" w:hanging="532"/>
        <w:spacing w:after="0"/>
        <w:tabs>
          <w:tab w:leader="none" w:pos="540" w:val="left"/>
        </w:tabs>
        <w:numPr>
          <w:ilvl w:val="0"/>
          <w:numId w:val="436"/>
        </w:numPr>
        <w:rPr>
          <w:rFonts w:ascii="Arial" w:cs="Arial" w:eastAsia="Arial" w:hAnsi="Arial"/>
          <w:sz w:val="18"/>
          <w:szCs w:val="18"/>
          <w:b w:val="1"/>
          <w:bCs w:val="1"/>
          <w:color w:val="auto"/>
        </w:rPr>
      </w:pPr>
      <w:r>
        <w:rPr>
          <w:rFonts w:ascii="Arial" w:cs="Arial" w:eastAsia="Arial" w:hAnsi="Arial"/>
          <w:sz w:val="18"/>
          <w:szCs w:val="18"/>
          <w:b w:val="1"/>
          <w:bCs w:val="1"/>
          <w:color w:val="auto"/>
        </w:rPr>
        <w:t>Bank Accounts</w:t>
      </w:r>
    </w:p>
    <w:p>
      <w:pPr>
        <w:spacing w:after="0" w:line="202" w:lineRule="exact"/>
        <w:rPr>
          <w:rFonts w:ascii="Arial" w:cs="Arial" w:eastAsia="Arial" w:hAnsi="Arial"/>
          <w:sz w:val="18"/>
          <w:szCs w:val="18"/>
          <w:b w:val="1"/>
          <w:bCs w:val="1"/>
          <w:color w:val="auto"/>
        </w:rPr>
      </w:pPr>
    </w:p>
    <w:p>
      <w:pPr>
        <w:jc w:val="both"/>
        <w:ind w:left="540"/>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Evidence that any Account required to be established under clause 27 (</w:t>
      </w:r>
      <w:r>
        <w:rPr>
          <w:rFonts w:ascii="Arial" w:cs="Arial" w:eastAsia="Arial" w:hAnsi="Arial"/>
          <w:sz w:val="18"/>
          <w:szCs w:val="18"/>
          <w:i w:val="1"/>
          <w:iCs w:val="1"/>
          <w:color w:val="auto"/>
        </w:rPr>
        <w:t>Bank accounts</w:t>
      </w:r>
      <w:r>
        <w:rPr>
          <w:rFonts w:ascii="Arial" w:cs="Arial" w:eastAsia="Arial" w:hAnsi="Arial"/>
          <w:sz w:val="18"/>
          <w:szCs w:val="18"/>
          <w:color w:val="auto"/>
        </w:rPr>
        <w:t>) has been opened and established with the Account Bank, that any Account Security in respect of each such Account has been executed and delivered by the relevant Account Holder in favour of the Security Agent and/or any of the other Finance Parties and that any notice required to be given to an Account Bank under that Account Security has been given to it and acknowledged by it in the manner required by that Account Security and that an amount has been credited to it.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219" w:name="page220"/>
    <w:bookmarkEnd w:id="219"/>
    <w:p>
      <w:pPr>
        <w:ind w:left="532" w:hanging="532"/>
        <w:spacing w:after="0"/>
        <w:tabs>
          <w:tab w:leader="none" w:pos="532" w:val="left"/>
        </w:tabs>
        <w:numPr>
          <w:ilvl w:val="0"/>
          <w:numId w:val="437"/>
        </w:numPr>
        <w:rPr>
          <w:rFonts w:ascii="Arial" w:cs="Arial" w:eastAsia="Arial" w:hAnsi="Arial"/>
          <w:sz w:val="18"/>
          <w:szCs w:val="18"/>
          <w:b w:val="1"/>
          <w:bCs w:val="1"/>
          <w:color w:val="auto"/>
        </w:rPr>
      </w:pPr>
      <w:r>
        <w:rPr>
          <w:rFonts w:ascii="Arial" w:cs="Arial" w:eastAsia="Arial" w:hAnsi="Arial"/>
          <w:sz w:val="18"/>
          <w:szCs w:val="18"/>
          <w:b w:val="1"/>
          <w:bCs w:val="1"/>
          <w:color w:val="auto"/>
        </w:rPr>
        <w:t>“Know your customer” information</w:t>
      </w:r>
    </w:p>
    <w:p>
      <w:pPr>
        <w:spacing w:after="0" w:line="220" w:lineRule="exact"/>
        <w:rPr>
          <w:rFonts w:ascii="Arial" w:cs="Arial" w:eastAsia="Arial" w:hAnsi="Arial"/>
          <w:sz w:val="18"/>
          <w:szCs w:val="18"/>
          <w:b w:val="1"/>
          <w:bCs w:val="1"/>
          <w:color w:val="auto"/>
        </w:rPr>
      </w:pPr>
    </w:p>
    <w:p>
      <w:pPr>
        <w:ind w:left="532"/>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Such documentation and information as any Finance Party may reasonably request through the Agent to comply with “know your customer” or similar identification procedures under all laws and regulations applicable to that Finance Party.</w:t>
      </w:r>
    </w:p>
    <w:p>
      <w:pPr>
        <w:spacing w:after="0" w:line="161" w:lineRule="exact"/>
        <w:rPr>
          <w:sz w:val="20"/>
          <w:szCs w:val="20"/>
          <w:color w:val="auto"/>
        </w:rPr>
      </w:pPr>
    </w:p>
    <w:p>
      <w:pPr>
        <w:ind w:left="532" w:hanging="532"/>
        <w:spacing w:after="0"/>
        <w:tabs>
          <w:tab w:leader="none" w:pos="532" w:val="left"/>
        </w:tabs>
        <w:numPr>
          <w:ilvl w:val="0"/>
          <w:numId w:val="438"/>
        </w:numPr>
        <w:rPr>
          <w:rFonts w:ascii="Arial" w:cs="Arial" w:eastAsia="Arial" w:hAnsi="Arial"/>
          <w:sz w:val="18"/>
          <w:szCs w:val="18"/>
          <w:b w:val="1"/>
          <w:bCs w:val="1"/>
          <w:color w:val="auto"/>
        </w:rPr>
      </w:pPr>
      <w:r>
        <w:rPr>
          <w:rFonts w:ascii="Arial" w:cs="Arial" w:eastAsia="Arial" w:hAnsi="Arial"/>
          <w:sz w:val="18"/>
          <w:szCs w:val="18"/>
          <w:b w:val="1"/>
          <w:bCs w:val="1"/>
          <w:color w:val="auto"/>
        </w:rPr>
        <w:t>Existing Indebtedness</w:t>
      </w:r>
    </w:p>
    <w:p>
      <w:pPr>
        <w:spacing w:after="0" w:line="220" w:lineRule="exact"/>
        <w:rPr>
          <w:sz w:val="20"/>
          <w:szCs w:val="20"/>
          <w:color w:val="auto"/>
        </w:rPr>
      </w:pPr>
    </w:p>
    <w:p>
      <w:pPr>
        <w:jc w:val="both"/>
        <w:ind w:left="532"/>
        <w:spacing w:after="0"/>
        <w:rPr>
          <w:sz w:val="20"/>
          <w:szCs w:val="20"/>
          <w:color w:val="auto"/>
        </w:rPr>
      </w:pPr>
      <w:r>
        <w:rPr>
          <w:rFonts w:ascii="Arial" w:cs="Arial" w:eastAsia="Arial" w:hAnsi="Arial"/>
          <w:sz w:val="18"/>
          <w:szCs w:val="18"/>
          <w:color w:val="auto"/>
        </w:rPr>
        <w:t>Brief description of each credit facility comprising the Existing Indebtedness, including the relevant Existing Indebtedness Lender and the relevant Ship mortgaged under and in relation to each such facility, and the total principal amount and interest thereon forecast to be outstanding on the first Utilisation Date in connection with the same.</w:t>
      </w:r>
    </w:p>
    <w:p>
      <w:pPr>
        <w:spacing w:after="0" w:line="17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246620" cy="342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12"/>
          </w:cols>
          <w:pgMar w:left="248" w:top="400" w:right="239" w:bottom="1440" w:gutter="0" w:footer="0" w:header="0"/>
        </w:sectPr>
      </w:pPr>
    </w:p>
    <w:bookmarkStart w:id="220" w:name="page221"/>
    <w:bookmarkEnd w:id="220"/>
    <w:p>
      <w:pPr>
        <w:jc w:val="center"/>
        <w:spacing w:after="0"/>
        <w:rPr>
          <w:sz w:val="20"/>
          <w:szCs w:val="20"/>
          <w:color w:val="auto"/>
        </w:rPr>
      </w:pPr>
      <w:r>
        <w:rPr>
          <w:rFonts w:ascii="Arial" w:cs="Arial" w:eastAsia="Arial" w:hAnsi="Arial"/>
          <w:sz w:val="18"/>
          <w:szCs w:val="18"/>
          <w:b w:val="1"/>
          <w:bCs w:val="1"/>
          <w:color w:val="auto"/>
        </w:rPr>
        <w:t>Part 2</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 to initial Utilisation</w:t>
      </w:r>
    </w:p>
    <w:p>
      <w:pPr>
        <w:spacing w:after="0" w:line="176" w:lineRule="exact"/>
        <w:rPr>
          <w:sz w:val="20"/>
          <w:szCs w:val="20"/>
          <w:color w:val="auto"/>
        </w:rPr>
      </w:pPr>
    </w:p>
    <w:p>
      <w:pPr>
        <w:ind w:left="540" w:hanging="532"/>
        <w:spacing w:after="0"/>
        <w:tabs>
          <w:tab w:leader="none" w:pos="540" w:val="left"/>
        </w:tabs>
        <w:numPr>
          <w:ilvl w:val="0"/>
          <w:numId w:val="439"/>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documents</w:t>
      </w:r>
    </w:p>
    <w:p>
      <w:pPr>
        <w:spacing w:after="0" w:line="220" w:lineRule="exact"/>
        <w:rPr>
          <w:rFonts w:ascii="Arial" w:cs="Arial" w:eastAsia="Arial" w:hAnsi="Arial"/>
          <w:sz w:val="18"/>
          <w:szCs w:val="18"/>
          <w:b w:val="1"/>
          <w:bCs w:val="1"/>
          <w:color w:val="auto"/>
        </w:rPr>
      </w:pPr>
    </w:p>
    <w:p>
      <w:pPr>
        <w:jc w:val="both"/>
        <w:ind w:left="1080" w:hanging="532"/>
        <w:spacing w:after="0" w:line="239" w:lineRule="auto"/>
        <w:tabs>
          <w:tab w:leader="none" w:pos="1080" w:val="left"/>
        </w:tabs>
        <w:numPr>
          <w:ilvl w:val="1"/>
          <w:numId w:val="439"/>
        </w:numPr>
        <w:rPr>
          <w:rFonts w:ascii="Arial" w:cs="Arial" w:eastAsia="Arial" w:hAnsi="Arial"/>
          <w:sz w:val="18"/>
          <w:szCs w:val="18"/>
          <w:color w:val="auto"/>
        </w:rPr>
      </w:pPr>
      <w:r>
        <w:rPr>
          <w:rFonts w:ascii="Arial" w:cs="Arial" w:eastAsia="Arial" w:hAnsi="Arial"/>
          <w:sz w:val="18"/>
          <w:szCs w:val="18"/>
          <w:color w:val="auto"/>
        </w:rPr>
        <w:t>A certificate of an authorised signatory of the relevant Owner certifying that each copy document relating to it specified in Part 1 of this Schedule remains correct, complete and in full force and effect as at a date no earlier than a date approved for this purpose and that any resolutions or power of attorney referred to in Part 1 of this Schedule in relation to it have not been revoked or amended.</w:t>
      </w:r>
    </w:p>
    <w:p>
      <w:pPr>
        <w:spacing w:after="0" w:line="188" w:lineRule="exact"/>
        <w:rPr>
          <w:rFonts w:ascii="Arial" w:cs="Arial" w:eastAsia="Arial" w:hAnsi="Arial"/>
          <w:sz w:val="18"/>
          <w:szCs w:val="18"/>
          <w:color w:val="auto"/>
        </w:rPr>
      </w:pPr>
    </w:p>
    <w:p>
      <w:pPr>
        <w:jc w:val="both"/>
        <w:ind w:left="1080" w:hanging="532"/>
        <w:spacing w:after="0" w:line="238" w:lineRule="auto"/>
        <w:tabs>
          <w:tab w:leader="none" w:pos="1080" w:val="left"/>
        </w:tabs>
        <w:numPr>
          <w:ilvl w:val="1"/>
          <w:numId w:val="439"/>
        </w:numPr>
        <w:rPr>
          <w:rFonts w:ascii="Arial" w:cs="Arial" w:eastAsia="Arial" w:hAnsi="Arial"/>
          <w:sz w:val="18"/>
          <w:szCs w:val="18"/>
          <w:color w:val="auto"/>
        </w:rPr>
      </w:pPr>
      <w:r>
        <w:rPr>
          <w:rFonts w:ascii="Arial" w:cs="Arial" w:eastAsia="Arial" w:hAnsi="Arial"/>
          <w:sz w:val="18"/>
          <w:szCs w:val="18"/>
          <w:color w:val="auto"/>
        </w:rPr>
        <w:t>A certificate of an authorised signatory of each other Obligor or a Manager (other than the Shell Technical Manager) which is party to any of the Original Security Documents required to be executed under this Part 2 in respect of the relevant Ship certifying that each copy document relating to it specified in Part 1 of this Schedule remains correct, complete and in full force and effect as at a date no earlier than a date approved for this purpose and that any resolutions or power of attorney referred to in Part 1 of this Schedule in relation to it have not been revoked or amended.</w:t>
      </w:r>
    </w:p>
    <w:p>
      <w:pPr>
        <w:spacing w:after="0" w:line="167" w:lineRule="exact"/>
        <w:rPr>
          <w:sz w:val="20"/>
          <w:szCs w:val="20"/>
          <w:color w:val="auto"/>
        </w:rPr>
      </w:pPr>
    </w:p>
    <w:p>
      <w:pPr>
        <w:ind w:left="540" w:hanging="532"/>
        <w:spacing w:after="0"/>
        <w:tabs>
          <w:tab w:leader="none" w:pos="540" w:val="left"/>
        </w:tabs>
        <w:numPr>
          <w:ilvl w:val="0"/>
          <w:numId w:val="440"/>
        </w:numPr>
        <w:rPr>
          <w:rFonts w:ascii="Arial" w:cs="Arial" w:eastAsia="Arial" w:hAnsi="Arial"/>
          <w:sz w:val="18"/>
          <w:szCs w:val="18"/>
          <w:b w:val="1"/>
          <w:bCs w:val="1"/>
          <w:color w:val="auto"/>
        </w:rPr>
      </w:pPr>
      <w:r>
        <w:rPr>
          <w:rFonts w:ascii="Arial" w:cs="Arial" w:eastAsia="Arial" w:hAnsi="Arial"/>
          <w:sz w:val="18"/>
          <w:szCs w:val="18"/>
          <w:b w:val="1"/>
          <w:bCs w:val="1"/>
          <w:color w:val="auto"/>
        </w:rPr>
        <w:t>Security</w:t>
      </w:r>
    </w:p>
    <w:p>
      <w:pPr>
        <w:spacing w:after="0" w:line="220" w:lineRule="exact"/>
        <w:rPr>
          <w:rFonts w:ascii="Arial" w:cs="Arial" w:eastAsia="Arial" w:hAnsi="Arial"/>
          <w:sz w:val="18"/>
          <w:szCs w:val="18"/>
          <w:b w:val="1"/>
          <w:bCs w:val="1"/>
          <w:color w:val="auto"/>
        </w:rPr>
      </w:pPr>
    </w:p>
    <w:p>
      <w:pPr>
        <w:ind w:left="1080" w:hanging="532"/>
        <w:spacing w:after="0" w:line="246" w:lineRule="auto"/>
        <w:tabs>
          <w:tab w:leader="none" w:pos="108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The Mortgage and the Deed of Covenant or General Assignment in respect of the relevant Ship and, unless the relevant Ship is Ship F, Ship G or Ship H, the relevant Charter Assignment for the relevant Ship.</w:t>
      </w:r>
    </w:p>
    <w:p>
      <w:pPr>
        <w:spacing w:after="0" w:line="183" w:lineRule="exact"/>
        <w:rPr>
          <w:rFonts w:ascii="Arial" w:cs="Arial" w:eastAsia="Arial" w:hAnsi="Arial"/>
          <w:sz w:val="18"/>
          <w:szCs w:val="18"/>
          <w:color w:val="auto"/>
        </w:rPr>
      </w:pPr>
    </w:p>
    <w:p>
      <w:pPr>
        <w:ind w:left="1080" w:hanging="532"/>
        <w:spacing w:after="0"/>
        <w:tabs>
          <w:tab w:leader="none" w:pos="108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Any Manager’s Undertaking duly executed by the relevant Manager.</w:t>
      </w:r>
    </w:p>
    <w:p>
      <w:pPr>
        <w:spacing w:after="0" w:line="180" w:lineRule="exact"/>
        <w:rPr>
          <w:rFonts w:ascii="Arial" w:cs="Arial" w:eastAsia="Arial" w:hAnsi="Arial"/>
          <w:sz w:val="18"/>
          <w:szCs w:val="18"/>
          <w:color w:val="auto"/>
        </w:rPr>
      </w:pPr>
    </w:p>
    <w:p>
      <w:pPr>
        <w:ind w:left="1080" w:hanging="532"/>
        <w:spacing w:after="0"/>
        <w:tabs>
          <w:tab w:leader="none" w:pos="108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Evidence that the Borrowers are in compliance with clause 26.5 (</w:t>
      </w:r>
      <w:r>
        <w:rPr>
          <w:rFonts w:ascii="Arial" w:cs="Arial" w:eastAsia="Arial" w:hAnsi="Arial"/>
          <w:sz w:val="18"/>
          <w:szCs w:val="18"/>
          <w:i w:val="1"/>
          <w:iCs w:val="1"/>
          <w:color w:val="auto"/>
        </w:rPr>
        <w:t>Notice of assignment</w:t>
      </w:r>
      <w:r>
        <w:rPr>
          <w:rFonts w:ascii="Arial" w:cs="Arial" w:eastAsia="Arial" w:hAnsi="Arial"/>
          <w:sz w:val="18"/>
          <w:szCs w:val="18"/>
          <w:color w:val="auto"/>
        </w:rPr>
        <w:t>) in respect of the relevant Ship.</w:t>
      </w:r>
    </w:p>
    <w:p>
      <w:pPr>
        <w:spacing w:after="0" w:line="216" w:lineRule="exact"/>
        <w:rPr>
          <w:rFonts w:ascii="Arial" w:cs="Arial" w:eastAsia="Arial" w:hAnsi="Arial"/>
          <w:sz w:val="18"/>
          <w:szCs w:val="18"/>
          <w:color w:val="auto"/>
        </w:rPr>
      </w:pPr>
    </w:p>
    <w:p>
      <w:pPr>
        <w:jc w:val="both"/>
        <w:ind w:left="1080" w:hanging="532"/>
        <w:spacing w:after="0"/>
        <w:tabs>
          <w:tab w:leader="none" w:pos="108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In the case of each of Ship F, Ship G or Ship H only, and if such Ship is subject to a charter commitment that falls under the assignment requirements of clause 22.7(b), evidence that the Borrowers are in compliance with such clause in respect of such charter commitment.</w:t>
      </w:r>
    </w:p>
    <w:p>
      <w:pPr>
        <w:spacing w:after="0" w:line="189" w:lineRule="exact"/>
        <w:rPr>
          <w:rFonts w:ascii="Arial" w:cs="Arial" w:eastAsia="Arial" w:hAnsi="Arial"/>
          <w:sz w:val="18"/>
          <w:szCs w:val="18"/>
          <w:color w:val="auto"/>
        </w:rPr>
      </w:pPr>
    </w:p>
    <w:p>
      <w:pPr>
        <w:ind w:left="1080" w:right="20" w:hanging="532"/>
        <w:spacing w:after="0" w:line="246" w:lineRule="auto"/>
        <w:tabs>
          <w:tab w:leader="none" w:pos="108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The Quiet Enjoyment Agreement for the relevant Ship (unless it is Ship F, Ship G or Ship H) duly executed by the relevant Owners, the Security Agent and the relevant Charterers.</w:t>
      </w:r>
    </w:p>
    <w:p>
      <w:pPr>
        <w:spacing w:after="0" w:line="183" w:lineRule="exact"/>
        <w:rPr>
          <w:rFonts w:ascii="Arial" w:cs="Arial" w:eastAsia="Arial" w:hAnsi="Arial"/>
          <w:sz w:val="18"/>
          <w:szCs w:val="18"/>
          <w:color w:val="auto"/>
        </w:rPr>
      </w:pPr>
    </w:p>
    <w:p>
      <w:pPr>
        <w:ind w:left="1080" w:hanging="532"/>
        <w:spacing w:after="0" w:line="246" w:lineRule="auto"/>
        <w:tabs>
          <w:tab w:leader="none" w:pos="108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Duly executed notices of assignment and acknowledgements required by the relevant Charter Assignment for the relevant Ship (unless it is Ship F, Ship G or Ship H).</w:t>
      </w:r>
    </w:p>
    <w:p>
      <w:pPr>
        <w:spacing w:after="0" w:line="183" w:lineRule="exact"/>
        <w:rPr>
          <w:rFonts w:ascii="Arial" w:cs="Arial" w:eastAsia="Arial" w:hAnsi="Arial"/>
          <w:sz w:val="18"/>
          <w:szCs w:val="18"/>
          <w:color w:val="auto"/>
        </w:rPr>
      </w:pPr>
    </w:p>
    <w:p>
      <w:pPr>
        <w:jc w:val="both"/>
        <w:ind w:left="1080" w:hanging="532"/>
        <w:spacing w:after="0" w:line="239" w:lineRule="auto"/>
        <w:tabs>
          <w:tab w:leader="none" w:pos="108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Other than the notices of assignment and acknowledgements referred to in paragraph (f) above, duly executed notices of assignment and acknowledgements of those notices as required by any of the above Security Documents (including notices of assignment and acknowledgements, in agreed form, in respect of the assignment of the Earnings of each of Ship F, Ship G and Ship H in relation to the Cool Pool Arrangements).</w:t>
      </w:r>
    </w:p>
    <w:p>
      <w:pPr>
        <w:spacing w:after="0" w:line="166" w:lineRule="exact"/>
        <w:rPr>
          <w:sz w:val="20"/>
          <w:szCs w:val="20"/>
          <w:color w:val="auto"/>
        </w:rPr>
      </w:pPr>
    </w:p>
    <w:p>
      <w:pPr>
        <w:ind w:left="540" w:right="8320" w:hanging="532"/>
        <w:spacing w:after="0" w:line="482" w:lineRule="auto"/>
        <w:tabs>
          <w:tab w:leader="none" w:pos="540" w:val="left"/>
        </w:tabs>
        <w:numPr>
          <w:ilvl w:val="0"/>
          <w:numId w:val="4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Registration of Ship </w:t>
      </w:r>
      <w:r>
        <w:rPr>
          <w:rFonts w:ascii="Arial" w:cs="Arial" w:eastAsia="Arial" w:hAnsi="Arial"/>
          <w:sz w:val="18"/>
          <w:szCs w:val="18"/>
          <w:color w:val="auto"/>
        </w:rPr>
        <w:t>Evidence that the relevant Ship:</w:t>
      </w:r>
    </w:p>
    <w:p>
      <w:pPr>
        <w:jc w:val="both"/>
        <w:ind w:left="1080" w:hanging="532"/>
        <w:spacing w:after="0"/>
        <w:tabs>
          <w:tab w:leader="none" w:pos="1080" w:val="left"/>
        </w:tabs>
        <w:numPr>
          <w:ilvl w:val="1"/>
          <w:numId w:val="441"/>
        </w:numPr>
        <w:rPr>
          <w:rFonts w:ascii="Arial" w:cs="Arial" w:eastAsia="Arial" w:hAnsi="Arial"/>
          <w:sz w:val="18"/>
          <w:szCs w:val="18"/>
          <w:color w:val="auto"/>
        </w:rPr>
      </w:pPr>
      <w:r>
        <w:rPr>
          <w:rFonts w:ascii="Arial" w:cs="Arial" w:eastAsia="Arial" w:hAnsi="Arial"/>
          <w:sz w:val="18"/>
          <w:szCs w:val="18"/>
          <w:color w:val="auto"/>
        </w:rPr>
        <w:t>is legally and beneficially owned by the relevant Owner and registered in the name of the relevant Owner free from any Security Interests (other than Security Interests created under the Finance Documents) through the relevant Registry as a ship under the laws and flag of the relevant Flag State;</w:t>
      </w:r>
    </w:p>
    <w:p>
      <w:pPr>
        <w:spacing w:after="0" w:line="189" w:lineRule="exact"/>
        <w:rPr>
          <w:rFonts w:ascii="Arial" w:cs="Arial" w:eastAsia="Arial" w:hAnsi="Arial"/>
          <w:sz w:val="18"/>
          <w:szCs w:val="18"/>
          <w:color w:val="auto"/>
        </w:rPr>
      </w:pPr>
    </w:p>
    <w:p>
      <w:pPr>
        <w:ind w:left="5560" w:right="240" w:hanging="5012"/>
        <w:spacing w:after="0" w:line="465" w:lineRule="auto"/>
        <w:tabs>
          <w:tab w:leader="none" w:pos="1085" w:val="left"/>
        </w:tabs>
        <w:numPr>
          <w:ilvl w:val="1"/>
          <w:numId w:val="441"/>
        </w:numPr>
        <w:rPr>
          <w:rFonts w:ascii="Arial" w:cs="Arial" w:eastAsia="Arial" w:hAnsi="Arial"/>
          <w:sz w:val="18"/>
          <w:szCs w:val="18"/>
          <w:color w:val="auto"/>
        </w:rPr>
      </w:pPr>
      <w:r>
        <w:rPr>
          <w:rFonts w:ascii="Arial" w:cs="Arial" w:eastAsia="Arial" w:hAnsi="Arial"/>
          <w:sz w:val="18"/>
          <w:szCs w:val="18"/>
          <w:color w:val="auto"/>
        </w:rPr>
        <w:t>(except where the relevant Ship is Ship F, Ship G or Ship H), it has been accepted by the Charterer under the relevant Charter; 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42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21" w:name="page222"/>
    <w:bookmarkEnd w:id="221"/>
    <w:p>
      <w:pPr>
        <w:ind w:left="1080" w:hanging="532"/>
        <w:spacing w:after="0" w:line="246" w:lineRule="auto"/>
        <w:tabs>
          <w:tab w:leader="none" w:pos="108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is classed with the relevant Classification free of all overdue requirements and recommendations of the relevant Classification Society;</w:t>
      </w:r>
    </w:p>
    <w:p>
      <w:pPr>
        <w:spacing w:after="0" w:line="183" w:lineRule="exact"/>
        <w:rPr>
          <w:rFonts w:ascii="Arial" w:cs="Arial" w:eastAsia="Arial" w:hAnsi="Arial"/>
          <w:sz w:val="18"/>
          <w:szCs w:val="18"/>
          <w:color w:val="auto"/>
        </w:rPr>
      </w:pPr>
    </w:p>
    <w:p>
      <w:pPr>
        <w:ind w:left="1080" w:hanging="532"/>
        <w:spacing w:after="0"/>
        <w:tabs>
          <w:tab w:leader="none" w:pos="108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is insured in the manner required by the Finance Documents; and</w:t>
      </w:r>
    </w:p>
    <w:p>
      <w:pPr>
        <w:spacing w:after="0" w:line="19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is otherwise free of any other charter commitment (other than the relevant Charter, where applicable) which would require approval under the Finance Documents and is not otherwise approved.</w:t>
      </w:r>
    </w:p>
    <w:p>
      <w:pPr>
        <w:spacing w:after="0" w:line="161" w:lineRule="exact"/>
        <w:rPr>
          <w:sz w:val="20"/>
          <w:szCs w:val="20"/>
          <w:color w:val="auto"/>
        </w:rPr>
      </w:pPr>
    </w:p>
    <w:p>
      <w:pPr>
        <w:ind w:left="540" w:hanging="532"/>
        <w:spacing w:after="0"/>
        <w:tabs>
          <w:tab w:leader="none" w:pos="540" w:val="left"/>
        </w:tabs>
        <w:numPr>
          <w:ilvl w:val="0"/>
          <w:numId w:val="443"/>
        </w:numPr>
        <w:rPr>
          <w:rFonts w:ascii="Arial" w:cs="Arial" w:eastAsia="Arial" w:hAnsi="Arial"/>
          <w:sz w:val="18"/>
          <w:szCs w:val="18"/>
          <w:b w:val="1"/>
          <w:bCs w:val="1"/>
          <w:color w:val="auto"/>
        </w:rPr>
      </w:pPr>
      <w:r>
        <w:rPr>
          <w:rFonts w:ascii="Arial" w:cs="Arial" w:eastAsia="Arial" w:hAnsi="Arial"/>
          <w:sz w:val="18"/>
          <w:szCs w:val="18"/>
          <w:b w:val="1"/>
          <w:bCs w:val="1"/>
          <w:color w:val="auto"/>
        </w:rPr>
        <w:t>Mortgage registration</w:t>
      </w:r>
    </w:p>
    <w:p>
      <w:pPr>
        <w:spacing w:after="0" w:line="220" w:lineRule="exact"/>
        <w:rPr>
          <w:rFonts w:ascii="Arial" w:cs="Arial" w:eastAsia="Arial" w:hAnsi="Arial"/>
          <w:sz w:val="18"/>
          <w:szCs w:val="18"/>
          <w:b w:val="1"/>
          <w:bCs w:val="1"/>
          <w:color w:val="auto"/>
        </w:rPr>
      </w:pPr>
    </w:p>
    <w:p>
      <w:pPr>
        <w:ind w:left="54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Evidence that the Mortgage in respect of the relevant Ship has been registered with first priority and/or preferred status against the relevant Ship through the relevant Registry under the laws and flag of the relevant Flag State.</w:t>
      </w:r>
    </w:p>
    <w:p>
      <w:pPr>
        <w:spacing w:after="0" w:line="161" w:lineRule="exact"/>
        <w:rPr>
          <w:sz w:val="20"/>
          <w:szCs w:val="20"/>
          <w:color w:val="auto"/>
        </w:rPr>
      </w:pPr>
    </w:p>
    <w:p>
      <w:pPr>
        <w:ind w:left="540" w:hanging="532"/>
        <w:spacing w:after="0"/>
        <w:tabs>
          <w:tab w:leader="none" w:pos="540" w:val="left"/>
        </w:tabs>
        <w:numPr>
          <w:ilvl w:val="0"/>
          <w:numId w:val="444"/>
        </w:numPr>
        <w:rPr>
          <w:rFonts w:ascii="Arial" w:cs="Arial" w:eastAsia="Arial" w:hAnsi="Arial"/>
          <w:sz w:val="18"/>
          <w:szCs w:val="18"/>
          <w:b w:val="1"/>
          <w:bCs w:val="1"/>
          <w:color w:val="auto"/>
        </w:rPr>
      </w:pPr>
      <w:r>
        <w:rPr>
          <w:rFonts w:ascii="Arial" w:cs="Arial" w:eastAsia="Arial" w:hAnsi="Arial"/>
          <w:sz w:val="18"/>
          <w:szCs w:val="18"/>
          <w:b w:val="1"/>
          <w:bCs w:val="1"/>
          <w:color w:val="auto"/>
        </w:rPr>
        <w:t>Legal opinions</w:t>
      </w:r>
    </w:p>
    <w:p>
      <w:pPr>
        <w:spacing w:after="0" w:line="220" w:lineRule="exact"/>
        <w:rPr>
          <w:rFonts w:ascii="Arial" w:cs="Arial" w:eastAsia="Arial" w:hAnsi="Arial"/>
          <w:sz w:val="18"/>
          <w:szCs w:val="18"/>
          <w:b w:val="1"/>
          <w:bCs w:val="1"/>
          <w:color w:val="auto"/>
        </w:rPr>
      </w:pPr>
    </w:p>
    <w:p>
      <w:pPr>
        <w:jc w:val="both"/>
        <w:ind w:left="540"/>
        <w:spacing w:after="0"/>
        <w:rPr>
          <w:rFonts w:ascii="Arial" w:cs="Arial" w:eastAsia="Arial" w:hAnsi="Arial"/>
          <w:sz w:val="18"/>
          <w:szCs w:val="18"/>
          <w:b w:val="1"/>
          <w:bCs w:val="1"/>
          <w:color w:val="auto"/>
        </w:rPr>
      </w:pPr>
      <w:r>
        <w:rPr>
          <w:rFonts w:ascii="Arial" w:cs="Arial" w:eastAsia="Arial" w:hAnsi="Arial"/>
          <w:sz w:val="18"/>
          <w:szCs w:val="18"/>
          <w:color w:val="auto"/>
        </w:rPr>
        <w:t>The following further legal opinions, each addressed to the Agent, the Security Agent and the Lenders (and in a form and substance reasonably satisfactory to the Agent and the Lenders) and capable of being relied upon by any persons who become Lenders pursuant to the primary syndication of the Facilities:</w:t>
      </w:r>
    </w:p>
    <w:p>
      <w:pPr>
        <w:spacing w:after="0" w:line="189" w:lineRule="exact"/>
        <w:rPr>
          <w:rFonts w:ascii="Arial" w:cs="Arial" w:eastAsia="Arial" w:hAnsi="Arial"/>
          <w:sz w:val="18"/>
          <w:szCs w:val="18"/>
          <w:b w:val="1"/>
          <w:bCs w:val="1"/>
          <w:color w:val="auto"/>
        </w:rPr>
      </w:pPr>
    </w:p>
    <w:p>
      <w:pPr>
        <w:ind w:left="1080" w:hanging="532"/>
        <w:spacing w:after="0"/>
        <w:tabs>
          <w:tab w:leader="none" w:pos="1080" w:val="left"/>
        </w:tabs>
        <w:numPr>
          <w:ilvl w:val="1"/>
          <w:numId w:val="444"/>
        </w:numPr>
        <w:rPr>
          <w:rFonts w:ascii="Arial" w:cs="Arial" w:eastAsia="Arial" w:hAnsi="Arial"/>
          <w:sz w:val="18"/>
          <w:szCs w:val="18"/>
          <w:color w:val="auto"/>
        </w:rPr>
      </w:pPr>
      <w:r>
        <w:rPr>
          <w:rFonts w:ascii="Arial" w:cs="Arial" w:eastAsia="Arial" w:hAnsi="Arial"/>
          <w:sz w:val="18"/>
          <w:szCs w:val="18"/>
          <w:color w:val="auto"/>
        </w:rPr>
        <w:t>A legal opinion of Norton Rose Fulbright Greece on matters of English law, in relation to the Security Documents.</w:t>
      </w:r>
    </w:p>
    <w:p>
      <w:pPr>
        <w:spacing w:after="0" w:line="198" w:lineRule="exact"/>
        <w:rPr>
          <w:rFonts w:ascii="Arial" w:cs="Arial" w:eastAsia="Arial" w:hAnsi="Arial"/>
          <w:sz w:val="18"/>
          <w:szCs w:val="18"/>
          <w:color w:val="auto"/>
        </w:rPr>
      </w:pPr>
    </w:p>
    <w:p>
      <w:pPr>
        <w:jc w:val="both"/>
        <w:ind w:left="1080" w:hanging="532"/>
        <w:spacing w:after="0"/>
        <w:tabs>
          <w:tab w:leader="none" w:pos="1080" w:val="left"/>
        </w:tabs>
        <w:numPr>
          <w:ilvl w:val="1"/>
          <w:numId w:val="444"/>
        </w:numPr>
        <w:rPr>
          <w:rFonts w:ascii="Arial" w:cs="Arial" w:eastAsia="Arial" w:hAnsi="Arial"/>
          <w:sz w:val="18"/>
          <w:szCs w:val="18"/>
          <w:color w:val="auto"/>
        </w:rPr>
      </w:pPr>
      <w:r>
        <w:rPr>
          <w:rFonts w:ascii="Arial" w:cs="Arial" w:eastAsia="Arial" w:hAnsi="Arial"/>
          <w:sz w:val="18"/>
          <w:szCs w:val="18"/>
          <w:color w:val="auto"/>
        </w:rPr>
        <w:t>A legal opinion of the legal advisers to the Arrangers and the Agent in each jurisdiction (other than England) in which an Obligor is incorporated and/or which is or is to be the Flag State of a Mortgaged Ship, or in which an Account opened at the relevant time is established.</w:t>
      </w:r>
    </w:p>
    <w:p>
      <w:pPr>
        <w:spacing w:after="0" w:line="167" w:lineRule="exact"/>
        <w:rPr>
          <w:sz w:val="20"/>
          <w:szCs w:val="20"/>
          <w:color w:val="auto"/>
        </w:rPr>
      </w:pPr>
    </w:p>
    <w:p>
      <w:pPr>
        <w:ind w:left="540" w:hanging="532"/>
        <w:spacing w:after="0"/>
        <w:tabs>
          <w:tab w:leader="none" w:pos="540" w:val="left"/>
        </w:tabs>
        <w:numPr>
          <w:ilvl w:val="0"/>
          <w:numId w:val="445"/>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220"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In relation to the relevant Ship’s Insurances:</w:t>
      </w:r>
    </w:p>
    <w:p>
      <w:pPr>
        <w:spacing w:after="0" w:line="19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an opinion from insurance consultants appointed by the Agent on such Insurances;</w:t>
      </w:r>
    </w:p>
    <w:p>
      <w:pPr>
        <w:spacing w:after="0" w:line="180" w:lineRule="exact"/>
        <w:rPr>
          <w:rFonts w:ascii="Arial" w:cs="Arial" w:eastAsia="Arial" w:hAnsi="Arial"/>
          <w:sz w:val="18"/>
          <w:szCs w:val="18"/>
          <w:color w:val="auto"/>
        </w:rPr>
      </w:pPr>
    </w:p>
    <w:p>
      <w:pPr>
        <w:ind w:left="1080" w:hanging="532"/>
        <w:spacing w:after="0"/>
        <w:tabs>
          <w:tab w:leader="none" w:pos="108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evidence that such Insurances have been placed in accordance with clause 24 (</w:t>
      </w:r>
      <w:r>
        <w:rPr>
          <w:rFonts w:ascii="Arial" w:cs="Arial" w:eastAsia="Arial" w:hAnsi="Arial"/>
          <w:sz w:val="18"/>
          <w:szCs w:val="18"/>
          <w:i w:val="1"/>
          <w:iCs w:val="1"/>
          <w:color w:val="auto"/>
        </w:rPr>
        <w:t>Insurance</w:t>
      </w:r>
      <w:r>
        <w:rPr>
          <w:rFonts w:ascii="Arial" w:cs="Arial" w:eastAsia="Arial" w:hAnsi="Arial"/>
          <w:sz w:val="18"/>
          <w:szCs w:val="18"/>
          <w:color w:val="auto"/>
        </w:rPr>
        <w:t>); and</w:t>
      </w:r>
    </w:p>
    <w:p>
      <w:pPr>
        <w:spacing w:after="0" w:line="216" w:lineRule="exact"/>
        <w:rPr>
          <w:rFonts w:ascii="Arial" w:cs="Arial" w:eastAsia="Arial" w:hAnsi="Arial"/>
          <w:sz w:val="18"/>
          <w:szCs w:val="18"/>
          <w:color w:val="auto"/>
        </w:rPr>
      </w:pPr>
    </w:p>
    <w:p>
      <w:pPr>
        <w:ind w:left="1080" w:hanging="532"/>
        <w:spacing w:after="0" w:line="246" w:lineRule="auto"/>
        <w:tabs>
          <w:tab w:leader="none" w:pos="108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evidence that approved brokers, insurers and/or associations have issued or will issue letters of undertaking in favour of the Security Agent in an approved form in relation to the Insurances.</w:t>
      </w:r>
    </w:p>
    <w:p>
      <w:pPr>
        <w:spacing w:after="0" w:line="161" w:lineRule="exact"/>
        <w:rPr>
          <w:sz w:val="20"/>
          <w:szCs w:val="20"/>
          <w:color w:val="auto"/>
        </w:rPr>
      </w:pPr>
    </w:p>
    <w:p>
      <w:pPr>
        <w:ind w:left="540" w:right="9220" w:hanging="532"/>
        <w:spacing w:after="0" w:line="482" w:lineRule="auto"/>
        <w:tabs>
          <w:tab w:leader="none" w:pos="540" w:val="left"/>
        </w:tabs>
        <w:numPr>
          <w:ilvl w:val="0"/>
          <w:numId w:val="4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ISM and ISPS Code </w:t>
      </w:r>
      <w:r>
        <w:rPr>
          <w:rFonts w:ascii="Arial" w:cs="Arial" w:eastAsia="Arial" w:hAnsi="Arial"/>
          <w:sz w:val="18"/>
          <w:szCs w:val="18"/>
          <w:color w:val="auto"/>
        </w:rPr>
        <w:t>Copies of:</w:t>
      </w:r>
    </w:p>
    <w:p>
      <w:pPr>
        <w:ind w:left="1080" w:hanging="532"/>
        <w:spacing w:after="0" w:line="246" w:lineRule="auto"/>
        <w:tabs>
          <w:tab w:leader="none" w:pos="1080" w:val="left"/>
        </w:tabs>
        <w:numPr>
          <w:ilvl w:val="1"/>
          <w:numId w:val="446"/>
        </w:numPr>
        <w:rPr>
          <w:rFonts w:ascii="Arial" w:cs="Arial" w:eastAsia="Arial" w:hAnsi="Arial"/>
          <w:sz w:val="18"/>
          <w:szCs w:val="18"/>
          <w:color w:val="auto"/>
        </w:rPr>
      </w:pPr>
      <w:r>
        <w:rPr>
          <w:rFonts w:ascii="Arial" w:cs="Arial" w:eastAsia="Arial" w:hAnsi="Arial"/>
          <w:sz w:val="18"/>
          <w:szCs w:val="18"/>
          <w:color w:val="auto"/>
        </w:rPr>
        <w:t>the document of compliance issued in accordance with the ISM Code to the person who is the operator of the relevant Ship for the purposes of that code;</w:t>
      </w:r>
    </w:p>
    <w:p>
      <w:pPr>
        <w:spacing w:after="0" w:line="183" w:lineRule="exact"/>
        <w:rPr>
          <w:rFonts w:ascii="Arial" w:cs="Arial" w:eastAsia="Arial" w:hAnsi="Arial"/>
          <w:sz w:val="18"/>
          <w:szCs w:val="18"/>
          <w:color w:val="auto"/>
        </w:rPr>
      </w:pPr>
    </w:p>
    <w:p>
      <w:pPr>
        <w:ind w:left="1080" w:hanging="532"/>
        <w:spacing w:after="0"/>
        <w:tabs>
          <w:tab w:leader="none" w:pos="1080" w:val="left"/>
        </w:tabs>
        <w:numPr>
          <w:ilvl w:val="1"/>
          <w:numId w:val="446"/>
        </w:numPr>
        <w:rPr>
          <w:rFonts w:ascii="Arial" w:cs="Arial" w:eastAsia="Arial" w:hAnsi="Arial"/>
          <w:sz w:val="18"/>
          <w:szCs w:val="18"/>
          <w:color w:val="auto"/>
        </w:rPr>
      </w:pPr>
      <w:r>
        <w:rPr>
          <w:rFonts w:ascii="Arial" w:cs="Arial" w:eastAsia="Arial" w:hAnsi="Arial"/>
          <w:sz w:val="18"/>
          <w:szCs w:val="18"/>
          <w:color w:val="auto"/>
        </w:rPr>
        <w:t>the safety management certificate in respect of the relevant Ship issued in accordance with the ISM Code;</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1"/>
          <w:numId w:val="446"/>
        </w:numPr>
        <w:rPr>
          <w:rFonts w:ascii="Arial" w:cs="Arial" w:eastAsia="Arial" w:hAnsi="Arial"/>
          <w:sz w:val="18"/>
          <w:szCs w:val="18"/>
          <w:color w:val="auto"/>
        </w:rPr>
      </w:pPr>
      <w:r>
        <w:rPr>
          <w:rFonts w:ascii="Arial" w:cs="Arial" w:eastAsia="Arial" w:hAnsi="Arial"/>
          <w:sz w:val="18"/>
          <w:szCs w:val="18"/>
          <w:color w:val="auto"/>
        </w:rPr>
        <w:t>the international ship security certificate in respect of the relevant Ship issued under the ISPS Code; and</w:t>
      </w:r>
    </w:p>
    <w:p>
      <w:pPr>
        <w:spacing w:after="0" w:line="198" w:lineRule="exact"/>
        <w:rPr>
          <w:rFonts w:ascii="Arial" w:cs="Arial" w:eastAsia="Arial" w:hAnsi="Arial"/>
          <w:sz w:val="18"/>
          <w:szCs w:val="18"/>
          <w:color w:val="auto"/>
        </w:rPr>
      </w:pPr>
    </w:p>
    <w:p>
      <w:pPr>
        <w:ind w:left="1080" w:hanging="532"/>
        <w:spacing w:after="0" w:line="246" w:lineRule="auto"/>
        <w:tabs>
          <w:tab w:leader="none" w:pos="1080" w:val="left"/>
        </w:tabs>
        <w:numPr>
          <w:ilvl w:val="1"/>
          <w:numId w:val="446"/>
        </w:numPr>
        <w:rPr>
          <w:rFonts w:ascii="Arial" w:cs="Arial" w:eastAsia="Arial" w:hAnsi="Arial"/>
          <w:sz w:val="18"/>
          <w:szCs w:val="18"/>
          <w:color w:val="auto"/>
        </w:rPr>
      </w:pPr>
      <w:r>
        <w:rPr>
          <w:rFonts w:ascii="Arial" w:cs="Arial" w:eastAsia="Arial" w:hAnsi="Arial"/>
          <w:sz w:val="18"/>
          <w:szCs w:val="18"/>
          <w:color w:val="auto"/>
        </w:rPr>
        <w:t>if so requested by the Agent, any other certificates issued under any applicable code required to be observed by the relevant Ship or in relation to its operation under any applicable law.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222" w:name="page223"/>
    <w:bookmarkEnd w:id="222"/>
    <w:p>
      <w:pPr>
        <w:ind w:left="540" w:hanging="532"/>
        <w:spacing w:after="0"/>
        <w:tabs>
          <w:tab w:leader="none" w:pos="540" w:val="left"/>
        </w:tabs>
        <w:numPr>
          <w:ilvl w:val="0"/>
          <w:numId w:val="447"/>
        </w:numPr>
        <w:rPr>
          <w:rFonts w:ascii="Arial" w:cs="Arial" w:eastAsia="Arial" w:hAnsi="Arial"/>
          <w:sz w:val="18"/>
          <w:szCs w:val="18"/>
          <w:b w:val="1"/>
          <w:bCs w:val="1"/>
          <w:color w:val="auto"/>
        </w:rPr>
      </w:pPr>
      <w:r>
        <w:rPr>
          <w:rFonts w:ascii="Arial" w:cs="Arial" w:eastAsia="Arial" w:hAnsi="Arial"/>
          <w:sz w:val="18"/>
          <w:szCs w:val="18"/>
          <w:b w:val="1"/>
          <w:bCs w:val="1"/>
          <w:color w:val="auto"/>
        </w:rPr>
        <w:t>Value of security</w:t>
      </w:r>
    </w:p>
    <w:p>
      <w:pPr>
        <w:spacing w:after="0" w:line="202" w:lineRule="exact"/>
        <w:rPr>
          <w:rFonts w:ascii="Arial" w:cs="Arial" w:eastAsia="Arial" w:hAnsi="Arial"/>
          <w:sz w:val="18"/>
          <w:szCs w:val="18"/>
          <w:b w:val="1"/>
          <w:bCs w:val="1"/>
          <w:color w:val="auto"/>
        </w:rPr>
      </w:pPr>
    </w:p>
    <w:p>
      <w:pPr>
        <w:ind w:left="540"/>
        <w:spacing w:after="0" w:line="267" w:lineRule="auto"/>
        <w:rPr>
          <w:rFonts w:ascii="Arial" w:cs="Arial" w:eastAsia="Arial" w:hAnsi="Arial"/>
          <w:sz w:val="18"/>
          <w:szCs w:val="18"/>
          <w:b w:val="1"/>
          <w:bCs w:val="1"/>
          <w:color w:val="auto"/>
        </w:rPr>
      </w:pPr>
      <w:r>
        <w:rPr>
          <w:rFonts w:ascii="Arial" w:cs="Arial" w:eastAsia="Arial" w:hAnsi="Arial"/>
          <w:sz w:val="18"/>
          <w:szCs w:val="18"/>
          <w:color w:val="auto"/>
        </w:rPr>
        <w:t>Valuations (dated not before 20 June 2016) of the relevant Ship obtained and made in accordance with clause 25 (</w:t>
      </w:r>
      <w:r>
        <w:rPr>
          <w:rFonts w:ascii="Arial" w:cs="Arial" w:eastAsia="Arial" w:hAnsi="Arial"/>
          <w:sz w:val="18"/>
          <w:szCs w:val="18"/>
          <w:i w:val="1"/>
          <w:iCs w:val="1"/>
          <w:color w:val="auto"/>
        </w:rPr>
        <w:t>Minimum security</w:t>
      </w:r>
      <w:r>
        <w:rPr>
          <w:rFonts w:ascii="Arial" w:cs="Arial" w:eastAsia="Arial" w:hAnsi="Arial"/>
          <w:sz w:val="18"/>
          <w:szCs w:val="18"/>
          <w:color w:val="auto"/>
        </w:rPr>
        <w:t xml:space="preserve"> </w:t>
      </w:r>
      <w:r>
        <w:rPr>
          <w:rFonts w:ascii="Arial" w:cs="Arial" w:eastAsia="Arial" w:hAnsi="Arial"/>
          <w:sz w:val="18"/>
          <w:szCs w:val="18"/>
          <w:i w:val="1"/>
          <w:iCs w:val="1"/>
          <w:color w:val="auto"/>
        </w:rPr>
        <w:t>value</w:t>
      </w:r>
      <w:r>
        <w:rPr>
          <w:rFonts w:ascii="Arial" w:cs="Arial" w:eastAsia="Arial" w:hAnsi="Arial"/>
          <w:sz w:val="18"/>
          <w:szCs w:val="18"/>
          <w:color w:val="auto"/>
        </w:rPr>
        <w:t>).</w:t>
      </w:r>
    </w:p>
    <w:p>
      <w:pPr>
        <w:spacing w:after="0" w:line="143" w:lineRule="exact"/>
        <w:rPr>
          <w:sz w:val="20"/>
          <w:szCs w:val="20"/>
          <w:color w:val="auto"/>
        </w:rPr>
      </w:pPr>
    </w:p>
    <w:p>
      <w:pPr>
        <w:ind w:left="540" w:hanging="532"/>
        <w:spacing w:after="0"/>
        <w:tabs>
          <w:tab w:leader="none" w:pos="540" w:val="left"/>
        </w:tabs>
        <w:numPr>
          <w:ilvl w:val="0"/>
          <w:numId w:val="448"/>
        </w:numPr>
        <w:rPr>
          <w:rFonts w:ascii="Arial" w:cs="Arial" w:eastAsia="Arial" w:hAnsi="Arial"/>
          <w:sz w:val="18"/>
          <w:szCs w:val="18"/>
          <w:b w:val="1"/>
          <w:bCs w:val="1"/>
          <w:color w:val="auto"/>
        </w:rPr>
      </w:pPr>
      <w:r>
        <w:rPr>
          <w:rFonts w:ascii="Arial" w:cs="Arial" w:eastAsia="Arial" w:hAnsi="Arial"/>
          <w:sz w:val="18"/>
          <w:szCs w:val="18"/>
          <w:b w:val="1"/>
          <w:bCs w:val="1"/>
          <w:color w:val="auto"/>
        </w:rPr>
        <w:t>Existing Indebtedness</w:t>
      </w:r>
    </w:p>
    <w:p>
      <w:pPr>
        <w:spacing w:after="0" w:line="220" w:lineRule="exact"/>
        <w:rPr>
          <w:rFonts w:ascii="Arial" w:cs="Arial" w:eastAsia="Arial" w:hAnsi="Arial"/>
          <w:sz w:val="18"/>
          <w:szCs w:val="18"/>
          <w:b w:val="1"/>
          <w:bCs w:val="1"/>
          <w:color w:val="auto"/>
        </w:rPr>
      </w:pPr>
    </w:p>
    <w:p>
      <w:pPr>
        <w:ind w:left="1080" w:hanging="532"/>
        <w:spacing w:after="0" w:line="246" w:lineRule="auto"/>
        <w:tabs>
          <w:tab w:leader="none" w:pos="108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Evidence that the total amount of the Existing Indebtedness has been repaid in full, or will be so repaid in full with the proceeds of the Loans utilised on the first Utilisation Date under this Agreement simultaneously with such Utilisations.</w:t>
      </w:r>
    </w:p>
    <w:p>
      <w:pPr>
        <w:spacing w:after="0" w:line="183" w:lineRule="exact"/>
        <w:rPr>
          <w:rFonts w:ascii="Arial" w:cs="Arial" w:eastAsia="Arial" w:hAnsi="Arial"/>
          <w:sz w:val="18"/>
          <w:szCs w:val="18"/>
          <w:color w:val="auto"/>
        </w:rPr>
      </w:pPr>
    </w:p>
    <w:p>
      <w:pPr>
        <w:jc w:val="both"/>
        <w:ind w:left="1080" w:hanging="532"/>
        <w:spacing w:after="0"/>
        <w:tabs>
          <w:tab w:leader="none" w:pos="108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Evidence that all Security Interests over the Ships and their Earnings, Insurances and Requisition Compensation created in relation to the Existing Indebtedness have been discharged and reassigned to the Borrowers by the Existing Indebtedness Lenders under deeds of releases in form and substance satisfactory to the Agent.</w:t>
      </w:r>
    </w:p>
    <w:p>
      <w:pPr>
        <w:spacing w:after="0" w:line="167" w:lineRule="exact"/>
        <w:rPr>
          <w:sz w:val="20"/>
          <w:szCs w:val="20"/>
          <w:color w:val="auto"/>
        </w:rPr>
      </w:pPr>
    </w:p>
    <w:p>
      <w:pPr>
        <w:ind w:left="540" w:hanging="532"/>
        <w:spacing w:after="0"/>
        <w:tabs>
          <w:tab w:leader="none" w:pos="540" w:val="left"/>
        </w:tabs>
        <w:numPr>
          <w:ilvl w:val="0"/>
          <w:numId w:val="449"/>
        </w:numPr>
        <w:rPr>
          <w:rFonts w:ascii="Arial" w:cs="Arial" w:eastAsia="Arial" w:hAnsi="Arial"/>
          <w:sz w:val="18"/>
          <w:szCs w:val="18"/>
          <w:b w:val="1"/>
          <w:bCs w:val="1"/>
          <w:color w:val="auto"/>
        </w:rPr>
      </w:pPr>
      <w:r>
        <w:rPr>
          <w:rFonts w:ascii="Arial" w:cs="Arial" w:eastAsia="Arial" w:hAnsi="Arial"/>
          <w:sz w:val="18"/>
          <w:szCs w:val="18"/>
          <w:b w:val="1"/>
          <w:bCs w:val="1"/>
          <w:color w:val="auto"/>
        </w:rPr>
        <w:t>Fees and expenses</w:t>
      </w:r>
    </w:p>
    <w:p>
      <w:pPr>
        <w:spacing w:after="0" w:line="202" w:lineRule="exact"/>
        <w:rPr>
          <w:rFonts w:ascii="Arial" w:cs="Arial" w:eastAsia="Arial" w:hAnsi="Arial"/>
          <w:sz w:val="18"/>
          <w:szCs w:val="18"/>
          <w:b w:val="1"/>
          <w:bCs w:val="1"/>
          <w:color w:val="auto"/>
        </w:rPr>
      </w:pPr>
    </w:p>
    <w:p>
      <w:pPr>
        <w:ind w:left="540"/>
        <w:spacing w:after="0" w:line="267" w:lineRule="auto"/>
        <w:rPr>
          <w:rFonts w:ascii="Arial" w:cs="Arial" w:eastAsia="Arial" w:hAnsi="Arial"/>
          <w:sz w:val="18"/>
          <w:szCs w:val="18"/>
          <w:b w:val="1"/>
          <w:bCs w:val="1"/>
          <w:color w:val="auto"/>
        </w:rPr>
      </w:pPr>
      <w:r>
        <w:rPr>
          <w:rFonts w:ascii="Arial" w:cs="Arial" w:eastAsia="Arial" w:hAnsi="Arial"/>
          <w:sz w:val="18"/>
          <w:szCs w:val="18"/>
          <w:color w:val="auto"/>
        </w:rPr>
        <w:t>Evidence that the fees, commissions, costs and expenses that are due from the Borrowers pursuant to clause 11 (</w:t>
      </w:r>
      <w:r>
        <w:rPr>
          <w:rFonts w:ascii="Arial" w:cs="Arial" w:eastAsia="Arial" w:hAnsi="Arial"/>
          <w:sz w:val="18"/>
          <w:szCs w:val="18"/>
          <w:i w:val="1"/>
          <w:iCs w:val="1"/>
          <w:color w:val="auto"/>
        </w:rPr>
        <w:t>Fees</w:t>
      </w:r>
      <w:r>
        <w:rPr>
          <w:rFonts w:ascii="Arial" w:cs="Arial" w:eastAsia="Arial" w:hAnsi="Arial"/>
          <w:sz w:val="18"/>
          <w:szCs w:val="18"/>
          <w:color w:val="auto"/>
        </w:rPr>
        <w:t>) and clause 16 (</w:t>
      </w:r>
      <w:r>
        <w:rPr>
          <w:rFonts w:ascii="Arial" w:cs="Arial" w:eastAsia="Arial" w:hAnsi="Arial"/>
          <w:sz w:val="18"/>
          <w:szCs w:val="18"/>
          <w:i w:val="1"/>
          <w:iCs w:val="1"/>
          <w:color w:val="auto"/>
        </w:rPr>
        <w:t>Costs and expenses</w:t>
      </w:r>
      <w:r>
        <w:rPr>
          <w:rFonts w:ascii="Arial" w:cs="Arial" w:eastAsia="Arial" w:hAnsi="Arial"/>
          <w:sz w:val="18"/>
          <w:szCs w:val="18"/>
          <w:color w:val="auto"/>
        </w:rPr>
        <w:t>) have been paid or will be paid by the relevant Utilisation Date.</w:t>
      </w:r>
    </w:p>
    <w:p>
      <w:pPr>
        <w:spacing w:after="0" w:line="143" w:lineRule="exact"/>
        <w:rPr>
          <w:rFonts w:ascii="Arial" w:cs="Arial" w:eastAsia="Arial" w:hAnsi="Arial"/>
          <w:sz w:val="18"/>
          <w:szCs w:val="18"/>
          <w:b w:val="1"/>
          <w:bCs w:val="1"/>
          <w:color w:val="auto"/>
        </w:rPr>
      </w:pPr>
    </w:p>
    <w:p>
      <w:pPr>
        <w:ind w:left="540" w:hanging="532"/>
        <w:spacing w:after="0"/>
        <w:tabs>
          <w:tab w:leader="none" w:pos="540" w:val="left"/>
        </w:tabs>
        <w:numPr>
          <w:ilvl w:val="0"/>
          <w:numId w:val="449"/>
        </w:numPr>
        <w:rPr>
          <w:rFonts w:ascii="Arial" w:cs="Arial" w:eastAsia="Arial" w:hAnsi="Arial"/>
          <w:sz w:val="18"/>
          <w:szCs w:val="18"/>
          <w:b w:val="1"/>
          <w:bCs w:val="1"/>
          <w:color w:val="auto"/>
        </w:rPr>
      </w:pPr>
      <w:r>
        <w:rPr>
          <w:rFonts w:ascii="Arial" w:cs="Arial" w:eastAsia="Arial" w:hAnsi="Arial"/>
          <w:sz w:val="18"/>
          <w:szCs w:val="18"/>
          <w:b w:val="1"/>
          <w:bCs w:val="1"/>
          <w:color w:val="auto"/>
        </w:rPr>
        <w:t>Environmental matters</w:t>
      </w:r>
    </w:p>
    <w:p>
      <w:pPr>
        <w:spacing w:after="0" w:line="220" w:lineRule="exact"/>
        <w:rPr>
          <w:rFonts w:ascii="Arial" w:cs="Arial" w:eastAsia="Arial" w:hAnsi="Arial"/>
          <w:sz w:val="18"/>
          <w:szCs w:val="18"/>
          <w:b w:val="1"/>
          <w:bCs w:val="1"/>
          <w:color w:val="auto"/>
        </w:rPr>
      </w:pPr>
    </w:p>
    <w:p>
      <w:pPr>
        <w:jc w:val="both"/>
        <w:ind w:left="540"/>
        <w:spacing w:after="0"/>
        <w:rPr>
          <w:rFonts w:ascii="Arial" w:cs="Arial" w:eastAsia="Arial" w:hAnsi="Arial"/>
          <w:sz w:val="18"/>
          <w:szCs w:val="18"/>
          <w:b w:val="1"/>
          <w:bCs w:val="1"/>
          <w:color w:val="auto"/>
        </w:rPr>
      </w:pPr>
      <w:r>
        <w:rPr>
          <w:rFonts w:ascii="Arial" w:cs="Arial" w:eastAsia="Arial" w:hAnsi="Arial"/>
          <w:sz w:val="18"/>
          <w:szCs w:val="18"/>
          <w:color w:val="auto"/>
        </w:rPr>
        <w:t>Copies of the relevant Ship’s certificate of financial responsibility and vessel response plan required under United States law and evidence of their approval by the appropriate United States government entity and (if requested by the Agent) an environmental report in respect of the relevant Ship from an approved person.</w:t>
      </w:r>
    </w:p>
    <w:p>
      <w:pPr>
        <w:spacing w:after="0" w:line="167" w:lineRule="exact"/>
        <w:rPr>
          <w:rFonts w:ascii="Arial" w:cs="Arial" w:eastAsia="Arial" w:hAnsi="Arial"/>
          <w:sz w:val="18"/>
          <w:szCs w:val="18"/>
          <w:b w:val="1"/>
          <w:bCs w:val="1"/>
          <w:color w:val="auto"/>
        </w:rPr>
      </w:pPr>
    </w:p>
    <w:p>
      <w:pPr>
        <w:ind w:left="540" w:hanging="532"/>
        <w:spacing w:after="0"/>
        <w:tabs>
          <w:tab w:leader="none" w:pos="540" w:val="left"/>
        </w:tabs>
        <w:numPr>
          <w:ilvl w:val="0"/>
          <w:numId w:val="449"/>
        </w:numPr>
        <w:rPr>
          <w:rFonts w:ascii="Arial" w:cs="Arial" w:eastAsia="Arial" w:hAnsi="Arial"/>
          <w:sz w:val="18"/>
          <w:szCs w:val="18"/>
          <w:b w:val="1"/>
          <w:bCs w:val="1"/>
          <w:color w:val="auto"/>
        </w:rPr>
      </w:pPr>
      <w:r>
        <w:rPr>
          <w:rFonts w:ascii="Arial" w:cs="Arial" w:eastAsia="Arial" w:hAnsi="Arial"/>
          <w:sz w:val="18"/>
          <w:szCs w:val="18"/>
          <w:b w:val="1"/>
          <w:bCs w:val="1"/>
          <w:color w:val="auto"/>
        </w:rPr>
        <w:t>Consents</w:t>
      </w:r>
    </w:p>
    <w:p>
      <w:pPr>
        <w:spacing w:after="0" w:line="220" w:lineRule="exact"/>
        <w:rPr>
          <w:rFonts w:ascii="Arial" w:cs="Arial" w:eastAsia="Arial" w:hAnsi="Arial"/>
          <w:sz w:val="18"/>
          <w:szCs w:val="18"/>
          <w:b w:val="1"/>
          <w:bCs w:val="1"/>
          <w:color w:val="auto"/>
        </w:rPr>
      </w:pPr>
    </w:p>
    <w:p>
      <w:pPr>
        <w:ind w:left="540" w:right="2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Evidence that any consents required in connection with the registration of title to the relevant Ship, the registration of the Mortgage over the relevant Ship and, if applicable, the assignment of any Charter in relation to the Ship have been obtained.</w:t>
      </w:r>
    </w:p>
    <w:p>
      <w:pPr>
        <w:spacing w:after="0" w:line="161" w:lineRule="exact"/>
        <w:rPr>
          <w:rFonts w:ascii="Arial" w:cs="Arial" w:eastAsia="Arial" w:hAnsi="Arial"/>
          <w:sz w:val="18"/>
          <w:szCs w:val="18"/>
          <w:b w:val="1"/>
          <w:bCs w:val="1"/>
          <w:color w:val="auto"/>
        </w:rPr>
      </w:pPr>
    </w:p>
    <w:p>
      <w:pPr>
        <w:ind w:left="540" w:hanging="532"/>
        <w:spacing w:after="0"/>
        <w:tabs>
          <w:tab w:leader="none" w:pos="540" w:val="left"/>
        </w:tabs>
        <w:numPr>
          <w:ilvl w:val="0"/>
          <w:numId w:val="449"/>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 Agreement</w:t>
      </w:r>
    </w:p>
    <w:p>
      <w:pPr>
        <w:spacing w:after="0" w:line="220" w:lineRule="exact"/>
        <w:rPr>
          <w:rFonts w:ascii="Arial" w:cs="Arial" w:eastAsia="Arial" w:hAnsi="Arial"/>
          <w:sz w:val="18"/>
          <w:szCs w:val="18"/>
          <w:b w:val="1"/>
          <w:bCs w:val="1"/>
          <w:color w:val="auto"/>
        </w:rPr>
      </w:pPr>
    </w:p>
    <w:p>
      <w:pPr>
        <w:ind w:left="54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A copy, certified by an approved person to be a true and complete copy, of the agreement between the relevant Owner and each Manager relating to the appointment of that Manager in respect of the relevant Ship.</w:t>
      </w:r>
    </w:p>
    <w:p>
      <w:pPr>
        <w:spacing w:after="0" w:line="161" w:lineRule="exact"/>
        <w:rPr>
          <w:rFonts w:ascii="Arial" w:cs="Arial" w:eastAsia="Arial" w:hAnsi="Arial"/>
          <w:sz w:val="18"/>
          <w:szCs w:val="18"/>
          <w:b w:val="1"/>
          <w:bCs w:val="1"/>
          <w:color w:val="auto"/>
        </w:rPr>
      </w:pPr>
    </w:p>
    <w:p>
      <w:pPr>
        <w:ind w:left="540" w:hanging="532"/>
        <w:spacing w:after="0"/>
        <w:tabs>
          <w:tab w:leader="none" w:pos="540" w:val="left"/>
        </w:tabs>
        <w:numPr>
          <w:ilvl w:val="0"/>
          <w:numId w:val="449"/>
        </w:numPr>
        <w:rPr>
          <w:rFonts w:ascii="Arial" w:cs="Arial" w:eastAsia="Arial" w:hAnsi="Arial"/>
          <w:sz w:val="18"/>
          <w:szCs w:val="18"/>
          <w:b w:val="1"/>
          <w:bCs w:val="1"/>
          <w:color w:val="auto"/>
        </w:rPr>
      </w:pPr>
      <w:r>
        <w:rPr>
          <w:rFonts w:ascii="Arial" w:cs="Arial" w:eastAsia="Arial" w:hAnsi="Arial"/>
          <w:sz w:val="18"/>
          <w:szCs w:val="18"/>
          <w:b w:val="1"/>
          <w:bCs w:val="1"/>
          <w:color w:val="auto"/>
        </w:rPr>
        <w:t>Survey report</w:t>
      </w:r>
    </w:p>
    <w:p>
      <w:pPr>
        <w:spacing w:after="0" w:line="220" w:lineRule="exact"/>
        <w:rPr>
          <w:rFonts w:ascii="Arial" w:cs="Arial" w:eastAsia="Arial" w:hAnsi="Arial"/>
          <w:sz w:val="18"/>
          <w:szCs w:val="18"/>
          <w:b w:val="1"/>
          <w:bCs w:val="1"/>
          <w:color w:val="auto"/>
        </w:rPr>
      </w:pPr>
    </w:p>
    <w:p>
      <w:pPr>
        <w:ind w:left="540" w:right="2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(If required by the Agent) A survey report from approved surveyors obtained not more than 10 days before the relevant Utilisation Date evidencing that the relevant Ship is seaworthy and capable of safe operation.</w:t>
      </w:r>
    </w:p>
    <w:p>
      <w:pPr>
        <w:spacing w:after="0" w:line="161" w:lineRule="exact"/>
        <w:rPr>
          <w:rFonts w:ascii="Arial" w:cs="Arial" w:eastAsia="Arial" w:hAnsi="Arial"/>
          <w:sz w:val="18"/>
          <w:szCs w:val="18"/>
          <w:b w:val="1"/>
          <w:bCs w:val="1"/>
          <w:color w:val="auto"/>
        </w:rPr>
      </w:pPr>
    </w:p>
    <w:p>
      <w:pPr>
        <w:ind w:left="540" w:hanging="532"/>
        <w:spacing w:after="0"/>
        <w:tabs>
          <w:tab w:leader="none" w:pos="540" w:val="left"/>
        </w:tabs>
        <w:numPr>
          <w:ilvl w:val="0"/>
          <w:numId w:val="449"/>
        </w:numPr>
        <w:rPr>
          <w:rFonts w:ascii="Arial" w:cs="Arial" w:eastAsia="Arial" w:hAnsi="Arial"/>
          <w:sz w:val="18"/>
          <w:szCs w:val="18"/>
          <w:b w:val="1"/>
          <w:bCs w:val="1"/>
          <w:color w:val="auto"/>
        </w:rPr>
      </w:pPr>
      <w:r>
        <w:rPr>
          <w:rFonts w:ascii="Arial" w:cs="Arial" w:eastAsia="Arial" w:hAnsi="Arial"/>
          <w:sz w:val="18"/>
          <w:szCs w:val="18"/>
          <w:b w:val="1"/>
          <w:bCs w:val="1"/>
          <w:color w:val="auto"/>
        </w:rPr>
        <w:t>Liquidity</w:t>
      </w:r>
    </w:p>
    <w:p>
      <w:pPr>
        <w:spacing w:after="0" w:line="202" w:lineRule="exact"/>
        <w:rPr>
          <w:rFonts w:ascii="Arial" w:cs="Arial" w:eastAsia="Arial" w:hAnsi="Arial"/>
          <w:sz w:val="18"/>
          <w:szCs w:val="18"/>
          <w:b w:val="1"/>
          <w:bCs w:val="1"/>
          <w:color w:val="auto"/>
        </w:rPr>
      </w:pPr>
    </w:p>
    <w:p>
      <w:pPr>
        <w:jc w:val="both"/>
        <w:ind w:left="54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Evidence that the Borrowers are in compliance with clause 19.11 (</w:t>
      </w:r>
      <w:r>
        <w:rPr>
          <w:rFonts w:ascii="Arial" w:cs="Arial" w:eastAsia="Arial" w:hAnsi="Arial"/>
          <w:sz w:val="18"/>
          <w:szCs w:val="18"/>
          <w:i w:val="1"/>
          <w:iCs w:val="1"/>
          <w:color w:val="auto"/>
        </w:rPr>
        <w:t>Liquidity</w:t>
      </w:r>
      <w:r>
        <w:rPr>
          <w:rFonts w:ascii="Arial" w:cs="Arial" w:eastAsia="Arial" w:hAnsi="Arial"/>
          <w:sz w:val="18"/>
          <w:szCs w:val="18"/>
          <w:color w:val="auto"/>
        </w:rPr>
        <w:t>) in respect of the relevant Ship and that the minimum balance required thereunder in respect of the relevant Ship upon the Utilisation of the Term Loan for that Ship has been paid into the relevant Earnings Account.</w:t>
      </w:r>
    </w:p>
    <w:p>
      <w:pPr>
        <w:spacing w:after="0" w:line="156" w:lineRule="exact"/>
        <w:rPr>
          <w:rFonts w:ascii="Arial" w:cs="Arial" w:eastAsia="Arial" w:hAnsi="Arial"/>
          <w:sz w:val="18"/>
          <w:szCs w:val="18"/>
          <w:b w:val="1"/>
          <w:bCs w:val="1"/>
          <w:color w:val="auto"/>
        </w:rPr>
      </w:pPr>
    </w:p>
    <w:p>
      <w:pPr>
        <w:ind w:left="540" w:hanging="532"/>
        <w:spacing w:after="0"/>
        <w:tabs>
          <w:tab w:leader="none" w:pos="540" w:val="left"/>
        </w:tabs>
        <w:numPr>
          <w:ilvl w:val="0"/>
          <w:numId w:val="449"/>
        </w:numPr>
        <w:rPr>
          <w:rFonts w:ascii="Arial" w:cs="Arial" w:eastAsia="Arial" w:hAnsi="Arial"/>
          <w:sz w:val="18"/>
          <w:szCs w:val="18"/>
          <w:b w:val="1"/>
          <w:bCs w:val="1"/>
          <w:color w:val="auto"/>
        </w:rPr>
      </w:pPr>
      <w:r>
        <w:rPr>
          <w:rFonts w:ascii="Arial" w:cs="Arial" w:eastAsia="Arial" w:hAnsi="Arial"/>
          <w:sz w:val="18"/>
          <w:szCs w:val="18"/>
          <w:b w:val="1"/>
          <w:bCs w:val="1"/>
          <w:color w:val="auto"/>
        </w:rPr>
        <w:t>Process agent</w:t>
      </w:r>
    </w:p>
    <w:p>
      <w:pPr>
        <w:spacing w:after="0" w:line="220" w:lineRule="exact"/>
        <w:rPr>
          <w:sz w:val="20"/>
          <w:szCs w:val="20"/>
          <w:color w:val="auto"/>
        </w:rPr>
      </w:pPr>
    </w:p>
    <w:p>
      <w:pPr>
        <w:ind w:left="540" w:right="20"/>
        <w:spacing w:after="0" w:line="246" w:lineRule="auto"/>
        <w:rPr>
          <w:sz w:val="20"/>
          <w:szCs w:val="20"/>
          <w:color w:val="auto"/>
        </w:rPr>
      </w:pPr>
      <w:r>
        <w:rPr>
          <w:rFonts w:ascii="Arial" w:cs="Arial" w:eastAsia="Arial" w:hAnsi="Arial"/>
          <w:sz w:val="18"/>
          <w:szCs w:val="18"/>
          <w:color w:val="auto"/>
        </w:rPr>
        <w:t>Evidence that any process agent of any Obligor or Manager (other than the Shell Technical Manager) referred to in any provision of any Finance Document to be entered into under this Part 2, if not an Obligor, has accepted its appointment.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23" w:name="page224"/>
    <w:bookmarkEnd w:id="223"/>
    <w:p>
      <w:pPr>
        <w:ind w:left="532" w:hanging="532"/>
        <w:spacing w:after="0"/>
        <w:tabs>
          <w:tab w:leader="none" w:pos="532" w:val="left"/>
        </w:tabs>
        <w:numPr>
          <w:ilvl w:val="0"/>
          <w:numId w:val="450"/>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documents</w:t>
      </w:r>
    </w:p>
    <w:p>
      <w:pPr>
        <w:spacing w:after="0" w:line="220"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8"/>
          <w:szCs w:val="18"/>
          <w:color w:val="auto"/>
        </w:rPr>
        <w:t>Any other document, authorisation, opinion or assurance required by the Agent.</w:t>
      </w:r>
    </w:p>
    <w:p>
      <w:pPr>
        <w:spacing w:after="0" w:line="185" w:lineRule="exact"/>
        <w:rPr>
          <w:sz w:val="20"/>
          <w:szCs w:val="20"/>
          <w:color w:val="auto"/>
        </w:rPr>
      </w:pPr>
    </w:p>
    <w:p>
      <w:pPr>
        <w:ind w:left="5552"/>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246620" cy="342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1"/>
          </w:cols>
          <w:pgMar w:left="248" w:top="401" w:right="1440" w:bottom="1440" w:gutter="0" w:footer="0" w:header="0"/>
        </w:sectPr>
      </w:pPr>
    </w:p>
    <w:bookmarkStart w:id="224" w:name="page225"/>
    <w:bookmarkEnd w:id="224"/>
    <w:p>
      <w:pPr>
        <w:jc w:val="center"/>
        <w:ind w:right="-19"/>
        <w:spacing w:after="0"/>
        <w:rPr>
          <w:sz w:val="20"/>
          <w:szCs w:val="20"/>
          <w:color w:val="auto"/>
        </w:rPr>
      </w:pPr>
      <w:r>
        <w:rPr>
          <w:rFonts w:ascii="Arial" w:cs="Arial" w:eastAsia="Arial" w:hAnsi="Arial"/>
          <w:sz w:val="22"/>
          <w:szCs w:val="22"/>
          <w:b w:val="1"/>
          <w:bCs w:val="1"/>
          <w:color w:val="auto"/>
        </w:rPr>
        <w:t>Schedule 4</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Utilisation Request</w:t>
      </w:r>
    </w:p>
    <w:p>
      <w:pPr>
        <w:sectPr>
          <w:pgSz w:w="11900" w:h="16838" w:orient="portrait"/>
          <w:cols w:equalWidth="0" w:num="1">
            <w:col w:w="11420"/>
          </w:cols>
          <w:pgMar w:left="240" w:top="391" w:right="239" w:bottom="1440" w:gutter="0" w:footer="0" w:header="0"/>
        </w:sect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From:</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GAS-one Ltd.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GAS-two Ltd.</w:t>
      </w:r>
    </w:p>
    <w:p>
      <w:pPr>
        <w:spacing w:after="0" w:line="234" w:lineRule="auto"/>
        <w:rPr>
          <w:sz w:val="20"/>
          <w:szCs w:val="20"/>
          <w:color w:val="auto"/>
        </w:rPr>
      </w:pPr>
      <w:r>
        <w:rPr>
          <w:rFonts w:ascii="Arial" w:cs="Arial" w:eastAsia="Arial" w:hAnsi="Arial"/>
          <w:sz w:val="18"/>
          <w:szCs w:val="18"/>
          <w:b w:val="1"/>
          <w:bCs w:val="1"/>
          <w:color w:val="auto"/>
        </w:rPr>
        <w:t>GAS-six Ltd.</w:t>
      </w:r>
    </w:p>
    <w:p>
      <w:pPr>
        <w:spacing w:after="0" w:line="235" w:lineRule="auto"/>
        <w:rPr>
          <w:sz w:val="20"/>
          <w:szCs w:val="20"/>
          <w:color w:val="auto"/>
        </w:rPr>
      </w:pPr>
      <w:r>
        <w:rPr>
          <w:rFonts w:ascii="Arial" w:cs="Arial" w:eastAsia="Arial" w:hAnsi="Arial"/>
          <w:sz w:val="18"/>
          <w:szCs w:val="18"/>
          <w:b w:val="1"/>
          <w:bCs w:val="1"/>
          <w:color w:val="auto"/>
        </w:rPr>
        <w:t>GAS-seven Ltd.</w:t>
      </w:r>
    </w:p>
    <w:p>
      <w:pPr>
        <w:spacing w:after="0" w:line="235" w:lineRule="auto"/>
        <w:rPr>
          <w:sz w:val="20"/>
          <w:szCs w:val="20"/>
          <w:color w:val="auto"/>
        </w:rPr>
      </w:pPr>
      <w:r>
        <w:rPr>
          <w:rFonts w:ascii="Arial" w:cs="Arial" w:eastAsia="Arial" w:hAnsi="Arial"/>
          <w:sz w:val="18"/>
          <w:szCs w:val="18"/>
          <w:b w:val="1"/>
          <w:bCs w:val="1"/>
          <w:color w:val="auto"/>
        </w:rPr>
        <w:t>GAS-eight Ltd.</w:t>
      </w:r>
    </w:p>
    <w:p>
      <w:pPr>
        <w:spacing w:after="0" w:line="235" w:lineRule="auto"/>
        <w:rPr>
          <w:sz w:val="20"/>
          <w:szCs w:val="20"/>
          <w:color w:val="auto"/>
        </w:rPr>
      </w:pPr>
      <w:r>
        <w:rPr>
          <w:rFonts w:ascii="Arial" w:cs="Arial" w:eastAsia="Arial" w:hAnsi="Arial"/>
          <w:sz w:val="18"/>
          <w:szCs w:val="18"/>
          <w:b w:val="1"/>
          <w:bCs w:val="1"/>
          <w:color w:val="auto"/>
        </w:rPr>
        <w:t>GAS-nine Ltd.</w:t>
      </w:r>
    </w:p>
    <w:p>
      <w:pPr>
        <w:spacing w:after="0" w:line="235" w:lineRule="auto"/>
        <w:rPr>
          <w:sz w:val="20"/>
          <w:szCs w:val="20"/>
          <w:color w:val="auto"/>
        </w:rPr>
      </w:pPr>
      <w:r>
        <w:rPr>
          <w:rFonts w:ascii="Arial" w:cs="Arial" w:eastAsia="Arial" w:hAnsi="Arial"/>
          <w:sz w:val="18"/>
          <w:szCs w:val="18"/>
          <w:b w:val="1"/>
          <w:bCs w:val="1"/>
          <w:color w:val="auto"/>
        </w:rPr>
        <w:t>GAS-ten Ltd.</w:t>
      </w:r>
    </w:p>
    <w:p>
      <w:pPr>
        <w:spacing w:after="0"/>
        <w:rPr>
          <w:sz w:val="20"/>
          <w:szCs w:val="20"/>
          <w:color w:val="auto"/>
        </w:rPr>
      </w:pPr>
      <w:r>
        <w:rPr>
          <w:rFonts w:ascii="Arial" w:cs="Arial" w:eastAsia="Arial" w:hAnsi="Arial"/>
          <w:sz w:val="17"/>
          <w:szCs w:val="17"/>
          <w:b w:val="1"/>
          <w:bCs w:val="1"/>
          <w:color w:val="auto"/>
        </w:rPr>
        <w:t>GAS-fifteen Ltd.</w:t>
      </w:r>
    </w:p>
    <w:p>
      <w:pPr>
        <w:spacing w:after="0" w:line="188" w:lineRule="exact"/>
        <w:rPr>
          <w:sz w:val="20"/>
          <w:szCs w:val="20"/>
          <w:color w:val="auto"/>
        </w:rPr>
      </w:pPr>
    </w:p>
    <w:p>
      <w:pPr>
        <w:sectPr>
          <w:pgSz w:w="11900" w:h="16838" w:orient="portrait"/>
          <w:cols w:equalWidth="0" w:num="2">
            <w:col w:w="900" w:space="720"/>
            <w:col w:w="9800"/>
          </w:cols>
          <w:pgMar w:left="240" w:top="391" w:right="2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 xml:space="preserve">Nordea Bank AB, London Branch </w:t>
      </w:r>
      <w:r>
        <w:rPr>
          <w:rFonts w:ascii="Arial" w:cs="Arial" w:eastAsia="Arial" w:hAnsi="Arial"/>
          <w:sz w:val="17"/>
          <w:szCs w:val="17"/>
          <w:color w:val="auto"/>
        </w:rPr>
        <w:t>as Agent</w:t>
      </w:r>
    </w:p>
    <w:p>
      <w:pPr>
        <w:spacing w:after="0" w:line="210" w:lineRule="exact"/>
        <w:rPr>
          <w:sz w:val="20"/>
          <w:szCs w:val="20"/>
          <w:color w:val="auto"/>
        </w:rPr>
      </w:pPr>
    </w:p>
    <w:p>
      <w:pPr>
        <w:sectPr>
          <w:pgSz w:w="11900" w:h="16838" w:orient="portrait"/>
          <w:cols w:equalWidth="0" w:num="2">
            <w:col w:w="900" w:space="720"/>
            <w:col w:w="9800"/>
          </w:cols>
          <w:pgMar w:left="240" w:top="391" w:right="2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[l]</w:t>
      </w:r>
    </w:p>
    <w:p>
      <w:pPr>
        <w:spacing w:after="0" w:line="224" w:lineRule="exact"/>
        <w:rPr>
          <w:sz w:val="20"/>
          <w:szCs w:val="20"/>
          <w:color w:val="auto"/>
        </w:rPr>
      </w:pPr>
    </w:p>
    <w:p>
      <w:pPr>
        <w:sectPr>
          <w:pgSz w:w="11900" w:h="16838" w:orient="portrait"/>
          <w:cols w:equalWidth="0" w:num="2">
            <w:col w:w="900" w:space="720"/>
            <w:col w:w="9800"/>
          </w:cols>
          <w:pgMar w:left="240" w:top="391" w:right="2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ectPr>
          <w:pgSz w:w="11900" w:h="16838" w:orient="portrait"/>
          <w:cols w:equalWidth="0" w:num="1">
            <w:col w:w="11420"/>
          </w:cols>
          <w:pgMar w:left="240" w:top="391" w:right="239" w:bottom="1440" w:gutter="0" w:footer="0" w:header="0"/>
          <w:type w:val="continuous"/>
        </w:sectPr>
      </w:pP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$1,050,000,000 Facilities Agreement dated [</w:t>
      </w:r>
      <w:r>
        <w:rPr>
          <w:rFonts w:ascii="Arial" w:cs="Arial" w:eastAsia="Arial" w:hAnsi="Arial"/>
          <w:sz w:val="18"/>
          <w:szCs w:val="18"/>
          <w:color w:val="auto"/>
        </w:rPr>
        <w:t>l</w:t>
      </w:r>
      <w:r>
        <w:rPr>
          <w:rFonts w:ascii="Arial" w:cs="Arial" w:eastAsia="Arial" w:hAnsi="Arial"/>
          <w:sz w:val="18"/>
          <w:szCs w:val="18"/>
          <w:b w:val="1"/>
          <w:bCs w:val="1"/>
          <w:color w:val="auto"/>
        </w:rPr>
        <w:t>] 2016 (the “Agreement”)</w:t>
      </w:r>
    </w:p>
    <w:p>
      <w:pPr>
        <w:spacing w:after="0" w:line="234" w:lineRule="exact"/>
        <w:rPr>
          <w:sz w:val="20"/>
          <w:szCs w:val="20"/>
          <w:color w:val="auto"/>
        </w:rPr>
      </w:pPr>
    </w:p>
    <w:p>
      <w:pPr>
        <w:ind w:left="540" w:hanging="532"/>
        <w:spacing w:after="0" w:line="246" w:lineRule="auto"/>
        <w:tabs>
          <w:tab w:leader="none" w:pos="540" w:val="left"/>
        </w:tabs>
        <w:numPr>
          <w:ilvl w:val="0"/>
          <w:numId w:val="451"/>
        </w:numPr>
        <w:rPr>
          <w:rFonts w:ascii="Arial" w:cs="Arial" w:eastAsia="Arial" w:hAnsi="Arial"/>
          <w:sz w:val="18"/>
          <w:szCs w:val="18"/>
          <w:b w:val="1"/>
          <w:bCs w:val="1"/>
          <w:color w:val="auto"/>
        </w:rPr>
      </w:pPr>
      <w:r>
        <w:rPr>
          <w:rFonts w:ascii="Arial" w:cs="Arial" w:eastAsia="Arial" w:hAnsi="Arial"/>
          <w:sz w:val="18"/>
          <w:szCs w:val="18"/>
          <w:color w:val="auto"/>
        </w:rPr>
        <w:t>We refer to the Agreement. This is a Utilisation Request. Terms defined in the Agreement have the same meaning in this Utilisation Request unless given a different meaning in this Utilisation Request.</w:t>
      </w:r>
    </w:p>
    <w:p>
      <w:pPr>
        <w:spacing w:after="0" w:line="183" w:lineRule="exact"/>
        <w:rPr>
          <w:sz w:val="20"/>
          <w:szCs w:val="20"/>
          <w:color w:val="auto"/>
        </w:rPr>
      </w:pPr>
    </w:p>
    <w:p>
      <w:pPr>
        <w:ind w:left="540" w:hanging="532"/>
        <w:spacing w:after="0" w:line="246" w:lineRule="auto"/>
        <w:tabs>
          <w:tab w:leader="none" w:pos="540" w:val="left"/>
        </w:tabs>
        <w:numPr>
          <w:ilvl w:val="0"/>
          <w:numId w:val="452"/>
        </w:numPr>
        <w:rPr>
          <w:rFonts w:ascii="Arial" w:cs="Arial" w:eastAsia="Arial" w:hAnsi="Arial"/>
          <w:sz w:val="18"/>
          <w:szCs w:val="18"/>
          <w:b w:val="1"/>
          <w:bCs w:val="1"/>
          <w:color w:val="auto"/>
        </w:rPr>
      </w:pPr>
      <w:r>
        <w:rPr>
          <w:rFonts w:ascii="Arial" w:cs="Arial" w:eastAsia="Arial" w:hAnsi="Arial"/>
          <w:sz w:val="18"/>
          <w:szCs w:val="18"/>
          <w:color w:val="auto"/>
        </w:rPr>
        <w:t>We wish to borrow [Term Loan][a Revolving Loan under Revolving Loan Ship Tranche] [A] [B] [C] [D] [E] [F] [G] [H] on the following terms:</w:t>
      </w:r>
    </w:p>
    <w:p>
      <w:pPr>
        <w:spacing w:after="0" w:line="170" w:lineRule="exact"/>
        <w:rPr>
          <w:sz w:val="20"/>
          <w:szCs w:val="20"/>
          <w:color w:val="auto"/>
        </w:rPr>
      </w:pPr>
    </w:p>
    <w:p>
      <w:pPr>
        <w:ind w:left="540"/>
        <w:spacing w:after="0"/>
        <w:tabs>
          <w:tab w:leader="none" w:pos="3760" w:val="left"/>
        </w:tabs>
        <w:rPr>
          <w:sz w:val="20"/>
          <w:szCs w:val="20"/>
          <w:color w:val="auto"/>
        </w:rPr>
      </w:pPr>
      <w:r>
        <w:rPr>
          <w:rFonts w:ascii="Arial" w:cs="Arial" w:eastAsia="Arial" w:hAnsi="Arial"/>
          <w:sz w:val="18"/>
          <w:szCs w:val="18"/>
          <w:color w:val="auto"/>
        </w:rPr>
        <w:t>Proposed Utilisation Date:</w:t>
      </w:r>
      <w:r>
        <w:rPr>
          <w:sz w:val="20"/>
          <w:szCs w:val="20"/>
          <w:color w:val="auto"/>
        </w:rPr>
        <w:tab/>
      </w:r>
      <w:r>
        <w:rPr>
          <w:rFonts w:ascii="Arial" w:cs="Arial" w:eastAsia="Arial" w:hAnsi="Arial"/>
          <w:sz w:val="17"/>
          <w:szCs w:val="17"/>
          <w:color w:val="auto"/>
        </w:rPr>
        <w:t>[l] (or, if that is not a Business Day, the next Business Day)</w:t>
      </w:r>
    </w:p>
    <w:p>
      <w:pPr>
        <w:spacing w:after="0" w:line="212" w:lineRule="exact"/>
        <w:rPr>
          <w:sz w:val="20"/>
          <w:szCs w:val="20"/>
          <w:color w:val="auto"/>
        </w:rPr>
      </w:pPr>
    </w:p>
    <w:p>
      <w:pPr>
        <w:ind w:left="540"/>
        <w:spacing w:after="0"/>
        <w:tabs>
          <w:tab w:leader="none" w:pos="3760" w:val="left"/>
        </w:tabs>
        <w:rPr>
          <w:sz w:val="20"/>
          <w:szCs w:val="20"/>
          <w:color w:val="auto"/>
        </w:rPr>
      </w:pPr>
      <w:r>
        <w:rPr>
          <w:rFonts w:ascii="Arial" w:cs="Arial" w:eastAsia="Arial" w:hAnsi="Arial"/>
          <w:sz w:val="18"/>
          <w:szCs w:val="18"/>
          <w:color w:val="auto"/>
        </w:rPr>
        <w:t>Amount:</w:t>
      </w:r>
      <w:r>
        <w:rPr>
          <w:sz w:val="20"/>
          <w:szCs w:val="20"/>
          <w:color w:val="auto"/>
        </w:rPr>
        <w:tab/>
      </w:r>
      <w:r>
        <w:rPr>
          <w:rFonts w:ascii="Arial" w:cs="Arial" w:eastAsia="Arial" w:hAnsi="Arial"/>
          <w:sz w:val="18"/>
          <w:szCs w:val="18"/>
          <w:color w:val="auto"/>
        </w:rPr>
        <w:t>$[l]</w:t>
      </w:r>
    </w:p>
    <w:p>
      <w:pPr>
        <w:spacing w:after="0" w:line="207" w:lineRule="exact"/>
        <w:rPr>
          <w:sz w:val="20"/>
          <w:szCs w:val="20"/>
          <w:color w:val="auto"/>
        </w:rPr>
      </w:pPr>
    </w:p>
    <w:p>
      <w:pPr>
        <w:ind w:left="540" w:hanging="532"/>
        <w:spacing w:after="0"/>
        <w:tabs>
          <w:tab w:leader="none" w:pos="540" w:val="left"/>
        </w:tabs>
        <w:numPr>
          <w:ilvl w:val="0"/>
          <w:numId w:val="453"/>
        </w:numPr>
        <w:rPr>
          <w:rFonts w:ascii="Arial" w:cs="Arial" w:eastAsia="Arial" w:hAnsi="Arial"/>
          <w:sz w:val="18"/>
          <w:szCs w:val="18"/>
          <w:b w:val="1"/>
          <w:bCs w:val="1"/>
          <w:color w:val="auto"/>
        </w:rPr>
      </w:pPr>
      <w:r>
        <w:rPr>
          <w:rFonts w:ascii="Arial" w:cs="Arial" w:eastAsia="Arial" w:hAnsi="Arial"/>
          <w:sz w:val="18"/>
          <w:szCs w:val="18"/>
          <w:color w:val="auto"/>
        </w:rPr>
        <w:t>We confirm that each condition specified in clause 4.4 (</w:t>
      </w:r>
      <w:r>
        <w:rPr>
          <w:rFonts w:ascii="Arial" w:cs="Arial" w:eastAsia="Arial" w:hAnsi="Arial"/>
          <w:sz w:val="18"/>
          <w:szCs w:val="18"/>
          <w:i w:val="1"/>
          <w:iCs w:val="1"/>
          <w:color w:val="auto"/>
        </w:rPr>
        <w:t>Further conditions precedent</w:t>
      </w:r>
      <w:r>
        <w:rPr>
          <w:rFonts w:ascii="Arial" w:cs="Arial" w:eastAsia="Arial" w:hAnsi="Arial"/>
          <w:sz w:val="18"/>
          <w:szCs w:val="18"/>
          <w:color w:val="auto"/>
        </w:rPr>
        <w:t>) is satisfied on the date of this Utilisation Request.</w:t>
      </w:r>
    </w:p>
    <w:p>
      <w:pPr>
        <w:spacing w:after="0" w:line="194" w:lineRule="exact"/>
        <w:rPr>
          <w:sz w:val="20"/>
          <w:szCs w:val="20"/>
          <w:color w:val="auto"/>
        </w:rPr>
      </w:pPr>
    </w:p>
    <w:p>
      <w:pPr>
        <w:ind w:left="540" w:hanging="532"/>
        <w:spacing w:after="0" w:line="271" w:lineRule="auto"/>
        <w:tabs>
          <w:tab w:leader="none" w:pos="540" w:val="left"/>
        </w:tabs>
        <w:numPr>
          <w:ilvl w:val="0"/>
          <w:numId w:val="45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 Loans</w:t>
      </w:r>
      <w:r>
        <w:rPr>
          <w:rFonts w:ascii="Arial" w:cs="Arial" w:eastAsia="Arial" w:hAnsi="Arial"/>
          <w:sz w:val="18"/>
          <w:szCs w:val="18"/>
          <w:color w:val="auto"/>
        </w:rPr>
        <w:t>: This Term Loan is the Term Loan Ship Commitment for Ship [A][B][C][D][E][F][G][H]. The purpose of this Term Loan is to refinance the Existing Indebtedness and its proceeds should be credited to [l] [and [l] in respect of [l]].</w:t>
      </w:r>
    </w:p>
    <w:p>
      <w:pPr>
        <w:spacing w:after="0" w:line="154" w:lineRule="exact"/>
        <w:rPr>
          <w:sz w:val="20"/>
          <w:szCs w:val="20"/>
          <w:color w:val="auto"/>
        </w:rPr>
      </w:pPr>
    </w:p>
    <w:p>
      <w:pPr>
        <w:jc w:val="both"/>
        <w:ind w:left="540" w:hanging="532"/>
        <w:spacing w:after="0" w:line="261" w:lineRule="auto"/>
        <w:tabs>
          <w:tab w:leader="none" w:pos="540" w:val="left"/>
        </w:tabs>
        <w:numPr>
          <w:ilvl w:val="0"/>
          <w:numId w:val="45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Revolving Loans</w:t>
      </w:r>
      <w:r>
        <w:rPr>
          <w:rFonts w:ascii="Arial" w:cs="Arial" w:eastAsia="Arial" w:hAnsi="Arial"/>
          <w:sz w:val="18"/>
          <w:szCs w:val="18"/>
          <w:color w:val="auto"/>
        </w:rPr>
        <w:t>: This Revolving Loan is part of the Revolving Loan Ship Commitment for Ship [A][B][C][D][E][F][G][H]. The purpose of this Revolving Loan is to [refinance the Existing Indebtedness][</w:t>
      </w:r>
      <w:r>
        <w:rPr>
          <w:rFonts w:ascii="Arial" w:cs="Arial" w:eastAsia="Arial" w:hAnsi="Arial"/>
          <w:sz w:val="18"/>
          <w:szCs w:val="18"/>
          <w:b w:val="1"/>
          <w:bCs w:val="1"/>
          <w:i w:val="1"/>
          <w:iCs w:val="1"/>
          <w:color w:val="auto"/>
        </w:rPr>
        <w:t>specify other</w:t>
      </w:r>
      <w:r>
        <w:rPr>
          <w:rFonts w:ascii="Arial" w:cs="Arial" w:eastAsia="Arial" w:hAnsi="Arial"/>
          <w:sz w:val="18"/>
          <w:szCs w:val="18"/>
          <w:color w:val="auto"/>
        </w:rPr>
        <w:t>] and its proceeds should be credited to [l] and [l] in respect of [l].</w:t>
      </w:r>
    </w:p>
    <w:p>
      <w:pPr>
        <w:spacing w:after="0" w:line="162" w:lineRule="exact"/>
        <w:rPr>
          <w:sz w:val="20"/>
          <w:szCs w:val="20"/>
          <w:color w:val="auto"/>
        </w:rPr>
      </w:pPr>
    </w:p>
    <w:p>
      <w:pPr>
        <w:jc w:val="both"/>
        <w:ind w:left="540" w:hanging="532"/>
        <w:spacing w:after="0" w:line="253" w:lineRule="auto"/>
        <w:tabs>
          <w:tab w:leader="none" w:pos="540" w:val="left"/>
        </w:tabs>
        <w:numPr>
          <w:ilvl w:val="0"/>
          <w:numId w:val="45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Revolving Loans other than Rollover Loans or Revolving Loans utilised together with the Term Loans</w:t>
      </w:r>
      <w:r>
        <w:rPr>
          <w:rFonts w:ascii="Arial" w:cs="Arial" w:eastAsia="Arial" w:hAnsi="Arial"/>
          <w:sz w:val="18"/>
          <w:szCs w:val="18"/>
          <w:color w:val="auto"/>
        </w:rPr>
        <w:t>]: We attach to this Utilisation Request a set of valuations obtained in accordance with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 in accordance with clause 4.4 (</w:t>
      </w:r>
      <w:r>
        <w:rPr>
          <w:rFonts w:ascii="Arial" w:cs="Arial" w:eastAsia="Arial" w:hAnsi="Arial"/>
          <w:sz w:val="18"/>
          <w:szCs w:val="18"/>
          <w:i w:val="1"/>
          <w:iCs w:val="1"/>
          <w:color w:val="auto"/>
        </w:rPr>
        <w:t>Further conditions precedent</w:t>
      </w:r>
      <w:r>
        <w:rPr>
          <w:rFonts w:ascii="Arial" w:cs="Arial" w:eastAsia="Arial" w:hAnsi="Arial"/>
          <w:sz w:val="18"/>
          <w:szCs w:val="18"/>
          <w:color w:val="auto"/>
        </w:rPr>
        <w:t>).</w:t>
      </w:r>
    </w:p>
    <w:p>
      <w:pPr>
        <w:spacing w:after="0" w:line="178" w:lineRule="exact"/>
        <w:rPr>
          <w:sz w:val="20"/>
          <w:szCs w:val="20"/>
          <w:color w:val="auto"/>
        </w:rPr>
      </w:pPr>
    </w:p>
    <w:p>
      <w:pPr>
        <w:ind w:left="540" w:hanging="532"/>
        <w:spacing w:after="0" w:line="246" w:lineRule="auto"/>
        <w:tabs>
          <w:tab w:leader="none" w:pos="540" w:val="left"/>
        </w:tabs>
        <w:numPr>
          <w:ilvl w:val="0"/>
          <w:numId w:val="457"/>
        </w:numPr>
        <w:rPr>
          <w:rFonts w:ascii="Arial" w:cs="Arial" w:eastAsia="Arial" w:hAnsi="Arial"/>
          <w:sz w:val="18"/>
          <w:szCs w:val="18"/>
          <w:b w:val="1"/>
          <w:bCs w:val="1"/>
          <w:color w:val="auto"/>
        </w:rPr>
      </w:pPr>
      <w:r>
        <w:rPr>
          <w:rFonts w:ascii="Arial" w:cs="Arial" w:eastAsia="Arial" w:hAnsi="Arial"/>
          <w:sz w:val="18"/>
          <w:szCs w:val="18"/>
          <w:color w:val="auto"/>
        </w:rPr>
        <w:t>We confirm that we will use the proceeds of this Loan for our benefit and under our full responsibility and exclusively for the purposes specified in the Agreement.</w:t>
      </w:r>
    </w:p>
    <w:p>
      <w:pPr>
        <w:spacing w:after="0" w:line="183" w:lineRule="exact"/>
        <w:rPr>
          <w:sz w:val="20"/>
          <w:szCs w:val="20"/>
          <w:color w:val="auto"/>
        </w:rPr>
      </w:pPr>
    </w:p>
    <w:p>
      <w:pPr>
        <w:ind w:left="5560" w:right="5160" w:hanging="5552"/>
        <w:spacing w:after="0" w:line="465" w:lineRule="auto"/>
        <w:tabs>
          <w:tab w:leader="none" w:pos="544" w:val="left"/>
        </w:tabs>
        <w:numPr>
          <w:ilvl w:val="0"/>
          <w:numId w:val="458"/>
        </w:numPr>
        <w:rPr>
          <w:rFonts w:ascii="Arial" w:cs="Arial" w:eastAsia="Arial" w:hAnsi="Arial"/>
          <w:sz w:val="18"/>
          <w:szCs w:val="18"/>
          <w:b w:val="1"/>
          <w:bCs w:val="1"/>
          <w:color w:val="auto"/>
        </w:rPr>
      </w:pPr>
      <w:r>
        <w:rPr>
          <w:rFonts w:ascii="Arial" w:cs="Arial" w:eastAsia="Arial" w:hAnsi="Arial"/>
          <w:sz w:val="18"/>
          <w:szCs w:val="18"/>
          <w:color w:val="auto"/>
        </w:rPr>
        <w:t>We request that the first Interest Period for the said Loan be [6] months. 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42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225" w:name="page226"/>
    <w:bookmarkEnd w:id="225"/>
    <w:p>
      <w:pPr>
        <w:ind w:right="999" w:firstLine="8"/>
        <w:spacing w:after="0" w:line="481" w:lineRule="auto"/>
        <w:tabs>
          <w:tab w:leader="none" w:pos="540" w:val="left"/>
        </w:tabs>
        <w:numPr>
          <w:ilvl w:val="0"/>
          <w:numId w:val="459"/>
        </w:numPr>
        <w:rPr>
          <w:rFonts w:ascii="Arial" w:cs="Arial" w:eastAsia="Arial" w:hAnsi="Arial"/>
          <w:sz w:val="18"/>
          <w:szCs w:val="18"/>
          <w:b w:val="1"/>
          <w:bCs w:val="1"/>
          <w:color w:val="auto"/>
        </w:rPr>
      </w:pPr>
      <w:r>
        <w:rPr>
          <w:rFonts w:ascii="Arial" w:cs="Arial" w:eastAsia="Arial" w:hAnsi="Arial"/>
          <w:sz w:val="18"/>
          <w:szCs w:val="18"/>
          <w:color w:val="auto"/>
        </w:rPr>
        <w:t>This Utilisation Request is irrevocable and cannot be varied without the prior consent of the Majority Lenders. 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88658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for</w:t>
      </w:r>
    </w:p>
    <w:p>
      <w:pPr>
        <w:spacing w:after="0"/>
        <w:rPr>
          <w:sz w:val="20"/>
          <w:szCs w:val="20"/>
          <w:color w:val="auto"/>
        </w:rPr>
      </w:pPr>
      <w:r>
        <w:rPr>
          <w:rFonts w:ascii="Arial" w:cs="Arial" w:eastAsia="Arial" w:hAnsi="Arial"/>
          <w:sz w:val="18"/>
          <w:szCs w:val="18"/>
          <w:b w:val="1"/>
          <w:bCs w:val="1"/>
          <w:color w:val="auto"/>
        </w:rPr>
        <w:t>GAS-one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188658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for</w:t>
      </w:r>
    </w:p>
    <w:p>
      <w:pPr>
        <w:spacing w:after="0"/>
        <w:rPr>
          <w:sz w:val="20"/>
          <w:szCs w:val="20"/>
          <w:color w:val="auto"/>
        </w:rPr>
      </w:pPr>
      <w:r>
        <w:rPr>
          <w:rFonts w:ascii="Arial" w:cs="Arial" w:eastAsia="Arial" w:hAnsi="Arial"/>
          <w:sz w:val="18"/>
          <w:szCs w:val="18"/>
          <w:b w:val="1"/>
          <w:bCs w:val="1"/>
          <w:color w:val="auto"/>
        </w:rPr>
        <w:t>GAS-two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188658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for</w:t>
      </w:r>
    </w:p>
    <w:p>
      <w:pPr>
        <w:spacing w:after="0"/>
        <w:rPr>
          <w:sz w:val="20"/>
          <w:szCs w:val="20"/>
          <w:color w:val="auto"/>
        </w:rPr>
      </w:pPr>
      <w:r>
        <w:rPr>
          <w:rFonts w:ascii="Arial" w:cs="Arial" w:eastAsia="Arial" w:hAnsi="Arial"/>
          <w:sz w:val="18"/>
          <w:szCs w:val="18"/>
          <w:b w:val="1"/>
          <w:bCs w:val="1"/>
          <w:color w:val="auto"/>
        </w:rPr>
        <w:t>GAS-six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188658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for</w:t>
      </w:r>
    </w:p>
    <w:p>
      <w:pPr>
        <w:spacing w:after="0"/>
        <w:rPr>
          <w:sz w:val="20"/>
          <w:szCs w:val="20"/>
          <w:color w:val="auto"/>
        </w:rPr>
      </w:pPr>
      <w:r>
        <w:rPr>
          <w:rFonts w:ascii="Arial" w:cs="Arial" w:eastAsia="Arial" w:hAnsi="Arial"/>
          <w:sz w:val="18"/>
          <w:szCs w:val="18"/>
          <w:b w:val="1"/>
          <w:bCs w:val="1"/>
          <w:color w:val="auto"/>
        </w:rPr>
        <w:t>GAS-seven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188658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for</w:t>
      </w:r>
    </w:p>
    <w:p>
      <w:pPr>
        <w:spacing w:after="0"/>
        <w:rPr>
          <w:sz w:val="20"/>
          <w:szCs w:val="20"/>
          <w:color w:val="auto"/>
        </w:rPr>
      </w:pPr>
      <w:r>
        <w:rPr>
          <w:rFonts w:ascii="Arial" w:cs="Arial" w:eastAsia="Arial" w:hAnsi="Arial"/>
          <w:sz w:val="18"/>
          <w:szCs w:val="18"/>
          <w:b w:val="1"/>
          <w:bCs w:val="1"/>
          <w:color w:val="auto"/>
        </w:rPr>
        <w:t>GAS-eight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188658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for</w:t>
      </w:r>
    </w:p>
    <w:p>
      <w:pPr>
        <w:spacing w:after="0"/>
        <w:rPr>
          <w:sz w:val="20"/>
          <w:szCs w:val="20"/>
          <w:color w:val="auto"/>
        </w:rPr>
      </w:pPr>
      <w:r>
        <w:rPr>
          <w:rFonts w:ascii="Arial" w:cs="Arial" w:eastAsia="Arial" w:hAnsi="Arial"/>
          <w:sz w:val="18"/>
          <w:szCs w:val="18"/>
          <w:b w:val="1"/>
          <w:bCs w:val="1"/>
          <w:color w:val="auto"/>
        </w:rPr>
        <w:t>GAS-nine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188658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for</w:t>
      </w:r>
    </w:p>
    <w:p>
      <w:pPr>
        <w:spacing w:after="0"/>
        <w:rPr>
          <w:sz w:val="20"/>
          <w:szCs w:val="20"/>
          <w:color w:val="auto"/>
        </w:rPr>
      </w:pPr>
      <w:r>
        <w:rPr>
          <w:rFonts w:ascii="Arial" w:cs="Arial" w:eastAsia="Arial" w:hAnsi="Arial"/>
          <w:sz w:val="18"/>
          <w:szCs w:val="18"/>
          <w:b w:val="1"/>
          <w:bCs w:val="1"/>
          <w:color w:val="auto"/>
        </w:rPr>
        <w:t>GAS-ten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188658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for</w:t>
      </w:r>
    </w:p>
    <w:p>
      <w:pPr>
        <w:spacing w:after="0"/>
        <w:rPr>
          <w:sz w:val="20"/>
          <w:szCs w:val="20"/>
          <w:color w:val="auto"/>
        </w:rPr>
      </w:pPr>
      <w:r>
        <w:rPr>
          <w:rFonts w:ascii="Arial" w:cs="Arial" w:eastAsia="Arial" w:hAnsi="Arial"/>
          <w:sz w:val="18"/>
          <w:szCs w:val="18"/>
          <w:b w:val="1"/>
          <w:bCs w:val="1"/>
          <w:color w:val="auto"/>
        </w:rPr>
        <w:t>GAS-fifteen LTD.</w:t>
      </w:r>
    </w:p>
    <w:p>
      <w:pPr>
        <w:spacing w:after="0" w:line="18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422" w:right="1440" w:bottom="1440" w:gutter="0" w:footer="0" w:header="0"/>
        </w:sectPr>
      </w:pPr>
    </w:p>
    <w:bookmarkStart w:id="226" w:name="page227"/>
    <w:bookmarkEnd w:id="226"/>
    <w:p>
      <w:pPr>
        <w:jc w:val="center"/>
        <w:ind w:right="-19"/>
        <w:spacing w:after="0"/>
        <w:rPr>
          <w:sz w:val="20"/>
          <w:szCs w:val="20"/>
          <w:color w:val="auto"/>
        </w:rPr>
      </w:pPr>
      <w:r>
        <w:rPr>
          <w:rFonts w:ascii="Arial" w:cs="Arial" w:eastAsia="Arial" w:hAnsi="Arial"/>
          <w:sz w:val="22"/>
          <w:szCs w:val="22"/>
          <w:b w:val="1"/>
          <w:bCs w:val="1"/>
          <w:color w:val="auto"/>
        </w:rPr>
        <w:t>Schedule 5</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Selection Notice</w:t>
      </w:r>
    </w:p>
    <w:p>
      <w:pPr>
        <w:sectPr>
          <w:pgSz w:w="11900" w:h="16838" w:orient="portrait"/>
          <w:cols w:equalWidth="0" w:num="1">
            <w:col w:w="11420"/>
          </w:cols>
          <w:pgMar w:left="240" w:top="391" w:right="239" w:bottom="1440" w:gutter="0" w:footer="0" w:header="0"/>
        </w:sect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From:</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GAS-one Ltd.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GAS-two Ltd.</w:t>
      </w:r>
    </w:p>
    <w:p>
      <w:pPr>
        <w:spacing w:after="0" w:line="234" w:lineRule="auto"/>
        <w:rPr>
          <w:sz w:val="20"/>
          <w:szCs w:val="20"/>
          <w:color w:val="auto"/>
        </w:rPr>
      </w:pPr>
      <w:r>
        <w:rPr>
          <w:rFonts w:ascii="Arial" w:cs="Arial" w:eastAsia="Arial" w:hAnsi="Arial"/>
          <w:sz w:val="18"/>
          <w:szCs w:val="18"/>
          <w:b w:val="1"/>
          <w:bCs w:val="1"/>
          <w:color w:val="auto"/>
        </w:rPr>
        <w:t>GAS-six Ltd.</w:t>
      </w:r>
    </w:p>
    <w:p>
      <w:pPr>
        <w:spacing w:after="0" w:line="235" w:lineRule="auto"/>
        <w:rPr>
          <w:sz w:val="20"/>
          <w:szCs w:val="20"/>
          <w:color w:val="auto"/>
        </w:rPr>
      </w:pPr>
      <w:r>
        <w:rPr>
          <w:rFonts w:ascii="Arial" w:cs="Arial" w:eastAsia="Arial" w:hAnsi="Arial"/>
          <w:sz w:val="18"/>
          <w:szCs w:val="18"/>
          <w:b w:val="1"/>
          <w:bCs w:val="1"/>
          <w:color w:val="auto"/>
        </w:rPr>
        <w:t>GAS-seven Ltd.</w:t>
      </w:r>
    </w:p>
    <w:p>
      <w:pPr>
        <w:spacing w:after="0" w:line="235" w:lineRule="auto"/>
        <w:rPr>
          <w:sz w:val="20"/>
          <w:szCs w:val="20"/>
          <w:color w:val="auto"/>
        </w:rPr>
      </w:pPr>
      <w:r>
        <w:rPr>
          <w:rFonts w:ascii="Arial" w:cs="Arial" w:eastAsia="Arial" w:hAnsi="Arial"/>
          <w:sz w:val="18"/>
          <w:szCs w:val="18"/>
          <w:b w:val="1"/>
          <w:bCs w:val="1"/>
          <w:color w:val="auto"/>
        </w:rPr>
        <w:t>GAS-eight Ltd.</w:t>
      </w:r>
    </w:p>
    <w:p>
      <w:pPr>
        <w:spacing w:after="0" w:line="235" w:lineRule="auto"/>
        <w:rPr>
          <w:sz w:val="20"/>
          <w:szCs w:val="20"/>
          <w:color w:val="auto"/>
        </w:rPr>
      </w:pPr>
      <w:r>
        <w:rPr>
          <w:rFonts w:ascii="Arial" w:cs="Arial" w:eastAsia="Arial" w:hAnsi="Arial"/>
          <w:sz w:val="18"/>
          <w:szCs w:val="18"/>
          <w:b w:val="1"/>
          <w:bCs w:val="1"/>
          <w:color w:val="auto"/>
        </w:rPr>
        <w:t>GAS-nine Ltd.</w:t>
      </w:r>
    </w:p>
    <w:p>
      <w:pPr>
        <w:spacing w:after="0" w:line="235" w:lineRule="auto"/>
        <w:rPr>
          <w:sz w:val="20"/>
          <w:szCs w:val="20"/>
          <w:color w:val="auto"/>
        </w:rPr>
      </w:pPr>
      <w:r>
        <w:rPr>
          <w:rFonts w:ascii="Arial" w:cs="Arial" w:eastAsia="Arial" w:hAnsi="Arial"/>
          <w:sz w:val="18"/>
          <w:szCs w:val="18"/>
          <w:b w:val="1"/>
          <w:bCs w:val="1"/>
          <w:color w:val="auto"/>
        </w:rPr>
        <w:t>GAS-ten Ltd.</w:t>
      </w:r>
    </w:p>
    <w:p>
      <w:pPr>
        <w:spacing w:after="0"/>
        <w:rPr>
          <w:sz w:val="20"/>
          <w:szCs w:val="20"/>
          <w:color w:val="auto"/>
        </w:rPr>
      </w:pPr>
      <w:r>
        <w:rPr>
          <w:rFonts w:ascii="Arial" w:cs="Arial" w:eastAsia="Arial" w:hAnsi="Arial"/>
          <w:sz w:val="17"/>
          <w:szCs w:val="17"/>
          <w:b w:val="1"/>
          <w:bCs w:val="1"/>
          <w:color w:val="auto"/>
        </w:rPr>
        <w:t>GAS-fifteen Ltd.</w:t>
      </w:r>
    </w:p>
    <w:p>
      <w:pPr>
        <w:spacing w:after="0" w:line="188" w:lineRule="exact"/>
        <w:rPr>
          <w:sz w:val="20"/>
          <w:szCs w:val="20"/>
          <w:color w:val="auto"/>
        </w:rPr>
      </w:pPr>
    </w:p>
    <w:p>
      <w:pPr>
        <w:sectPr>
          <w:pgSz w:w="11900" w:h="16838" w:orient="portrait"/>
          <w:cols w:equalWidth="0" w:num="2">
            <w:col w:w="900" w:space="720"/>
            <w:col w:w="9800"/>
          </w:cols>
          <w:pgMar w:left="240" w:top="391" w:right="2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Nordea Bank AB, London Branch as Agent</w:t>
      </w:r>
    </w:p>
    <w:p>
      <w:pPr>
        <w:spacing w:after="0" w:line="210" w:lineRule="exact"/>
        <w:rPr>
          <w:sz w:val="20"/>
          <w:szCs w:val="20"/>
          <w:color w:val="auto"/>
        </w:rPr>
      </w:pPr>
    </w:p>
    <w:p>
      <w:pPr>
        <w:sectPr>
          <w:pgSz w:w="11900" w:h="16838" w:orient="portrait"/>
          <w:cols w:equalWidth="0" w:num="2">
            <w:col w:w="900" w:space="720"/>
            <w:col w:w="9800"/>
          </w:cols>
          <w:pgMar w:left="240" w:top="391" w:right="2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[l]</w:t>
      </w:r>
    </w:p>
    <w:p>
      <w:pPr>
        <w:spacing w:after="0" w:line="224" w:lineRule="exact"/>
        <w:rPr>
          <w:sz w:val="20"/>
          <w:szCs w:val="20"/>
          <w:color w:val="auto"/>
        </w:rPr>
      </w:pPr>
    </w:p>
    <w:p>
      <w:pPr>
        <w:sectPr>
          <w:pgSz w:w="11900" w:h="16838" w:orient="portrait"/>
          <w:cols w:equalWidth="0" w:num="2">
            <w:col w:w="900" w:space="720"/>
            <w:col w:w="9800"/>
          </w:cols>
          <w:pgMar w:left="240" w:top="391" w:right="2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ectPr>
          <w:pgSz w:w="11900" w:h="16838" w:orient="portrait"/>
          <w:cols w:equalWidth="0" w:num="1">
            <w:col w:w="11420"/>
          </w:cols>
          <w:pgMar w:left="240" w:top="391" w:right="239" w:bottom="1440" w:gutter="0" w:footer="0" w:header="0"/>
          <w:type w:val="continuous"/>
        </w:sectPr>
      </w:pP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$1,050,000,000 Facilities Agreement dated [l] 2016 (the “Agreement”)</w:t>
      </w:r>
    </w:p>
    <w:p>
      <w:pPr>
        <w:spacing w:after="0" w:line="234" w:lineRule="exact"/>
        <w:rPr>
          <w:sz w:val="20"/>
          <w:szCs w:val="20"/>
          <w:color w:val="auto"/>
        </w:rPr>
      </w:pPr>
    </w:p>
    <w:p>
      <w:pPr>
        <w:ind w:left="540" w:hanging="532"/>
        <w:spacing w:after="0" w:line="246" w:lineRule="auto"/>
        <w:tabs>
          <w:tab w:leader="none" w:pos="540" w:val="left"/>
        </w:tabs>
        <w:numPr>
          <w:ilvl w:val="0"/>
          <w:numId w:val="460"/>
        </w:numPr>
        <w:rPr>
          <w:rFonts w:ascii="Arial" w:cs="Arial" w:eastAsia="Arial" w:hAnsi="Arial"/>
          <w:sz w:val="18"/>
          <w:szCs w:val="18"/>
          <w:b w:val="1"/>
          <w:bCs w:val="1"/>
          <w:color w:val="auto"/>
        </w:rPr>
      </w:pPr>
      <w:r>
        <w:rPr>
          <w:rFonts w:ascii="Arial" w:cs="Arial" w:eastAsia="Arial" w:hAnsi="Arial"/>
          <w:sz w:val="18"/>
          <w:szCs w:val="18"/>
          <w:color w:val="auto"/>
        </w:rPr>
        <w:t>We refer to the Agreement. This is a Selection Notice. Terms defined in the Agreement have the same meaning in this Selection Notice unless given a different meaning in this Selection Notice.</w:t>
      </w:r>
    </w:p>
    <w:p>
      <w:pPr>
        <w:spacing w:after="0" w:line="170" w:lineRule="exact"/>
        <w:rPr>
          <w:sz w:val="20"/>
          <w:szCs w:val="20"/>
          <w:color w:val="auto"/>
        </w:rPr>
      </w:pPr>
    </w:p>
    <w:p>
      <w:pPr>
        <w:ind w:left="540" w:hanging="532"/>
        <w:spacing w:after="0"/>
        <w:tabs>
          <w:tab w:leader="none" w:pos="540" w:val="left"/>
        </w:tabs>
        <w:numPr>
          <w:ilvl w:val="0"/>
          <w:numId w:val="461"/>
        </w:numPr>
        <w:rPr>
          <w:rFonts w:ascii="Arial" w:cs="Arial" w:eastAsia="Arial" w:hAnsi="Arial"/>
          <w:sz w:val="18"/>
          <w:szCs w:val="18"/>
          <w:b w:val="1"/>
          <w:bCs w:val="1"/>
          <w:color w:val="auto"/>
        </w:rPr>
      </w:pPr>
      <w:r>
        <w:rPr>
          <w:rFonts w:ascii="Arial" w:cs="Arial" w:eastAsia="Arial" w:hAnsi="Arial"/>
          <w:sz w:val="18"/>
          <w:szCs w:val="18"/>
          <w:color w:val="auto"/>
        </w:rPr>
        <w:t>We request that the next Interest Period for the Term Loan in relation to Ship [A] [B] [C] [D] [E] [F] [G] [H] be [l] months.</w:t>
      </w:r>
    </w:p>
    <w:p>
      <w:pPr>
        <w:spacing w:after="0" w:line="225" w:lineRule="exact"/>
        <w:rPr>
          <w:sz w:val="20"/>
          <w:szCs w:val="20"/>
          <w:color w:val="auto"/>
        </w:rPr>
      </w:pPr>
    </w:p>
    <w:p>
      <w:pPr>
        <w:ind w:left="540" w:hanging="532"/>
        <w:spacing w:after="0"/>
        <w:tabs>
          <w:tab w:leader="none" w:pos="540" w:val="left"/>
        </w:tabs>
        <w:numPr>
          <w:ilvl w:val="0"/>
          <w:numId w:val="462"/>
        </w:numPr>
        <w:rPr>
          <w:rFonts w:ascii="Arial" w:cs="Arial" w:eastAsia="Arial" w:hAnsi="Arial"/>
          <w:sz w:val="18"/>
          <w:szCs w:val="18"/>
          <w:b w:val="1"/>
          <w:bCs w:val="1"/>
          <w:color w:val="auto"/>
        </w:rPr>
      </w:pPr>
      <w:r>
        <w:rPr>
          <w:rFonts w:ascii="Arial" w:cs="Arial" w:eastAsia="Arial" w:hAnsi="Arial"/>
          <w:sz w:val="18"/>
          <w:szCs w:val="18"/>
          <w:color w:val="auto"/>
        </w:rPr>
        <w:t>This Selection Notice is irrevocable.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255270</wp:posOffset>
            </wp:positionV>
            <wp:extent cx="217805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authorised signatory for</w:t>
      </w:r>
    </w:p>
    <w:p>
      <w:pPr>
        <w:jc w:val="center"/>
        <w:ind w:right="-19"/>
        <w:spacing w:after="0"/>
        <w:rPr>
          <w:sz w:val="20"/>
          <w:szCs w:val="20"/>
          <w:color w:val="auto"/>
        </w:rPr>
      </w:pPr>
      <w:r>
        <w:rPr>
          <w:rFonts w:ascii="Arial" w:cs="Arial" w:eastAsia="Arial" w:hAnsi="Arial"/>
          <w:sz w:val="18"/>
          <w:szCs w:val="18"/>
          <w:b w:val="1"/>
          <w:bCs w:val="1"/>
          <w:color w:val="auto"/>
        </w:rPr>
        <w:t>GAS-one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255270</wp:posOffset>
            </wp:positionV>
            <wp:extent cx="217805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authorised signatory for</w:t>
      </w:r>
    </w:p>
    <w:p>
      <w:pPr>
        <w:jc w:val="center"/>
        <w:ind w:right="-19"/>
        <w:spacing w:after="0"/>
        <w:rPr>
          <w:sz w:val="20"/>
          <w:szCs w:val="20"/>
          <w:color w:val="auto"/>
        </w:rPr>
      </w:pPr>
      <w:r>
        <w:rPr>
          <w:rFonts w:ascii="Arial" w:cs="Arial" w:eastAsia="Arial" w:hAnsi="Arial"/>
          <w:sz w:val="18"/>
          <w:szCs w:val="18"/>
          <w:b w:val="1"/>
          <w:bCs w:val="1"/>
          <w:color w:val="auto"/>
        </w:rPr>
        <w:t>GAS-two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255270</wp:posOffset>
            </wp:positionV>
            <wp:extent cx="217805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authorised signatory for</w:t>
      </w:r>
    </w:p>
    <w:p>
      <w:pPr>
        <w:jc w:val="center"/>
        <w:ind w:right="-19"/>
        <w:spacing w:after="0"/>
        <w:rPr>
          <w:sz w:val="20"/>
          <w:szCs w:val="20"/>
          <w:color w:val="auto"/>
        </w:rPr>
      </w:pPr>
      <w:r>
        <w:rPr>
          <w:rFonts w:ascii="Arial" w:cs="Arial" w:eastAsia="Arial" w:hAnsi="Arial"/>
          <w:sz w:val="18"/>
          <w:szCs w:val="18"/>
          <w:b w:val="1"/>
          <w:bCs w:val="1"/>
          <w:color w:val="auto"/>
        </w:rPr>
        <w:t>GAS-six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255270</wp:posOffset>
            </wp:positionV>
            <wp:extent cx="217805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authorised signatory for</w:t>
      </w:r>
    </w:p>
    <w:p>
      <w:pPr>
        <w:jc w:val="center"/>
        <w:ind w:right="-19"/>
        <w:spacing w:after="0"/>
        <w:rPr>
          <w:sz w:val="20"/>
          <w:szCs w:val="20"/>
          <w:color w:val="auto"/>
        </w:rPr>
      </w:pPr>
      <w:r>
        <w:rPr>
          <w:rFonts w:ascii="Arial" w:cs="Arial" w:eastAsia="Arial" w:hAnsi="Arial"/>
          <w:sz w:val="18"/>
          <w:szCs w:val="18"/>
          <w:b w:val="1"/>
          <w:bCs w:val="1"/>
          <w:color w:val="auto"/>
        </w:rPr>
        <w:t>GAS-seven LTD.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227" w:name="page228"/>
    <w:bookmarkEnd w:id="227"/>
    <w:p>
      <w:pPr>
        <w:jc w:val="center"/>
        <w:ind w:right="-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2696210</wp:posOffset>
            </wp:positionH>
            <wp:positionV relativeFrom="page">
              <wp:posOffset>397510</wp:posOffset>
            </wp:positionV>
            <wp:extent cx="217805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178050" cy="8890"/>
                    </a:xfrm>
                    <a:prstGeom prst="rect">
                      <a:avLst/>
                    </a:prstGeom>
                    <a:noFill/>
                  </pic:spPr>
                </pic:pic>
              </a:graphicData>
            </a:graphic>
          </wp:anchor>
        </w:drawing>
        <w:t>authorised signatory for</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GAS-eight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1781810</wp:posOffset>
            </wp:positionH>
            <wp:positionV relativeFrom="paragraph">
              <wp:posOffset>255270</wp:posOffset>
            </wp:positionV>
            <wp:extent cx="217805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authorised signatory for</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GAS-nine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1781810</wp:posOffset>
            </wp:positionH>
            <wp:positionV relativeFrom="paragraph">
              <wp:posOffset>255270</wp:posOffset>
            </wp:positionV>
            <wp:extent cx="217805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authorised signatory for</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GAS-ten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1781810</wp:posOffset>
            </wp:positionH>
            <wp:positionV relativeFrom="paragraph">
              <wp:posOffset>255270</wp:posOffset>
            </wp:positionV>
            <wp:extent cx="217805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authorised signatory for</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GAS-fifteen LTD.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135255</wp:posOffset>
            </wp:positionV>
            <wp:extent cx="7246620" cy="342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639" w:right="1440" w:bottom="1440" w:gutter="0" w:footer="0" w:header="0"/>
        </w:sectPr>
      </w:pPr>
    </w:p>
    <w:bookmarkStart w:id="228" w:name="page229"/>
    <w:bookmarkEnd w:id="228"/>
    <w:p>
      <w:pPr>
        <w:jc w:val="both"/>
        <w:spacing w:after="0" w:line="224" w:lineRule="auto"/>
        <w:framePr w:w="10960" w:h="582" w:wrap="auto" w:vAnchor="page" w:hAnchor="page" w:x="740" w:y="8378"/>
        <w:rPr>
          <w:rFonts w:ascii="Arial" w:cs="Arial" w:eastAsia="Arial" w:hAnsi="Arial"/>
          <w:sz w:val="18"/>
          <w:szCs w:val="18"/>
          <w:i w:val="1"/>
          <w:iCs w:val="1"/>
          <w:color w:val="auto"/>
        </w:rPr>
      </w:pPr>
      <w:r>
        <w:rPr>
          <w:rFonts w:ascii="Arial" w:cs="Arial" w:eastAsia="Arial" w:hAnsi="Arial"/>
          <w:sz w:val="18"/>
          <w:szCs w:val="18"/>
          <w:color w:val="auto"/>
        </w:rPr>
        <w:t>(a) two valuations of all of the Fleet Vessels from [l] and [l], each being Approved Brokers referred to in clause 25.8 (</w:t>
      </w:r>
      <w:r>
        <w:rPr>
          <w:rFonts w:ascii="Arial" w:cs="Arial" w:eastAsia="Arial" w:hAnsi="Arial"/>
          <w:sz w:val="18"/>
          <w:szCs w:val="18"/>
          <w:i w:val="1"/>
          <w:iCs w:val="1"/>
          <w:color w:val="auto"/>
        </w:rPr>
        <w:t>Approved</w:t>
      </w:r>
      <w:r>
        <w:rPr>
          <w:rFonts w:ascii="Arial" w:cs="Arial" w:eastAsia="Arial" w:hAnsi="Arial"/>
          <w:sz w:val="18"/>
          <w:szCs w:val="18"/>
          <w:color w:val="auto"/>
        </w:rPr>
        <w:t xml:space="preserve"> </w:t>
      </w:r>
      <w:r>
        <w:rPr>
          <w:rFonts w:ascii="Arial" w:cs="Arial" w:eastAsia="Arial" w:hAnsi="Arial"/>
          <w:sz w:val="18"/>
          <w:szCs w:val="18"/>
          <w:i w:val="1"/>
          <w:iCs w:val="1"/>
          <w:color w:val="auto"/>
        </w:rPr>
        <w:t>Brokers</w:t>
      </w:r>
      <w:r>
        <w:rPr>
          <w:rFonts w:ascii="Arial" w:cs="Arial" w:eastAsia="Arial" w:hAnsi="Arial"/>
          <w:sz w:val="18"/>
          <w:szCs w:val="18"/>
          <w:color w:val="auto"/>
        </w:rPr>
        <w:t>) of the Agreement and prepared in accordance with clause 19.2 (</w:t>
      </w:r>
      <w:r>
        <w:rPr>
          <w:rFonts w:ascii="Arial" w:cs="Arial" w:eastAsia="Arial" w:hAnsi="Arial"/>
          <w:sz w:val="18"/>
          <w:szCs w:val="18"/>
          <w:i w:val="1"/>
          <w:iCs w:val="1"/>
          <w:color w:val="auto"/>
        </w:rPr>
        <w:t>Provision and contents of Compliance Certificate and valuations</w:t>
      </w:r>
      <w:r>
        <w:rPr>
          <w:rFonts w:ascii="Arial" w:cs="Arial" w:eastAsia="Arial" w:hAnsi="Arial"/>
          <w:sz w:val="18"/>
          <w:szCs w:val="18"/>
          <w:color w:val="auto"/>
        </w:rPr>
        <w:t>) and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 of the Agreement;</w:t>
      </w:r>
    </w:p>
    <w:p>
      <w:pPr>
        <w:spacing w:after="0" w:line="211" w:lineRule="auto"/>
        <w:framePr w:w="10960" w:h="366" w:wrap="auto" w:vAnchor="page" w:hAnchor="page" w:x="740" w:y="9201"/>
        <w:rPr>
          <w:rFonts w:ascii="Arial" w:cs="Arial" w:eastAsia="Arial" w:hAnsi="Arial"/>
          <w:sz w:val="18"/>
          <w:szCs w:val="18"/>
          <w:i w:val="1"/>
          <w:iCs w:val="1"/>
          <w:color w:val="auto"/>
        </w:rPr>
      </w:pPr>
      <w:r>
        <w:rPr>
          <w:rFonts w:ascii="Arial" w:cs="Arial" w:eastAsia="Arial" w:hAnsi="Arial"/>
          <w:sz w:val="18"/>
          <w:szCs w:val="18"/>
          <w:i w:val="1"/>
          <w:iCs w:val="1"/>
          <w:color w:val="auto"/>
        </w:rPr>
        <w:t>(b) valuations of all other assets owned wholly or in part by the Group prepared in accordance with clause 25.4 of the Agreement (Valuations procedure); [and]</w:t>
      </w:r>
    </w:p>
    <w:p>
      <w:pPr>
        <w:spacing w:after="0" w:line="211" w:lineRule="auto"/>
        <w:framePr w:w="10960" w:h="366" w:wrap="auto" w:vAnchor="page" w:hAnchor="page" w:x="740" w:y="9809"/>
        <w:rPr>
          <w:rFonts w:ascii="Arial" w:cs="Arial" w:eastAsia="Arial" w:hAnsi="Arial"/>
          <w:sz w:val="18"/>
          <w:szCs w:val="18"/>
          <w:i w:val="1"/>
          <w:iCs w:val="1"/>
          <w:color w:val="auto"/>
        </w:rPr>
      </w:pPr>
      <w:r>
        <w:rPr>
          <w:rFonts w:ascii="Arial" w:cs="Arial" w:eastAsia="Arial" w:hAnsi="Arial"/>
          <w:sz w:val="18"/>
          <w:szCs w:val="18"/>
          <w:i w:val="1"/>
          <w:iCs w:val="1"/>
          <w:color w:val="auto"/>
        </w:rPr>
        <w:t>(c) [reconciliations prepared by us as to the difference between the book value of the assets referred to in 3(a) [(and (b))] and their market values as demonstrated by the valuations referred to in 3(a) [(and (b))]; and]</w:t>
      </w:r>
    </w:p>
    <w:p>
      <w:pPr>
        <w:spacing w:after="0" w:line="211" w:lineRule="auto"/>
        <w:framePr w:w="10960" w:h="366" w:wrap="auto" w:vAnchor="page" w:hAnchor="page" w:x="740" w:y="10417"/>
        <w:rPr>
          <w:rFonts w:ascii="Arial" w:cs="Arial" w:eastAsia="Arial" w:hAnsi="Arial"/>
          <w:sz w:val="18"/>
          <w:szCs w:val="18"/>
          <w:i w:val="1"/>
          <w:iCs w:val="1"/>
          <w:color w:val="auto"/>
        </w:rPr>
      </w:pPr>
      <w:r>
        <w:rPr>
          <w:rFonts w:ascii="Arial" w:cs="Arial" w:eastAsia="Arial" w:hAnsi="Arial"/>
          <w:sz w:val="18"/>
          <w:szCs w:val="18"/>
          <w:i w:val="1"/>
          <w:iCs w:val="1"/>
          <w:color w:val="auto"/>
        </w:rPr>
        <w:t>(d) marked-to-market valuations of all Treasury Transactions entered into by a member of the Group reconciled against the [Semi-Annual][Annual] Financial Statements.</w:t>
      </w:r>
    </w:p>
    <w:p>
      <w:pPr>
        <w:spacing w:after="0" w:line="200" w:lineRule="auto"/>
        <w:framePr w:w="380" w:h="163" w:wrap="auto" w:vAnchor="page" w:hAnchor="page" w:x="5760" w:y="11011"/>
        <w:rPr>
          <w:rFonts w:ascii="Arial" w:cs="Arial" w:eastAsia="Arial" w:hAnsi="Arial"/>
          <w:sz w:val="17"/>
          <w:szCs w:val="17"/>
          <w:i w:val="1"/>
          <w:iCs w:val="1"/>
          <w:color w:val="auto"/>
        </w:rPr>
      </w:pPr>
      <w:r>
        <w:rPr>
          <w:rFonts w:ascii="Arial" w:cs="Arial" w:eastAsia="Arial" w:hAnsi="Arial"/>
          <w:sz w:val="17"/>
          <w:szCs w:val="17"/>
          <w:i w:val="1"/>
          <w:iCs w:val="1"/>
          <w:color w:val="auto"/>
        </w:rPr>
        <w:t>177</w:t>
      </w:r>
    </w:p>
    <w:p>
      <w:pPr>
        <w:jc w:val="center"/>
        <w:ind w:right="-19"/>
        <w:spacing w:after="0"/>
        <w:rPr>
          <w:sz w:val="20"/>
          <w:szCs w:val="20"/>
          <w:color w:val="auto"/>
        </w:rPr>
      </w:pPr>
      <w:r>
        <w:rPr>
          <w:rFonts w:ascii="Arial" w:cs="Arial" w:eastAsia="Arial" w:hAnsi="Arial"/>
          <w:sz w:val="22"/>
          <w:szCs w:val="22"/>
          <w:b w:val="1"/>
          <w:bCs w:val="1"/>
          <w:color w:val="auto"/>
        </w:rPr>
        <w:t>Schedule 6</w:t>
      </w:r>
    </w:p>
    <w:p>
      <w:pPr>
        <w:spacing w:after="0" w:line="16" w:lineRule="exact"/>
        <w:rPr>
          <w:rFonts w:ascii="Arial" w:cs="Arial" w:eastAsia="Arial" w:hAnsi="Arial"/>
          <w:sz w:val="17"/>
          <w:szCs w:val="17"/>
          <w:i w:val="1"/>
          <w:iCs w:val="1"/>
          <w:color w:val="auto"/>
        </w:rPr>
      </w:pPr>
    </w:p>
    <w:p>
      <w:pPr>
        <w:jc w:val="center"/>
        <w:ind w:right="-19"/>
        <w:spacing w:after="0"/>
        <w:rPr>
          <w:sz w:val="20"/>
          <w:szCs w:val="20"/>
          <w:color w:val="auto"/>
        </w:rPr>
      </w:pPr>
      <w:r>
        <w:rPr>
          <w:rFonts w:ascii="Arial" w:cs="Arial" w:eastAsia="Arial" w:hAnsi="Arial"/>
          <w:sz w:val="22"/>
          <w:szCs w:val="22"/>
          <w:b w:val="1"/>
          <w:bCs w:val="1"/>
          <w:color w:val="auto"/>
        </w:rPr>
        <w:t>Form of Compliance Certificate</w:t>
      </w:r>
    </w:p>
    <w:p>
      <w:pPr>
        <w:spacing w:after="0" w:line="217" w:lineRule="exact"/>
        <w:rPr>
          <w:rFonts w:ascii="Arial" w:cs="Arial" w:eastAsia="Arial" w:hAnsi="Arial"/>
          <w:sz w:val="17"/>
          <w:szCs w:val="17"/>
          <w:i w:val="1"/>
          <w:iCs w:val="1"/>
          <w:color w:val="auto"/>
        </w:rPr>
      </w:pPr>
    </w:p>
    <w:p>
      <w:pPr>
        <w:spacing w:after="0"/>
        <w:tabs>
          <w:tab w:leader="none" w:pos="16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 xml:space="preserve">Nordea Bank AB, London Branch </w:t>
      </w:r>
      <w:r>
        <w:rPr>
          <w:rFonts w:ascii="Arial" w:cs="Arial" w:eastAsia="Arial" w:hAnsi="Arial"/>
          <w:sz w:val="18"/>
          <w:szCs w:val="18"/>
          <w:color w:val="auto"/>
        </w:rPr>
        <w:t>as Agent</w:t>
      </w:r>
    </w:p>
    <w:p>
      <w:pPr>
        <w:spacing w:after="0" w:line="220" w:lineRule="exact"/>
        <w:rPr>
          <w:rFonts w:ascii="Arial" w:cs="Arial" w:eastAsia="Arial" w:hAnsi="Arial"/>
          <w:sz w:val="17"/>
          <w:szCs w:val="17"/>
          <w:i w:val="1"/>
          <w:iCs w:val="1"/>
          <w:color w:val="auto"/>
        </w:rPr>
      </w:pPr>
    </w:p>
    <w:p>
      <w:pPr>
        <w:spacing w:after="0"/>
        <w:tabs>
          <w:tab w:leader="none" w:pos="160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8"/>
          <w:szCs w:val="18"/>
          <w:color w:val="auto"/>
        </w:rPr>
        <w:t>GasLog Ltd.</w:t>
      </w:r>
    </w:p>
    <w:p>
      <w:pPr>
        <w:spacing w:after="0" w:line="185" w:lineRule="exact"/>
        <w:rPr>
          <w:rFonts w:ascii="Arial" w:cs="Arial" w:eastAsia="Arial" w:hAnsi="Arial"/>
          <w:sz w:val="17"/>
          <w:szCs w:val="17"/>
          <w:i w:val="1"/>
          <w:iCs w:val="1"/>
          <w:color w:val="auto"/>
        </w:rPr>
      </w:pPr>
    </w:p>
    <w:p>
      <w:pPr>
        <w:spacing w:after="0"/>
        <w:tabs>
          <w:tab w:leader="none" w:pos="16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[l]</w:t>
      </w:r>
    </w:p>
    <w:p>
      <w:pPr>
        <w:spacing w:after="0" w:line="225"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color w:val="auto"/>
        </w:rPr>
        <w:t>Dear Sirs</w:t>
      </w:r>
    </w:p>
    <w:p>
      <w:pPr>
        <w:spacing w:after="0" w:line="176"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color w:val="auto"/>
        </w:rPr>
        <w:t>$1,050,000,000 Facilities Agreement dated [l] 2016 (the “Agreement”)</w:t>
      </w:r>
    </w:p>
    <w:p>
      <w:pPr>
        <w:spacing w:after="0" w:line="216" w:lineRule="exact"/>
        <w:rPr>
          <w:rFonts w:ascii="Arial" w:cs="Arial" w:eastAsia="Arial" w:hAnsi="Arial"/>
          <w:sz w:val="17"/>
          <w:szCs w:val="17"/>
          <w:i w:val="1"/>
          <w:iCs w:val="1"/>
          <w:color w:val="auto"/>
        </w:rPr>
      </w:pPr>
    </w:p>
    <w:p>
      <w:pPr>
        <w:ind w:left="540" w:hanging="532"/>
        <w:spacing w:after="0" w:line="267" w:lineRule="auto"/>
        <w:tabs>
          <w:tab w:leader="none" w:pos="540" w:val="left"/>
        </w:tabs>
        <w:numPr>
          <w:ilvl w:val="0"/>
          <w:numId w:val="463"/>
        </w:numPr>
        <w:rPr>
          <w:rFonts w:ascii="Arial" w:cs="Arial" w:eastAsia="Arial" w:hAnsi="Arial"/>
          <w:sz w:val="18"/>
          <w:szCs w:val="18"/>
          <w:b w:val="1"/>
          <w:bCs w:val="1"/>
          <w:color w:val="auto"/>
        </w:rPr>
      </w:pPr>
      <w:r>
        <w:rPr>
          <w:rFonts w:ascii="Arial" w:cs="Arial" w:eastAsia="Arial" w:hAnsi="Arial"/>
          <w:sz w:val="18"/>
          <w:szCs w:val="18"/>
          <w:color w:val="auto"/>
        </w:rPr>
        <w:t>We refer to the Agreement. This is a Compliance Certificate. Terms defined in clause 20.1 (</w:t>
      </w:r>
      <w:r>
        <w:rPr>
          <w:rFonts w:ascii="Arial" w:cs="Arial" w:eastAsia="Arial" w:hAnsi="Arial"/>
          <w:sz w:val="18"/>
          <w:szCs w:val="18"/>
          <w:i w:val="1"/>
          <w:iCs w:val="1"/>
          <w:color w:val="auto"/>
        </w:rPr>
        <w:t>Financial definitions</w:t>
      </w:r>
      <w:r>
        <w:rPr>
          <w:rFonts w:ascii="Arial" w:cs="Arial" w:eastAsia="Arial" w:hAnsi="Arial"/>
          <w:sz w:val="18"/>
          <w:szCs w:val="18"/>
          <w:color w:val="auto"/>
        </w:rPr>
        <w:t>) of the Agreement have the same meaning when used in this Compliance Certificate unless given a different meaning in this Compliance Certificate.</w:t>
      </w:r>
    </w:p>
    <w:p>
      <w:pPr>
        <w:spacing w:after="0" w:line="152" w:lineRule="exact"/>
        <w:rPr>
          <w:rFonts w:ascii="Arial" w:cs="Arial" w:eastAsia="Arial" w:hAnsi="Arial"/>
          <w:sz w:val="17"/>
          <w:szCs w:val="17"/>
          <w:i w:val="1"/>
          <w:iCs w:val="1"/>
          <w:color w:val="auto"/>
        </w:rPr>
      </w:pPr>
    </w:p>
    <w:p>
      <w:pPr>
        <w:ind w:left="540" w:hanging="532"/>
        <w:spacing w:after="0" w:line="277" w:lineRule="auto"/>
        <w:tabs>
          <w:tab w:leader="none" w:pos="540" w:val="left"/>
        </w:tabs>
        <w:numPr>
          <w:ilvl w:val="0"/>
          <w:numId w:val="464"/>
        </w:numPr>
        <w:rPr>
          <w:rFonts w:ascii="Arial" w:cs="Arial" w:eastAsia="Arial" w:hAnsi="Arial"/>
          <w:sz w:val="18"/>
          <w:szCs w:val="18"/>
          <w:b w:val="1"/>
          <w:bCs w:val="1"/>
          <w:color w:val="auto"/>
        </w:rPr>
      </w:pPr>
      <w:r>
        <w:rPr>
          <w:rFonts w:ascii="Arial" w:cs="Arial" w:eastAsia="Arial" w:hAnsi="Arial"/>
          <w:sz w:val="18"/>
          <w:szCs w:val="18"/>
          <w:color w:val="auto"/>
        </w:rPr>
        <w:t>We confirm that by reference to the [Semi-Annual][Annual] Financial Statements for the Group for the financial period ending on [l] attached hereto:</w:t>
      </w:r>
    </w:p>
    <w:p>
      <w:pPr>
        <w:spacing w:after="0" w:line="134" w:lineRule="exact"/>
        <w:rPr>
          <w:rFonts w:ascii="Arial" w:cs="Arial" w:eastAsia="Arial" w:hAnsi="Arial"/>
          <w:sz w:val="18"/>
          <w:szCs w:val="18"/>
          <w:b w:val="1"/>
          <w:bCs w:val="1"/>
          <w:color w:val="auto"/>
        </w:rPr>
      </w:pPr>
    </w:p>
    <w:p>
      <w:pPr>
        <w:ind w:left="1080" w:hanging="532"/>
        <w:spacing w:after="0" w:line="287" w:lineRule="auto"/>
        <w:tabs>
          <w:tab w:leader="none" w:pos="1080" w:val="left"/>
        </w:tabs>
        <w:numPr>
          <w:ilvl w:val="1"/>
          <w:numId w:val="464"/>
        </w:numPr>
        <w:rPr>
          <w:rFonts w:ascii="Arial" w:cs="Arial" w:eastAsia="Arial" w:hAnsi="Arial"/>
          <w:sz w:val="18"/>
          <w:szCs w:val="18"/>
          <w:color w:val="auto"/>
        </w:rPr>
      </w:pPr>
      <w:r>
        <w:rPr>
          <w:rFonts w:ascii="Arial" w:cs="Arial" w:eastAsia="Arial" w:hAnsi="Arial"/>
          <w:sz w:val="18"/>
          <w:szCs w:val="18"/>
          <w:b w:val="1"/>
          <w:bCs w:val="1"/>
          <w:color w:val="auto"/>
        </w:rPr>
        <w:t xml:space="preserve">Net Worth: </w:t>
      </w:r>
      <w:r>
        <w:rPr>
          <w:rFonts w:ascii="Arial" w:cs="Arial" w:eastAsia="Arial" w:hAnsi="Arial"/>
          <w:sz w:val="18"/>
          <w:szCs w:val="18"/>
          <w:color w:val="auto"/>
        </w:rPr>
        <w:t>our Market Adjusted Net Worth is $[l] (being $[l] (Total Market Adjusted Assets) less $[l] (Total Indebtedness))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[Requirement being $350,000,000]</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jc w:val="both"/>
        <w:ind w:left="1080" w:hanging="532"/>
        <w:spacing w:after="0" w:line="269" w:lineRule="auto"/>
        <w:tabs>
          <w:tab w:leader="none" w:pos="1080" w:val="left"/>
        </w:tabs>
        <w:numPr>
          <w:ilvl w:val="1"/>
          <w:numId w:val="464"/>
        </w:numPr>
        <w:rPr>
          <w:rFonts w:ascii="Arial" w:cs="Arial" w:eastAsia="Arial" w:hAnsi="Arial"/>
          <w:sz w:val="18"/>
          <w:szCs w:val="18"/>
          <w:color w:val="auto"/>
        </w:rPr>
      </w:pPr>
      <w:r>
        <w:rPr>
          <w:rFonts w:ascii="Arial" w:cs="Arial" w:eastAsia="Arial" w:hAnsi="Arial"/>
          <w:sz w:val="18"/>
          <w:szCs w:val="18"/>
          <w:b w:val="1"/>
          <w:bCs w:val="1"/>
          <w:color w:val="auto"/>
        </w:rPr>
        <w:t xml:space="preserve">Current ratio: </w:t>
      </w:r>
      <w:r>
        <w:rPr>
          <w:rFonts w:ascii="Arial" w:cs="Arial" w:eastAsia="Arial" w:hAnsi="Arial"/>
          <w:sz w:val="18"/>
          <w:szCs w:val="18"/>
          <w:color w:val="auto"/>
        </w:rPr>
        <w:t>our Current Assets (being $[l]) are [not] greater than or equal to our Current Liabilities, (excluding Current Portion</w:t>
      </w:r>
      <w:r>
        <w:rPr>
          <w:rFonts w:ascii="Arial" w:cs="Arial" w:eastAsia="Arial" w:hAnsi="Arial"/>
          <w:sz w:val="18"/>
          <w:szCs w:val="18"/>
          <w:b w:val="1"/>
          <w:bCs w:val="1"/>
          <w:color w:val="auto"/>
        </w:rPr>
        <w:t xml:space="preserve"> </w:t>
      </w:r>
      <w:r>
        <w:rPr>
          <w:rFonts w:ascii="Arial" w:cs="Arial" w:eastAsia="Arial" w:hAnsi="Arial"/>
          <w:sz w:val="18"/>
          <w:szCs w:val="18"/>
          <w:color w:val="auto"/>
        </w:rPr>
        <w:t>of Loans (being $[l])) [</w:t>
      </w:r>
      <w:r>
        <w:rPr>
          <w:rFonts w:ascii="Arial" w:cs="Arial" w:eastAsia="Arial" w:hAnsi="Arial"/>
          <w:sz w:val="18"/>
          <w:szCs w:val="18"/>
          <w:b w:val="1"/>
          <w:bCs w:val="1"/>
          <w:i w:val="1"/>
          <w:iCs w:val="1"/>
          <w:color w:val="auto"/>
        </w:rPr>
        <w:t>Requirement being that Current Assets are greater than or equal to Current Liabilities at all times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(excluding Current Portion of Loans)</w:t>
      </w:r>
      <w:r>
        <w:rPr>
          <w:rFonts w:ascii="Arial" w:cs="Arial" w:eastAsia="Arial" w:hAnsi="Arial"/>
          <w:sz w:val="18"/>
          <w:szCs w:val="18"/>
          <w:color w:val="auto"/>
        </w:rPr>
        <w:t>];</w:t>
      </w:r>
    </w:p>
    <w:p>
      <w:pPr>
        <w:spacing w:after="0" w:line="141" w:lineRule="exact"/>
        <w:rPr>
          <w:rFonts w:ascii="Arial" w:cs="Arial" w:eastAsia="Arial" w:hAnsi="Arial"/>
          <w:sz w:val="18"/>
          <w:szCs w:val="18"/>
          <w:color w:val="auto"/>
        </w:rPr>
      </w:pPr>
    </w:p>
    <w:p>
      <w:pPr>
        <w:jc w:val="both"/>
        <w:ind w:left="1080" w:right="20" w:hanging="532"/>
        <w:spacing w:after="0" w:line="287" w:lineRule="auto"/>
        <w:tabs>
          <w:tab w:leader="none" w:pos="1080" w:val="left"/>
        </w:tabs>
        <w:numPr>
          <w:ilvl w:val="1"/>
          <w:numId w:val="464"/>
        </w:numPr>
        <w:rPr>
          <w:rFonts w:ascii="Arial" w:cs="Arial" w:eastAsia="Arial" w:hAnsi="Arial"/>
          <w:sz w:val="18"/>
          <w:szCs w:val="18"/>
          <w:color w:val="auto"/>
        </w:rPr>
      </w:pPr>
      <w:r>
        <w:rPr>
          <w:rFonts w:ascii="Arial" w:cs="Arial" w:eastAsia="Arial" w:hAnsi="Arial"/>
          <w:sz w:val="18"/>
          <w:szCs w:val="18"/>
          <w:b w:val="1"/>
          <w:bCs w:val="1"/>
          <w:color w:val="auto"/>
        </w:rPr>
        <w:t xml:space="preserve">Debt service cover: </w:t>
      </w:r>
      <w:r>
        <w:rPr>
          <w:rFonts w:ascii="Arial" w:cs="Arial" w:eastAsia="Arial" w:hAnsi="Arial"/>
          <w:sz w:val="18"/>
          <w:szCs w:val="18"/>
          <w:color w:val="auto"/>
        </w:rPr>
        <w:t>the ratio of EBITDA: Debt Service has been [l] calculated on a four quarter trailing basis (being $[l] EBITDA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$[l] Debt Service) </w:t>
      </w:r>
      <w:r>
        <w:rPr>
          <w:rFonts w:ascii="Arial" w:cs="Arial" w:eastAsia="Arial" w:hAnsi="Arial"/>
          <w:sz w:val="18"/>
          <w:szCs w:val="18"/>
          <w:b w:val="1"/>
          <w:bCs w:val="1"/>
          <w:i w:val="1"/>
          <w:iCs w:val="1"/>
          <w:color w:val="auto"/>
        </w:rPr>
        <w:t>[Requirement being that the ratio of EBITDA to Debt Service is not less than 1.10:1 in each quarter]</w:t>
      </w:r>
      <w:r>
        <w:rPr>
          <w:rFonts w:ascii="Arial" w:cs="Arial" w:eastAsia="Arial" w:hAnsi="Arial"/>
          <w:sz w:val="18"/>
          <w:szCs w:val="18"/>
          <w:color w:val="auto"/>
        </w:rPr>
        <w:t>;</w:t>
      </w:r>
    </w:p>
    <w:p>
      <w:pPr>
        <w:spacing w:after="0" w:line="139" w:lineRule="exact"/>
        <w:rPr>
          <w:rFonts w:ascii="Arial" w:cs="Arial" w:eastAsia="Arial" w:hAnsi="Arial"/>
          <w:sz w:val="18"/>
          <w:szCs w:val="18"/>
          <w:color w:val="auto"/>
        </w:rPr>
      </w:pPr>
    </w:p>
    <w:p>
      <w:pPr>
        <w:ind w:left="1080" w:hanging="532"/>
        <w:spacing w:after="0" w:line="287" w:lineRule="auto"/>
        <w:tabs>
          <w:tab w:leader="none" w:pos="1080" w:val="left"/>
        </w:tabs>
        <w:numPr>
          <w:ilvl w:val="1"/>
          <w:numId w:val="464"/>
        </w:numPr>
        <w:rPr>
          <w:rFonts w:ascii="Arial" w:cs="Arial" w:eastAsia="Arial" w:hAnsi="Arial"/>
          <w:sz w:val="18"/>
          <w:szCs w:val="18"/>
          <w:color w:val="auto"/>
        </w:rPr>
      </w:pPr>
      <w:r>
        <w:rPr>
          <w:rFonts w:ascii="Arial" w:cs="Arial" w:eastAsia="Arial" w:hAnsi="Arial"/>
          <w:sz w:val="18"/>
          <w:szCs w:val="18"/>
          <w:b w:val="1"/>
          <w:bCs w:val="1"/>
          <w:color w:val="auto"/>
        </w:rPr>
        <w:t xml:space="preserve">Leverage: </w:t>
      </w:r>
      <w:r>
        <w:rPr>
          <w:rFonts w:ascii="Arial" w:cs="Arial" w:eastAsia="Arial" w:hAnsi="Arial"/>
          <w:sz w:val="18"/>
          <w:szCs w:val="18"/>
          <w:color w:val="auto"/>
        </w:rPr>
        <w:t>the Maximum Leverage is [l]% (being $[l] Total Indebtedness divided by $[l] Total Assets).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[Requirement being that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the Maximum Leverage shall be less than 75%]</w:t>
      </w:r>
      <w:r>
        <w:rPr>
          <w:rFonts w:ascii="Arial" w:cs="Arial" w:eastAsia="Arial" w:hAnsi="Arial"/>
          <w:sz w:val="18"/>
          <w:szCs w:val="18"/>
          <w:color w:val="auto"/>
        </w:rPr>
        <w:t>; and</w:t>
      </w:r>
    </w:p>
    <w:p>
      <w:pPr>
        <w:spacing w:after="0" w:line="126" w:lineRule="exact"/>
        <w:rPr>
          <w:rFonts w:ascii="Arial" w:cs="Arial" w:eastAsia="Arial" w:hAnsi="Arial"/>
          <w:sz w:val="18"/>
          <w:szCs w:val="18"/>
          <w:color w:val="auto"/>
        </w:rPr>
      </w:pPr>
    </w:p>
    <w:p>
      <w:pPr>
        <w:jc w:val="both"/>
        <w:ind w:left="1080" w:hanging="532"/>
        <w:spacing w:after="0" w:line="261" w:lineRule="auto"/>
        <w:tabs>
          <w:tab w:leader="none" w:pos="1080" w:val="left"/>
        </w:tabs>
        <w:numPr>
          <w:ilvl w:val="1"/>
          <w:numId w:val="464"/>
        </w:numPr>
        <w:rPr>
          <w:rFonts w:ascii="Arial" w:cs="Arial" w:eastAsia="Arial" w:hAnsi="Arial"/>
          <w:sz w:val="18"/>
          <w:szCs w:val="18"/>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our Cash and Cash Equivalents is $[l] (which represents [l]% of Total Indebtedness and more than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$50,000,000). </w:t>
      </w:r>
      <w:r>
        <w:rPr>
          <w:rFonts w:ascii="Arial" w:cs="Arial" w:eastAsia="Arial" w:hAnsi="Arial"/>
          <w:sz w:val="18"/>
          <w:szCs w:val="18"/>
          <w:b w:val="1"/>
          <w:bCs w:val="1"/>
          <w:i w:val="1"/>
          <w:iCs w:val="1"/>
          <w:color w:val="auto"/>
        </w:rPr>
        <w:t>[Requirement that Cash and Cash Equivalents is, at all times, not less than the greater of (i) $50,000,000</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and (ii) three per cent. of Total Indebtedness]</w:t>
      </w:r>
      <w:r>
        <w:rPr>
          <w:rFonts w:ascii="Arial" w:cs="Arial" w:eastAsia="Arial" w:hAnsi="Arial"/>
          <w:sz w:val="18"/>
          <w:szCs w:val="18"/>
          <w:color w:val="auto"/>
        </w:rPr>
        <w:t>.</w:t>
      </w:r>
    </w:p>
    <w:p>
      <w:pPr>
        <w:spacing w:after="0" w:line="171" w:lineRule="exact"/>
        <w:rPr>
          <w:rFonts w:ascii="Arial" w:cs="Arial" w:eastAsia="Arial" w:hAnsi="Arial"/>
          <w:sz w:val="17"/>
          <w:szCs w:val="17"/>
          <w:i w:val="1"/>
          <w:iCs w:val="1"/>
          <w:color w:val="auto"/>
        </w:rPr>
      </w:pPr>
    </w:p>
    <w:p>
      <w:pPr>
        <w:ind w:left="540" w:hanging="532"/>
        <w:spacing w:after="0"/>
        <w:tabs>
          <w:tab w:leader="none" w:pos="540" w:val="left"/>
        </w:tabs>
        <w:numPr>
          <w:ilvl w:val="0"/>
          <w:numId w:val="465"/>
        </w:numPr>
        <w:rPr>
          <w:rFonts w:ascii="Arial" w:cs="Arial" w:eastAsia="Arial" w:hAnsi="Arial"/>
          <w:sz w:val="18"/>
          <w:szCs w:val="18"/>
          <w:b w:val="1"/>
          <w:bCs w:val="1"/>
          <w:color w:val="auto"/>
        </w:rPr>
      </w:pPr>
      <w:r>
        <w:rPr>
          <w:rFonts w:ascii="Arial" w:cs="Arial" w:eastAsia="Arial" w:hAnsi="Arial"/>
          <w:sz w:val="18"/>
          <w:szCs w:val="18"/>
          <w:color w:val="auto"/>
        </w:rPr>
        <w:t>In order to demonstrate our confirmations in paragraph 2, we attach:</w:t>
      </w:r>
    </w:p>
    <w:p>
      <w:pPr>
        <w:spacing w:after="0" w:line="20" w:lineRule="exact"/>
        <w:rPr>
          <w:rFonts w:ascii="Arial" w:cs="Arial" w:eastAsia="Arial" w:hAnsi="Arial"/>
          <w:sz w:val="17"/>
          <w:szCs w:val="17"/>
          <w:i w:val="1"/>
          <w:iCs w:val="1"/>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column">
              <wp:posOffset>5080</wp:posOffset>
            </wp:positionH>
            <wp:positionV relativeFrom="paragraph">
              <wp:posOffset>2064385</wp:posOffset>
            </wp:positionV>
            <wp:extent cx="7246620" cy="342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29" w:name="page230"/>
    <w:bookmarkEnd w:id="229"/>
    <w:p>
      <w:pPr>
        <w:ind w:left="540" w:hanging="532"/>
        <w:spacing w:after="0" w:line="271" w:lineRule="auto"/>
        <w:tabs>
          <w:tab w:leader="none" w:pos="540" w:val="left"/>
        </w:tabs>
        <w:numPr>
          <w:ilvl w:val="0"/>
          <w:numId w:val="466"/>
        </w:numPr>
        <w:rPr>
          <w:rFonts w:ascii="Arial" w:cs="Arial" w:eastAsia="Arial" w:hAnsi="Arial"/>
          <w:sz w:val="18"/>
          <w:szCs w:val="18"/>
          <w:b w:val="1"/>
          <w:bCs w:val="1"/>
          <w:color w:val="auto"/>
        </w:rPr>
      </w:pPr>
      <w:r>
        <w:rPr>
          <w:rFonts w:ascii="Arial" w:cs="Arial" w:eastAsia="Arial" w:hAnsi="Arial"/>
          <w:sz w:val="18"/>
          <w:szCs w:val="18"/>
          <w:color w:val="auto"/>
        </w:rPr>
        <w:t>We confirm that no Event of Default is continuing [</w:t>
      </w:r>
      <w:r>
        <w:rPr>
          <w:rFonts w:ascii="Arial" w:cs="Arial" w:eastAsia="Arial" w:hAnsi="Arial"/>
          <w:sz w:val="18"/>
          <w:szCs w:val="18"/>
          <w:b w:val="1"/>
          <w:bCs w:val="1"/>
          <w:i w:val="1"/>
          <w:iCs w:val="1"/>
          <w:color w:val="auto"/>
        </w:rPr>
        <w:t>If this statement cannot be made, the certificate should identify any Event 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Default that is continuing and the steps, if any, being taken to remedy it.</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Signed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144907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4" w:lineRule="auto"/>
        <w:rPr>
          <w:sz w:val="20"/>
          <w:szCs w:val="20"/>
          <w:color w:val="auto"/>
        </w:rPr>
      </w:pPr>
      <w:r>
        <w:rPr>
          <w:rFonts w:ascii="Arial" w:cs="Arial" w:eastAsia="Arial" w:hAnsi="Arial"/>
          <w:sz w:val="18"/>
          <w:szCs w:val="18"/>
          <w:color w:val="auto"/>
        </w:rPr>
        <w:t>For and on behalf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0" w:right="259" w:bottom="1440" w:gutter="0" w:footer="0" w:header="0"/>
        </w:sectPr>
      </w:pPr>
    </w:p>
    <w:bookmarkStart w:id="230" w:name="page231"/>
    <w:bookmarkEnd w:id="230"/>
    <w:p>
      <w:pPr>
        <w:jc w:val="center"/>
        <w:ind w:right="-19"/>
        <w:spacing w:after="0"/>
        <w:rPr>
          <w:sz w:val="20"/>
          <w:szCs w:val="20"/>
          <w:color w:val="auto"/>
        </w:rPr>
      </w:pPr>
      <w:r>
        <w:rPr>
          <w:rFonts w:ascii="Arial" w:cs="Arial" w:eastAsia="Arial" w:hAnsi="Arial"/>
          <w:sz w:val="22"/>
          <w:szCs w:val="22"/>
          <w:b w:val="1"/>
          <w:bCs w:val="1"/>
          <w:color w:val="auto"/>
        </w:rPr>
        <w:t>Schedule 7</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Form of Transfer Certificate</w:t>
      </w:r>
    </w:p>
    <w:p>
      <w:pPr>
        <w:sectPr>
          <w:pgSz w:w="11900" w:h="16838" w:orient="portrait"/>
          <w:cols w:equalWidth="0" w:num="1">
            <w:col w:w="11420"/>
          </w:cols>
          <w:pgMar w:left="240" w:top="391" w:right="239" w:bottom="1440" w:gutter="0" w:footer="0" w:header="0"/>
        </w:sect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From:</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Nordea Bank AB, London Branch </w:t>
      </w:r>
      <w:r>
        <w:rPr>
          <w:rFonts w:ascii="Arial" w:cs="Arial" w:eastAsia="Arial" w:hAnsi="Arial"/>
          <w:sz w:val="18"/>
          <w:szCs w:val="18"/>
          <w:color w:val="auto"/>
        </w:rPr>
        <w:t>as Agent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The Existing Lender</w:t>
      </w:r>
      <w:r>
        <w:rPr>
          <w:rFonts w:ascii="Arial" w:cs="Arial" w:eastAsia="Arial" w:hAnsi="Arial"/>
          <w:sz w:val="17"/>
          <w:szCs w:val="17"/>
          <w:color w:val="auto"/>
        </w:rPr>
        <w:t xml:space="preserve">] (the </w:t>
      </w:r>
      <w:r>
        <w:rPr>
          <w:rFonts w:ascii="Arial" w:cs="Arial" w:eastAsia="Arial" w:hAnsi="Arial"/>
          <w:sz w:val="17"/>
          <w:szCs w:val="17"/>
          <w:b w:val="1"/>
          <w:bCs w:val="1"/>
          <w:color w:val="auto"/>
        </w:rPr>
        <w:t>Existing Lender</w:t>
      </w:r>
      <w:r>
        <w:rPr>
          <w:rFonts w:ascii="Arial" w:cs="Arial" w:eastAsia="Arial" w:hAnsi="Arial"/>
          <w:sz w:val="17"/>
          <w:szCs w:val="17"/>
          <w:color w:val="auto"/>
        </w:rPr>
        <w:t>) and [</w:t>
      </w:r>
      <w:r>
        <w:rPr>
          <w:rFonts w:ascii="Arial" w:cs="Arial" w:eastAsia="Arial" w:hAnsi="Arial"/>
          <w:sz w:val="17"/>
          <w:szCs w:val="17"/>
          <w:b w:val="1"/>
          <w:bCs w:val="1"/>
          <w:color w:val="auto"/>
        </w:rPr>
        <w:t>The New Lender</w:t>
      </w:r>
      <w:r>
        <w:rPr>
          <w:rFonts w:ascii="Arial" w:cs="Arial" w:eastAsia="Arial" w:hAnsi="Arial"/>
          <w:sz w:val="17"/>
          <w:szCs w:val="17"/>
          <w:color w:val="auto"/>
        </w:rPr>
        <w:t xml:space="preserve">] (the </w:t>
      </w:r>
      <w:r>
        <w:rPr>
          <w:rFonts w:ascii="Arial" w:cs="Arial" w:eastAsia="Arial" w:hAnsi="Arial"/>
          <w:sz w:val="17"/>
          <w:szCs w:val="17"/>
          <w:b w:val="1"/>
          <w:bCs w:val="1"/>
          <w:color w:val="auto"/>
        </w:rPr>
        <w:t>New Lender</w:t>
      </w:r>
      <w:r>
        <w:rPr>
          <w:rFonts w:ascii="Arial" w:cs="Arial" w:eastAsia="Arial" w:hAnsi="Arial"/>
          <w:sz w:val="17"/>
          <w:szCs w:val="17"/>
          <w:color w:val="auto"/>
        </w:rPr>
        <w:t>)</w:t>
      </w:r>
    </w:p>
    <w:p>
      <w:pPr>
        <w:spacing w:after="0" w:line="231" w:lineRule="exact"/>
        <w:rPr>
          <w:sz w:val="20"/>
          <w:szCs w:val="20"/>
          <w:color w:val="auto"/>
        </w:rPr>
      </w:pPr>
    </w:p>
    <w:p>
      <w:pPr>
        <w:sectPr>
          <w:pgSz w:w="11900" w:h="16838" w:orient="portrait"/>
          <w:cols w:equalWidth="0" w:num="2">
            <w:col w:w="900" w:space="720"/>
            <w:col w:w="9800"/>
          </w:cols>
          <w:pgMar w:left="240" w:top="391" w:right="239" w:bottom="1440" w:gutter="0" w:footer="0" w:header="0"/>
          <w:type w:val="continuous"/>
        </w:sectPr>
      </w:pPr>
    </w:p>
    <w:p>
      <w:pPr>
        <w:spacing w:after="0"/>
        <w:rPr>
          <w:sz w:val="20"/>
          <w:szCs w:val="20"/>
          <w:color w:val="auto"/>
        </w:rPr>
      </w:pPr>
      <w:r>
        <w:rPr>
          <w:rFonts w:ascii="Arial" w:cs="Arial" w:eastAsia="Arial" w:hAnsi="Arial"/>
          <w:sz w:val="18"/>
          <w:szCs w:val="18"/>
          <w:color w:val="auto"/>
        </w:rPr>
        <w:t>Dated: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$1,050,000,000 Facilities Agreement dated [</w:t>
      </w:r>
      <w:r>
        <w:rPr>
          <w:rFonts w:ascii="Arial" w:cs="Arial" w:eastAsia="Arial" w:hAnsi="Arial"/>
          <w:sz w:val="17"/>
          <w:szCs w:val="17"/>
          <w:color w:val="auto"/>
        </w:rPr>
        <w:t>l</w:t>
      </w:r>
      <w:r>
        <w:rPr>
          <w:rFonts w:ascii="Arial" w:cs="Arial" w:eastAsia="Arial" w:hAnsi="Arial"/>
          <w:sz w:val="17"/>
          <w:szCs w:val="17"/>
          <w:b w:val="1"/>
          <w:bCs w:val="1"/>
          <w:color w:val="auto"/>
        </w:rPr>
        <w:t xml:space="preserve">] 2016 </w:t>
      </w:r>
      <w:r>
        <w:rPr>
          <w:rFonts w:ascii="Arial" w:cs="Arial" w:eastAsia="Arial" w:hAnsi="Arial"/>
          <w:sz w:val="17"/>
          <w:szCs w:val="17"/>
          <w:color w:val="auto"/>
        </w:rPr>
        <w:t>(</w:t>
      </w:r>
      <w:r>
        <w:rPr>
          <w:rFonts w:ascii="Arial" w:cs="Arial" w:eastAsia="Arial" w:hAnsi="Arial"/>
          <w:sz w:val="17"/>
          <w:szCs w:val="17"/>
          <w:b w:val="1"/>
          <w:bCs w:val="1"/>
          <w:color w:val="auto"/>
        </w:rPr>
        <w:t>the “Agreement”</w:t>
      </w:r>
      <w:r>
        <w:rPr>
          <w:rFonts w:ascii="Arial" w:cs="Arial" w:eastAsia="Arial" w:hAnsi="Arial"/>
          <w:sz w:val="17"/>
          <w:szCs w:val="17"/>
          <w:color w:val="auto"/>
        </w:rPr>
        <w:t>)</w:t>
      </w:r>
    </w:p>
    <w:p>
      <w:pPr>
        <w:sectPr>
          <w:pgSz w:w="11900" w:h="16838" w:orient="portrait"/>
          <w:cols w:equalWidth="0" w:num="1">
            <w:col w:w="11420"/>
          </w:cols>
          <w:pgMar w:left="240" w:top="391" w:right="239" w:bottom="1440" w:gutter="0" w:footer="0" w:header="0"/>
          <w:type w:val="continuous"/>
        </w:sectPr>
      </w:pPr>
    </w:p>
    <w:p>
      <w:pPr>
        <w:spacing w:after="0" w:line="245" w:lineRule="exact"/>
        <w:rPr>
          <w:sz w:val="20"/>
          <w:szCs w:val="20"/>
          <w:color w:val="auto"/>
        </w:rPr>
      </w:pPr>
    </w:p>
    <w:p>
      <w:pPr>
        <w:ind w:left="540" w:hanging="532"/>
        <w:spacing w:after="0" w:line="246" w:lineRule="auto"/>
        <w:tabs>
          <w:tab w:leader="none" w:pos="540" w:val="left"/>
        </w:tabs>
        <w:numPr>
          <w:ilvl w:val="0"/>
          <w:numId w:val="467"/>
        </w:numPr>
        <w:rPr>
          <w:rFonts w:ascii="Arial" w:cs="Arial" w:eastAsia="Arial" w:hAnsi="Arial"/>
          <w:sz w:val="18"/>
          <w:szCs w:val="18"/>
          <w:b w:val="1"/>
          <w:bCs w:val="1"/>
          <w:color w:val="auto"/>
        </w:rPr>
      </w:pPr>
      <w:r>
        <w:rPr>
          <w:rFonts w:ascii="Arial" w:cs="Arial" w:eastAsia="Arial" w:hAnsi="Arial"/>
          <w:sz w:val="18"/>
          <w:szCs w:val="18"/>
          <w:color w:val="auto"/>
        </w:rPr>
        <w:t>We refer to the Agreement. This is a Transfer Certificate. Terms defined in the Agreement have the same meaning in this Transfer Certificate unless given a different meaning in this Transfer Certificate.</w:t>
      </w:r>
    </w:p>
    <w:p>
      <w:pPr>
        <w:spacing w:after="0" w:line="165" w:lineRule="exact"/>
        <w:rPr>
          <w:sz w:val="20"/>
          <w:szCs w:val="20"/>
          <w:color w:val="auto"/>
        </w:rPr>
      </w:pPr>
    </w:p>
    <w:p>
      <w:pPr>
        <w:ind w:left="540" w:hanging="532"/>
        <w:spacing w:after="0"/>
        <w:tabs>
          <w:tab w:leader="none" w:pos="540" w:val="left"/>
        </w:tabs>
        <w:numPr>
          <w:ilvl w:val="0"/>
          <w:numId w:val="468"/>
        </w:numPr>
        <w:rPr>
          <w:rFonts w:ascii="Arial" w:cs="Arial" w:eastAsia="Arial" w:hAnsi="Arial"/>
          <w:sz w:val="18"/>
          <w:szCs w:val="18"/>
          <w:b w:val="1"/>
          <w:bCs w:val="1"/>
          <w:color w:val="auto"/>
        </w:rPr>
      </w:pPr>
      <w:r>
        <w:rPr>
          <w:rFonts w:ascii="Arial" w:cs="Arial" w:eastAsia="Arial" w:hAnsi="Arial"/>
          <w:sz w:val="18"/>
          <w:szCs w:val="18"/>
          <w:color w:val="auto"/>
        </w:rPr>
        <w:t>We refer to clause 30.5 (</w:t>
      </w:r>
      <w:r>
        <w:rPr>
          <w:rFonts w:ascii="Arial" w:cs="Arial" w:eastAsia="Arial" w:hAnsi="Arial"/>
          <w:sz w:val="18"/>
          <w:szCs w:val="18"/>
          <w:i w:val="1"/>
          <w:iCs w:val="1"/>
          <w:color w:val="auto"/>
        </w:rPr>
        <w:t>Procedure for assignment</w:t>
      </w:r>
      <w:r>
        <w:rPr>
          <w:rFonts w:ascii="Arial" w:cs="Arial" w:eastAsia="Arial" w:hAnsi="Arial"/>
          <w:sz w:val="18"/>
          <w:szCs w:val="18"/>
          <w:color w:val="auto"/>
        </w:rPr>
        <w:t>):</w:t>
      </w:r>
    </w:p>
    <w:p>
      <w:pPr>
        <w:spacing w:after="0" w:line="216" w:lineRule="exact"/>
        <w:rPr>
          <w:rFonts w:ascii="Arial" w:cs="Arial" w:eastAsia="Arial" w:hAnsi="Arial"/>
          <w:sz w:val="18"/>
          <w:szCs w:val="18"/>
          <w:b w:val="1"/>
          <w:bCs w:val="1"/>
          <w:color w:val="auto"/>
        </w:rPr>
      </w:pPr>
    </w:p>
    <w:p>
      <w:pPr>
        <w:jc w:val="both"/>
        <w:ind w:left="1080" w:hanging="532"/>
        <w:spacing w:after="0"/>
        <w:tabs>
          <w:tab w:leader="none" w:pos="1080" w:val="left"/>
        </w:tabs>
        <w:numPr>
          <w:ilvl w:val="1"/>
          <w:numId w:val="468"/>
        </w:numPr>
        <w:rPr>
          <w:rFonts w:ascii="Arial" w:cs="Arial" w:eastAsia="Arial" w:hAnsi="Arial"/>
          <w:sz w:val="18"/>
          <w:szCs w:val="18"/>
          <w:color w:val="auto"/>
        </w:rPr>
      </w:pPr>
      <w:r>
        <w:rPr>
          <w:rFonts w:ascii="Arial" w:cs="Arial" w:eastAsia="Arial" w:hAnsi="Arial"/>
          <w:sz w:val="18"/>
          <w:szCs w:val="18"/>
          <w:color w:val="auto"/>
        </w:rPr>
        <w:t>The Existing Lender assigns absolutely to the New Lender all the rights of the Existing Lender under the Agreement and the other Finance Documents which relate to that portion of the Existing Lender’s Commitment(s) and participations in the Loans under the Agreement as specified in the Schedule.</w:t>
      </w:r>
    </w:p>
    <w:p>
      <w:pPr>
        <w:spacing w:after="0" w:line="189" w:lineRule="exact"/>
        <w:rPr>
          <w:rFonts w:ascii="Arial" w:cs="Arial" w:eastAsia="Arial" w:hAnsi="Arial"/>
          <w:sz w:val="18"/>
          <w:szCs w:val="18"/>
          <w:color w:val="auto"/>
        </w:rPr>
      </w:pPr>
    </w:p>
    <w:p>
      <w:pPr>
        <w:ind w:left="1080" w:right="20" w:hanging="532"/>
        <w:spacing w:after="0" w:line="246" w:lineRule="auto"/>
        <w:tabs>
          <w:tab w:leader="none" w:pos="1080" w:val="left"/>
        </w:tabs>
        <w:numPr>
          <w:ilvl w:val="1"/>
          <w:numId w:val="468"/>
        </w:numPr>
        <w:rPr>
          <w:rFonts w:ascii="Arial" w:cs="Arial" w:eastAsia="Arial" w:hAnsi="Arial"/>
          <w:sz w:val="18"/>
          <w:szCs w:val="18"/>
          <w:color w:val="auto"/>
        </w:rPr>
      </w:pPr>
      <w:r>
        <w:rPr>
          <w:rFonts w:ascii="Arial" w:cs="Arial" w:eastAsia="Arial" w:hAnsi="Arial"/>
          <w:sz w:val="18"/>
          <w:szCs w:val="18"/>
          <w:color w:val="auto"/>
        </w:rPr>
        <w:t>The Existing Lender is released from all the obligations of the Existing Lender which correspond to that portion of the Existing Lender’s Commitment(s) and participations in the Loans under the Agreement specified in the Schedule.</w:t>
      </w:r>
    </w:p>
    <w:p>
      <w:pPr>
        <w:spacing w:after="0" w:line="183" w:lineRule="exact"/>
        <w:rPr>
          <w:rFonts w:ascii="Arial" w:cs="Arial" w:eastAsia="Arial" w:hAnsi="Arial"/>
          <w:sz w:val="18"/>
          <w:szCs w:val="18"/>
          <w:color w:val="auto"/>
        </w:rPr>
      </w:pPr>
    </w:p>
    <w:p>
      <w:pPr>
        <w:ind w:left="1080" w:hanging="532"/>
        <w:spacing w:after="0" w:line="246" w:lineRule="auto"/>
        <w:tabs>
          <w:tab w:leader="none" w:pos="1080" w:val="left"/>
        </w:tabs>
        <w:numPr>
          <w:ilvl w:val="1"/>
          <w:numId w:val="468"/>
        </w:numPr>
        <w:rPr>
          <w:rFonts w:ascii="Arial" w:cs="Arial" w:eastAsia="Arial" w:hAnsi="Arial"/>
          <w:sz w:val="18"/>
          <w:szCs w:val="18"/>
          <w:color w:val="auto"/>
        </w:rPr>
      </w:pPr>
      <w:r>
        <w:rPr>
          <w:rFonts w:ascii="Arial" w:cs="Arial" w:eastAsia="Arial" w:hAnsi="Arial"/>
          <w:sz w:val="18"/>
          <w:szCs w:val="18"/>
          <w:color w:val="auto"/>
        </w:rPr>
        <w:t>The New Lender becomes a Party as a Lender and is bound by obligations equivalent to those from which the Existing Lender is released under paragraph (b) above.</w:t>
      </w:r>
    </w:p>
    <w:p>
      <w:pPr>
        <w:spacing w:after="0" w:line="169" w:lineRule="exact"/>
        <w:rPr>
          <w:rFonts w:ascii="Arial" w:cs="Arial" w:eastAsia="Arial" w:hAnsi="Arial"/>
          <w:sz w:val="18"/>
          <w:szCs w:val="18"/>
          <w:color w:val="auto"/>
        </w:rPr>
      </w:pPr>
    </w:p>
    <w:p>
      <w:pPr>
        <w:ind w:left="1080" w:hanging="532"/>
        <w:spacing w:after="0"/>
        <w:tabs>
          <w:tab w:leader="none" w:pos="1080" w:val="left"/>
        </w:tabs>
        <w:numPr>
          <w:ilvl w:val="1"/>
          <w:numId w:val="468"/>
        </w:numPr>
        <w:rPr>
          <w:rFonts w:ascii="Arial" w:cs="Arial" w:eastAsia="Arial" w:hAnsi="Arial"/>
          <w:sz w:val="18"/>
          <w:szCs w:val="18"/>
          <w:color w:val="auto"/>
        </w:rPr>
      </w:pPr>
      <w:r>
        <w:rPr>
          <w:rFonts w:ascii="Arial" w:cs="Arial" w:eastAsia="Arial" w:hAnsi="Arial"/>
          <w:sz w:val="18"/>
          <w:szCs w:val="18"/>
          <w:color w:val="auto"/>
        </w:rPr>
        <w:t>The proposed Transfer Date is [l].</w:t>
      </w:r>
    </w:p>
    <w:p>
      <w:pPr>
        <w:spacing w:after="0" w:line="225" w:lineRule="exact"/>
        <w:rPr>
          <w:rFonts w:ascii="Arial" w:cs="Arial" w:eastAsia="Arial" w:hAnsi="Arial"/>
          <w:sz w:val="18"/>
          <w:szCs w:val="18"/>
          <w:color w:val="auto"/>
        </w:rPr>
      </w:pPr>
    </w:p>
    <w:p>
      <w:pPr>
        <w:ind w:left="1080" w:right="20" w:hanging="532"/>
        <w:spacing w:after="0" w:line="246" w:lineRule="auto"/>
        <w:tabs>
          <w:tab w:leader="none" w:pos="1080" w:val="left"/>
        </w:tabs>
        <w:numPr>
          <w:ilvl w:val="1"/>
          <w:numId w:val="468"/>
        </w:numPr>
        <w:rPr>
          <w:rFonts w:ascii="Arial" w:cs="Arial" w:eastAsia="Arial" w:hAnsi="Arial"/>
          <w:sz w:val="18"/>
          <w:szCs w:val="18"/>
          <w:color w:val="auto"/>
        </w:rPr>
      </w:pPr>
      <w:r>
        <w:rPr>
          <w:rFonts w:ascii="Arial" w:cs="Arial" w:eastAsia="Arial" w:hAnsi="Arial"/>
          <w:sz w:val="18"/>
          <w:szCs w:val="18"/>
          <w:color w:val="auto"/>
        </w:rPr>
        <w:t>The Facility Office and address, fax number and attention details for notices of the New Lender for the purposes of clause 37.2 (</w:t>
      </w:r>
      <w:r>
        <w:rPr>
          <w:rFonts w:ascii="Arial" w:cs="Arial" w:eastAsia="Arial" w:hAnsi="Arial"/>
          <w:sz w:val="18"/>
          <w:szCs w:val="18"/>
          <w:i w:val="1"/>
          <w:iCs w:val="1"/>
          <w:color w:val="auto"/>
        </w:rPr>
        <w:t>Addresses</w:t>
      </w:r>
      <w:r>
        <w:rPr>
          <w:rFonts w:ascii="Arial" w:cs="Arial" w:eastAsia="Arial" w:hAnsi="Arial"/>
          <w:sz w:val="18"/>
          <w:szCs w:val="18"/>
          <w:color w:val="auto"/>
        </w:rPr>
        <w:t>) are set out in the Schedule.</w:t>
      </w:r>
    </w:p>
    <w:p>
      <w:pPr>
        <w:spacing w:after="0" w:line="183" w:lineRule="exact"/>
        <w:rPr>
          <w:sz w:val="20"/>
          <w:szCs w:val="20"/>
          <w:color w:val="auto"/>
        </w:rPr>
      </w:pPr>
    </w:p>
    <w:p>
      <w:pPr>
        <w:ind w:left="540" w:hanging="532"/>
        <w:spacing w:after="0" w:line="246" w:lineRule="auto"/>
        <w:tabs>
          <w:tab w:leader="none" w:pos="540" w:val="left"/>
        </w:tabs>
        <w:numPr>
          <w:ilvl w:val="0"/>
          <w:numId w:val="469"/>
        </w:numPr>
        <w:rPr>
          <w:rFonts w:ascii="Arial" w:cs="Arial" w:eastAsia="Arial" w:hAnsi="Arial"/>
          <w:sz w:val="18"/>
          <w:szCs w:val="18"/>
          <w:b w:val="1"/>
          <w:bCs w:val="1"/>
          <w:color w:val="auto"/>
        </w:rPr>
      </w:pPr>
      <w:r>
        <w:rPr>
          <w:rFonts w:ascii="Arial" w:cs="Arial" w:eastAsia="Arial" w:hAnsi="Arial"/>
          <w:sz w:val="18"/>
          <w:szCs w:val="18"/>
          <w:color w:val="auto"/>
        </w:rPr>
        <w:t>The New Lender expressly acknowledges the limitations on the Existing Lender’s obligations set out in sub-clause 30.4(c) of clause 30.4 (</w:t>
      </w:r>
      <w:r>
        <w:rPr>
          <w:rFonts w:ascii="Arial" w:cs="Arial" w:eastAsia="Arial" w:hAnsi="Arial"/>
          <w:sz w:val="18"/>
          <w:szCs w:val="18"/>
          <w:i w:val="1"/>
          <w:iCs w:val="1"/>
          <w:color w:val="auto"/>
        </w:rPr>
        <w:t>Limitation of responsibility of Existing Lenders)</w:t>
      </w:r>
      <w:r>
        <w:rPr>
          <w:rFonts w:ascii="Arial" w:cs="Arial" w:eastAsia="Arial" w:hAnsi="Arial"/>
          <w:sz w:val="18"/>
          <w:szCs w:val="18"/>
          <w:color w:val="auto"/>
        </w:rPr>
        <w:t>.</w:t>
      </w:r>
    </w:p>
    <w:p>
      <w:pPr>
        <w:spacing w:after="0" w:line="183" w:lineRule="exact"/>
        <w:rPr>
          <w:sz w:val="20"/>
          <w:szCs w:val="20"/>
          <w:color w:val="auto"/>
        </w:rPr>
      </w:pPr>
    </w:p>
    <w:p>
      <w:pPr>
        <w:ind w:left="540" w:hanging="532"/>
        <w:spacing w:after="0"/>
        <w:tabs>
          <w:tab w:leader="none" w:pos="540" w:val="left"/>
        </w:tabs>
        <w:numPr>
          <w:ilvl w:val="0"/>
          <w:numId w:val="470"/>
        </w:numPr>
        <w:rPr>
          <w:rFonts w:ascii="Arial" w:cs="Arial" w:eastAsia="Arial" w:hAnsi="Arial"/>
          <w:sz w:val="18"/>
          <w:szCs w:val="18"/>
          <w:b w:val="1"/>
          <w:bCs w:val="1"/>
          <w:color w:val="auto"/>
        </w:rPr>
      </w:pPr>
      <w:r>
        <w:rPr>
          <w:rFonts w:ascii="Arial" w:cs="Arial" w:eastAsia="Arial" w:hAnsi="Arial"/>
          <w:sz w:val="18"/>
          <w:szCs w:val="18"/>
          <w:color w:val="auto"/>
        </w:rPr>
        <w:t>The New Lender confirms that it is [not] a Group Member or an Affiliate of any Group Member.</w:t>
      </w:r>
    </w:p>
    <w:p>
      <w:pPr>
        <w:spacing w:after="0" w:line="198" w:lineRule="exact"/>
        <w:rPr>
          <w:sz w:val="20"/>
          <w:szCs w:val="20"/>
          <w:color w:val="auto"/>
        </w:rPr>
      </w:pPr>
    </w:p>
    <w:p>
      <w:pPr>
        <w:ind w:left="540" w:right="20" w:hanging="532"/>
        <w:spacing w:after="0" w:line="246" w:lineRule="auto"/>
        <w:tabs>
          <w:tab w:leader="none" w:pos="540" w:val="left"/>
        </w:tabs>
        <w:numPr>
          <w:ilvl w:val="0"/>
          <w:numId w:val="471"/>
        </w:numPr>
        <w:rPr>
          <w:rFonts w:ascii="Arial" w:cs="Arial" w:eastAsia="Arial" w:hAnsi="Arial"/>
          <w:sz w:val="18"/>
          <w:szCs w:val="18"/>
          <w:b w:val="1"/>
          <w:bCs w:val="1"/>
          <w:color w:val="auto"/>
        </w:rPr>
      </w:pPr>
      <w:r>
        <w:rPr>
          <w:rFonts w:ascii="Arial" w:cs="Arial" w:eastAsia="Arial" w:hAnsi="Arial"/>
          <w:sz w:val="18"/>
          <w:szCs w:val="18"/>
          <w:color w:val="auto"/>
        </w:rPr>
        <w:t>This Transfer Certificate may be executed in any number of counterparts and this has the same effect as if the signatures on the counterparts were on a single copy of this Transfer Certificate.</w:t>
      </w:r>
    </w:p>
    <w:p>
      <w:pPr>
        <w:spacing w:after="0" w:line="161" w:lineRule="exact"/>
        <w:rPr>
          <w:sz w:val="20"/>
          <w:szCs w:val="20"/>
          <w:color w:val="auto"/>
        </w:rPr>
      </w:pPr>
    </w:p>
    <w:p>
      <w:pPr>
        <w:ind w:left="540" w:hanging="532"/>
        <w:spacing w:after="0"/>
        <w:tabs>
          <w:tab w:leader="none" w:pos="540" w:val="left"/>
        </w:tabs>
        <w:numPr>
          <w:ilvl w:val="0"/>
          <w:numId w:val="47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Consider including reference to accession to an intercreditor agreement, mortgage or other Finance Documents to which</w:t>
      </w:r>
    </w:p>
    <w:p>
      <w:pPr>
        <w:spacing w:after="0" w:line="17" w:lineRule="exact"/>
        <w:rPr>
          <w:rFonts w:ascii="Arial" w:cs="Arial" w:eastAsia="Arial" w:hAnsi="Arial"/>
          <w:sz w:val="18"/>
          <w:szCs w:val="18"/>
          <w:b w:val="1"/>
          <w:bCs w:val="1"/>
          <w:color w:val="auto"/>
        </w:rPr>
      </w:pPr>
    </w:p>
    <w:p>
      <w:pPr>
        <w:ind w:left="540"/>
        <w:spacing w:after="0" w:line="246"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Lenders may need to be party and checklist of steps necessary for the New Lender to obtain the benefit of the Security Documents</w:t>
      </w:r>
      <w:r>
        <w:rPr>
          <w:rFonts w:ascii="Arial" w:cs="Arial" w:eastAsia="Arial" w:hAnsi="Arial"/>
          <w:sz w:val="18"/>
          <w:szCs w:val="18"/>
          <w:color w:val="auto"/>
        </w:rPr>
        <w:t>.]</w:t>
      </w:r>
    </w:p>
    <w:p>
      <w:pPr>
        <w:spacing w:after="0" w:line="183" w:lineRule="exact"/>
        <w:rPr>
          <w:sz w:val="20"/>
          <w:szCs w:val="20"/>
          <w:color w:val="auto"/>
        </w:rPr>
      </w:pPr>
    </w:p>
    <w:p>
      <w:pPr>
        <w:ind w:left="540" w:hanging="532"/>
        <w:spacing w:after="0"/>
        <w:tabs>
          <w:tab w:leader="none" w:pos="540" w:val="left"/>
        </w:tabs>
        <w:numPr>
          <w:ilvl w:val="0"/>
          <w:numId w:val="473"/>
        </w:numPr>
        <w:rPr>
          <w:rFonts w:ascii="Arial" w:cs="Arial" w:eastAsia="Arial" w:hAnsi="Arial"/>
          <w:sz w:val="18"/>
          <w:szCs w:val="18"/>
          <w:b w:val="1"/>
          <w:bCs w:val="1"/>
          <w:color w:val="auto"/>
        </w:rPr>
      </w:pPr>
      <w:r>
        <w:rPr>
          <w:rFonts w:ascii="Arial" w:cs="Arial" w:eastAsia="Arial" w:hAnsi="Arial"/>
          <w:sz w:val="18"/>
          <w:szCs w:val="18"/>
          <w:color w:val="auto"/>
        </w:rPr>
        <w:t>This Transfer Certificate and any non-contractual obligations connected with it are governed by English law.</w:t>
      </w:r>
    </w:p>
    <w:p>
      <w:pPr>
        <w:spacing w:after="0" w:line="198" w:lineRule="exact"/>
        <w:rPr>
          <w:sz w:val="20"/>
          <w:szCs w:val="20"/>
          <w:color w:val="auto"/>
        </w:rPr>
      </w:pPr>
    </w:p>
    <w:p>
      <w:pPr>
        <w:ind w:left="5560" w:right="2200" w:hanging="5552"/>
        <w:spacing w:after="0" w:line="465" w:lineRule="auto"/>
        <w:tabs>
          <w:tab w:leader="none" w:pos="544" w:val="left"/>
        </w:tabs>
        <w:numPr>
          <w:ilvl w:val="0"/>
          <w:numId w:val="474"/>
        </w:numPr>
        <w:rPr>
          <w:rFonts w:ascii="Arial" w:cs="Arial" w:eastAsia="Arial" w:hAnsi="Arial"/>
          <w:sz w:val="18"/>
          <w:szCs w:val="18"/>
          <w:b w:val="1"/>
          <w:bCs w:val="1"/>
          <w:color w:val="auto"/>
        </w:rPr>
      </w:pPr>
      <w:r>
        <w:rPr>
          <w:rFonts w:ascii="Arial" w:cs="Arial" w:eastAsia="Arial" w:hAnsi="Arial"/>
          <w:sz w:val="18"/>
          <w:szCs w:val="18"/>
          <w:color w:val="auto"/>
        </w:rPr>
        <w:t>This Transfer Certificate has been entered into on the date stated at the beginning of this Transfer Certificate. 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42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231" w:name="page232"/>
    <w:bookmarkEnd w:id="231"/>
    <w:p>
      <w:pPr>
        <w:jc w:val="both"/>
        <w:spacing w:after="0" w:line="244" w:lineRule="auto"/>
        <w:rPr>
          <w:sz w:val="20"/>
          <w:szCs w:val="20"/>
          <w:color w:val="auto"/>
        </w:rPr>
      </w:pPr>
      <w:r>
        <w:rPr>
          <w:rFonts w:ascii="Arial" w:cs="Arial" w:eastAsia="Arial" w:hAnsi="Arial"/>
          <w:sz w:val="18"/>
          <w:szCs w:val="18"/>
          <w:b w:val="1"/>
          <w:bCs w:val="1"/>
          <w:color w:val="auto"/>
        </w:rPr>
        <w:t>Note: The execution of this Transfer Certificate alone may not assign a proportionate share of the Existing Lender’s interest in the Security Interests constituted by the Security Documents in all jurisdictions. It is the responsibility of the New Lender to ascertain whether any other documents or other formalities are required to perfect an assignment of such a share in the Existing Lender’s interest in the Security Interests constituted by the Security Documents in any jurisdiction and, if so, to arrange for execution of those documents and completion of those formalities.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32" w:name="page233"/>
    <w:bookmarkEnd w:id="232"/>
    <w:p>
      <w:pPr>
        <w:ind w:left="5120"/>
        <w:spacing w:after="0"/>
        <w:rPr>
          <w:sz w:val="20"/>
          <w:szCs w:val="20"/>
          <w:color w:val="auto"/>
        </w:rPr>
      </w:pPr>
      <w:r>
        <w:rPr>
          <w:rFonts w:ascii="Arial" w:cs="Arial" w:eastAsia="Arial" w:hAnsi="Arial"/>
          <w:sz w:val="18"/>
          <w:szCs w:val="18"/>
          <w:b w:val="1"/>
          <w:bCs w:val="1"/>
          <w:color w:val="auto"/>
        </w:rPr>
        <w:t>The Schedule</w:t>
      </w:r>
    </w:p>
    <w:p>
      <w:pPr>
        <w:spacing w:after="0" w:line="198"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Rights to be assigned and obligations to be released and undertaken</w:t>
      </w:r>
    </w:p>
    <w:p>
      <w:pPr>
        <w:spacing w:after="0" w:line="19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insert relevant details</w:t>
      </w:r>
      <w:r>
        <w:rPr>
          <w:rFonts w:ascii="Arial" w:cs="Arial" w:eastAsia="Arial" w:hAnsi="Arial"/>
          <w:sz w:val="18"/>
          <w:szCs w:val="18"/>
          <w:color w:val="auto"/>
        </w:rPr>
        <w:t>]</w:t>
      </w:r>
    </w:p>
    <w:p>
      <w:pPr>
        <w:spacing w:after="0" w:line="202"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[Facility Office address, fax number and attention details for notices and account details for payments.]</w:t>
      </w:r>
    </w:p>
    <w:p>
      <w:pPr>
        <w:sectPr>
          <w:pgSz w:w="11900" w:h="16838" w:orient="portrait"/>
          <w:cols w:equalWidth="0" w:num="1">
            <w:col w:w="11420"/>
          </w:cols>
          <w:pgMar w:left="240" w:top="400" w:right="23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Lender</w:t>
      </w:r>
      <w:r>
        <w:rPr>
          <w:rFonts w:ascii="Arial" w:cs="Arial" w:eastAsia="Arial" w:hAnsi="Arial"/>
          <w:sz w:val="18"/>
          <w:szCs w:val="18"/>
          <w:color w:val="auto"/>
        </w:rPr>
        <w: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New Lender</w:t>
      </w:r>
      <w:r>
        <w:rPr>
          <w:rFonts w:ascii="Arial" w:cs="Arial" w:eastAsia="Arial" w:hAnsi="Arial"/>
          <w:sz w:val="17"/>
          <w:szCs w:val="17"/>
          <w:color w:val="auto"/>
        </w:rPr>
        <w:t>]</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85" w:lineRule="exact"/>
        <w:rPr>
          <w:sz w:val="20"/>
          <w:szCs w:val="20"/>
          <w:color w:val="auto"/>
        </w:rPr>
      </w:pPr>
    </w:p>
    <w:p>
      <w:pPr>
        <w:sectPr>
          <w:pgSz w:w="11900" w:h="16838" w:orient="portrait"/>
          <w:cols w:equalWidth="0" w:num="2">
            <w:col w:w="1580" w:space="720"/>
            <w:col w:w="9120"/>
          </w:cols>
          <w:pgMar w:left="240" w:top="400" w:right="239" w:bottom="1440" w:gutter="0" w:footer="0" w:header="0"/>
          <w:type w:val="continuous"/>
        </w:sectPr>
      </w:pPr>
    </w:p>
    <w:p>
      <w:pPr>
        <w:spacing w:after="0"/>
        <w:rPr>
          <w:sz w:val="20"/>
          <w:szCs w:val="20"/>
          <w:color w:val="auto"/>
        </w:rPr>
      </w:pPr>
      <w:r>
        <w:rPr>
          <w:rFonts w:ascii="Arial" w:cs="Arial" w:eastAsia="Arial" w:hAnsi="Arial"/>
          <w:sz w:val="18"/>
          <w:szCs w:val="18"/>
          <w:color w:val="auto"/>
        </w:rPr>
        <w:t>This is accepted by the Agent as a Transfer Certificate and the Transfer Date is confirmed as [l].</w:t>
      </w:r>
    </w:p>
    <w:p>
      <w:pPr>
        <w:spacing w:after="0" w:line="22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Signature of this Transfer Certificate by the Agent constitutes confirmation by the Agent of receipt of notice of the assignment referred to herein, which notice the Agent receives on behalf of each Finance Party.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Nordea Bank AB, London Branch </w:t>
      </w:r>
      <w:r>
        <w:rPr>
          <w:rFonts w:ascii="Arial" w:cs="Arial" w:eastAsia="Arial" w:hAnsi="Arial"/>
          <w:sz w:val="18"/>
          <w:szCs w:val="18"/>
          <w:color w:val="auto"/>
        </w:rPr>
        <w:t>as Agent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type w:val="continuous"/>
        </w:sectPr>
      </w:pPr>
    </w:p>
    <w:bookmarkStart w:id="233" w:name="page234"/>
    <w:bookmarkEnd w:id="233"/>
    <w:p>
      <w:pPr>
        <w:jc w:val="center"/>
        <w:spacing w:after="0"/>
        <w:rPr>
          <w:sz w:val="20"/>
          <w:szCs w:val="20"/>
          <w:color w:val="auto"/>
        </w:rPr>
      </w:pPr>
      <w:r>
        <w:rPr>
          <w:rFonts w:ascii="Arial" w:cs="Arial" w:eastAsia="Arial" w:hAnsi="Arial"/>
          <w:sz w:val="22"/>
          <w:szCs w:val="22"/>
          <w:b w:val="1"/>
          <w:bCs w:val="1"/>
          <w:color w:val="auto"/>
        </w:rPr>
        <w:t>Schedule 8</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Forms of Notifiable Debt Purchase Transaction Notice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Notice on Entering into Notifiable Debt Purchase Transaction</w:t>
      </w:r>
    </w:p>
    <w:p>
      <w:pPr>
        <w:spacing w:after="0" w:line="198"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 xml:space="preserve">Nordea Bank AB, London Branch </w:t>
      </w:r>
      <w:r>
        <w:rPr>
          <w:rFonts w:ascii="Arial" w:cs="Arial" w:eastAsia="Arial" w:hAnsi="Arial"/>
          <w:sz w:val="18"/>
          <w:szCs w:val="18"/>
          <w:color w:val="auto"/>
        </w:rPr>
        <w:t>as Agent</w:t>
      </w:r>
    </w:p>
    <w:p>
      <w:pPr>
        <w:spacing w:after="0" w:line="220"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8"/>
          <w:szCs w:val="18"/>
          <w:color w:val="auto"/>
        </w:rPr>
        <w:t>[The Lender]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$1,050,000,000 Facilities Agreement dated [l] 2016 (the “Agreement”)</w:t>
      </w:r>
    </w:p>
    <w:p>
      <w:pPr>
        <w:spacing w:after="0" w:line="234" w:lineRule="exact"/>
        <w:rPr>
          <w:sz w:val="20"/>
          <w:szCs w:val="20"/>
          <w:color w:val="auto"/>
        </w:rPr>
      </w:pPr>
    </w:p>
    <w:p>
      <w:pPr>
        <w:ind w:left="540" w:hanging="532"/>
        <w:spacing w:after="0" w:line="246" w:lineRule="auto"/>
        <w:tabs>
          <w:tab w:leader="none" w:pos="540" w:val="left"/>
        </w:tabs>
        <w:numPr>
          <w:ilvl w:val="0"/>
          <w:numId w:val="475"/>
        </w:numPr>
        <w:rPr>
          <w:rFonts w:ascii="Arial" w:cs="Arial" w:eastAsia="Arial" w:hAnsi="Arial"/>
          <w:sz w:val="18"/>
          <w:szCs w:val="18"/>
          <w:b w:val="1"/>
          <w:bCs w:val="1"/>
          <w:color w:val="auto"/>
        </w:rPr>
      </w:pPr>
      <w:r>
        <w:rPr>
          <w:rFonts w:ascii="Arial" w:cs="Arial" w:eastAsia="Arial" w:hAnsi="Arial"/>
          <w:sz w:val="18"/>
          <w:szCs w:val="18"/>
          <w:color w:val="auto"/>
        </w:rPr>
        <w:t>We refer to clause 31.3(b) of the Agreement. Terms defined in the Agreement have the same meaning in this notice unless given a different meaning in this notice.</w:t>
      </w:r>
    </w:p>
    <w:p>
      <w:pPr>
        <w:spacing w:after="0" w:line="183" w:lineRule="exact"/>
        <w:rPr>
          <w:sz w:val="20"/>
          <w:szCs w:val="20"/>
          <w:color w:val="auto"/>
        </w:rPr>
      </w:pPr>
    </w:p>
    <w:p>
      <w:pPr>
        <w:ind w:left="540" w:hanging="532"/>
        <w:spacing w:after="0"/>
        <w:tabs>
          <w:tab w:leader="none" w:pos="540" w:val="left"/>
        </w:tabs>
        <w:numPr>
          <w:ilvl w:val="0"/>
          <w:numId w:val="476"/>
        </w:numPr>
        <w:rPr>
          <w:rFonts w:ascii="Arial" w:cs="Arial" w:eastAsia="Arial" w:hAnsi="Arial"/>
          <w:sz w:val="18"/>
          <w:szCs w:val="18"/>
          <w:b w:val="1"/>
          <w:bCs w:val="1"/>
          <w:color w:val="auto"/>
        </w:rPr>
      </w:pPr>
      <w:r>
        <w:rPr>
          <w:rFonts w:ascii="Arial" w:cs="Arial" w:eastAsia="Arial" w:hAnsi="Arial"/>
          <w:sz w:val="18"/>
          <w:szCs w:val="18"/>
          <w:color w:val="auto"/>
        </w:rPr>
        <w:t>We have entered into a Notifiable Debt Purchase Transaction.</w:t>
      </w:r>
    </w:p>
    <w:p>
      <w:pPr>
        <w:spacing w:after="0" w:line="198" w:lineRule="exact"/>
        <w:rPr>
          <w:sz w:val="20"/>
          <w:szCs w:val="20"/>
          <w:color w:val="auto"/>
        </w:rPr>
      </w:pPr>
    </w:p>
    <w:p>
      <w:pPr>
        <w:ind w:left="540" w:hanging="532"/>
        <w:spacing w:after="0" w:line="246" w:lineRule="auto"/>
        <w:tabs>
          <w:tab w:leader="none" w:pos="540" w:val="left"/>
        </w:tabs>
        <w:numPr>
          <w:ilvl w:val="0"/>
          <w:numId w:val="477"/>
        </w:numPr>
        <w:rPr>
          <w:rFonts w:ascii="Arial" w:cs="Arial" w:eastAsia="Arial" w:hAnsi="Arial"/>
          <w:sz w:val="18"/>
          <w:szCs w:val="18"/>
          <w:b w:val="1"/>
          <w:bCs w:val="1"/>
          <w:color w:val="auto"/>
        </w:rPr>
      </w:pPr>
      <w:r>
        <w:rPr>
          <w:rFonts w:ascii="Arial" w:cs="Arial" w:eastAsia="Arial" w:hAnsi="Arial"/>
          <w:sz w:val="18"/>
          <w:szCs w:val="18"/>
          <w:color w:val="auto"/>
        </w:rPr>
        <w:t>The Notifiable Debt Purchase Transaction referred to in paragraph 2 above relates to the amount of our Commitment(s) as set out below.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780" w:type="dxa"/>
            <w:vAlign w:val="bottom"/>
          </w:tcPr>
          <w:p>
            <w:pPr>
              <w:ind w:left="540"/>
              <w:spacing w:after="0"/>
              <w:rPr>
                <w:sz w:val="20"/>
                <w:szCs w:val="20"/>
                <w:color w:val="auto"/>
              </w:rPr>
            </w:pPr>
            <w:r>
              <w:rPr>
                <w:rFonts w:ascii="Arial" w:cs="Arial" w:eastAsia="Arial" w:hAnsi="Arial"/>
                <w:sz w:val="18"/>
                <w:szCs w:val="18"/>
                <w:b w:val="1"/>
                <w:bCs w:val="1"/>
                <w:color w:val="auto"/>
              </w:rPr>
              <w:t>Commitment</w:t>
            </w:r>
          </w:p>
        </w:tc>
        <w:tc>
          <w:tcPr>
            <w:tcW w:w="8640" w:type="dxa"/>
            <w:vAlign w:val="bottom"/>
          </w:tcPr>
          <w:p>
            <w:pPr>
              <w:ind w:left="1120"/>
              <w:spacing w:after="0"/>
              <w:rPr>
                <w:sz w:val="20"/>
                <w:szCs w:val="20"/>
                <w:color w:val="auto"/>
              </w:rPr>
            </w:pPr>
            <w:r>
              <w:rPr>
                <w:rFonts w:ascii="Arial" w:cs="Arial" w:eastAsia="Arial" w:hAnsi="Arial"/>
                <w:sz w:val="18"/>
                <w:szCs w:val="18"/>
                <w:b w:val="1"/>
                <w:bCs w:val="1"/>
                <w:color w:val="auto"/>
              </w:rPr>
              <w:t>Amount of our Commitment to which Notifiable Debt Purchase Transaction relates</w:t>
            </w:r>
          </w:p>
        </w:tc>
      </w:tr>
      <w:tr>
        <w:trPr>
          <w:trHeight w:val="405"/>
        </w:trPr>
        <w:tc>
          <w:tcPr>
            <w:tcW w:w="2780" w:type="dxa"/>
            <w:vAlign w:val="bottom"/>
          </w:tcPr>
          <w:p>
            <w:pPr>
              <w:ind w:left="540"/>
              <w:spacing w:after="0"/>
              <w:rPr>
                <w:sz w:val="20"/>
                <w:szCs w:val="20"/>
                <w:color w:val="auto"/>
              </w:rPr>
            </w:pPr>
            <w:r>
              <w:rPr>
                <w:rFonts w:ascii="Arial" w:cs="Arial" w:eastAsia="Arial" w:hAnsi="Arial"/>
                <w:sz w:val="18"/>
                <w:szCs w:val="18"/>
                <w:color w:val="auto"/>
              </w:rPr>
              <w:t>[l]</w:t>
            </w:r>
          </w:p>
        </w:tc>
        <w:tc>
          <w:tcPr>
            <w:tcW w:w="8640" w:type="dxa"/>
            <w:vAlign w:val="bottom"/>
          </w:tcPr>
          <w:p>
            <w:pPr>
              <w:ind w:left="1120"/>
              <w:spacing w:after="0"/>
              <w:rPr>
                <w:sz w:val="20"/>
                <w:szCs w:val="20"/>
                <w:color w:val="auto"/>
              </w:rPr>
            </w:pPr>
            <w:r>
              <w:rPr>
                <w:rFonts w:ascii="Arial" w:cs="Arial" w:eastAsia="Arial" w:hAnsi="Arial"/>
                <w:sz w:val="18"/>
                <w:szCs w:val="18"/>
                <w:i w:val="1"/>
                <w:iCs w:val="1"/>
                <w:color w:val="auto"/>
              </w:rPr>
              <w:t>[insert amount (of Commitment) to which the relevant Debt Purchase Transaction applies]</w:t>
            </w:r>
          </w:p>
        </w:tc>
      </w:tr>
      <w:tr>
        <w:trPr>
          <w:trHeight w:val="419"/>
        </w:trPr>
        <w:tc>
          <w:tcPr>
            <w:tcW w:w="2780" w:type="dxa"/>
            <w:vAlign w:val="bottom"/>
          </w:tcPr>
          <w:p>
            <w:pPr>
              <w:spacing w:after="0"/>
              <w:rPr>
                <w:sz w:val="20"/>
                <w:szCs w:val="20"/>
                <w:color w:val="auto"/>
              </w:rPr>
            </w:pPr>
            <w:r>
              <w:rPr>
                <w:rFonts w:ascii="Arial" w:cs="Arial" w:eastAsia="Arial" w:hAnsi="Arial"/>
                <w:sz w:val="18"/>
                <w:szCs w:val="18"/>
                <w:color w:val="auto"/>
              </w:rPr>
              <w:t>[Lender]</w:t>
            </w:r>
          </w:p>
        </w:tc>
        <w:tc>
          <w:tcPr>
            <w:tcW w:w="8640" w:type="dxa"/>
            <w:vAlign w:val="bottom"/>
          </w:tcPr>
          <w:p>
            <w:pPr>
              <w:spacing w:after="0"/>
              <w:rPr>
                <w:sz w:val="24"/>
                <w:szCs w:val="24"/>
                <w:color w:val="auto"/>
              </w:rPr>
            </w:pPr>
          </w:p>
        </w:tc>
      </w:tr>
      <w:tr>
        <w:trPr>
          <w:trHeight w:val="405"/>
        </w:trPr>
        <w:tc>
          <w:tcPr>
            <w:tcW w:w="2780" w:type="dxa"/>
            <w:vAlign w:val="bottom"/>
          </w:tcPr>
          <w:p>
            <w:pPr>
              <w:spacing w:after="0"/>
              <w:rPr>
                <w:sz w:val="24"/>
                <w:szCs w:val="24"/>
                <w:color w:val="auto"/>
              </w:rPr>
            </w:pPr>
          </w:p>
        </w:tc>
        <w:tc>
          <w:tcPr>
            <w:tcW w:w="8640" w:type="dxa"/>
            <w:vAlign w:val="bottom"/>
          </w:tcPr>
          <w:p>
            <w:pPr>
              <w:ind w:left="2780"/>
              <w:spacing w:after="0"/>
              <w:rPr>
                <w:sz w:val="20"/>
                <w:szCs w:val="20"/>
                <w:color w:val="auto"/>
              </w:rPr>
            </w:pPr>
            <w:r>
              <w:rPr>
                <w:rFonts w:ascii="Arial" w:cs="Arial" w:eastAsia="Arial" w:hAnsi="Arial"/>
                <w:sz w:val="18"/>
                <w:szCs w:val="18"/>
                <w:b w:val="1"/>
                <w:bCs w:val="1"/>
                <w:color w:val="auto"/>
              </w:rPr>
              <w:t>By:</w:t>
            </w:r>
          </w:p>
        </w:tc>
      </w:tr>
      <w:tr>
        <w:trPr>
          <w:trHeight w:val="392"/>
        </w:trPr>
        <w:tc>
          <w:tcPr>
            <w:tcW w:w="2780" w:type="dxa"/>
            <w:vAlign w:val="bottom"/>
          </w:tcPr>
          <w:p>
            <w:pPr>
              <w:spacing w:after="0"/>
              <w:rPr>
                <w:sz w:val="24"/>
                <w:szCs w:val="24"/>
                <w:color w:val="auto"/>
              </w:rPr>
            </w:pPr>
          </w:p>
        </w:tc>
        <w:tc>
          <w:tcPr>
            <w:tcW w:w="8640" w:type="dxa"/>
            <w:vAlign w:val="bottom"/>
          </w:tcPr>
          <w:p>
            <w:pPr>
              <w:ind w:left="2780"/>
              <w:spacing w:after="0"/>
              <w:rPr>
                <w:sz w:val="20"/>
                <w:szCs w:val="20"/>
                <w:color w:val="auto"/>
              </w:rPr>
            </w:pPr>
            <w:r>
              <w:rPr>
                <w:rFonts w:ascii="Arial" w:cs="Arial" w:eastAsia="Arial" w:hAnsi="Arial"/>
                <w:sz w:val="18"/>
                <w:szCs w:val="18"/>
                <w:color w:val="auto"/>
              </w:rPr>
              <w:t>182</w:t>
            </w:r>
          </w:p>
        </w:tc>
      </w:tr>
      <w:tr>
        <w:trPr>
          <w:trHeight w:val="237"/>
        </w:trPr>
        <w:tc>
          <w:tcPr>
            <w:tcW w:w="2780" w:type="dxa"/>
            <w:vAlign w:val="bottom"/>
            <w:tcBorders>
              <w:bottom w:val="single" w:sz="8" w:color="C0C0C0"/>
            </w:tcBorders>
          </w:tcPr>
          <w:p>
            <w:pPr>
              <w:spacing w:after="0"/>
              <w:rPr>
                <w:sz w:val="20"/>
                <w:szCs w:val="20"/>
                <w:color w:val="auto"/>
              </w:rPr>
            </w:pPr>
          </w:p>
        </w:tc>
        <w:tc>
          <w:tcPr>
            <w:tcW w:w="864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391" w:right="239" w:bottom="1440" w:gutter="0" w:footer="0" w:header="0"/>
        </w:sectPr>
      </w:pPr>
    </w:p>
    <w:bookmarkStart w:id="234" w:name="page235"/>
    <w:bookmarkEnd w:id="234"/>
    <w:p>
      <w:pPr>
        <w:ind w:left="5460"/>
        <w:spacing w:after="0"/>
        <w:rPr>
          <w:sz w:val="20"/>
          <w:szCs w:val="20"/>
          <w:color w:val="auto"/>
        </w:rPr>
      </w:pPr>
      <w:r>
        <w:rPr>
          <w:rFonts w:ascii="Arial" w:cs="Arial" w:eastAsia="Arial" w:hAnsi="Arial"/>
          <w:sz w:val="18"/>
          <w:szCs w:val="18"/>
          <w:b w:val="1"/>
          <w:bCs w:val="1"/>
          <w:color w:val="auto"/>
        </w:rPr>
        <w:t>Part 2</w:t>
      </w:r>
    </w:p>
    <w:p>
      <w:pPr>
        <w:spacing w:after="0" w:line="198"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Form of Notice on Termination of Notifiable Debt Purchase Transaction / Notifiable Debt Purchase Transaction</w:t>
      </w:r>
    </w:p>
    <w:p>
      <w:pPr>
        <w:spacing w:after="0" w:line="18"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ceasing to be with a Parent Affiliate</w:t>
      </w:r>
    </w:p>
    <w:p>
      <w:pPr>
        <w:spacing w:after="0" w:line="176"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 xml:space="preserve">Nordea Bank AB, London Branch </w:t>
      </w:r>
      <w:r>
        <w:rPr>
          <w:rFonts w:ascii="Arial" w:cs="Arial" w:eastAsia="Arial" w:hAnsi="Arial"/>
          <w:sz w:val="18"/>
          <w:szCs w:val="18"/>
          <w:color w:val="auto"/>
        </w:rPr>
        <w:t>as Agent</w:t>
      </w:r>
    </w:p>
    <w:p>
      <w:pPr>
        <w:spacing w:after="0" w:line="220"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8"/>
          <w:szCs w:val="18"/>
          <w:color w:val="auto"/>
        </w:rPr>
        <w:t>[The Lender]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$1,050,000,000 Facilities Agreement dated [l] 2016 (the “Agreement”)</w:t>
      </w:r>
    </w:p>
    <w:p>
      <w:pPr>
        <w:spacing w:after="0" w:line="216" w:lineRule="exact"/>
        <w:rPr>
          <w:sz w:val="20"/>
          <w:szCs w:val="20"/>
          <w:color w:val="auto"/>
        </w:rPr>
      </w:pPr>
    </w:p>
    <w:p>
      <w:pPr>
        <w:ind w:left="540" w:hanging="532"/>
        <w:spacing w:after="0" w:line="267" w:lineRule="auto"/>
        <w:tabs>
          <w:tab w:leader="none" w:pos="54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We refer to clause 31.2 (</w:t>
      </w:r>
      <w:r>
        <w:rPr>
          <w:rFonts w:ascii="Arial" w:cs="Arial" w:eastAsia="Arial" w:hAnsi="Arial"/>
          <w:sz w:val="18"/>
          <w:szCs w:val="18"/>
          <w:i w:val="1"/>
          <w:iCs w:val="1"/>
          <w:color w:val="auto"/>
        </w:rPr>
        <w:t>Prohibition on Debt Purchase Transactions by the Group</w:t>
      </w:r>
      <w:r>
        <w:rPr>
          <w:rFonts w:ascii="Arial" w:cs="Arial" w:eastAsia="Arial" w:hAnsi="Arial"/>
          <w:sz w:val="18"/>
          <w:szCs w:val="18"/>
          <w:color w:val="auto"/>
        </w:rPr>
        <w:t>) of the Agreement. Terms defined in the Agreement have the same meaning in this notice unless given a different meaning in this notice.</w:t>
      </w:r>
    </w:p>
    <w:p>
      <w:pPr>
        <w:spacing w:after="0" w:line="152" w:lineRule="exact"/>
        <w:rPr>
          <w:sz w:val="20"/>
          <w:szCs w:val="20"/>
          <w:color w:val="auto"/>
        </w:rPr>
      </w:pPr>
    </w:p>
    <w:p>
      <w:pPr>
        <w:ind w:left="540" w:hanging="532"/>
        <w:spacing w:after="0" w:line="277" w:lineRule="auto"/>
        <w:tabs>
          <w:tab w:leader="none" w:pos="540" w:val="left"/>
        </w:tabs>
        <w:numPr>
          <w:ilvl w:val="0"/>
          <w:numId w:val="479"/>
        </w:numPr>
        <w:rPr>
          <w:rFonts w:ascii="Arial" w:cs="Arial" w:eastAsia="Arial" w:hAnsi="Arial"/>
          <w:sz w:val="18"/>
          <w:szCs w:val="18"/>
          <w:b w:val="1"/>
          <w:bCs w:val="1"/>
          <w:color w:val="auto"/>
        </w:rPr>
      </w:pPr>
      <w:r>
        <w:rPr>
          <w:rFonts w:ascii="Arial" w:cs="Arial" w:eastAsia="Arial" w:hAnsi="Arial"/>
          <w:sz w:val="18"/>
          <w:szCs w:val="18"/>
          <w:color w:val="auto"/>
        </w:rPr>
        <w:t>A Notifiable Debt Purchase Transaction which we entered into and which we notified you of in a notice dated [l] has [terminated]/[ceased to be with a Parent Affiliate].</w:t>
      </w:r>
    </w:p>
    <w:p>
      <w:pPr>
        <w:spacing w:after="0" w:line="157" w:lineRule="exact"/>
        <w:rPr>
          <w:sz w:val="20"/>
          <w:szCs w:val="20"/>
          <w:color w:val="auto"/>
        </w:rPr>
      </w:pPr>
    </w:p>
    <w:p>
      <w:pPr>
        <w:ind w:left="540" w:hanging="532"/>
        <w:spacing w:after="0" w:line="246" w:lineRule="auto"/>
        <w:tabs>
          <w:tab w:leader="none" w:pos="540" w:val="left"/>
        </w:tabs>
        <w:numPr>
          <w:ilvl w:val="0"/>
          <w:numId w:val="480"/>
        </w:numPr>
        <w:rPr>
          <w:rFonts w:ascii="Arial" w:cs="Arial" w:eastAsia="Arial" w:hAnsi="Arial"/>
          <w:sz w:val="18"/>
          <w:szCs w:val="18"/>
          <w:b w:val="1"/>
          <w:bCs w:val="1"/>
          <w:color w:val="auto"/>
        </w:rPr>
      </w:pPr>
      <w:r>
        <w:rPr>
          <w:rFonts w:ascii="Arial" w:cs="Arial" w:eastAsia="Arial" w:hAnsi="Arial"/>
          <w:sz w:val="18"/>
          <w:szCs w:val="18"/>
          <w:color w:val="auto"/>
        </w:rPr>
        <w:t>The Notifiable Debt Purchase Transaction referred to in paragraph 2 above relates to the amount of our Commitment(s) as set out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tcPr>
          <w:p>
            <w:pPr>
              <w:ind w:left="540"/>
              <w:spacing w:after="0"/>
              <w:rPr>
                <w:sz w:val="20"/>
                <w:szCs w:val="20"/>
                <w:color w:val="auto"/>
              </w:rPr>
            </w:pPr>
            <w:r>
              <w:rPr>
                <w:rFonts w:ascii="Arial" w:cs="Arial" w:eastAsia="Arial" w:hAnsi="Arial"/>
                <w:sz w:val="18"/>
                <w:szCs w:val="18"/>
                <w:b w:val="1"/>
                <w:bCs w:val="1"/>
                <w:color w:val="auto"/>
              </w:rPr>
              <w:t>Commitment</w:t>
            </w:r>
          </w:p>
        </w:tc>
        <w:tc>
          <w:tcPr>
            <w:tcW w:w="8640" w:type="dxa"/>
            <w:vAlign w:val="bottom"/>
          </w:tcPr>
          <w:p>
            <w:pPr>
              <w:ind w:left="1120"/>
              <w:spacing w:after="0"/>
              <w:rPr>
                <w:sz w:val="20"/>
                <w:szCs w:val="20"/>
                <w:color w:val="auto"/>
              </w:rPr>
            </w:pPr>
            <w:r>
              <w:rPr>
                <w:rFonts w:ascii="Arial" w:cs="Arial" w:eastAsia="Arial" w:hAnsi="Arial"/>
                <w:sz w:val="18"/>
                <w:szCs w:val="18"/>
                <w:b w:val="1"/>
                <w:bCs w:val="1"/>
                <w:color w:val="auto"/>
              </w:rPr>
              <w:t>Amount of our Commitment to which Notifiable Debt Purchase Transaction relates</w:t>
            </w:r>
          </w:p>
        </w:tc>
      </w:tr>
      <w:tr>
        <w:trPr>
          <w:trHeight w:val="239"/>
        </w:trPr>
        <w:tc>
          <w:tcPr>
            <w:tcW w:w="2780" w:type="dxa"/>
            <w:vAlign w:val="bottom"/>
          </w:tcPr>
          <w:p>
            <w:pPr>
              <w:spacing w:after="0"/>
              <w:rPr>
                <w:sz w:val="20"/>
                <w:szCs w:val="20"/>
                <w:color w:val="auto"/>
              </w:rPr>
            </w:pPr>
          </w:p>
        </w:tc>
        <w:tc>
          <w:tcPr>
            <w:tcW w:w="8640" w:type="dxa"/>
            <w:vAlign w:val="bottom"/>
          </w:tcPr>
          <w:p>
            <w:pPr>
              <w:ind w:left="1120"/>
              <w:spacing w:after="0"/>
              <w:rPr>
                <w:sz w:val="20"/>
                <w:szCs w:val="20"/>
                <w:color w:val="auto"/>
              </w:rPr>
            </w:pPr>
            <w:r>
              <w:rPr>
                <w:rFonts w:ascii="Arial" w:cs="Arial" w:eastAsia="Arial" w:hAnsi="Arial"/>
                <w:sz w:val="18"/>
                <w:szCs w:val="18"/>
                <w:b w:val="1"/>
                <w:bCs w:val="1"/>
                <w:color w:val="auto"/>
              </w:rPr>
              <w:t>(Base Currency)</w:t>
            </w:r>
          </w:p>
        </w:tc>
      </w:tr>
      <w:tr>
        <w:trPr>
          <w:trHeight w:val="405"/>
        </w:trPr>
        <w:tc>
          <w:tcPr>
            <w:tcW w:w="2780" w:type="dxa"/>
            <w:vAlign w:val="bottom"/>
          </w:tcPr>
          <w:p>
            <w:pPr>
              <w:ind w:left="540"/>
              <w:spacing w:after="0"/>
              <w:rPr>
                <w:sz w:val="20"/>
                <w:szCs w:val="20"/>
                <w:color w:val="auto"/>
              </w:rPr>
            </w:pPr>
            <w:r>
              <w:rPr>
                <w:rFonts w:ascii="Arial" w:cs="Arial" w:eastAsia="Arial" w:hAnsi="Arial"/>
                <w:sz w:val="18"/>
                <w:szCs w:val="18"/>
                <w:color w:val="auto"/>
              </w:rPr>
              <w:t>[l]</w:t>
            </w:r>
          </w:p>
        </w:tc>
        <w:tc>
          <w:tcPr>
            <w:tcW w:w="8640" w:type="dxa"/>
            <w:vAlign w:val="bottom"/>
          </w:tcPr>
          <w:p>
            <w:pPr>
              <w:ind w:left="1120"/>
              <w:spacing w:after="0"/>
              <w:rPr>
                <w:sz w:val="20"/>
                <w:szCs w:val="20"/>
                <w:color w:val="auto"/>
              </w:rPr>
            </w:pPr>
            <w:r>
              <w:rPr>
                <w:rFonts w:ascii="Arial" w:cs="Arial" w:eastAsia="Arial" w:hAnsi="Arial"/>
                <w:sz w:val="18"/>
                <w:szCs w:val="18"/>
                <w:i w:val="1"/>
                <w:iCs w:val="1"/>
                <w:color w:val="auto"/>
              </w:rPr>
              <w:t>[insert amount (of Commitment) to which the relevant Debt Purchase Transaction applies]</w:t>
            </w:r>
          </w:p>
        </w:tc>
      </w:tr>
      <w:tr>
        <w:trPr>
          <w:trHeight w:val="419"/>
        </w:trPr>
        <w:tc>
          <w:tcPr>
            <w:tcW w:w="2780" w:type="dxa"/>
            <w:vAlign w:val="bottom"/>
          </w:tcPr>
          <w:p>
            <w:pPr>
              <w:spacing w:after="0"/>
              <w:rPr>
                <w:sz w:val="20"/>
                <w:szCs w:val="20"/>
                <w:color w:val="auto"/>
              </w:rPr>
            </w:pPr>
            <w:r>
              <w:rPr>
                <w:rFonts w:ascii="Arial" w:cs="Arial" w:eastAsia="Arial" w:hAnsi="Arial"/>
                <w:sz w:val="18"/>
                <w:szCs w:val="18"/>
                <w:color w:val="auto"/>
              </w:rPr>
              <w:t>[Lender]</w:t>
            </w:r>
          </w:p>
        </w:tc>
        <w:tc>
          <w:tcPr>
            <w:tcW w:w="8640" w:type="dxa"/>
            <w:vAlign w:val="bottom"/>
          </w:tcPr>
          <w:p>
            <w:pPr>
              <w:spacing w:after="0"/>
              <w:rPr>
                <w:sz w:val="24"/>
                <w:szCs w:val="24"/>
                <w:color w:val="auto"/>
              </w:rPr>
            </w:pPr>
          </w:p>
        </w:tc>
      </w:tr>
      <w:tr>
        <w:trPr>
          <w:trHeight w:val="405"/>
        </w:trPr>
        <w:tc>
          <w:tcPr>
            <w:tcW w:w="2780" w:type="dxa"/>
            <w:vAlign w:val="bottom"/>
          </w:tcPr>
          <w:p>
            <w:pPr>
              <w:spacing w:after="0"/>
              <w:rPr>
                <w:sz w:val="24"/>
                <w:szCs w:val="24"/>
                <w:color w:val="auto"/>
              </w:rPr>
            </w:pPr>
          </w:p>
        </w:tc>
        <w:tc>
          <w:tcPr>
            <w:tcW w:w="8640" w:type="dxa"/>
            <w:vAlign w:val="bottom"/>
          </w:tcPr>
          <w:p>
            <w:pPr>
              <w:ind w:left="2800"/>
              <w:spacing w:after="0"/>
              <w:rPr>
                <w:sz w:val="20"/>
                <w:szCs w:val="20"/>
                <w:color w:val="auto"/>
              </w:rPr>
            </w:pPr>
            <w:r>
              <w:rPr>
                <w:rFonts w:ascii="Arial" w:cs="Arial" w:eastAsia="Arial" w:hAnsi="Arial"/>
                <w:sz w:val="18"/>
                <w:szCs w:val="18"/>
                <w:color w:val="auto"/>
              </w:rPr>
              <w:t>By:</w:t>
            </w:r>
          </w:p>
        </w:tc>
      </w:tr>
      <w:tr>
        <w:trPr>
          <w:trHeight w:val="392"/>
        </w:trPr>
        <w:tc>
          <w:tcPr>
            <w:tcW w:w="2780" w:type="dxa"/>
            <w:vAlign w:val="bottom"/>
          </w:tcPr>
          <w:p>
            <w:pPr>
              <w:spacing w:after="0"/>
              <w:rPr>
                <w:sz w:val="24"/>
                <w:szCs w:val="24"/>
                <w:color w:val="auto"/>
              </w:rPr>
            </w:pPr>
          </w:p>
        </w:tc>
        <w:tc>
          <w:tcPr>
            <w:tcW w:w="8640" w:type="dxa"/>
            <w:vAlign w:val="bottom"/>
          </w:tcPr>
          <w:p>
            <w:pPr>
              <w:ind w:left="2780"/>
              <w:spacing w:after="0"/>
              <w:rPr>
                <w:sz w:val="20"/>
                <w:szCs w:val="20"/>
                <w:color w:val="auto"/>
              </w:rPr>
            </w:pPr>
            <w:r>
              <w:rPr>
                <w:rFonts w:ascii="Arial" w:cs="Arial" w:eastAsia="Arial" w:hAnsi="Arial"/>
                <w:sz w:val="18"/>
                <w:szCs w:val="18"/>
                <w:color w:val="auto"/>
              </w:rPr>
              <w:t>183</w:t>
            </w:r>
          </w:p>
        </w:tc>
      </w:tr>
      <w:tr>
        <w:trPr>
          <w:trHeight w:val="237"/>
        </w:trPr>
        <w:tc>
          <w:tcPr>
            <w:tcW w:w="2780" w:type="dxa"/>
            <w:vAlign w:val="bottom"/>
            <w:tcBorders>
              <w:bottom w:val="single" w:sz="8" w:color="C0C0C0"/>
            </w:tcBorders>
          </w:tcPr>
          <w:p>
            <w:pPr>
              <w:spacing w:after="0"/>
              <w:rPr>
                <w:sz w:val="20"/>
                <w:szCs w:val="20"/>
                <w:color w:val="auto"/>
              </w:rPr>
            </w:pPr>
          </w:p>
        </w:tc>
        <w:tc>
          <w:tcPr>
            <w:tcW w:w="864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00" w:right="239" w:bottom="1440" w:gutter="0" w:footer="0" w:header="0"/>
        </w:sectPr>
      </w:pPr>
    </w:p>
    <w:bookmarkStart w:id="235" w:name="page236"/>
    <w:bookmarkEnd w:id="2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40" w:type="dxa"/>
            <w:vAlign w:val="bottom"/>
          </w:tcPr>
          <w:p>
            <w:pPr>
              <w:spacing w:after="0"/>
              <w:rPr>
                <w:sz w:val="21"/>
                <w:szCs w:val="21"/>
                <w:color w:val="auto"/>
              </w:rPr>
            </w:pPr>
          </w:p>
        </w:tc>
        <w:tc>
          <w:tcPr>
            <w:tcW w:w="7780" w:type="dxa"/>
            <w:vAlign w:val="bottom"/>
            <w:gridSpan w:val="3"/>
          </w:tcPr>
          <w:p>
            <w:pPr>
              <w:jc w:val="center"/>
              <w:ind w:right="3550"/>
              <w:spacing w:after="0"/>
              <w:rPr>
                <w:sz w:val="20"/>
                <w:szCs w:val="20"/>
                <w:color w:val="auto"/>
              </w:rPr>
            </w:pPr>
            <w:r>
              <w:rPr>
                <w:rFonts w:ascii="Arial" w:cs="Arial" w:eastAsia="Arial" w:hAnsi="Arial"/>
                <w:sz w:val="22"/>
                <w:szCs w:val="22"/>
                <w:b w:val="1"/>
                <w:bCs w:val="1"/>
                <w:color w:val="auto"/>
                <w:w w:val="98"/>
              </w:rPr>
              <w:t>Schedule 9</w:t>
            </w:r>
          </w:p>
        </w:tc>
      </w:tr>
      <w:tr>
        <w:trPr>
          <w:trHeight w:val="286"/>
        </w:trPr>
        <w:tc>
          <w:tcPr>
            <w:tcW w:w="3640" w:type="dxa"/>
            <w:vAlign w:val="bottom"/>
          </w:tcPr>
          <w:p>
            <w:pPr>
              <w:spacing w:after="0"/>
              <w:rPr>
                <w:sz w:val="24"/>
                <w:szCs w:val="24"/>
                <w:color w:val="auto"/>
              </w:rPr>
            </w:pPr>
          </w:p>
        </w:tc>
        <w:tc>
          <w:tcPr>
            <w:tcW w:w="7780" w:type="dxa"/>
            <w:vAlign w:val="bottom"/>
            <w:gridSpan w:val="3"/>
          </w:tcPr>
          <w:p>
            <w:pPr>
              <w:jc w:val="center"/>
              <w:ind w:right="3550"/>
              <w:spacing w:after="0"/>
              <w:rPr>
                <w:sz w:val="20"/>
                <w:szCs w:val="20"/>
                <w:color w:val="auto"/>
              </w:rPr>
            </w:pPr>
            <w:r>
              <w:rPr>
                <w:rFonts w:ascii="Arial" w:cs="Arial" w:eastAsia="Arial" w:hAnsi="Arial"/>
                <w:sz w:val="22"/>
                <w:szCs w:val="22"/>
                <w:b w:val="1"/>
                <w:bCs w:val="1"/>
                <w:color w:val="auto"/>
                <w:w w:val="97"/>
              </w:rPr>
              <w:t>Table of Repayment Instalments</w:t>
            </w:r>
          </w:p>
        </w:tc>
      </w:tr>
      <w:tr>
        <w:trPr>
          <w:trHeight w:val="409"/>
        </w:trPr>
        <w:tc>
          <w:tcPr>
            <w:tcW w:w="3640" w:type="dxa"/>
            <w:vAlign w:val="bottom"/>
          </w:tcPr>
          <w:p>
            <w:pPr>
              <w:spacing w:after="0"/>
              <w:rPr>
                <w:sz w:val="24"/>
                <w:szCs w:val="24"/>
                <w:color w:val="auto"/>
              </w:rPr>
            </w:pPr>
          </w:p>
        </w:tc>
        <w:tc>
          <w:tcPr>
            <w:tcW w:w="7780" w:type="dxa"/>
            <w:vAlign w:val="bottom"/>
            <w:gridSpan w:val="3"/>
          </w:tcPr>
          <w:p>
            <w:pPr>
              <w:jc w:val="center"/>
              <w:ind w:right="3550"/>
              <w:spacing w:after="0"/>
              <w:rPr>
                <w:sz w:val="20"/>
                <w:szCs w:val="20"/>
                <w:color w:val="auto"/>
              </w:rPr>
            </w:pPr>
            <w:r>
              <w:rPr>
                <w:rFonts w:ascii="Arial" w:cs="Arial" w:eastAsia="Arial" w:hAnsi="Arial"/>
                <w:sz w:val="18"/>
                <w:szCs w:val="18"/>
                <w:b w:val="1"/>
                <w:bCs w:val="1"/>
                <w:color w:val="auto"/>
              </w:rPr>
              <w:t>Ship A</w:t>
            </w:r>
          </w:p>
        </w:tc>
      </w:tr>
      <w:tr>
        <w:trPr>
          <w:trHeight w:val="405"/>
        </w:trPr>
        <w:tc>
          <w:tcPr>
            <w:tcW w:w="3640" w:type="dxa"/>
            <w:vAlign w:val="bottom"/>
            <w:tcBorders>
              <w:bottom w:val="single" w:sz="8" w:color="auto"/>
            </w:tcBorders>
          </w:tcPr>
          <w:p>
            <w:pPr>
              <w:jc w:val="center"/>
              <w:ind w:left="1770"/>
              <w:spacing w:after="0"/>
              <w:rPr>
                <w:sz w:val="20"/>
                <w:szCs w:val="20"/>
                <w:color w:val="auto"/>
              </w:rPr>
            </w:pPr>
            <w:r>
              <w:rPr>
                <w:rFonts w:ascii="Arial" w:cs="Arial" w:eastAsia="Arial" w:hAnsi="Arial"/>
                <w:sz w:val="18"/>
                <w:szCs w:val="18"/>
                <w:b w:val="1"/>
                <w:bCs w:val="1"/>
                <w:color w:val="auto"/>
                <w:w w:val="97"/>
              </w:rPr>
              <w:t>Term Loan</w:t>
            </w:r>
          </w:p>
        </w:tc>
        <w:tc>
          <w:tcPr>
            <w:tcW w:w="1860" w:type="dxa"/>
            <w:vAlign w:val="bottom"/>
            <w:tcBorders>
              <w:bottom w:val="single" w:sz="8" w:color="auto"/>
            </w:tcBorders>
          </w:tcPr>
          <w:p>
            <w:pPr>
              <w:spacing w:after="0"/>
              <w:rPr>
                <w:sz w:val="24"/>
                <w:szCs w:val="24"/>
                <w:color w:val="auto"/>
              </w:rPr>
            </w:pPr>
          </w:p>
        </w:tc>
        <w:tc>
          <w:tcPr>
            <w:tcW w:w="560" w:type="dxa"/>
            <w:vAlign w:val="bottom"/>
            <w:tcBorders>
              <w:bottom w:val="single" w:sz="8" w:color="E5FFFF"/>
            </w:tcBorders>
          </w:tcPr>
          <w:p>
            <w:pPr>
              <w:spacing w:after="0"/>
              <w:rPr>
                <w:sz w:val="24"/>
                <w:szCs w:val="24"/>
                <w:color w:val="auto"/>
              </w:rPr>
            </w:pPr>
          </w:p>
        </w:tc>
        <w:tc>
          <w:tcPr>
            <w:tcW w:w="5360" w:type="dxa"/>
            <w:vAlign w:val="bottom"/>
            <w:tcBorders>
              <w:bottom w:val="single" w:sz="8" w:color="auto"/>
            </w:tcBorders>
          </w:tcPr>
          <w:p>
            <w:pPr>
              <w:ind w:left="2200"/>
              <w:spacing w:after="0"/>
              <w:rPr>
                <w:sz w:val="20"/>
                <w:szCs w:val="20"/>
                <w:color w:val="auto"/>
              </w:rPr>
            </w:pPr>
            <w:r>
              <w:rPr>
                <w:rFonts w:ascii="Arial" w:cs="Arial" w:eastAsia="Arial" w:hAnsi="Arial"/>
                <w:sz w:val="18"/>
                <w:szCs w:val="18"/>
                <w:b w:val="1"/>
                <w:bCs w:val="1"/>
                <w:color w:val="auto"/>
              </w:rPr>
              <w:t>Amount ($)</w:t>
            </w:r>
          </w:p>
        </w:tc>
      </w:tr>
      <w:tr>
        <w:trPr>
          <w:trHeight w:val="196"/>
        </w:trPr>
        <w:tc>
          <w:tcPr>
            <w:tcW w:w="3640" w:type="dxa"/>
            <w:vAlign w:val="bottom"/>
            <w:shd w:val="clear" w:color="auto" w:fill="E5FFFF"/>
          </w:tcPr>
          <w:p>
            <w:pPr>
              <w:jc w:val="center"/>
              <w:ind w:left="1770"/>
              <w:spacing w:after="0" w:line="196" w:lineRule="exact"/>
              <w:rPr>
                <w:sz w:val="20"/>
                <w:szCs w:val="20"/>
                <w:color w:val="auto"/>
              </w:rPr>
            </w:pPr>
            <w:r>
              <w:rPr>
                <w:rFonts w:ascii="Arial" w:cs="Arial" w:eastAsia="Arial" w:hAnsi="Arial"/>
                <w:sz w:val="18"/>
                <w:szCs w:val="18"/>
                <w:color w:val="auto"/>
                <w:w w:val="97"/>
              </w:rPr>
              <w:t>First</w:t>
            </w:r>
          </w:p>
        </w:tc>
        <w:tc>
          <w:tcPr>
            <w:tcW w:w="186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5360" w:type="dxa"/>
            <w:vAlign w:val="bottom"/>
            <w:shd w:val="clear" w:color="auto" w:fill="E5FFFF"/>
          </w:tcPr>
          <w:p>
            <w:pPr>
              <w:jc w:val="center"/>
              <w:spacing w:after="0" w:line="196" w:lineRule="exact"/>
              <w:rPr>
                <w:sz w:val="20"/>
                <w:szCs w:val="20"/>
                <w:color w:val="auto"/>
              </w:rPr>
            </w:pPr>
            <w:r>
              <w:rPr>
                <w:rFonts w:ascii="Arial" w:cs="Arial" w:eastAsia="Arial" w:hAnsi="Arial"/>
                <w:sz w:val="18"/>
                <w:szCs w:val="18"/>
                <w:color w:val="auto"/>
                <w:w w:val="99"/>
              </w:rPr>
              <w:t>3,395,212</w:t>
            </w:r>
          </w:p>
        </w:tc>
      </w:tr>
      <w:tr>
        <w:trPr>
          <w:trHeight w:val="203"/>
        </w:trPr>
        <w:tc>
          <w:tcPr>
            <w:tcW w:w="3640" w:type="dxa"/>
            <w:vAlign w:val="bottom"/>
          </w:tcPr>
          <w:p>
            <w:pPr>
              <w:jc w:val="center"/>
              <w:ind w:left="1770"/>
              <w:spacing w:after="0" w:line="202" w:lineRule="exact"/>
              <w:rPr>
                <w:sz w:val="20"/>
                <w:szCs w:val="20"/>
                <w:color w:val="auto"/>
              </w:rPr>
            </w:pPr>
            <w:r>
              <w:rPr>
                <w:rFonts w:ascii="Arial" w:cs="Arial" w:eastAsia="Arial" w:hAnsi="Arial"/>
                <w:sz w:val="18"/>
                <w:szCs w:val="18"/>
                <w:color w:val="auto"/>
              </w:rPr>
              <w:t>Second</w:t>
            </w:r>
          </w:p>
        </w:tc>
        <w:tc>
          <w:tcPr>
            <w:tcW w:w="7780" w:type="dxa"/>
            <w:vAlign w:val="bottom"/>
            <w:gridSpan w:val="3"/>
          </w:tcPr>
          <w:p>
            <w:pPr>
              <w:jc w:val="center"/>
              <w:ind w:left="2327"/>
              <w:spacing w:after="0" w:line="202" w:lineRule="exact"/>
              <w:rPr>
                <w:sz w:val="20"/>
                <w:szCs w:val="20"/>
                <w:color w:val="auto"/>
              </w:rPr>
            </w:pPr>
            <w:r>
              <w:rPr>
                <w:rFonts w:ascii="Arial" w:cs="Arial" w:eastAsia="Arial" w:hAnsi="Arial"/>
                <w:sz w:val="18"/>
                <w:szCs w:val="18"/>
                <w:color w:val="auto"/>
                <w:w w:val="99"/>
              </w:rPr>
              <w:t>3,395,212</w:t>
            </w:r>
          </w:p>
        </w:tc>
      </w:tr>
      <w:tr>
        <w:trPr>
          <w:trHeight w:val="203"/>
        </w:trPr>
        <w:tc>
          <w:tcPr>
            <w:tcW w:w="3640" w:type="dxa"/>
            <w:vAlign w:val="bottom"/>
            <w:shd w:val="clear" w:color="auto" w:fill="E5FFFF"/>
          </w:tcPr>
          <w:p>
            <w:pPr>
              <w:jc w:val="center"/>
              <w:ind w:left="1770"/>
              <w:spacing w:after="0" w:line="202" w:lineRule="exact"/>
              <w:rPr>
                <w:sz w:val="20"/>
                <w:szCs w:val="20"/>
                <w:color w:val="auto"/>
              </w:rPr>
            </w:pPr>
            <w:r>
              <w:rPr>
                <w:rFonts w:ascii="Arial" w:cs="Arial" w:eastAsia="Arial" w:hAnsi="Arial"/>
                <w:sz w:val="18"/>
                <w:szCs w:val="18"/>
                <w:color w:val="auto"/>
              </w:rPr>
              <w:t>Third</w:t>
            </w:r>
          </w:p>
        </w:tc>
        <w:tc>
          <w:tcPr>
            <w:tcW w:w="7780" w:type="dxa"/>
            <w:vAlign w:val="bottom"/>
            <w:gridSpan w:val="3"/>
            <w:shd w:val="clear" w:color="auto" w:fill="E5FFFF"/>
          </w:tcPr>
          <w:p>
            <w:pPr>
              <w:jc w:val="center"/>
              <w:ind w:left="2327"/>
              <w:spacing w:after="0" w:line="202" w:lineRule="exact"/>
              <w:rPr>
                <w:sz w:val="20"/>
                <w:szCs w:val="20"/>
                <w:color w:val="auto"/>
              </w:rPr>
            </w:pPr>
            <w:r>
              <w:rPr>
                <w:rFonts w:ascii="Arial" w:cs="Arial" w:eastAsia="Arial" w:hAnsi="Arial"/>
                <w:sz w:val="18"/>
                <w:szCs w:val="18"/>
                <w:color w:val="auto"/>
                <w:w w:val="99"/>
              </w:rPr>
              <w:t>3,395,212</w:t>
            </w:r>
          </w:p>
        </w:tc>
      </w:tr>
      <w:tr>
        <w:trPr>
          <w:trHeight w:val="203"/>
        </w:trPr>
        <w:tc>
          <w:tcPr>
            <w:tcW w:w="3640" w:type="dxa"/>
            <w:vAlign w:val="bottom"/>
          </w:tcPr>
          <w:p>
            <w:pPr>
              <w:jc w:val="center"/>
              <w:ind w:left="1750"/>
              <w:spacing w:after="0" w:line="202" w:lineRule="exact"/>
              <w:rPr>
                <w:sz w:val="20"/>
                <w:szCs w:val="20"/>
                <w:color w:val="auto"/>
              </w:rPr>
            </w:pPr>
            <w:r>
              <w:rPr>
                <w:rFonts w:ascii="Arial" w:cs="Arial" w:eastAsia="Arial" w:hAnsi="Arial"/>
                <w:sz w:val="18"/>
                <w:szCs w:val="18"/>
                <w:color w:val="auto"/>
                <w:w w:val="99"/>
              </w:rPr>
              <w:t>Fourth</w:t>
            </w:r>
          </w:p>
        </w:tc>
        <w:tc>
          <w:tcPr>
            <w:tcW w:w="7780" w:type="dxa"/>
            <w:vAlign w:val="bottom"/>
            <w:gridSpan w:val="3"/>
          </w:tcPr>
          <w:p>
            <w:pPr>
              <w:jc w:val="center"/>
              <w:ind w:left="2327"/>
              <w:spacing w:after="0" w:line="202" w:lineRule="exact"/>
              <w:rPr>
                <w:sz w:val="20"/>
                <w:szCs w:val="20"/>
                <w:color w:val="auto"/>
              </w:rPr>
            </w:pPr>
            <w:r>
              <w:rPr>
                <w:rFonts w:ascii="Arial" w:cs="Arial" w:eastAsia="Arial" w:hAnsi="Arial"/>
                <w:sz w:val="18"/>
                <w:szCs w:val="18"/>
                <w:color w:val="auto"/>
                <w:w w:val="99"/>
              </w:rPr>
              <w:t>3,395,212</w:t>
            </w:r>
          </w:p>
        </w:tc>
      </w:tr>
      <w:tr>
        <w:trPr>
          <w:trHeight w:val="203"/>
        </w:trPr>
        <w:tc>
          <w:tcPr>
            <w:tcW w:w="3640" w:type="dxa"/>
            <w:vAlign w:val="bottom"/>
            <w:shd w:val="clear" w:color="auto" w:fill="E5FFFF"/>
          </w:tcPr>
          <w:p>
            <w:pPr>
              <w:jc w:val="center"/>
              <w:ind w:left="1770"/>
              <w:spacing w:after="0" w:line="202" w:lineRule="exact"/>
              <w:rPr>
                <w:sz w:val="20"/>
                <w:szCs w:val="20"/>
                <w:color w:val="auto"/>
              </w:rPr>
            </w:pPr>
            <w:r>
              <w:rPr>
                <w:rFonts w:ascii="Arial" w:cs="Arial" w:eastAsia="Arial" w:hAnsi="Arial"/>
                <w:sz w:val="18"/>
                <w:szCs w:val="18"/>
                <w:color w:val="auto"/>
                <w:w w:val="96"/>
              </w:rPr>
              <w:t>Fifth</w:t>
            </w:r>
          </w:p>
        </w:tc>
        <w:tc>
          <w:tcPr>
            <w:tcW w:w="7780" w:type="dxa"/>
            <w:vAlign w:val="bottom"/>
            <w:gridSpan w:val="3"/>
            <w:shd w:val="clear" w:color="auto" w:fill="E5FFFF"/>
          </w:tcPr>
          <w:p>
            <w:pPr>
              <w:jc w:val="center"/>
              <w:ind w:left="2327"/>
              <w:spacing w:after="0" w:line="202" w:lineRule="exact"/>
              <w:rPr>
                <w:sz w:val="20"/>
                <w:szCs w:val="20"/>
                <w:color w:val="auto"/>
              </w:rPr>
            </w:pPr>
            <w:r>
              <w:rPr>
                <w:rFonts w:ascii="Arial" w:cs="Arial" w:eastAsia="Arial" w:hAnsi="Arial"/>
                <w:sz w:val="18"/>
                <w:szCs w:val="18"/>
                <w:color w:val="auto"/>
                <w:w w:val="99"/>
              </w:rPr>
              <w:t>3,395,212</w:t>
            </w:r>
          </w:p>
        </w:tc>
      </w:tr>
      <w:tr>
        <w:trPr>
          <w:trHeight w:val="203"/>
        </w:trPr>
        <w:tc>
          <w:tcPr>
            <w:tcW w:w="3640" w:type="dxa"/>
            <w:vAlign w:val="bottom"/>
          </w:tcPr>
          <w:p>
            <w:pPr>
              <w:jc w:val="center"/>
              <w:ind w:left="1750"/>
              <w:spacing w:after="0" w:line="202" w:lineRule="exact"/>
              <w:rPr>
                <w:sz w:val="20"/>
                <w:szCs w:val="20"/>
                <w:color w:val="auto"/>
              </w:rPr>
            </w:pPr>
            <w:r>
              <w:rPr>
                <w:rFonts w:ascii="Arial" w:cs="Arial" w:eastAsia="Arial" w:hAnsi="Arial"/>
                <w:sz w:val="18"/>
                <w:szCs w:val="18"/>
                <w:color w:val="auto"/>
                <w:w w:val="99"/>
              </w:rPr>
              <w:t>Sixth</w:t>
            </w:r>
          </w:p>
        </w:tc>
        <w:tc>
          <w:tcPr>
            <w:tcW w:w="7780" w:type="dxa"/>
            <w:vAlign w:val="bottom"/>
            <w:gridSpan w:val="3"/>
          </w:tcPr>
          <w:p>
            <w:pPr>
              <w:jc w:val="center"/>
              <w:ind w:left="2327"/>
              <w:spacing w:after="0" w:line="202" w:lineRule="exact"/>
              <w:rPr>
                <w:sz w:val="20"/>
                <w:szCs w:val="20"/>
                <w:color w:val="auto"/>
              </w:rPr>
            </w:pPr>
            <w:r>
              <w:rPr>
                <w:rFonts w:ascii="Arial" w:cs="Arial" w:eastAsia="Arial" w:hAnsi="Arial"/>
                <w:sz w:val="18"/>
                <w:szCs w:val="18"/>
                <w:color w:val="auto"/>
                <w:w w:val="99"/>
              </w:rPr>
              <w:t>3,395,212</w:t>
            </w:r>
          </w:p>
        </w:tc>
      </w:tr>
      <w:tr>
        <w:trPr>
          <w:trHeight w:val="203"/>
        </w:trPr>
        <w:tc>
          <w:tcPr>
            <w:tcW w:w="3640" w:type="dxa"/>
            <w:vAlign w:val="bottom"/>
            <w:shd w:val="clear" w:color="auto" w:fill="E5FFFF"/>
          </w:tcPr>
          <w:p>
            <w:pPr>
              <w:jc w:val="center"/>
              <w:ind w:left="1770"/>
              <w:spacing w:after="0" w:line="202" w:lineRule="exact"/>
              <w:rPr>
                <w:sz w:val="20"/>
                <w:szCs w:val="20"/>
                <w:color w:val="auto"/>
              </w:rPr>
            </w:pPr>
            <w:r>
              <w:rPr>
                <w:rFonts w:ascii="Arial" w:cs="Arial" w:eastAsia="Arial" w:hAnsi="Arial"/>
                <w:sz w:val="18"/>
                <w:szCs w:val="18"/>
                <w:color w:val="auto"/>
                <w:w w:val="99"/>
              </w:rPr>
              <w:t>Seventh</w:t>
            </w:r>
          </w:p>
        </w:tc>
        <w:tc>
          <w:tcPr>
            <w:tcW w:w="7780" w:type="dxa"/>
            <w:vAlign w:val="bottom"/>
            <w:gridSpan w:val="3"/>
            <w:shd w:val="clear" w:color="auto" w:fill="E5FFFF"/>
          </w:tcPr>
          <w:p>
            <w:pPr>
              <w:jc w:val="center"/>
              <w:ind w:left="2327"/>
              <w:spacing w:after="0" w:line="202" w:lineRule="exact"/>
              <w:rPr>
                <w:sz w:val="20"/>
                <w:szCs w:val="20"/>
                <w:color w:val="auto"/>
              </w:rPr>
            </w:pPr>
            <w:r>
              <w:rPr>
                <w:rFonts w:ascii="Arial" w:cs="Arial" w:eastAsia="Arial" w:hAnsi="Arial"/>
                <w:sz w:val="18"/>
                <w:szCs w:val="18"/>
                <w:color w:val="auto"/>
                <w:w w:val="99"/>
              </w:rPr>
              <w:t>3,395,212</w:t>
            </w:r>
          </w:p>
        </w:tc>
      </w:tr>
      <w:tr>
        <w:trPr>
          <w:trHeight w:val="203"/>
        </w:trPr>
        <w:tc>
          <w:tcPr>
            <w:tcW w:w="3640" w:type="dxa"/>
            <w:vAlign w:val="bottom"/>
          </w:tcPr>
          <w:p>
            <w:pPr>
              <w:jc w:val="center"/>
              <w:ind w:left="1770"/>
              <w:spacing w:after="0" w:line="202" w:lineRule="exact"/>
              <w:rPr>
                <w:sz w:val="20"/>
                <w:szCs w:val="20"/>
                <w:color w:val="auto"/>
              </w:rPr>
            </w:pPr>
            <w:r>
              <w:rPr>
                <w:rFonts w:ascii="Arial" w:cs="Arial" w:eastAsia="Arial" w:hAnsi="Arial"/>
                <w:sz w:val="18"/>
                <w:szCs w:val="18"/>
                <w:color w:val="auto"/>
                <w:w w:val="97"/>
              </w:rPr>
              <w:t>Eighth</w:t>
            </w:r>
          </w:p>
        </w:tc>
        <w:tc>
          <w:tcPr>
            <w:tcW w:w="7780" w:type="dxa"/>
            <w:vAlign w:val="bottom"/>
            <w:gridSpan w:val="3"/>
          </w:tcPr>
          <w:p>
            <w:pPr>
              <w:jc w:val="center"/>
              <w:ind w:left="2327"/>
              <w:spacing w:after="0" w:line="202" w:lineRule="exact"/>
              <w:rPr>
                <w:sz w:val="20"/>
                <w:szCs w:val="20"/>
                <w:color w:val="auto"/>
              </w:rPr>
            </w:pPr>
            <w:r>
              <w:rPr>
                <w:rFonts w:ascii="Arial" w:cs="Arial" w:eastAsia="Arial" w:hAnsi="Arial"/>
                <w:sz w:val="18"/>
                <w:szCs w:val="18"/>
                <w:color w:val="auto"/>
                <w:w w:val="99"/>
              </w:rPr>
              <w:t>3,395,212</w:t>
            </w:r>
          </w:p>
        </w:tc>
      </w:tr>
      <w:tr>
        <w:trPr>
          <w:trHeight w:val="203"/>
        </w:trPr>
        <w:tc>
          <w:tcPr>
            <w:tcW w:w="3640" w:type="dxa"/>
            <w:vAlign w:val="bottom"/>
            <w:shd w:val="clear" w:color="auto" w:fill="E5FFFF"/>
          </w:tcPr>
          <w:p>
            <w:pPr>
              <w:jc w:val="center"/>
              <w:ind w:left="1770"/>
              <w:spacing w:after="0" w:line="202" w:lineRule="exact"/>
              <w:rPr>
                <w:sz w:val="20"/>
                <w:szCs w:val="20"/>
                <w:color w:val="auto"/>
              </w:rPr>
            </w:pPr>
            <w:r>
              <w:rPr>
                <w:rFonts w:ascii="Arial" w:cs="Arial" w:eastAsia="Arial" w:hAnsi="Arial"/>
                <w:sz w:val="18"/>
                <w:szCs w:val="18"/>
                <w:color w:val="auto"/>
                <w:w w:val="99"/>
              </w:rPr>
              <w:t>Ninth</w:t>
            </w:r>
          </w:p>
        </w:tc>
        <w:tc>
          <w:tcPr>
            <w:tcW w:w="7780" w:type="dxa"/>
            <w:vAlign w:val="bottom"/>
            <w:gridSpan w:val="3"/>
            <w:shd w:val="clear" w:color="auto" w:fill="E5FFFF"/>
          </w:tcPr>
          <w:p>
            <w:pPr>
              <w:jc w:val="center"/>
              <w:ind w:left="2327"/>
              <w:spacing w:after="0" w:line="202" w:lineRule="exact"/>
              <w:rPr>
                <w:sz w:val="20"/>
                <w:szCs w:val="20"/>
                <w:color w:val="auto"/>
              </w:rPr>
            </w:pPr>
            <w:r>
              <w:rPr>
                <w:rFonts w:ascii="Arial" w:cs="Arial" w:eastAsia="Arial" w:hAnsi="Arial"/>
                <w:sz w:val="18"/>
                <w:szCs w:val="18"/>
                <w:color w:val="auto"/>
                <w:w w:val="99"/>
              </w:rPr>
              <w:t>3,395,212</w:t>
            </w:r>
          </w:p>
        </w:tc>
      </w:tr>
      <w:tr>
        <w:trPr>
          <w:trHeight w:val="217"/>
        </w:trPr>
        <w:tc>
          <w:tcPr>
            <w:tcW w:w="3640" w:type="dxa"/>
            <w:vAlign w:val="bottom"/>
          </w:tcPr>
          <w:p>
            <w:pPr>
              <w:jc w:val="center"/>
              <w:ind w:left="1750"/>
              <w:spacing w:after="0"/>
              <w:rPr>
                <w:sz w:val="20"/>
                <w:szCs w:val="20"/>
                <w:color w:val="auto"/>
              </w:rPr>
            </w:pPr>
            <w:r>
              <w:rPr>
                <w:rFonts w:ascii="Arial" w:cs="Arial" w:eastAsia="Arial" w:hAnsi="Arial"/>
                <w:sz w:val="18"/>
                <w:szCs w:val="18"/>
                <w:color w:val="auto"/>
                <w:w w:val="95"/>
              </w:rPr>
              <w:t>Tenth</w:t>
            </w:r>
          </w:p>
        </w:tc>
        <w:tc>
          <w:tcPr>
            <w:tcW w:w="7780" w:type="dxa"/>
            <w:vAlign w:val="bottom"/>
            <w:gridSpan w:val="3"/>
          </w:tcPr>
          <w:p>
            <w:pPr>
              <w:jc w:val="center"/>
              <w:ind w:left="2307"/>
              <w:spacing w:after="0"/>
              <w:rPr>
                <w:sz w:val="20"/>
                <w:szCs w:val="20"/>
                <w:color w:val="auto"/>
              </w:rPr>
            </w:pPr>
            <w:r>
              <w:rPr>
                <w:rFonts w:ascii="Arial" w:cs="Arial" w:eastAsia="Arial" w:hAnsi="Arial"/>
                <w:sz w:val="18"/>
                <w:szCs w:val="18"/>
                <w:color w:val="auto"/>
                <w:w w:val="99"/>
              </w:rPr>
              <w:t>80,029,993</w:t>
            </w:r>
          </w:p>
        </w:tc>
      </w:tr>
      <w:tr>
        <w:trPr>
          <w:trHeight w:val="391"/>
        </w:trPr>
        <w:tc>
          <w:tcPr>
            <w:tcW w:w="3640" w:type="dxa"/>
            <w:vAlign w:val="bottom"/>
          </w:tcPr>
          <w:p>
            <w:pPr>
              <w:spacing w:after="0"/>
              <w:rPr>
                <w:sz w:val="24"/>
                <w:szCs w:val="24"/>
                <w:color w:val="auto"/>
              </w:rPr>
            </w:pPr>
          </w:p>
        </w:tc>
        <w:tc>
          <w:tcPr>
            <w:tcW w:w="2420" w:type="dxa"/>
            <w:vAlign w:val="bottom"/>
            <w:gridSpan w:val="2"/>
          </w:tcPr>
          <w:p>
            <w:pPr>
              <w:jc w:val="center"/>
              <w:ind w:left="1627"/>
              <w:spacing w:after="0"/>
              <w:rPr>
                <w:sz w:val="20"/>
                <w:szCs w:val="20"/>
                <w:color w:val="auto"/>
              </w:rPr>
            </w:pPr>
            <w:r>
              <w:rPr>
                <w:rFonts w:ascii="Arial" w:cs="Arial" w:eastAsia="Arial" w:hAnsi="Arial"/>
                <w:sz w:val="18"/>
                <w:szCs w:val="18"/>
                <w:color w:val="auto"/>
                <w:w w:val="99"/>
              </w:rPr>
              <w:t>184</w:t>
            </w:r>
          </w:p>
        </w:tc>
        <w:tc>
          <w:tcPr>
            <w:tcW w:w="5360" w:type="dxa"/>
            <w:vAlign w:val="bottom"/>
          </w:tcPr>
          <w:p>
            <w:pPr>
              <w:spacing w:after="0"/>
              <w:rPr>
                <w:sz w:val="24"/>
                <w:szCs w:val="24"/>
                <w:color w:val="auto"/>
              </w:rPr>
            </w:pPr>
          </w:p>
        </w:tc>
      </w:tr>
      <w:tr>
        <w:trPr>
          <w:trHeight w:val="237"/>
        </w:trPr>
        <w:tc>
          <w:tcPr>
            <w:tcW w:w="3640" w:type="dxa"/>
            <w:vAlign w:val="bottom"/>
            <w:tcBorders>
              <w:bottom w:val="single" w:sz="8" w:color="C0C0C0"/>
            </w:tcBorders>
          </w:tcPr>
          <w:p>
            <w:pPr>
              <w:spacing w:after="0"/>
              <w:rPr>
                <w:sz w:val="20"/>
                <w:szCs w:val="20"/>
                <w:color w:val="auto"/>
              </w:rPr>
            </w:pPr>
          </w:p>
        </w:tc>
        <w:tc>
          <w:tcPr>
            <w:tcW w:w="1860" w:type="dxa"/>
            <w:vAlign w:val="bottom"/>
            <w:tcBorders>
              <w:bottom w:val="single" w:sz="8" w:color="C0C0C0"/>
            </w:tcBorders>
          </w:tcPr>
          <w:p>
            <w:pPr>
              <w:spacing w:after="0"/>
              <w:rPr>
                <w:sz w:val="20"/>
                <w:szCs w:val="20"/>
                <w:color w:val="auto"/>
              </w:rPr>
            </w:pPr>
          </w:p>
        </w:tc>
        <w:tc>
          <w:tcPr>
            <w:tcW w:w="560" w:type="dxa"/>
            <w:vAlign w:val="bottom"/>
            <w:tcBorders>
              <w:bottom w:val="single" w:sz="8" w:color="C0C0C0"/>
            </w:tcBorders>
          </w:tcPr>
          <w:p>
            <w:pPr>
              <w:spacing w:after="0"/>
              <w:rPr>
                <w:sz w:val="20"/>
                <w:szCs w:val="20"/>
                <w:color w:val="auto"/>
              </w:rPr>
            </w:pPr>
          </w:p>
        </w:tc>
        <w:tc>
          <w:tcPr>
            <w:tcW w:w="536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381" w:right="239" w:bottom="1440" w:gutter="0" w:footer="0" w:header="0"/>
        </w:sectPr>
      </w:pPr>
    </w:p>
    <w:bookmarkStart w:id="236" w:name="page237"/>
    <w:bookmarkEnd w:id="2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20" w:type="dxa"/>
            <w:vAlign w:val="bottom"/>
          </w:tcPr>
          <w:p>
            <w:pPr>
              <w:spacing w:after="0"/>
              <w:rPr>
                <w:sz w:val="20"/>
                <w:szCs w:val="20"/>
                <w:color w:val="auto"/>
              </w:rPr>
            </w:pPr>
          </w:p>
        </w:tc>
        <w:tc>
          <w:tcPr>
            <w:tcW w:w="7100" w:type="dxa"/>
            <w:vAlign w:val="bottom"/>
            <w:gridSpan w:val="3"/>
          </w:tcPr>
          <w:p>
            <w:pPr>
              <w:jc w:val="center"/>
              <w:ind w:right="4230"/>
              <w:spacing w:after="0"/>
              <w:rPr>
                <w:sz w:val="20"/>
                <w:szCs w:val="20"/>
                <w:color w:val="auto"/>
              </w:rPr>
            </w:pPr>
            <w:r>
              <w:rPr>
                <w:rFonts w:ascii="Arial" w:cs="Arial" w:eastAsia="Arial" w:hAnsi="Arial"/>
                <w:sz w:val="18"/>
                <w:szCs w:val="18"/>
                <w:b w:val="1"/>
                <w:bCs w:val="1"/>
                <w:color w:val="auto"/>
              </w:rPr>
              <w:t>Ship B</w:t>
            </w:r>
          </w:p>
        </w:tc>
      </w:tr>
      <w:tr>
        <w:trPr>
          <w:trHeight w:val="405"/>
        </w:trPr>
        <w:tc>
          <w:tcPr>
            <w:tcW w:w="4320" w:type="dxa"/>
            <w:vAlign w:val="bottom"/>
            <w:tcBorders>
              <w:bottom w:val="single" w:sz="8" w:color="auto"/>
            </w:tcBorders>
          </w:tcPr>
          <w:p>
            <w:pPr>
              <w:jc w:val="center"/>
              <w:ind w:left="1090"/>
              <w:spacing w:after="0"/>
              <w:rPr>
                <w:sz w:val="20"/>
                <w:szCs w:val="20"/>
                <w:color w:val="auto"/>
              </w:rPr>
            </w:pPr>
            <w:r>
              <w:rPr>
                <w:rFonts w:ascii="Arial" w:cs="Arial" w:eastAsia="Arial" w:hAnsi="Arial"/>
                <w:sz w:val="18"/>
                <w:szCs w:val="18"/>
                <w:b w:val="1"/>
                <w:bCs w:val="1"/>
                <w:color w:val="auto"/>
                <w:w w:val="97"/>
              </w:rPr>
              <w:t>Term Loan</w:t>
            </w:r>
          </w:p>
        </w:tc>
        <w:tc>
          <w:tcPr>
            <w:tcW w:w="1180" w:type="dxa"/>
            <w:vAlign w:val="bottom"/>
            <w:tcBorders>
              <w:bottom w:val="single" w:sz="8" w:color="auto"/>
            </w:tcBorders>
          </w:tcPr>
          <w:p>
            <w:pPr>
              <w:spacing w:after="0"/>
              <w:rPr>
                <w:sz w:val="24"/>
                <w:szCs w:val="24"/>
                <w:color w:val="auto"/>
              </w:rPr>
            </w:pPr>
          </w:p>
        </w:tc>
        <w:tc>
          <w:tcPr>
            <w:tcW w:w="560" w:type="dxa"/>
            <w:vAlign w:val="bottom"/>
            <w:tcBorders>
              <w:bottom w:val="single" w:sz="8" w:color="E5FFFF"/>
            </w:tcBorders>
          </w:tcPr>
          <w:p>
            <w:pPr>
              <w:spacing w:after="0"/>
              <w:rPr>
                <w:sz w:val="24"/>
                <w:szCs w:val="24"/>
                <w:color w:val="auto"/>
              </w:rPr>
            </w:pPr>
          </w:p>
        </w:tc>
        <w:tc>
          <w:tcPr>
            <w:tcW w:w="5360" w:type="dxa"/>
            <w:vAlign w:val="bottom"/>
            <w:tcBorders>
              <w:bottom w:val="single" w:sz="8" w:color="auto"/>
            </w:tcBorders>
          </w:tcPr>
          <w:p>
            <w:pPr>
              <w:ind w:left="2200"/>
              <w:spacing w:after="0"/>
              <w:rPr>
                <w:sz w:val="20"/>
                <w:szCs w:val="20"/>
                <w:color w:val="auto"/>
              </w:rPr>
            </w:pPr>
            <w:r>
              <w:rPr>
                <w:rFonts w:ascii="Arial" w:cs="Arial" w:eastAsia="Arial" w:hAnsi="Arial"/>
                <w:sz w:val="18"/>
                <w:szCs w:val="18"/>
                <w:b w:val="1"/>
                <w:bCs w:val="1"/>
                <w:color w:val="auto"/>
              </w:rPr>
              <w:t>Amount ($)</w:t>
            </w:r>
          </w:p>
        </w:tc>
      </w:tr>
      <w:tr>
        <w:trPr>
          <w:trHeight w:val="196"/>
        </w:trPr>
        <w:tc>
          <w:tcPr>
            <w:tcW w:w="4320" w:type="dxa"/>
            <w:vAlign w:val="bottom"/>
            <w:shd w:val="clear" w:color="auto" w:fill="E5FFFF"/>
          </w:tcPr>
          <w:p>
            <w:pPr>
              <w:jc w:val="center"/>
              <w:ind w:left="1090"/>
              <w:spacing w:after="0" w:line="196" w:lineRule="exact"/>
              <w:rPr>
                <w:sz w:val="20"/>
                <w:szCs w:val="20"/>
                <w:color w:val="auto"/>
              </w:rPr>
            </w:pPr>
            <w:r>
              <w:rPr>
                <w:rFonts w:ascii="Arial" w:cs="Arial" w:eastAsia="Arial" w:hAnsi="Arial"/>
                <w:sz w:val="18"/>
                <w:szCs w:val="18"/>
                <w:color w:val="auto"/>
                <w:w w:val="97"/>
              </w:rPr>
              <w:t>First</w:t>
            </w:r>
          </w:p>
        </w:tc>
        <w:tc>
          <w:tcPr>
            <w:tcW w:w="118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5360" w:type="dxa"/>
            <w:vAlign w:val="bottom"/>
            <w:shd w:val="clear" w:color="auto" w:fill="E5FFFF"/>
          </w:tcPr>
          <w:p>
            <w:pPr>
              <w:jc w:val="center"/>
              <w:spacing w:after="0" w:line="196" w:lineRule="exact"/>
              <w:rPr>
                <w:sz w:val="20"/>
                <w:szCs w:val="20"/>
                <w:color w:val="auto"/>
              </w:rPr>
            </w:pPr>
            <w:r>
              <w:rPr>
                <w:rFonts w:ascii="Arial" w:cs="Arial" w:eastAsia="Arial" w:hAnsi="Arial"/>
                <w:sz w:val="18"/>
                <w:szCs w:val="18"/>
                <w:color w:val="auto"/>
                <w:w w:val="99"/>
              </w:rPr>
              <w:t>3,414,127</w:t>
            </w:r>
          </w:p>
        </w:tc>
      </w:tr>
      <w:tr>
        <w:trPr>
          <w:trHeight w:val="203"/>
        </w:trPr>
        <w:tc>
          <w:tcPr>
            <w:tcW w:w="4320" w:type="dxa"/>
            <w:vAlign w:val="bottom"/>
          </w:tcPr>
          <w:p>
            <w:pPr>
              <w:jc w:val="center"/>
              <w:ind w:left="1090"/>
              <w:spacing w:after="0" w:line="202" w:lineRule="exact"/>
              <w:rPr>
                <w:sz w:val="20"/>
                <w:szCs w:val="20"/>
                <w:color w:val="auto"/>
              </w:rPr>
            </w:pPr>
            <w:r>
              <w:rPr>
                <w:rFonts w:ascii="Arial" w:cs="Arial" w:eastAsia="Arial" w:hAnsi="Arial"/>
                <w:sz w:val="18"/>
                <w:szCs w:val="18"/>
                <w:color w:val="auto"/>
              </w:rPr>
              <w:t>Second</w:t>
            </w:r>
          </w:p>
        </w:tc>
        <w:tc>
          <w:tcPr>
            <w:tcW w:w="7100" w:type="dxa"/>
            <w:vAlign w:val="bottom"/>
            <w:gridSpan w:val="3"/>
          </w:tcPr>
          <w:p>
            <w:pPr>
              <w:jc w:val="center"/>
              <w:ind w:left="1650"/>
              <w:spacing w:after="0" w:line="202" w:lineRule="exact"/>
              <w:rPr>
                <w:sz w:val="20"/>
                <w:szCs w:val="20"/>
                <w:color w:val="auto"/>
              </w:rPr>
            </w:pPr>
            <w:r>
              <w:rPr>
                <w:rFonts w:ascii="Arial" w:cs="Arial" w:eastAsia="Arial" w:hAnsi="Arial"/>
                <w:sz w:val="18"/>
                <w:szCs w:val="18"/>
                <w:color w:val="auto"/>
                <w:w w:val="99"/>
              </w:rPr>
              <w:t>3,414,127</w:t>
            </w:r>
          </w:p>
        </w:tc>
      </w:tr>
      <w:tr>
        <w:trPr>
          <w:trHeight w:val="203"/>
        </w:trPr>
        <w:tc>
          <w:tcPr>
            <w:tcW w:w="4320" w:type="dxa"/>
            <w:vAlign w:val="bottom"/>
            <w:shd w:val="clear" w:color="auto" w:fill="E5FFFF"/>
          </w:tcPr>
          <w:p>
            <w:pPr>
              <w:jc w:val="center"/>
              <w:ind w:left="1090"/>
              <w:spacing w:after="0" w:line="202" w:lineRule="exact"/>
              <w:rPr>
                <w:sz w:val="20"/>
                <w:szCs w:val="20"/>
                <w:color w:val="auto"/>
              </w:rPr>
            </w:pPr>
            <w:r>
              <w:rPr>
                <w:rFonts w:ascii="Arial" w:cs="Arial" w:eastAsia="Arial" w:hAnsi="Arial"/>
                <w:sz w:val="18"/>
                <w:szCs w:val="18"/>
                <w:color w:val="auto"/>
              </w:rPr>
              <w:t>Third</w:t>
            </w:r>
          </w:p>
        </w:tc>
        <w:tc>
          <w:tcPr>
            <w:tcW w:w="7100" w:type="dxa"/>
            <w:vAlign w:val="bottom"/>
            <w:gridSpan w:val="3"/>
            <w:shd w:val="clear" w:color="auto" w:fill="E5FFFF"/>
          </w:tcPr>
          <w:p>
            <w:pPr>
              <w:jc w:val="center"/>
              <w:ind w:left="1650"/>
              <w:spacing w:after="0" w:line="202" w:lineRule="exact"/>
              <w:rPr>
                <w:sz w:val="20"/>
                <w:szCs w:val="20"/>
                <w:color w:val="auto"/>
              </w:rPr>
            </w:pPr>
            <w:r>
              <w:rPr>
                <w:rFonts w:ascii="Arial" w:cs="Arial" w:eastAsia="Arial" w:hAnsi="Arial"/>
                <w:sz w:val="18"/>
                <w:szCs w:val="18"/>
                <w:color w:val="auto"/>
                <w:w w:val="99"/>
              </w:rPr>
              <w:t>3,414,127</w:t>
            </w:r>
          </w:p>
        </w:tc>
      </w:tr>
      <w:tr>
        <w:trPr>
          <w:trHeight w:val="203"/>
        </w:trPr>
        <w:tc>
          <w:tcPr>
            <w:tcW w:w="4320" w:type="dxa"/>
            <w:vAlign w:val="bottom"/>
          </w:tcPr>
          <w:p>
            <w:pPr>
              <w:jc w:val="center"/>
              <w:ind w:left="1070"/>
              <w:spacing w:after="0" w:line="202" w:lineRule="exact"/>
              <w:rPr>
                <w:sz w:val="20"/>
                <w:szCs w:val="20"/>
                <w:color w:val="auto"/>
              </w:rPr>
            </w:pPr>
            <w:r>
              <w:rPr>
                <w:rFonts w:ascii="Arial" w:cs="Arial" w:eastAsia="Arial" w:hAnsi="Arial"/>
                <w:sz w:val="18"/>
                <w:szCs w:val="18"/>
                <w:color w:val="auto"/>
                <w:w w:val="99"/>
              </w:rPr>
              <w:t>Fourth</w:t>
            </w:r>
          </w:p>
        </w:tc>
        <w:tc>
          <w:tcPr>
            <w:tcW w:w="7100" w:type="dxa"/>
            <w:vAlign w:val="bottom"/>
            <w:gridSpan w:val="3"/>
          </w:tcPr>
          <w:p>
            <w:pPr>
              <w:jc w:val="center"/>
              <w:ind w:left="1650"/>
              <w:spacing w:after="0" w:line="202" w:lineRule="exact"/>
              <w:rPr>
                <w:sz w:val="20"/>
                <w:szCs w:val="20"/>
                <w:color w:val="auto"/>
              </w:rPr>
            </w:pPr>
            <w:r>
              <w:rPr>
                <w:rFonts w:ascii="Arial" w:cs="Arial" w:eastAsia="Arial" w:hAnsi="Arial"/>
                <w:sz w:val="18"/>
                <w:szCs w:val="18"/>
                <w:color w:val="auto"/>
                <w:w w:val="99"/>
              </w:rPr>
              <w:t>3,414,127</w:t>
            </w:r>
          </w:p>
        </w:tc>
      </w:tr>
      <w:tr>
        <w:trPr>
          <w:trHeight w:val="203"/>
        </w:trPr>
        <w:tc>
          <w:tcPr>
            <w:tcW w:w="4320" w:type="dxa"/>
            <w:vAlign w:val="bottom"/>
            <w:shd w:val="clear" w:color="auto" w:fill="E5FFFF"/>
          </w:tcPr>
          <w:p>
            <w:pPr>
              <w:jc w:val="center"/>
              <w:ind w:left="1090"/>
              <w:spacing w:after="0" w:line="202" w:lineRule="exact"/>
              <w:rPr>
                <w:sz w:val="20"/>
                <w:szCs w:val="20"/>
                <w:color w:val="auto"/>
              </w:rPr>
            </w:pPr>
            <w:r>
              <w:rPr>
                <w:rFonts w:ascii="Arial" w:cs="Arial" w:eastAsia="Arial" w:hAnsi="Arial"/>
                <w:sz w:val="18"/>
                <w:szCs w:val="18"/>
                <w:color w:val="auto"/>
                <w:w w:val="96"/>
              </w:rPr>
              <w:t>Fifth</w:t>
            </w:r>
          </w:p>
        </w:tc>
        <w:tc>
          <w:tcPr>
            <w:tcW w:w="7100" w:type="dxa"/>
            <w:vAlign w:val="bottom"/>
            <w:gridSpan w:val="3"/>
            <w:shd w:val="clear" w:color="auto" w:fill="E5FFFF"/>
          </w:tcPr>
          <w:p>
            <w:pPr>
              <w:jc w:val="center"/>
              <w:ind w:left="1650"/>
              <w:spacing w:after="0" w:line="202" w:lineRule="exact"/>
              <w:rPr>
                <w:sz w:val="20"/>
                <w:szCs w:val="20"/>
                <w:color w:val="auto"/>
              </w:rPr>
            </w:pPr>
            <w:r>
              <w:rPr>
                <w:rFonts w:ascii="Arial" w:cs="Arial" w:eastAsia="Arial" w:hAnsi="Arial"/>
                <w:sz w:val="18"/>
                <w:szCs w:val="18"/>
                <w:color w:val="auto"/>
                <w:w w:val="99"/>
              </w:rPr>
              <w:t>3,414,127</w:t>
            </w:r>
          </w:p>
        </w:tc>
      </w:tr>
      <w:tr>
        <w:trPr>
          <w:trHeight w:val="203"/>
        </w:trPr>
        <w:tc>
          <w:tcPr>
            <w:tcW w:w="4320" w:type="dxa"/>
            <w:vAlign w:val="bottom"/>
          </w:tcPr>
          <w:p>
            <w:pPr>
              <w:jc w:val="center"/>
              <w:ind w:left="1070"/>
              <w:spacing w:after="0" w:line="202" w:lineRule="exact"/>
              <w:rPr>
                <w:sz w:val="20"/>
                <w:szCs w:val="20"/>
                <w:color w:val="auto"/>
              </w:rPr>
            </w:pPr>
            <w:r>
              <w:rPr>
                <w:rFonts w:ascii="Arial" w:cs="Arial" w:eastAsia="Arial" w:hAnsi="Arial"/>
                <w:sz w:val="18"/>
                <w:szCs w:val="18"/>
                <w:color w:val="auto"/>
                <w:w w:val="99"/>
              </w:rPr>
              <w:t>Sixth</w:t>
            </w:r>
          </w:p>
        </w:tc>
        <w:tc>
          <w:tcPr>
            <w:tcW w:w="7100" w:type="dxa"/>
            <w:vAlign w:val="bottom"/>
            <w:gridSpan w:val="3"/>
          </w:tcPr>
          <w:p>
            <w:pPr>
              <w:jc w:val="center"/>
              <w:ind w:left="1650"/>
              <w:spacing w:after="0" w:line="202" w:lineRule="exact"/>
              <w:rPr>
                <w:sz w:val="20"/>
                <w:szCs w:val="20"/>
                <w:color w:val="auto"/>
              </w:rPr>
            </w:pPr>
            <w:r>
              <w:rPr>
                <w:rFonts w:ascii="Arial" w:cs="Arial" w:eastAsia="Arial" w:hAnsi="Arial"/>
                <w:sz w:val="18"/>
                <w:szCs w:val="18"/>
                <w:color w:val="auto"/>
                <w:w w:val="99"/>
              </w:rPr>
              <w:t>3,414,127</w:t>
            </w:r>
          </w:p>
        </w:tc>
      </w:tr>
      <w:tr>
        <w:trPr>
          <w:trHeight w:val="203"/>
        </w:trPr>
        <w:tc>
          <w:tcPr>
            <w:tcW w:w="4320" w:type="dxa"/>
            <w:vAlign w:val="bottom"/>
            <w:shd w:val="clear" w:color="auto" w:fill="E5FFFF"/>
          </w:tcPr>
          <w:p>
            <w:pPr>
              <w:jc w:val="center"/>
              <w:ind w:left="1090"/>
              <w:spacing w:after="0" w:line="202" w:lineRule="exact"/>
              <w:rPr>
                <w:sz w:val="20"/>
                <w:szCs w:val="20"/>
                <w:color w:val="auto"/>
              </w:rPr>
            </w:pPr>
            <w:r>
              <w:rPr>
                <w:rFonts w:ascii="Arial" w:cs="Arial" w:eastAsia="Arial" w:hAnsi="Arial"/>
                <w:sz w:val="18"/>
                <w:szCs w:val="18"/>
                <w:color w:val="auto"/>
                <w:w w:val="99"/>
              </w:rPr>
              <w:t>Seventh</w:t>
            </w:r>
          </w:p>
        </w:tc>
        <w:tc>
          <w:tcPr>
            <w:tcW w:w="7100" w:type="dxa"/>
            <w:vAlign w:val="bottom"/>
            <w:gridSpan w:val="3"/>
            <w:shd w:val="clear" w:color="auto" w:fill="E5FFFF"/>
          </w:tcPr>
          <w:p>
            <w:pPr>
              <w:jc w:val="center"/>
              <w:ind w:left="1650"/>
              <w:spacing w:after="0" w:line="202" w:lineRule="exact"/>
              <w:rPr>
                <w:sz w:val="20"/>
                <w:szCs w:val="20"/>
                <w:color w:val="auto"/>
              </w:rPr>
            </w:pPr>
            <w:r>
              <w:rPr>
                <w:rFonts w:ascii="Arial" w:cs="Arial" w:eastAsia="Arial" w:hAnsi="Arial"/>
                <w:sz w:val="18"/>
                <w:szCs w:val="18"/>
                <w:color w:val="auto"/>
                <w:w w:val="99"/>
              </w:rPr>
              <w:t>3,414,127</w:t>
            </w:r>
          </w:p>
        </w:tc>
      </w:tr>
      <w:tr>
        <w:trPr>
          <w:trHeight w:val="203"/>
        </w:trPr>
        <w:tc>
          <w:tcPr>
            <w:tcW w:w="4320" w:type="dxa"/>
            <w:vAlign w:val="bottom"/>
          </w:tcPr>
          <w:p>
            <w:pPr>
              <w:jc w:val="center"/>
              <w:ind w:left="1090"/>
              <w:spacing w:after="0" w:line="202" w:lineRule="exact"/>
              <w:rPr>
                <w:sz w:val="20"/>
                <w:szCs w:val="20"/>
                <w:color w:val="auto"/>
              </w:rPr>
            </w:pPr>
            <w:r>
              <w:rPr>
                <w:rFonts w:ascii="Arial" w:cs="Arial" w:eastAsia="Arial" w:hAnsi="Arial"/>
                <w:sz w:val="18"/>
                <w:szCs w:val="18"/>
                <w:color w:val="auto"/>
                <w:w w:val="97"/>
              </w:rPr>
              <w:t>Eighth</w:t>
            </w:r>
          </w:p>
        </w:tc>
        <w:tc>
          <w:tcPr>
            <w:tcW w:w="7100" w:type="dxa"/>
            <w:vAlign w:val="bottom"/>
            <w:gridSpan w:val="3"/>
          </w:tcPr>
          <w:p>
            <w:pPr>
              <w:jc w:val="center"/>
              <w:ind w:left="1650"/>
              <w:spacing w:after="0" w:line="202" w:lineRule="exact"/>
              <w:rPr>
                <w:sz w:val="20"/>
                <w:szCs w:val="20"/>
                <w:color w:val="auto"/>
              </w:rPr>
            </w:pPr>
            <w:r>
              <w:rPr>
                <w:rFonts w:ascii="Arial" w:cs="Arial" w:eastAsia="Arial" w:hAnsi="Arial"/>
                <w:sz w:val="18"/>
                <w:szCs w:val="18"/>
                <w:color w:val="auto"/>
                <w:w w:val="99"/>
              </w:rPr>
              <w:t>3,414,127</w:t>
            </w:r>
          </w:p>
        </w:tc>
      </w:tr>
      <w:tr>
        <w:trPr>
          <w:trHeight w:val="203"/>
        </w:trPr>
        <w:tc>
          <w:tcPr>
            <w:tcW w:w="4320" w:type="dxa"/>
            <w:vAlign w:val="bottom"/>
            <w:shd w:val="clear" w:color="auto" w:fill="E5FFFF"/>
          </w:tcPr>
          <w:p>
            <w:pPr>
              <w:jc w:val="center"/>
              <w:ind w:left="1090"/>
              <w:spacing w:after="0" w:line="202" w:lineRule="exact"/>
              <w:rPr>
                <w:sz w:val="20"/>
                <w:szCs w:val="20"/>
                <w:color w:val="auto"/>
              </w:rPr>
            </w:pPr>
            <w:r>
              <w:rPr>
                <w:rFonts w:ascii="Arial" w:cs="Arial" w:eastAsia="Arial" w:hAnsi="Arial"/>
                <w:sz w:val="18"/>
                <w:szCs w:val="18"/>
                <w:color w:val="auto"/>
                <w:w w:val="99"/>
              </w:rPr>
              <w:t>Ninth</w:t>
            </w:r>
          </w:p>
        </w:tc>
        <w:tc>
          <w:tcPr>
            <w:tcW w:w="7100" w:type="dxa"/>
            <w:vAlign w:val="bottom"/>
            <w:gridSpan w:val="3"/>
            <w:shd w:val="clear" w:color="auto" w:fill="E5FFFF"/>
          </w:tcPr>
          <w:p>
            <w:pPr>
              <w:jc w:val="center"/>
              <w:ind w:left="1650"/>
              <w:spacing w:after="0" w:line="202" w:lineRule="exact"/>
              <w:rPr>
                <w:sz w:val="20"/>
                <w:szCs w:val="20"/>
                <w:color w:val="auto"/>
              </w:rPr>
            </w:pPr>
            <w:r>
              <w:rPr>
                <w:rFonts w:ascii="Arial" w:cs="Arial" w:eastAsia="Arial" w:hAnsi="Arial"/>
                <w:sz w:val="18"/>
                <w:szCs w:val="18"/>
                <w:color w:val="auto"/>
                <w:w w:val="99"/>
              </w:rPr>
              <w:t>3,414,127</w:t>
            </w:r>
          </w:p>
        </w:tc>
      </w:tr>
      <w:tr>
        <w:trPr>
          <w:trHeight w:val="217"/>
        </w:trPr>
        <w:tc>
          <w:tcPr>
            <w:tcW w:w="4320" w:type="dxa"/>
            <w:vAlign w:val="bottom"/>
          </w:tcPr>
          <w:p>
            <w:pPr>
              <w:jc w:val="center"/>
              <w:ind w:left="1070"/>
              <w:spacing w:after="0"/>
              <w:rPr>
                <w:sz w:val="20"/>
                <w:szCs w:val="20"/>
                <w:color w:val="auto"/>
              </w:rPr>
            </w:pPr>
            <w:r>
              <w:rPr>
                <w:rFonts w:ascii="Arial" w:cs="Arial" w:eastAsia="Arial" w:hAnsi="Arial"/>
                <w:sz w:val="18"/>
                <w:szCs w:val="18"/>
                <w:color w:val="auto"/>
                <w:w w:val="95"/>
              </w:rPr>
              <w:t>Tenth</w:t>
            </w:r>
          </w:p>
        </w:tc>
        <w:tc>
          <w:tcPr>
            <w:tcW w:w="7100" w:type="dxa"/>
            <w:vAlign w:val="bottom"/>
            <w:gridSpan w:val="3"/>
          </w:tcPr>
          <w:p>
            <w:pPr>
              <w:jc w:val="center"/>
              <w:ind w:left="1630"/>
              <w:spacing w:after="0"/>
              <w:rPr>
                <w:sz w:val="20"/>
                <w:szCs w:val="20"/>
                <w:color w:val="auto"/>
              </w:rPr>
            </w:pPr>
            <w:r>
              <w:rPr>
                <w:rFonts w:ascii="Arial" w:cs="Arial" w:eastAsia="Arial" w:hAnsi="Arial"/>
                <w:sz w:val="18"/>
                <w:szCs w:val="18"/>
                <w:color w:val="auto"/>
                <w:w w:val="99"/>
              </w:rPr>
              <w:t>80,475,840</w:t>
            </w:r>
          </w:p>
        </w:tc>
      </w:tr>
      <w:tr>
        <w:trPr>
          <w:trHeight w:val="391"/>
        </w:trPr>
        <w:tc>
          <w:tcPr>
            <w:tcW w:w="4320" w:type="dxa"/>
            <w:vAlign w:val="bottom"/>
          </w:tcPr>
          <w:p>
            <w:pPr>
              <w:spacing w:after="0"/>
              <w:rPr>
                <w:sz w:val="24"/>
                <w:szCs w:val="24"/>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185</w:t>
            </w:r>
          </w:p>
        </w:tc>
        <w:tc>
          <w:tcPr>
            <w:tcW w:w="5360" w:type="dxa"/>
            <w:vAlign w:val="bottom"/>
          </w:tcPr>
          <w:p>
            <w:pPr>
              <w:spacing w:after="0"/>
              <w:rPr>
                <w:sz w:val="24"/>
                <w:szCs w:val="24"/>
                <w:color w:val="auto"/>
              </w:rPr>
            </w:pPr>
          </w:p>
        </w:tc>
      </w:tr>
      <w:tr>
        <w:trPr>
          <w:trHeight w:val="237"/>
        </w:trPr>
        <w:tc>
          <w:tcPr>
            <w:tcW w:w="4320" w:type="dxa"/>
            <w:vAlign w:val="bottom"/>
            <w:tcBorders>
              <w:bottom w:val="single" w:sz="8" w:color="C0C0C0"/>
            </w:tcBorders>
          </w:tcPr>
          <w:p>
            <w:pPr>
              <w:spacing w:after="0"/>
              <w:rPr>
                <w:sz w:val="20"/>
                <w:szCs w:val="20"/>
                <w:color w:val="auto"/>
              </w:rPr>
            </w:pPr>
          </w:p>
        </w:tc>
        <w:tc>
          <w:tcPr>
            <w:tcW w:w="1180" w:type="dxa"/>
            <w:vAlign w:val="bottom"/>
            <w:tcBorders>
              <w:bottom w:val="single" w:sz="8" w:color="C0C0C0"/>
            </w:tcBorders>
          </w:tcPr>
          <w:p>
            <w:pPr>
              <w:spacing w:after="0"/>
              <w:rPr>
                <w:sz w:val="20"/>
                <w:szCs w:val="20"/>
                <w:color w:val="auto"/>
              </w:rPr>
            </w:pPr>
          </w:p>
        </w:tc>
        <w:tc>
          <w:tcPr>
            <w:tcW w:w="560" w:type="dxa"/>
            <w:vAlign w:val="bottom"/>
            <w:tcBorders>
              <w:bottom w:val="single" w:sz="8" w:color="C0C0C0"/>
            </w:tcBorders>
          </w:tcPr>
          <w:p>
            <w:pPr>
              <w:spacing w:after="0"/>
              <w:rPr>
                <w:sz w:val="20"/>
                <w:szCs w:val="20"/>
                <w:color w:val="auto"/>
              </w:rPr>
            </w:pPr>
          </w:p>
        </w:tc>
        <w:tc>
          <w:tcPr>
            <w:tcW w:w="536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00" w:right="239" w:bottom="1440" w:gutter="0" w:footer="0" w:header="0"/>
        </w:sectPr>
      </w:pPr>
    </w:p>
    <w:bookmarkStart w:id="237" w:name="page238"/>
    <w:bookmarkEnd w:id="2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20" w:type="dxa"/>
            <w:vAlign w:val="bottom"/>
          </w:tcPr>
          <w:p>
            <w:pPr>
              <w:spacing w:after="0"/>
              <w:rPr>
                <w:sz w:val="20"/>
                <w:szCs w:val="20"/>
                <w:color w:val="auto"/>
              </w:rPr>
            </w:pPr>
          </w:p>
        </w:tc>
        <w:tc>
          <w:tcPr>
            <w:tcW w:w="7100" w:type="dxa"/>
            <w:vAlign w:val="bottom"/>
            <w:gridSpan w:val="3"/>
          </w:tcPr>
          <w:p>
            <w:pPr>
              <w:jc w:val="center"/>
              <w:ind w:right="4230"/>
              <w:spacing w:after="0"/>
              <w:rPr>
                <w:sz w:val="20"/>
                <w:szCs w:val="20"/>
                <w:color w:val="auto"/>
              </w:rPr>
            </w:pPr>
            <w:r>
              <w:rPr>
                <w:rFonts w:ascii="Arial" w:cs="Arial" w:eastAsia="Arial" w:hAnsi="Arial"/>
                <w:sz w:val="18"/>
                <w:szCs w:val="18"/>
                <w:b w:val="1"/>
                <w:bCs w:val="1"/>
                <w:color w:val="auto"/>
              </w:rPr>
              <w:t>Ship C</w:t>
            </w:r>
          </w:p>
        </w:tc>
      </w:tr>
      <w:tr>
        <w:trPr>
          <w:trHeight w:val="405"/>
        </w:trPr>
        <w:tc>
          <w:tcPr>
            <w:tcW w:w="4320" w:type="dxa"/>
            <w:vAlign w:val="bottom"/>
            <w:tcBorders>
              <w:bottom w:val="single" w:sz="8" w:color="auto"/>
            </w:tcBorders>
          </w:tcPr>
          <w:p>
            <w:pPr>
              <w:jc w:val="center"/>
              <w:ind w:left="1090"/>
              <w:spacing w:after="0"/>
              <w:rPr>
                <w:sz w:val="20"/>
                <w:szCs w:val="20"/>
                <w:color w:val="auto"/>
              </w:rPr>
            </w:pPr>
            <w:r>
              <w:rPr>
                <w:rFonts w:ascii="Arial" w:cs="Arial" w:eastAsia="Arial" w:hAnsi="Arial"/>
                <w:sz w:val="18"/>
                <w:szCs w:val="18"/>
                <w:b w:val="1"/>
                <w:bCs w:val="1"/>
                <w:color w:val="auto"/>
                <w:w w:val="97"/>
              </w:rPr>
              <w:t>Term Loan</w:t>
            </w:r>
          </w:p>
        </w:tc>
        <w:tc>
          <w:tcPr>
            <w:tcW w:w="1180" w:type="dxa"/>
            <w:vAlign w:val="bottom"/>
            <w:tcBorders>
              <w:bottom w:val="single" w:sz="8" w:color="auto"/>
            </w:tcBorders>
          </w:tcPr>
          <w:p>
            <w:pPr>
              <w:spacing w:after="0"/>
              <w:rPr>
                <w:sz w:val="24"/>
                <w:szCs w:val="24"/>
                <w:color w:val="auto"/>
              </w:rPr>
            </w:pPr>
          </w:p>
        </w:tc>
        <w:tc>
          <w:tcPr>
            <w:tcW w:w="560" w:type="dxa"/>
            <w:vAlign w:val="bottom"/>
            <w:tcBorders>
              <w:bottom w:val="single" w:sz="8" w:color="E5FFFF"/>
            </w:tcBorders>
          </w:tcPr>
          <w:p>
            <w:pPr>
              <w:spacing w:after="0"/>
              <w:rPr>
                <w:sz w:val="24"/>
                <w:szCs w:val="24"/>
                <w:color w:val="auto"/>
              </w:rPr>
            </w:pPr>
          </w:p>
        </w:tc>
        <w:tc>
          <w:tcPr>
            <w:tcW w:w="5360" w:type="dxa"/>
            <w:vAlign w:val="bottom"/>
            <w:tcBorders>
              <w:bottom w:val="single" w:sz="8" w:color="auto"/>
            </w:tcBorders>
          </w:tcPr>
          <w:p>
            <w:pPr>
              <w:ind w:left="2200"/>
              <w:spacing w:after="0"/>
              <w:rPr>
                <w:sz w:val="20"/>
                <w:szCs w:val="20"/>
                <w:color w:val="auto"/>
              </w:rPr>
            </w:pPr>
            <w:r>
              <w:rPr>
                <w:rFonts w:ascii="Arial" w:cs="Arial" w:eastAsia="Arial" w:hAnsi="Arial"/>
                <w:sz w:val="18"/>
                <w:szCs w:val="18"/>
                <w:b w:val="1"/>
                <w:bCs w:val="1"/>
                <w:color w:val="auto"/>
              </w:rPr>
              <w:t>Amount ($)</w:t>
            </w:r>
          </w:p>
        </w:tc>
      </w:tr>
      <w:tr>
        <w:trPr>
          <w:trHeight w:val="196"/>
        </w:trPr>
        <w:tc>
          <w:tcPr>
            <w:tcW w:w="4320" w:type="dxa"/>
            <w:vAlign w:val="bottom"/>
            <w:shd w:val="clear" w:color="auto" w:fill="E5FFFF"/>
          </w:tcPr>
          <w:p>
            <w:pPr>
              <w:jc w:val="center"/>
              <w:ind w:left="1090"/>
              <w:spacing w:after="0" w:line="196" w:lineRule="exact"/>
              <w:rPr>
                <w:sz w:val="20"/>
                <w:szCs w:val="20"/>
                <w:color w:val="auto"/>
              </w:rPr>
            </w:pPr>
            <w:r>
              <w:rPr>
                <w:rFonts w:ascii="Arial" w:cs="Arial" w:eastAsia="Arial" w:hAnsi="Arial"/>
                <w:sz w:val="18"/>
                <w:szCs w:val="18"/>
                <w:color w:val="auto"/>
                <w:w w:val="97"/>
              </w:rPr>
              <w:t>First</w:t>
            </w:r>
          </w:p>
        </w:tc>
        <w:tc>
          <w:tcPr>
            <w:tcW w:w="118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5360" w:type="dxa"/>
            <w:vAlign w:val="bottom"/>
            <w:shd w:val="clear" w:color="auto" w:fill="E5FFFF"/>
          </w:tcPr>
          <w:p>
            <w:pPr>
              <w:jc w:val="center"/>
              <w:spacing w:after="0" w:line="196" w:lineRule="exact"/>
              <w:rPr>
                <w:sz w:val="20"/>
                <w:szCs w:val="20"/>
                <w:color w:val="auto"/>
              </w:rPr>
            </w:pPr>
            <w:r>
              <w:rPr>
                <w:rFonts w:ascii="Arial" w:cs="Arial" w:eastAsia="Arial" w:hAnsi="Arial"/>
                <w:sz w:val="18"/>
                <w:szCs w:val="18"/>
                <w:color w:val="auto"/>
                <w:w w:val="99"/>
              </w:rPr>
              <w:t>3,726,221</w:t>
            </w:r>
          </w:p>
        </w:tc>
      </w:tr>
      <w:tr>
        <w:trPr>
          <w:trHeight w:val="203"/>
        </w:trPr>
        <w:tc>
          <w:tcPr>
            <w:tcW w:w="4320" w:type="dxa"/>
            <w:vAlign w:val="bottom"/>
          </w:tcPr>
          <w:p>
            <w:pPr>
              <w:jc w:val="center"/>
              <w:ind w:left="1090"/>
              <w:spacing w:after="0" w:line="202" w:lineRule="exact"/>
              <w:rPr>
                <w:sz w:val="20"/>
                <w:szCs w:val="20"/>
                <w:color w:val="auto"/>
              </w:rPr>
            </w:pPr>
            <w:r>
              <w:rPr>
                <w:rFonts w:ascii="Arial" w:cs="Arial" w:eastAsia="Arial" w:hAnsi="Arial"/>
                <w:sz w:val="18"/>
                <w:szCs w:val="18"/>
                <w:color w:val="auto"/>
              </w:rPr>
              <w:t>Second</w:t>
            </w:r>
          </w:p>
        </w:tc>
        <w:tc>
          <w:tcPr>
            <w:tcW w:w="7100" w:type="dxa"/>
            <w:vAlign w:val="bottom"/>
            <w:gridSpan w:val="3"/>
          </w:tcPr>
          <w:p>
            <w:pPr>
              <w:jc w:val="center"/>
              <w:ind w:left="1650"/>
              <w:spacing w:after="0" w:line="202" w:lineRule="exact"/>
              <w:rPr>
                <w:sz w:val="20"/>
                <w:szCs w:val="20"/>
                <w:color w:val="auto"/>
              </w:rPr>
            </w:pPr>
            <w:r>
              <w:rPr>
                <w:rFonts w:ascii="Arial" w:cs="Arial" w:eastAsia="Arial" w:hAnsi="Arial"/>
                <w:sz w:val="18"/>
                <w:szCs w:val="18"/>
                <w:color w:val="auto"/>
                <w:w w:val="99"/>
              </w:rPr>
              <w:t>3,726,221</w:t>
            </w:r>
          </w:p>
        </w:tc>
      </w:tr>
      <w:tr>
        <w:trPr>
          <w:trHeight w:val="203"/>
        </w:trPr>
        <w:tc>
          <w:tcPr>
            <w:tcW w:w="4320" w:type="dxa"/>
            <w:vAlign w:val="bottom"/>
            <w:shd w:val="clear" w:color="auto" w:fill="E5FFFF"/>
          </w:tcPr>
          <w:p>
            <w:pPr>
              <w:jc w:val="center"/>
              <w:ind w:left="1090"/>
              <w:spacing w:after="0" w:line="202" w:lineRule="exact"/>
              <w:rPr>
                <w:sz w:val="20"/>
                <w:szCs w:val="20"/>
                <w:color w:val="auto"/>
              </w:rPr>
            </w:pPr>
            <w:r>
              <w:rPr>
                <w:rFonts w:ascii="Arial" w:cs="Arial" w:eastAsia="Arial" w:hAnsi="Arial"/>
                <w:sz w:val="18"/>
                <w:szCs w:val="18"/>
                <w:color w:val="auto"/>
              </w:rPr>
              <w:t>Third</w:t>
            </w:r>
          </w:p>
        </w:tc>
        <w:tc>
          <w:tcPr>
            <w:tcW w:w="7100" w:type="dxa"/>
            <w:vAlign w:val="bottom"/>
            <w:gridSpan w:val="3"/>
            <w:shd w:val="clear" w:color="auto" w:fill="E5FFFF"/>
          </w:tcPr>
          <w:p>
            <w:pPr>
              <w:jc w:val="center"/>
              <w:ind w:left="1650"/>
              <w:spacing w:after="0" w:line="202" w:lineRule="exact"/>
              <w:rPr>
                <w:sz w:val="20"/>
                <w:szCs w:val="20"/>
                <w:color w:val="auto"/>
              </w:rPr>
            </w:pPr>
            <w:r>
              <w:rPr>
                <w:rFonts w:ascii="Arial" w:cs="Arial" w:eastAsia="Arial" w:hAnsi="Arial"/>
                <w:sz w:val="18"/>
                <w:szCs w:val="18"/>
                <w:color w:val="auto"/>
                <w:w w:val="99"/>
              </w:rPr>
              <w:t>3,726,221</w:t>
            </w:r>
          </w:p>
        </w:tc>
      </w:tr>
      <w:tr>
        <w:trPr>
          <w:trHeight w:val="203"/>
        </w:trPr>
        <w:tc>
          <w:tcPr>
            <w:tcW w:w="4320" w:type="dxa"/>
            <w:vAlign w:val="bottom"/>
          </w:tcPr>
          <w:p>
            <w:pPr>
              <w:jc w:val="center"/>
              <w:ind w:left="1070"/>
              <w:spacing w:after="0" w:line="202" w:lineRule="exact"/>
              <w:rPr>
                <w:sz w:val="20"/>
                <w:szCs w:val="20"/>
                <w:color w:val="auto"/>
              </w:rPr>
            </w:pPr>
            <w:r>
              <w:rPr>
                <w:rFonts w:ascii="Arial" w:cs="Arial" w:eastAsia="Arial" w:hAnsi="Arial"/>
                <w:sz w:val="18"/>
                <w:szCs w:val="18"/>
                <w:color w:val="auto"/>
                <w:w w:val="99"/>
              </w:rPr>
              <w:t>Fourth</w:t>
            </w:r>
          </w:p>
        </w:tc>
        <w:tc>
          <w:tcPr>
            <w:tcW w:w="7100" w:type="dxa"/>
            <w:vAlign w:val="bottom"/>
            <w:gridSpan w:val="3"/>
          </w:tcPr>
          <w:p>
            <w:pPr>
              <w:jc w:val="center"/>
              <w:ind w:left="1650"/>
              <w:spacing w:after="0" w:line="202" w:lineRule="exact"/>
              <w:rPr>
                <w:sz w:val="20"/>
                <w:szCs w:val="20"/>
                <w:color w:val="auto"/>
              </w:rPr>
            </w:pPr>
            <w:r>
              <w:rPr>
                <w:rFonts w:ascii="Arial" w:cs="Arial" w:eastAsia="Arial" w:hAnsi="Arial"/>
                <w:sz w:val="18"/>
                <w:szCs w:val="18"/>
                <w:color w:val="auto"/>
                <w:w w:val="99"/>
              </w:rPr>
              <w:t>3,726,221</w:t>
            </w:r>
          </w:p>
        </w:tc>
      </w:tr>
      <w:tr>
        <w:trPr>
          <w:trHeight w:val="203"/>
        </w:trPr>
        <w:tc>
          <w:tcPr>
            <w:tcW w:w="4320" w:type="dxa"/>
            <w:vAlign w:val="bottom"/>
            <w:shd w:val="clear" w:color="auto" w:fill="E5FFFF"/>
          </w:tcPr>
          <w:p>
            <w:pPr>
              <w:jc w:val="center"/>
              <w:ind w:left="1090"/>
              <w:spacing w:after="0" w:line="202" w:lineRule="exact"/>
              <w:rPr>
                <w:sz w:val="20"/>
                <w:szCs w:val="20"/>
                <w:color w:val="auto"/>
              </w:rPr>
            </w:pPr>
            <w:r>
              <w:rPr>
                <w:rFonts w:ascii="Arial" w:cs="Arial" w:eastAsia="Arial" w:hAnsi="Arial"/>
                <w:sz w:val="18"/>
                <w:szCs w:val="18"/>
                <w:color w:val="auto"/>
                <w:w w:val="96"/>
              </w:rPr>
              <w:t>Fifth</w:t>
            </w:r>
          </w:p>
        </w:tc>
        <w:tc>
          <w:tcPr>
            <w:tcW w:w="7100" w:type="dxa"/>
            <w:vAlign w:val="bottom"/>
            <w:gridSpan w:val="3"/>
            <w:shd w:val="clear" w:color="auto" w:fill="E5FFFF"/>
          </w:tcPr>
          <w:p>
            <w:pPr>
              <w:jc w:val="center"/>
              <w:ind w:left="1650"/>
              <w:spacing w:after="0" w:line="202" w:lineRule="exact"/>
              <w:rPr>
                <w:sz w:val="20"/>
                <w:szCs w:val="20"/>
                <w:color w:val="auto"/>
              </w:rPr>
            </w:pPr>
            <w:r>
              <w:rPr>
                <w:rFonts w:ascii="Arial" w:cs="Arial" w:eastAsia="Arial" w:hAnsi="Arial"/>
                <w:sz w:val="18"/>
                <w:szCs w:val="18"/>
                <w:color w:val="auto"/>
                <w:w w:val="99"/>
              </w:rPr>
              <w:t>3,726,221</w:t>
            </w:r>
          </w:p>
        </w:tc>
      </w:tr>
      <w:tr>
        <w:trPr>
          <w:trHeight w:val="203"/>
        </w:trPr>
        <w:tc>
          <w:tcPr>
            <w:tcW w:w="4320" w:type="dxa"/>
            <w:vAlign w:val="bottom"/>
          </w:tcPr>
          <w:p>
            <w:pPr>
              <w:jc w:val="center"/>
              <w:ind w:left="1070"/>
              <w:spacing w:after="0" w:line="202" w:lineRule="exact"/>
              <w:rPr>
                <w:sz w:val="20"/>
                <w:szCs w:val="20"/>
                <w:color w:val="auto"/>
              </w:rPr>
            </w:pPr>
            <w:r>
              <w:rPr>
                <w:rFonts w:ascii="Arial" w:cs="Arial" w:eastAsia="Arial" w:hAnsi="Arial"/>
                <w:sz w:val="18"/>
                <w:szCs w:val="18"/>
                <w:color w:val="auto"/>
                <w:w w:val="99"/>
              </w:rPr>
              <w:t>Sixth</w:t>
            </w:r>
          </w:p>
        </w:tc>
        <w:tc>
          <w:tcPr>
            <w:tcW w:w="7100" w:type="dxa"/>
            <w:vAlign w:val="bottom"/>
            <w:gridSpan w:val="3"/>
          </w:tcPr>
          <w:p>
            <w:pPr>
              <w:jc w:val="center"/>
              <w:ind w:left="1650"/>
              <w:spacing w:after="0" w:line="202" w:lineRule="exact"/>
              <w:rPr>
                <w:sz w:val="20"/>
                <w:szCs w:val="20"/>
                <w:color w:val="auto"/>
              </w:rPr>
            </w:pPr>
            <w:r>
              <w:rPr>
                <w:rFonts w:ascii="Arial" w:cs="Arial" w:eastAsia="Arial" w:hAnsi="Arial"/>
                <w:sz w:val="18"/>
                <w:szCs w:val="18"/>
                <w:color w:val="auto"/>
                <w:w w:val="99"/>
              </w:rPr>
              <w:t>3,726,221</w:t>
            </w:r>
          </w:p>
        </w:tc>
      </w:tr>
      <w:tr>
        <w:trPr>
          <w:trHeight w:val="203"/>
        </w:trPr>
        <w:tc>
          <w:tcPr>
            <w:tcW w:w="4320" w:type="dxa"/>
            <w:vAlign w:val="bottom"/>
            <w:shd w:val="clear" w:color="auto" w:fill="E5FFFF"/>
          </w:tcPr>
          <w:p>
            <w:pPr>
              <w:jc w:val="center"/>
              <w:ind w:left="1090"/>
              <w:spacing w:after="0" w:line="202" w:lineRule="exact"/>
              <w:rPr>
                <w:sz w:val="20"/>
                <w:szCs w:val="20"/>
                <w:color w:val="auto"/>
              </w:rPr>
            </w:pPr>
            <w:r>
              <w:rPr>
                <w:rFonts w:ascii="Arial" w:cs="Arial" w:eastAsia="Arial" w:hAnsi="Arial"/>
                <w:sz w:val="18"/>
                <w:szCs w:val="18"/>
                <w:color w:val="auto"/>
                <w:w w:val="99"/>
              </w:rPr>
              <w:t>Seventh</w:t>
            </w:r>
          </w:p>
        </w:tc>
        <w:tc>
          <w:tcPr>
            <w:tcW w:w="7100" w:type="dxa"/>
            <w:vAlign w:val="bottom"/>
            <w:gridSpan w:val="3"/>
            <w:shd w:val="clear" w:color="auto" w:fill="E5FFFF"/>
          </w:tcPr>
          <w:p>
            <w:pPr>
              <w:jc w:val="center"/>
              <w:ind w:left="1650"/>
              <w:spacing w:after="0" w:line="202" w:lineRule="exact"/>
              <w:rPr>
                <w:sz w:val="20"/>
                <w:szCs w:val="20"/>
                <w:color w:val="auto"/>
              </w:rPr>
            </w:pPr>
            <w:r>
              <w:rPr>
                <w:rFonts w:ascii="Arial" w:cs="Arial" w:eastAsia="Arial" w:hAnsi="Arial"/>
                <w:sz w:val="18"/>
                <w:szCs w:val="18"/>
                <w:color w:val="auto"/>
                <w:w w:val="99"/>
              </w:rPr>
              <w:t>3,726,221</w:t>
            </w:r>
          </w:p>
        </w:tc>
      </w:tr>
      <w:tr>
        <w:trPr>
          <w:trHeight w:val="203"/>
        </w:trPr>
        <w:tc>
          <w:tcPr>
            <w:tcW w:w="4320" w:type="dxa"/>
            <w:vAlign w:val="bottom"/>
          </w:tcPr>
          <w:p>
            <w:pPr>
              <w:jc w:val="center"/>
              <w:ind w:left="1090"/>
              <w:spacing w:after="0" w:line="202" w:lineRule="exact"/>
              <w:rPr>
                <w:sz w:val="20"/>
                <w:szCs w:val="20"/>
                <w:color w:val="auto"/>
              </w:rPr>
            </w:pPr>
            <w:r>
              <w:rPr>
                <w:rFonts w:ascii="Arial" w:cs="Arial" w:eastAsia="Arial" w:hAnsi="Arial"/>
                <w:sz w:val="18"/>
                <w:szCs w:val="18"/>
                <w:color w:val="auto"/>
                <w:w w:val="97"/>
              </w:rPr>
              <w:t>Eighth</w:t>
            </w:r>
          </w:p>
        </w:tc>
        <w:tc>
          <w:tcPr>
            <w:tcW w:w="7100" w:type="dxa"/>
            <w:vAlign w:val="bottom"/>
            <w:gridSpan w:val="3"/>
          </w:tcPr>
          <w:p>
            <w:pPr>
              <w:jc w:val="center"/>
              <w:ind w:left="1650"/>
              <w:spacing w:after="0" w:line="202" w:lineRule="exact"/>
              <w:rPr>
                <w:sz w:val="20"/>
                <w:szCs w:val="20"/>
                <w:color w:val="auto"/>
              </w:rPr>
            </w:pPr>
            <w:r>
              <w:rPr>
                <w:rFonts w:ascii="Arial" w:cs="Arial" w:eastAsia="Arial" w:hAnsi="Arial"/>
                <w:sz w:val="18"/>
                <w:szCs w:val="18"/>
                <w:color w:val="auto"/>
                <w:w w:val="99"/>
              </w:rPr>
              <w:t>3,726,221</w:t>
            </w:r>
          </w:p>
        </w:tc>
      </w:tr>
      <w:tr>
        <w:trPr>
          <w:trHeight w:val="203"/>
        </w:trPr>
        <w:tc>
          <w:tcPr>
            <w:tcW w:w="4320" w:type="dxa"/>
            <w:vAlign w:val="bottom"/>
            <w:shd w:val="clear" w:color="auto" w:fill="E5FFFF"/>
          </w:tcPr>
          <w:p>
            <w:pPr>
              <w:jc w:val="center"/>
              <w:ind w:left="1090"/>
              <w:spacing w:after="0" w:line="202" w:lineRule="exact"/>
              <w:rPr>
                <w:sz w:val="20"/>
                <w:szCs w:val="20"/>
                <w:color w:val="auto"/>
              </w:rPr>
            </w:pPr>
            <w:r>
              <w:rPr>
                <w:rFonts w:ascii="Arial" w:cs="Arial" w:eastAsia="Arial" w:hAnsi="Arial"/>
                <w:sz w:val="18"/>
                <w:szCs w:val="18"/>
                <w:color w:val="auto"/>
                <w:w w:val="99"/>
              </w:rPr>
              <w:t>Ninth</w:t>
            </w:r>
          </w:p>
        </w:tc>
        <w:tc>
          <w:tcPr>
            <w:tcW w:w="7100" w:type="dxa"/>
            <w:vAlign w:val="bottom"/>
            <w:gridSpan w:val="3"/>
            <w:shd w:val="clear" w:color="auto" w:fill="E5FFFF"/>
          </w:tcPr>
          <w:p>
            <w:pPr>
              <w:jc w:val="center"/>
              <w:ind w:left="1650"/>
              <w:spacing w:after="0" w:line="202" w:lineRule="exact"/>
              <w:rPr>
                <w:sz w:val="20"/>
                <w:szCs w:val="20"/>
                <w:color w:val="auto"/>
              </w:rPr>
            </w:pPr>
            <w:r>
              <w:rPr>
                <w:rFonts w:ascii="Arial" w:cs="Arial" w:eastAsia="Arial" w:hAnsi="Arial"/>
                <w:sz w:val="18"/>
                <w:szCs w:val="18"/>
                <w:color w:val="auto"/>
                <w:w w:val="99"/>
              </w:rPr>
              <w:t>3,726,221</w:t>
            </w:r>
          </w:p>
        </w:tc>
      </w:tr>
      <w:tr>
        <w:trPr>
          <w:trHeight w:val="217"/>
        </w:trPr>
        <w:tc>
          <w:tcPr>
            <w:tcW w:w="4320" w:type="dxa"/>
            <w:vAlign w:val="bottom"/>
          </w:tcPr>
          <w:p>
            <w:pPr>
              <w:jc w:val="center"/>
              <w:ind w:left="1070"/>
              <w:spacing w:after="0"/>
              <w:rPr>
                <w:sz w:val="20"/>
                <w:szCs w:val="20"/>
                <w:color w:val="auto"/>
              </w:rPr>
            </w:pPr>
            <w:r>
              <w:rPr>
                <w:rFonts w:ascii="Arial" w:cs="Arial" w:eastAsia="Arial" w:hAnsi="Arial"/>
                <w:sz w:val="18"/>
                <w:szCs w:val="18"/>
                <w:color w:val="auto"/>
                <w:w w:val="95"/>
              </w:rPr>
              <w:t>Tenth</w:t>
            </w:r>
          </w:p>
        </w:tc>
        <w:tc>
          <w:tcPr>
            <w:tcW w:w="7100" w:type="dxa"/>
            <w:vAlign w:val="bottom"/>
            <w:gridSpan w:val="3"/>
          </w:tcPr>
          <w:p>
            <w:pPr>
              <w:jc w:val="center"/>
              <w:ind w:left="1630"/>
              <w:spacing w:after="0"/>
              <w:rPr>
                <w:sz w:val="20"/>
                <w:szCs w:val="20"/>
                <w:color w:val="auto"/>
              </w:rPr>
            </w:pPr>
            <w:r>
              <w:rPr>
                <w:rFonts w:ascii="Arial" w:cs="Arial" w:eastAsia="Arial" w:hAnsi="Arial"/>
                <w:sz w:val="18"/>
                <w:szCs w:val="18"/>
                <w:color w:val="auto"/>
                <w:w w:val="99"/>
              </w:rPr>
              <w:t>87,832,364</w:t>
            </w:r>
          </w:p>
        </w:tc>
      </w:tr>
      <w:tr>
        <w:trPr>
          <w:trHeight w:val="391"/>
        </w:trPr>
        <w:tc>
          <w:tcPr>
            <w:tcW w:w="4320" w:type="dxa"/>
            <w:vAlign w:val="bottom"/>
          </w:tcPr>
          <w:p>
            <w:pPr>
              <w:spacing w:after="0"/>
              <w:rPr>
                <w:sz w:val="24"/>
                <w:szCs w:val="24"/>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186</w:t>
            </w:r>
          </w:p>
        </w:tc>
        <w:tc>
          <w:tcPr>
            <w:tcW w:w="5360" w:type="dxa"/>
            <w:vAlign w:val="bottom"/>
          </w:tcPr>
          <w:p>
            <w:pPr>
              <w:spacing w:after="0"/>
              <w:rPr>
                <w:sz w:val="24"/>
                <w:szCs w:val="24"/>
                <w:color w:val="auto"/>
              </w:rPr>
            </w:pPr>
          </w:p>
        </w:tc>
      </w:tr>
      <w:tr>
        <w:trPr>
          <w:trHeight w:val="237"/>
        </w:trPr>
        <w:tc>
          <w:tcPr>
            <w:tcW w:w="4320" w:type="dxa"/>
            <w:vAlign w:val="bottom"/>
            <w:tcBorders>
              <w:bottom w:val="single" w:sz="8" w:color="C0C0C0"/>
            </w:tcBorders>
          </w:tcPr>
          <w:p>
            <w:pPr>
              <w:spacing w:after="0"/>
              <w:rPr>
                <w:sz w:val="20"/>
                <w:szCs w:val="20"/>
                <w:color w:val="auto"/>
              </w:rPr>
            </w:pPr>
          </w:p>
        </w:tc>
        <w:tc>
          <w:tcPr>
            <w:tcW w:w="1180" w:type="dxa"/>
            <w:vAlign w:val="bottom"/>
            <w:tcBorders>
              <w:bottom w:val="single" w:sz="8" w:color="C0C0C0"/>
            </w:tcBorders>
          </w:tcPr>
          <w:p>
            <w:pPr>
              <w:spacing w:after="0"/>
              <w:rPr>
                <w:sz w:val="20"/>
                <w:szCs w:val="20"/>
                <w:color w:val="auto"/>
              </w:rPr>
            </w:pPr>
          </w:p>
        </w:tc>
        <w:tc>
          <w:tcPr>
            <w:tcW w:w="560" w:type="dxa"/>
            <w:vAlign w:val="bottom"/>
            <w:tcBorders>
              <w:bottom w:val="single" w:sz="8" w:color="C0C0C0"/>
            </w:tcBorders>
          </w:tcPr>
          <w:p>
            <w:pPr>
              <w:spacing w:after="0"/>
              <w:rPr>
                <w:sz w:val="20"/>
                <w:szCs w:val="20"/>
                <w:color w:val="auto"/>
              </w:rPr>
            </w:pPr>
          </w:p>
        </w:tc>
        <w:tc>
          <w:tcPr>
            <w:tcW w:w="536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01" w:right="239" w:bottom="1440" w:gutter="0" w:footer="0" w:header="0"/>
        </w:sectPr>
      </w:pPr>
    </w:p>
    <w:bookmarkStart w:id="238" w:name="page239"/>
    <w:bookmarkEnd w:id="2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20" w:type="dxa"/>
            <w:vAlign w:val="bottom"/>
          </w:tcPr>
          <w:p>
            <w:pPr>
              <w:spacing w:after="0"/>
              <w:rPr>
                <w:sz w:val="20"/>
                <w:szCs w:val="20"/>
                <w:color w:val="auto"/>
              </w:rPr>
            </w:pPr>
          </w:p>
        </w:tc>
        <w:tc>
          <w:tcPr>
            <w:tcW w:w="7100" w:type="dxa"/>
            <w:vAlign w:val="bottom"/>
            <w:gridSpan w:val="3"/>
          </w:tcPr>
          <w:p>
            <w:pPr>
              <w:jc w:val="center"/>
              <w:ind w:right="4230"/>
              <w:spacing w:after="0"/>
              <w:rPr>
                <w:sz w:val="20"/>
                <w:szCs w:val="20"/>
                <w:color w:val="auto"/>
              </w:rPr>
            </w:pPr>
            <w:r>
              <w:rPr>
                <w:rFonts w:ascii="Arial" w:cs="Arial" w:eastAsia="Arial" w:hAnsi="Arial"/>
                <w:sz w:val="18"/>
                <w:szCs w:val="18"/>
                <w:b w:val="1"/>
                <w:bCs w:val="1"/>
                <w:color w:val="auto"/>
              </w:rPr>
              <w:t>Ship D</w:t>
            </w:r>
          </w:p>
        </w:tc>
      </w:tr>
      <w:tr>
        <w:trPr>
          <w:trHeight w:val="405"/>
        </w:trPr>
        <w:tc>
          <w:tcPr>
            <w:tcW w:w="4320" w:type="dxa"/>
            <w:vAlign w:val="bottom"/>
            <w:tcBorders>
              <w:bottom w:val="single" w:sz="8" w:color="auto"/>
            </w:tcBorders>
          </w:tcPr>
          <w:p>
            <w:pPr>
              <w:jc w:val="center"/>
              <w:ind w:left="1090"/>
              <w:spacing w:after="0"/>
              <w:rPr>
                <w:sz w:val="20"/>
                <w:szCs w:val="20"/>
                <w:color w:val="auto"/>
              </w:rPr>
            </w:pPr>
            <w:r>
              <w:rPr>
                <w:rFonts w:ascii="Arial" w:cs="Arial" w:eastAsia="Arial" w:hAnsi="Arial"/>
                <w:sz w:val="18"/>
                <w:szCs w:val="18"/>
                <w:b w:val="1"/>
                <w:bCs w:val="1"/>
                <w:color w:val="auto"/>
                <w:w w:val="97"/>
              </w:rPr>
              <w:t>Term Loan</w:t>
            </w:r>
          </w:p>
        </w:tc>
        <w:tc>
          <w:tcPr>
            <w:tcW w:w="1180" w:type="dxa"/>
            <w:vAlign w:val="bottom"/>
            <w:tcBorders>
              <w:bottom w:val="single" w:sz="8" w:color="auto"/>
            </w:tcBorders>
          </w:tcPr>
          <w:p>
            <w:pPr>
              <w:spacing w:after="0"/>
              <w:rPr>
                <w:sz w:val="24"/>
                <w:szCs w:val="24"/>
                <w:color w:val="auto"/>
              </w:rPr>
            </w:pPr>
          </w:p>
        </w:tc>
        <w:tc>
          <w:tcPr>
            <w:tcW w:w="560" w:type="dxa"/>
            <w:vAlign w:val="bottom"/>
            <w:tcBorders>
              <w:bottom w:val="single" w:sz="8" w:color="E5FFFF"/>
            </w:tcBorders>
          </w:tcPr>
          <w:p>
            <w:pPr>
              <w:spacing w:after="0"/>
              <w:rPr>
                <w:sz w:val="24"/>
                <w:szCs w:val="24"/>
                <w:color w:val="auto"/>
              </w:rPr>
            </w:pPr>
          </w:p>
        </w:tc>
        <w:tc>
          <w:tcPr>
            <w:tcW w:w="5360" w:type="dxa"/>
            <w:vAlign w:val="bottom"/>
            <w:tcBorders>
              <w:bottom w:val="single" w:sz="8" w:color="auto"/>
            </w:tcBorders>
          </w:tcPr>
          <w:p>
            <w:pPr>
              <w:ind w:left="2200"/>
              <w:spacing w:after="0"/>
              <w:rPr>
                <w:sz w:val="20"/>
                <w:szCs w:val="20"/>
                <w:color w:val="auto"/>
              </w:rPr>
            </w:pPr>
            <w:r>
              <w:rPr>
                <w:rFonts w:ascii="Arial" w:cs="Arial" w:eastAsia="Arial" w:hAnsi="Arial"/>
                <w:sz w:val="18"/>
                <w:szCs w:val="18"/>
                <w:b w:val="1"/>
                <w:bCs w:val="1"/>
                <w:color w:val="auto"/>
              </w:rPr>
              <w:t>Amount ($)</w:t>
            </w:r>
          </w:p>
        </w:tc>
      </w:tr>
      <w:tr>
        <w:trPr>
          <w:trHeight w:val="196"/>
        </w:trPr>
        <w:tc>
          <w:tcPr>
            <w:tcW w:w="4320" w:type="dxa"/>
            <w:vAlign w:val="bottom"/>
            <w:shd w:val="clear" w:color="auto" w:fill="E5FFFF"/>
          </w:tcPr>
          <w:p>
            <w:pPr>
              <w:jc w:val="center"/>
              <w:ind w:left="1090"/>
              <w:spacing w:after="0" w:line="196" w:lineRule="exact"/>
              <w:rPr>
                <w:sz w:val="20"/>
                <w:szCs w:val="20"/>
                <w:color w:val="auto"/>
              </w:rPr>
            </w:pPr>
            <w:r>
              <w:rPr>
                <w:rFonts w:ascii="Arial" w:cs="Arial" w:eastAsia="Arial" w:hAnsi="Arial"/>
                <w:sz w:val="18"/>
                <w:szCs w:val="18"/>
                <w:color w:val="auto"/>
                <w:w w:val="97"/>
              </w:rPr>
              <w:t>First</w:t>
            </w:r>
          </w:p>
        </w:tc>
        <w:tc>
          <w:tcPr>
            <w:tcW w:w="118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5360" w:type="dxa"/>
            <w:vAlign w:val="bottom"/>
            <w:shd w:val="clear" w:color="auto" w:fill="E5FFFF"/>
          </w:tcPr>
          <w:p>
            <w:pPr>
              <w:jc w:val="center"/>
              <w:spacing w:after="0" w:line="196" w:lineRule="exact"/>
              <w:rPr>
                <w:sz w:val="20"/>
                <w:szCs w:val="20"/>
                <w:color w:val="auto"/>
              </w:rPr>
            </w:pPr>
            <w:r>
              <w:rPr>
                <w:rFonts w:ascii="Arial" w:cs="Arial" w:eastAsia="Arial" w:hAnsi="Arial"/>
                <w:sz w:val="18"/>
                <w:szCs w:val="18"/>
                <w:color w:val="auto"/>
                <w:w w:val="99"/>
              </w:rPr>
              <w:t>3,754,594</w:t>
            </w:r>
          </w:p>
        </w:tc>
      </w:tr>
      <w:tr>
        <w:trPr>
          <w:trHeight w:val="203"/>
        </w:trPr>
        <w:tc>
          <w:tcPr>
            <w:tcW w:w="4320" w:type="dxa"/>
            <w:vAlign w:val="bottom"/>
          </w:tcPr>
          <w:p>
            <w:pPr>
              <w:jc w:val="center"/>
              <w:ind w:left="1090"/>
              <w:spacing w:after="0" w:line="202" w:lineRule="exact"/>
              <w:rPr>
                <w:sz w:val="20"/>
                <w:szCs w:val="20"/>
                <w:color w:val="auto"/>
              </w:rPr>
            </w:pPr>
            <w:r>
              <w:rPr>
                <w:rFonts w:ascii="Arial" w:cs="Arial" w:eastAsia="Arial" w:hAnsi="Arial"/>
                <w:sz w:val="18"/>
                <w:szCs w:val="18"/>
                <w:color w:val="auto"/>
              </w:rPr>
              <w:t>Second</w:t>
            </w:r>
          </w:p>
        </w:tc>
        <w:tc>
          <w:tcPr>
            <w:tcW w:w="7100" w:type="dxa"/>
            <w:vAlign w:val="bottom"/>
            <w:gridSpan w:val="3"/>
          </w:tcPr>
          <w:p>
            <w:pPr>
              <w:jc w:val="center"/>
              <w:ind w:left="1650"/>
              <w:spacing w:after="0" w:line="202" w:lineRule="exact"/>
              <w:rPr>
                <w:sz w:val="20"/>
                <w:szCs w:val="20"/>
                <w:color w:val="auto"/>
              </w:rPr>
            </w:pPr>
            <w:r>
              <w:rPr>
                <w:rFonts w:ascii="Arial" w:cs="Arial" w:eastAsia="Arial" w:hAnsi="Arial"/>
                <w:sz w:val="18"/>
                <w:szCs w:val="18"/>
                <w:color w:val="auto"/>
                <w:w w:val="99"/>
              </w:rPr>
              <w:t>3,754,594</w:t>
            </w:r>
          </w:p>
        </w:tc>
      </w:tr>
      <w:tr>
        <w:trPr>
          <w:trHeight w:val="203"/>
        </w:trPr>
        <w:tc>
          <w:tcPr>
            <w:tcW w:w="4320" w:type="dxa"/>
            <w:vAlign w:val="bottom"/>
            <w:shd w:val="clear" w:color="auto" w:fill="E5FFFF"/>
          </w:tcPr>
          <w:p>
            <w:pPr>
              <w:jc w:val="center"/>
              <w:ind w:left="1090"/>
              <w:spacing w:after="0" w:line="202" w:lineRule="exact"/>
              <w:rPr>
                <w:sz w:val="20"/>
                <w:szCs w:val="20"/>
                <w:color w:val="auto"/>
              </w:rPr>
            </w:pPr>
            <w:r>
              <w:rPr>
                <w:rFonts w:ascii="Arial" w:cs="Arial" w:eastAsia="Arial" w:hAnsi="Arial"/>
                <w:sz w:val="18"/>
                <w:szCs w:val="18"/>
                <w:color w:val="auto"/>
              </w:rPr>
              <w:t>Third</w:t>
            </w:r>
          </w:p>
        </w:tc>
        <w:tc>
          <w:tcPr>
            <w:tcW w:w="7100" w:type="dxa"/>
            <w:vAlign w:val="bottom"/>
            <w:gridSpan w:val="3"/>
            <w:shd w:val="clear" w:color="auto" w:fill="E5FFFF"/>
          </w:tcPr>
          <w:p>
            <w:pPr>
              <w:jc w:val="center"/>
              <w:ind w:left="1650"/>
              <w:spacing w:after="0" w:line="202" w:lineRule="exact"/>
              <w:rPr>
                <w:sz w:val="20"/>
                <w:szCs w:val="20"/>
                <w:color w:val="auto"/>
              </w:rPr>
            </w:pPr>
            <w:r>
              <w:rPr>
                <w:rFonts w:ascii="Arial" w:cs="Arial" w:eastAsia="Arial" w:hAnsi="Arial"/>
                <w:sz w:val="18"/>
                <w:szCs w:val="18"/>
                <w:color w:val="auto"/>
                <w:w w:val="99"/>
              </w:rPr>
              <w:t>3,754,594</w:t>
            </w:r>
          </w:p>
        </w:tc>
      </w:tr>
      <w:tr>
        <w:trPr>
          <w:trHeight w:val="203"/>
        </w:trPr>
        <w:tc>
          <w:tcPr>
            <w:tcW w:w="4320" w:type="dxa"/>
            <w:vAlign w:val="bottom"/>
          </w:tcPr>
          <w:p>
            <w:pPr>
              <w:jc w:val="center"/>
              <w:ind w:left="1070"/>
              <w:spacing w:after="0" w:line="202" w:lineRule="exact"/>
              <w:rPr>
                <w:sz w:val="20"/>
                <w:szCs w:val="20"/>
                <w:color w:val="auto"/>
              </w:rPr>
            </w:pPr>
            <w:r>
              <w:rPr>
                <w:rFonts w:ascii="Arial" w:cs="Arial" w:eastAsia="Arial" w:hAnsi="Arial"/>
                <w:sz w:val="18"/>
                <w:szCs w:val="18"/>
                <w:color w:val="auto"/>
                <w:w w:val="99"/>
              </w:rPr>
              <w:t>Fourth</w:t>
            </w:r>
          </w:p>
        </w:tc>
        <w:tc>
          <w:tcPr>
            <w:tcW w:w="7100" w:type="dxa"/>
            <w:vAlign w:val="bottom"/>
            <w:gridSpan w:val="3"/>
          </w:tcPr>
          <w:p>
            <w:pPr>
              <w:jc w:val="center"/>
              <w:ind w:left="1650"/>
              <w:spacing w:after="0" w:line="202" w:lineRule="exact"/>
              <w:rPr>
                <w:sz w:val="20"/>
                <w:szCs w:val="20"/>
                <w:color w:val="auto"/>
              </w:rPr>
            </w:pPr>
            <w:r>
              <w:rPr>
                <w:rFonts w:ascii="Arial" w:cs="Arial" w:eastAsia="Arial" w:hAnsi="Arial"/>
                <w:sz w:val="18"/>
                <w:szCs w:val="18"/>
                <w:color w:val="auto"/>
                <w:w w:val="99"/>
              </w:rPr>
              <w:t>3,754,594</w:t>
            </w:r>
          </w:p>
        </w:tc>
      </w:tr>
      <w:tr>
        <w:trPr>
          <w:trHeight w:val="203"/>
        </w:trPr>
        <w:tc>
          <w:tcPr>
            <w:tcW w:w="4320" w:type="dxa"/>
            <w:vAlign w:val="bottom"/>
            <w:shd w:val="clear" w:color="auto" w:fill="E5FFFF"/>
          </w:tcPr>
          <w:p>
            <w:pPr>
              <w:jc w:val="center"/>
              <w:ind w:left="1090"/>
              <w:spacing w:after="0" w:line="202" w:lineRule="exact"/>
              <w:rPr>
                <w:sz w:val="20"/>
                <w:szCs w:val="20"/>
                <w:color w:val="auto"/>
              </w:rPr>
            </w:pPr>
            <w:r>
              <w:rPr>
                <w:rFonts w:ascii="Arial" w:cs="Arial" w:eastAsia="Arial" w:hAnsi="Arial"/>
                <w:sz w:val="18"/>
                <w:szCs w:val="18"/>
                <w:color w:val="auto"/>
                <w:w w:val="96"/>
              </w:rPr>
              <w:t>Fifth</w:t>
            </w:r>
          </w:p>
        </w:tc>
        <w:tc>
          <w:tcPr>
            <w:tcW w:w="7100" w:type="dxa"/>
            <w:vAlign w:val="bottom"/>
            <w:gridSpan w:val="3"/>
            <w:shd w:val="clear" w:color="auto" w:fill="E5FFFF"/>
          </w:tcPr>
          <w:p>
            <w:pPr>
              <w:jc w:val="center"/>
              <w:ind w:left="1650"/>
              <w:spacing w:after="0" w:line="202" w:lineRule="exact"/>
              <w:rPr>
                <w:sz w:val="20"/>
                <w:szCs w:val="20"/>
                <w:color w:val="auto"/>
              </w:rPr>
            </w:pPr>
            <w:r>
              <w:rPr>
                <w:rFonts w:ascii="Arial" w:cs="Arial" w:eastAsia="Arial" w:hAnsi="Arial"/>
                <w:sz w:val="18"/>
                <w:szCs w:val="18"/>
                <w:color w:val="auto"/>
                <w:w w:val="99"/>
              </w:rPr>
              <w:t>3,754,594</w:t>
            </w:r>
          </w:p>
        </w:tc>
      </w:tr>
      <w:tr>
        <w:trPr>
          <w:trHeight w:val="203"/>
        </w:trPr>
        <w:tc>
          <w:tcPr>
            <w:tcW w:w="4320" w:type="dxa"/>
            <w:vAlign w:val="bottom"/>
          </w:tcPr>
          <w:p>
            <w:pPr>
              <w:jc w:val="center"/>
              <w:ind w:left="1070"/>
              <w:spacing w:after="0" w:line="202" w:lineRule="exact"/>
              <w:rPr>
                <w:sz w:val="20"/>
                <w:szCs w:val="20"/>
                <w:color w:val="auto"/>
              </w:rPr>
            </w:pPr>
            <w:r>
              <w:rPr>
                <w:rFonts w:ascii="Arial" w:cs="Arial" w:eastAsia="Arial" w:hAnsi="Arial"/>
                <w:sz w:val="18"/>
                <w:szCs w:val="18"/>
                <w:color w:val="auto"/>
                <w:w w:val="99"/>
              </w:rPr>
              <w:t>Sixth</w:t>
            </w:r>
          </w:p>
        </w:tc>
        <w:tc>
          <w:tcPr>
            <w:tcW w:w="7100" w:type="dxa"/>
            <w:vAlign w:val="bottom"/>
            <w:gridSpan w:val="3"/>
          </w:tcPr>
          <w:p>
            <w:pPr>
              <w:jc w:val="center"/>
              <w:ind w:left="1650"/>
              <w:spacing w:after="0" w:line="202" w:lineRule="exact"/>
              <w:rPr>
                <w:sz w:val="20"/>
                <w:szCs w:val="20"/>
                <w:color w:val="auto"/>
              </w:rPr>
            </w:pPr>
            <w:r>
              <w:rPr>
                <w:rFonts w:ascii="Arial" w:cs="Arial" w:eastAsia="Arial" w:hAnsi="Arial"/>
                <w:sz w:val="18"/>
                <w:szCs w:val="18"/>
                <w:color w:val="auto"/>
                <w:w w:val="99"/>
              </w:rPr>
              <w:t>3,754,594</w:t>
            </w:r>
          </w:p>
        </w:tc>
      </w:tr>
      <w:tr>
        <w:trPr>
          <w:trHeight w:val="203"/>
        </w:trPr>
        <w:tc>
          <w:tcPr>
            <w:tcW w:w="4320" w:type="dxa"/>
            <w:vAlign w:val="bottom"/>
            <w:shd w:val="clear" w:color="auto" w:fill="E5FFFF"/>
          </w:tcPr>
          <w:p>
            <w:pPr>
              <w:jc w:val="center"/>
              <w:ind w:left="1090"/>
              <w:spacing w:after="0" w:line="202" w:lineRule="exact"/>
              <w:rPr>
                <w:sz w:val="20"/>
                <w:szCs w:val="20"/>
                <w:color w:val="auto"/>
              </w:rPr>
            </w:pPr>
            <w:r>
              <w:rPr>
                <w:rFonts w:ascii="Arial" w:cs="Arial" w:eastAsia="Arial" w:hAnsi="Arial"/>
                <w:sz w:val="18"/>
                <w:szCs w:val="18"/>
                <w:color w:val="auto"/>
                <w:w w:val="99"/>
              </w:rPr>
              <w:t>Seventh</w:t>
            </w:r>
          </w:p>
        </w:tc>
        <w:tc>
          <w:tcPr>
            <w:tcW w:w="7100" w:type="dxa"/>
            <w:vAlign w:val="bottom"/>
            <w:gridSpan w:val="3"/>
            <w:shd w:val="clear" w:color="auto" w:fill="E5FFFF"/>
          </w:tcPr>
          <w:p>
            <w:pPr>
              <w:jc w:val="center"/>
              <w:ind w:left="1650"/>
              <w:spacing w:after="0" w:line="202" w:lineRule="exact"/>
              <w:rPr>
                <w:sz w:val="20"/>
                <w:szCs w:val="20"/>
                <w:color w:val="auto"/>
              </w:rPr>
            </w:pPr>
            <w:r>
              <w:rPr>
                <w:rFonts w:ascii="Arial" w:cs="Arial" w:eastAsia="Arial" w:hAnsi="Arial"/>
                <w:sz w:val="18"/>
                <w:szCs w:val="18"/>
                <w:color w:val="auto"/>
                <w:w w:val="99"/>
              </w:rPr>
              <w:t>3,754,594</w:t>
            </w:r>
          </w:p>
        </w:tc>
      </w:tr>
      <w:tr>
        <w:trPr>
          <w:trHeight w:val="203"/>
        </w:trPr>
        <w:tc>
          <w:tcPr>
            <w:tcW w:w="4320" w:type="dxa"/>
            <w:vAlign w:val="bottom"/>
          </w:tcPr>
          <w:p>
            <w:pPr>
              <w:jc w:val="center"/>
              <w:ind w:left="1090"/>
              <w:spacing w:after="0" w:line="202" w:lineRule="exact"/>
              <w:rPr>
                <w:sz w:val="20"/>
                <w:szCs w:val="20"/>
                <w:color w:val="auto"/>
              </w:rPr>
            </w:pPr>
            <w:r>
              <w:rPr>
                <w:rFonts w:ascii="Arial" w:cs="Arial" w:eastAsia="Arial" w:hAnsi="Arial"/>
                <w:sz w:val="18"/>
                <w:szCs w:val="18"/>
                <w:color w:val="auto"/>
                <w:w w:val="97"/>
              </w:rPr>
              <w:t>Eighth</w:t>
            </w:r>
          </w:p>
        </w:tc>
        <w:tc>
          <w:tcPr>
            <w:tcW w:w="7100" w:type="dxa"/>
            <w:vAlign w:val="bottom"/>
            <w:gridSpan w:val="3"/>
          </w:tcPr>
          <w:p>
            <w:pPr>
              <w:jc w:val="center"/>
              <w:ind w:left="1650"/>
              <w:spacing w:after="0" w:line="202" w:lineRule="exact"/>
              <w:rPr>
                <w:sz w:val="20"/>
                <w:szCs w:val="20"/>
                <w:color w:val="auto"/>
              </w:rPr>
            </w:pPr>
            <w:r>
              <w:rPr>
                <w:rFonts w:ascii="Arial" w:cs="Arial" w:eastAsia="Arial" w:hAnsi="Arial"/>
                <w:sz w:val="18"/>
                <w:szCs w:val="18"/>
                <w:color w:val="auto"/>
                <w:w w:val="99"/>
              </w:rPr>
              <w:t>3,754,594</w:t>
            </w:r>
          </w:p>
        </w:tc>
      </w:tr>
      <w:tr>
        <w:trPr>
          <w:trHeight w:val="203"/>
        </w:trPr>
        <w:tc>
          <w:tcPr>
            <w:tcW w:w="4320" w:type="dxa"/>
            <w:vAlign w:val="bottom"/>
            <w:shd w:val="clear" w:color="auto" w:fill="E5FFFF"/>
          </w:tcPr>
          <w:p>
            <w:pPr>
              <w:jc w:val="center"/>
              <w:ind w:left="1090"/>
              <w:spacing w:after="0" w:line="202" w:lineRule="exact"/>
              <w:rPr>
                <w:sz w:val="20"/>
                <w:szCs w:val="20"/>
                <w:color w:val="auto"/>
              </w:rPr>
            </w:pPr>
            <w:r>
              <w:rPr>
                <w:rFonts w:ascii="Arial" w:cs="Arial" w:eastAsia="Arial" w:hAnsi="Arial"/>
                <w:sz w:val="18"/>
                <w:szCs w:val="18"/>
                <w:color w:val="auto"/>
                <w:w w:val="99"/>
              </w:rPr>
              <w:t>Ninth</w:t>
            </w:r>
          </w:p>
        </w:tc>
        <w:tc>
          <w:tcPr>
            <w:tcW w:w="7100" w:type="dxa"/>
            <w:vAlign w:val="bottom"/>
            <w:gridSpan w:val="3"/>
            <w:shd w:val="clear" w:color="auto" w:fill="E5FFFF"/>
          </w:tcPr>
          <w:p>
            <w:pPr>
              <w:jc w:val="center"/>
              <w:ind w:left="1650"/>
              <w:spacing w:after="0" w:line="202" w:lineRule="exact"/>
              <w:rPr>
                <w:sz w:val="20"/>
                <w:szCs w:val="20"/>
                <w:color w:val="auto"/>
              </w:rPr>
            </w:pPr>
            <w:r>
              <w:rPr>
                <w:rFonts w:ascii="Arial" w:cs="Arial" w:eastAsia="Arial" w:hAnsi="Arial"/>
                <w:sz w:val="18"/>
                <w:szCs w:val="18"/>
                <w:color w:val="auto"/>
                <w:w w:val="99"/>
              </w:rPr>
              <w:t>3,754,594</w:t>
            </w:r>
          </w:p>
        </w:tc>
      </w:tr>
      <w:tr>
        <w:trPr>
          <w:trHeight w:val="217"/>
        </w:trPr>
        <w:tc>
          <w:tcPr>
            <w:tcW w:w="4320" w:type="dxa"/>
            <w:vAlign w:val="bottom"/>
          </w:tcPr>
          <w:p>
            <w:pPr>
              <w:jc w:val="center"/>
              <w:ind w:left="1070"/>
              <w:spacing w:after="0"/>
              <w:rPr>
                <w:sz w:val="20"/>
                <w:szCs w:val="20"/>
                <w:color w:val="auto"/>
              </w:rPr>
            </w:pPr>
            <w:r>
              <w:rPr>
                <w:rFonts w:ascii="Arial" w:cs="Arial" w:eastAsia="Arial" w:hAnsi="Arial"/>
                <w:sz w:val="18"/>
                <w:szCs w:val="18"/>
                <w:color w:val="auto"/>
                <w:w w:val="95"/>
              </w:rPr>
              <w:t>Tenth</w:t>
            </w:r>
          </w:p>
        </w:tc>
        <w:tc>
          <w:tcPr>
            <w:tcW w:w="7100" w:type="dxa"/>
            <w:vAlign w:val="bottom"/>
            <w:gridSpan w:val="3"/>
          </w:tcPr>
          <w:p>
            <w:pPr>
              <w:jc w:val="center"/>
              <w:ind w:left="1630"/>
              <w:spacing w:after="0"/>
              <w:rPr>
                <w:sz w:val="20"/>
                <w:szCs w:val="20"/>
                <w:color w:val="auto"/>
              </w:rPr>
            </w:pPr>
            <w:r>
              <w:rPr>
                <w:rFonts w:ascii="Arial" w:cs="Arial" w:eastAsia="Arial" w:hAnsi="Arial"/>
                <w:sz w:val="18"/>
                <w:szCs w:val="18"/>
                <w:color w:val="auto"/>
                <w:w w:val="99"/>
              </w:rPr>
              <w:t>88,501,132</w:t>
            </w:r>
          </w:p>
        </w:tc>
      </w:tr>
      <w:tr>
        <w:trPr>
          <w:trHeight w:val="391"/>
        </w:trPr>
        <w:tc>
          <w:tcPr>
            <w:tcW w:w="4320" w:type="dxa"/>
            <w:vAlign w:val="bottom"/>
          </w:tcPr>
          <w:p>
            <w:pPr>
              <w:spacing w:after="0"/>
              <w:rPr>
                <w:sz w:val="24"/>
                <w:szCs w:val="24"/>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187</w:t>
            </w:r>
          </w:p>
        </w:tc>
        <w:tc>
          <w:tcPr>
            <w:tcW w:w="5360" w:type="dxa"/>
            <w:vAlign w:val="bottom"/>
          </w:tcPr>
          <w:p>
            <w:pPr>
              <w:spacing w:after="0"/>
              <w:rPr>
                <w:sz w:val="24"/>
                <w:szCs w:val="24"/>
                <w:color w:val="auto"/>
              </w:rPr>
            </w:pPr>
          </w:p>
        </w:tc>
      </w:tr>
      <w:tr>
        <w:trPr>
          <w:trHeight w:val="237"/>
        </w:trPr>
        <w:tc>
          <w:tcPr>
            <w:tcW w:w="4320" w:type="dxa"/>
            <w:vAlign w:val="bottom"/>
            <w:tcBorders>
              <w:bottom w:val="single" w:sz="8" w:color="C0C0C0"/>
            </w:tcBorders>
          </w:tcPr>
          <w:p>
            <w:pPr>
              <w:spacing w:after="0"/>
              <w:rPr>
                <w:sz w:val="20"/>
                <w:szCs w:val="20"/>
                <w:color w:val="auto"/>
              </w:rPr>
            </w:pPr>
          </w:p>
        </w:tc>
        <w:tc>
          <w:tcPr>
            <w:tcW w:w="1180" w:type="dxa"/>
            <w:vAlign w:val="bottom"/>
            <w:tcBorders>
              <w:bottom w:val="single" w:sz="8" w:color="C0C0C0"/>
            </w:tcBorders>
          </w:tcPr>
          <w:p>
            <w:pPr>
              <w:spacing w:after="0"/>
              <w:rPr>
                <w:sz w:val="20"/>
                <w:szCs w:val="20"/>
                <w:color w:val="auto"/>
              </w:rPr>
            </w:pPr>
          </w:p>
        </w:tc>
        <w:tc>
          <w:tcPr>
            <w:tcW w:w="560" w:type="dxa"/>
            <w:vAlign w:val="bottom"/>
            <w:tcBorders>
              <w:bottom w:val="single" w:sz="8" w:color="C0C0C0"/>
            </w:tcBorders>
          </w:tcPr>
          <w:p>
            <w:pPr>
              <w:spacing w:after="0"/>
              <w:rPr>
                <w:sz w:val="20"/>
                <w:szCs w:val="20"/>
                <w:color w:val="auto"/>
              </w:rPr>
            </w:pPr>
          </w:p>
        </w:tc>
        <w:tc>
          <w:tcPr>
            <w:tcW w:w="536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00" w:right="239" w:bottom="1440" w:gutter="0" w:footer="0" w:header="0"/>
        </w:sectPr>
      </w:pPr>
    </w:p>
    <w:bookmarkStart w:id="239" w:name="page240"/>
    <w:bookmarkEnd w:id="2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20" w:type="dxa"/>
            <w:vAlign w:val="bottom"/>
          </w:tcPr>
          <w:p>
            <w:pPr>
              <w:spacing w:after="0"/>
              <w:rPr>
                <w:sz w:val="20"/>
                <w:szCs w:val="20"/>
                <w:color w:val="auto"/>
              </w:rPr>
            </w:pPr>
          </w:p>
        </w:tc>
        <w:tc>
          <w:tcPr>
            <w:tcW w:w="7100" w:type="dxa"/>
            <w:vAlign w:val="bottom"/>
            <w:gridSpan w:val="3"/>
          </w:tcPr>
          <w:p>
            <w:pPr>
              <w:jc w:val="center"/>
              <w:ind w:right="4210"/>
              <w:spacing w:after="0"/>
              <w:rPr>
                <w:sz w:val="20"/>
                <w:szCs w:val="20"/>
                <w:color w:val="auto"/>
              </w:rPr>
            </w:pPr>
            <w:r>
              <w:rPr>
                <w:rFonts w:ascii="Arial" w:cs="Arial" w:eastAsia="Arial" w:hAnsi="Arial"/>
                <w:sz w:val="18"/>
                <w:szCs w:val="18"/>
                <w:b w:val="1"/>
                <w:bCs w:val="1"/>
                <w:color w:val="auto"/>
                <w:w w:val="99"/>
              </w:rPr>
              <w:t>Ship E</w:t>
            </w:r>
          </w:p>
        </w:tc>
      </w:tr>
      <w:tr>
        <w:trPr>
          <w:trHeight w:val="405"/>
        </w:trPr>
        <w:tc>
          <w:tcPr>
            <w:tcW w:w="4320" w:type="dxa"/>
            <w:vAlign w:val="bottom"/>
            <w:tcBorders>
              <w:bottom w:val="single" w:sz="8" w:color="auto"/>
            </w:tcBorders>
          </w:tcPr>
          <w:p>
            <w:pPr>
              <w:jc w:val="center"/>
              <w:ind w:left="1090"/>
              <w:spacing w:after="0"/>
              <w:rPr>
                <w:sz w:val="20"/>
                <w:szCs w:val="20"/>
                <w:color w:val="auto"/>
              </w:rPr>
            </w:pPr>
            <w:r>
              <w:rPr>
                <w:rFonts w:ascii="Arial" w:cs="Arial" w:eastAsia="Arial" w:hAnsi="Arial"/>
                <w:sz w:val="18"/>
                <w:szCs w:val="18"/>
                <w:b w:val="1"/>
                <w:bCs w:val="1"/>
                <w:color w:val="auto"/>
                <w:w w:val="97"/>
              </w:rPr>
              <w:t>Term Loan</w:t>
            </w:r>
          </w:p>
        </w:tc>
        <w:tc>
          <w:tcPr>
            <w:tcW w:w="1180" w:type="dxa"/>
            <w:vAlign w:val="bottom"/>
            <w:tcBorders>
              <w:bottom w:val="single" w:sz="8" w:color="auto"/>
            </w:tcBorders>
          </w:tcPr>
          <w:p>
            <w:pPr>
              <w:spacing w:after="0"/>
              <w:rPr>
                <w:sz w:val="24"/>
                <w:szCs w:val="24"/>
                <w:color w:val="auto"/>
              </w:rPr>
            </w:pPr>
          </w:p>
        </w:tc>
        <w:tc>
          <w:tcPr>
            <w:tcW w:w="560" w:type="dxa"/>
            <w:vAlign w:val="bottom"/>
            <w:tcBorders>
              <w:bottom w:val="single" w:sz="8" w:color="E5FFFF"/>
            </w:tcBorders>
          </w:tcPr>
          <w:p>
            <w:pPr>
              <w:spacing w:after="0"/>
              <w:rPr>
                <w:sz w:val="24"/>
                <w:szCs w:val="24"/>
                <w:color w:val="auto"/>
              </w:rPr>
            </w:pPr>
          </w:p>
        </w:tc>
        <w:tc>
          <w:tcPr>
            <w:tcW w:w="5360" w:type="dxa"/>
            <w:vAlign w:val="bottom"/>
            <w:tcBorders>
              <w:bottom w:val="single" w:sz="8" w:color="auto"/>
            </w:tcBorders>
          </w:tcPr>
          <w:p>
            <w:pPr>
              <w:ind w:left="2200"/>
              <w:spacing w:after="0"/>
              <w:rPr>
                <w:sz w:val="20"/>
                <w:szCs w:val="20"/>
                <w:color w:val="auto"/>
              </w:rPr>
            </w:pPr>
            <w:r>
              <w:rPr>
                <w:rFonts w:ascii="Arial" w:cs="Arial" w:eastAsia="Arial" w:hAnsi="Arial"/>
                <w:sz w:val="18"/>
                <w:szCs w:val="18"/>
                <w:b w:val="1"/>
                <w:bCs w:val="1"/>
                <w:color w:val="auto"/>
              </w:rPr>
              <w:t>Amount ($)</w:t>
            </w:r>
          </w:p>
        </w:tc>
      </w:tr>
      <w:tr>
        <w:trPr>
          <w:trHeight w:val="196"/>
        </w:trPr>
        <w:tc>
          <w:tcPr>
            <w:tcW w:w="4320" w:type="dxa"/>
            <w:vAlign w:val="bottom"/>
            <w:shd w:val="clear" w:color="auto" w:fill="E5FFFF"/>
          </w:tcPr>
          <w:p>
            <w:pPr>
              <w:jc w:val="center"/>
              <w:ind w:left="1090"/>
              <w:spacing w:after="0" w:line="196" w:lineRule="exact"/>
              <w:rPr>
                <w:sz w:val="20"/>
                <w:szCs w:val="20"/>
                <w:color w:val="auto"/>
              </w:rPr>
            </w:pPr>
            <w:r>
              <w:rPr>
                <w:rFonts w:ascii="Arial" w:cs="Arial" w:eastAsia="Arial" w:hAnsi="Arial"/>
                <w:sz w:val="18"/>
                <w:szCs w:val="18"/>
                <w:color w:val="auto"/>
                <w:w w:val="97"/>
              </w:rPr>
              <w:t>First</w:t>
            </w:r>
          </w:p>
        </w:tc>
        <w:tc>
          <w:tcPr>
            <w:tcW w:w="118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5360" w:type="dxa"/>
            <w:vAlign w:val="bottom"/>
            <w:shd w:val="clear" w:color="auto" w:fill="E5FFFF"/>
          </w:tcPr>
          <w:p>
            <w:pPr>
              <w:jc w:val="center"/>
              <w:spacing w:after="0" w:line="196" w:lineRule="exact"/>
              <w:rPr>
                <w:sz w:val="20"/>
                <w:szCs w:val="20"/>
                <w:color w:val="auto"/>
              </w:rPr>
            </w:pPr>
            <w:r>
              <w:rPr>
                <w:rFonts w:ascii="Arial" w:cs="Arial" w:eastAsia="Arial" w:hAnsi="Arial"/>
                <w:sz w:val="18"/>
                <w:szCs w:val="18"/>
                <w:color w:val="auto"/>
                <w:w w:val="99"/>
              </w:rPr>
              <w:t>3,811,338</w:t>
            </w:r>
          </w:p>
        </w:tc>
      </w:tr>
      <w:tr>
        <w:trPr>
          <w:trHeight w:val="203"/>
        </w:trPr>
        <w:tc>
          <w:tcPr>
            <w:tcW w:w="4320" w:type="dxa"/>
            <w:vAlign w:val="bottom"/>
          </w:tcPr>
          <w:p>
            <w:pPr>
              <w:jc w:val="center"/>
              <w:ind w:left="1090"/>
              <w:spacing w:after="0" w:line="202" w:lineRule="exact"/>
              <w:rPr>
                <w:sz w:val="20"/>
                <w:szCs w:val="20"/>
                <w:color w:val="auto"/>
              </w:rPr>
            </w:pPr>
            <w:r>
              <w:rPr>
                <w:rFonts w:ascii="Arial" w:cs="Arial" w:eastAsia="Arial" w:hAnsi="Arial"/>
                <w:sz w:val="18"/>
                <w:szCs w:val="18"/>
                <w:color w:val="auto"/>
              </w:rPr>
              <w:t>Second</w:t>
            </w:r>
          </w:p>
        </w:tc>
        <w:tc>
          <w:tcPr>
            <w:tcW w:w="7100" w:type="dxa"/>
            <w:vAlign w:val="bottom"/>
            <w:gridSpan w:val="3"/>
          </w:tcPr>
          <w:p>
            <w:pPr>
              <w:jc w:val="center"/>
              <w:ind w:left="1650"/>
              <w:spacing w:after="0" w:line="202" w:lineRule="exact"/>
              <w:rPr>
                <w:sz w:val="20"/>
                <w:szCs w:val="20"/>
                <w:color w:val="auto"/>
              </w:rPr>
            </w:pPr>
            <w:r>
              <w:rPr>
                <w:rFonts w:ascii="Arial" w:cs="Arial" w:eastAsia="Arial" w:hAnsi="Arial"/>
                <w:sz w:val="18"/>
                <w:szCs w:val="18"/>
                <w:color w:val="auto"/>
                <w:w w:val="99"/>
              </w:rPr>
              <w:t>3,811,338</w:t>
            </w:r>
          </w:p>
        </w:tc>
      </w:tr>
      <w:tr>
        <w:trPr>
          <w:trHeight w:val="203"/>
        </w:trPr>
        <w:tc>
          <w:tcPr>
            <w:tcW w:w="4320" w:type="dxa"/>
            <w:vAlign w:val="bottom"/>
            <w:shd w:val="clear" w:color="auto" w:fill="E5FFFF"/>
          </w:tcPr>
          <w:p>
            <w:pPr>
              <w:jc w:val="center"/>
              <w:ind w:left="1090"/>
              <w:spacing w:after="0" w:line="202" w:lineRule="exact"/>
              <w:rPr>
                <w:sz w:val="20"/>
                <w:szCs w:val="20"/>
                <w:color w:val="auto"/>
              </w:rPr>
            </w:pPr>
            <w:r>
              <w:rPr>
                <w:rFonts w:ascii="Arial" w:cs="Arial" w:eastAsia="Arial" w:hAnsi="Arial"/>
                <w:sz w:val="18"/>
                <w:szCs w:val="18"/>
                <w:color w:val="auto"/>
              </w:rPr>
              <w:t>Third</w:t>
            </w:r>
          </w:p>
        </w:tc>
        <w:tc>
          <w:tcPr>
            <w:tcW w:w="7100" w:type="dxa"/>
            <w:vAlign w:val="bottom"/>
            <w:gridSpan w:val="3"/>
            <w:shd w:val="clear" w:color="auto" w:fill="E5FFFF"/>
          </w:tcPr>
          <w:p>
            <w:pPr>
              <w:jc w:val="center"/>
              <w:ind w:left="1650"/>
              <w:spacing w:after="0" w:line="202" w:lineRule="exact"/>
              <w:rPr>
                <w:sz w:val="20"/>
                <w:szCs w:val="20"/>
                <w:color w:val="auto"/>
              </w:rPr>
            </w:pPr>
            <w:r>
              <w:rPr>
                <w:rFonts w:ascii="Arial" w:cs="Arial" w:eastAsia="Arial" w:hAnsi="Arial"/>
                <w:sz w:val="18"/>
                <w:szCs w:val="18"/>
                <w:color w:val="auto"/>
                <w:w w:val="99"/>
              </w:rPr>
              <w:t>3,811,338</w:t>
            </w:r>
          </w:p>
        </w:tc>
      </w:tr>
      <w:tr>
        <w:trPr>
          <w:trHeight w:val="203"/>
        </w:trPr>
        <w:tc>
          <w:tcPr>
            <w:tcW w:w="4320" w:type="dxa"/>
            <w:vAlign w:val="bottom"/>
          </w:tcPr>
          <w:p>
            <w:pPr>
              <w:jc w:val="center"/>
              <w:ind w:left="1070"/>
              <w:spacing w:after="0" w:line="202" w:lineRule="exact"/>
              <w:rPr>
                <w:sz w:val="20"/>
                <w:szCs w:val="20"/>
                <w:color w:val="auto"/>
              </w:rPr>
            </w:pPr>
            <w:r>
              <w:rPr>
                <w:rFonts w:ascii="Arial" w:cs="Arial" w:eastAsia="Arial" w:hAnsi="Arial"/>
                <w:sz w:val="18"/>
                <w:szCs w:val="18"/>
                <w:color w:val="auto"/>
                <w:w w:val="99"/>
              </w:rPr>
              <w:t>Fourth</w:t>
            </w:r>
          </w:p>
        </w:tc>
        <w:tc>
          <w:tcPr>
            <w:tcW w:w="7100" w:type="dxa"/>
            <w:vAlign w:val="bottom"/>
            <w:gridSpan w:val="3"/>
          </w:tcPr>
          <w:p>
            <w:pPr>
              <w:jc w:val="center"/>
              <w:ind w:left="1650"/>
              <w:spacing w:after="0" w:line="202" w:lineRule="exact"/>
              <w:rPr>
                <w:sz w:val="20"/>
                <w:szCs w:val="20"/>
                <w:color w:val="auto"/>
              </w:rPr>
            </w:pPr>
            <w:r>
              <w:rPr>
                <w:rFonts w:ascii="Arial" w:cs="Arial" w:eastAsia="Arial" w:hAnsi="Arial"/>
                <w:sz w:val="18"/>
                <w:szCs w:val="18"/>
                <w:color w:val="auto"/>
                <w:w w:val="99"/>
              </w:rPr>
              <w:t>3,811,338</w:t>
            </w:r>
          </w:p>
        </w:tc>
      </w:tr>
      <w:tr>
        <w:trPr>
          <w:trHeight w:val="203"/>
        </w:trPr>
        <w:tc>
          <w:tcPr>
            <w:tcW w:w="4320" w:type="dxa"/>
            <w:vAlign w:val="bottom"/>
            <w:shd w:val="clear" w:color="auto" w:fill="E5FFFF"/>
          </w:tcPr>
          <w:p>
            <w:pPr>
              <w:jc w:val="center"/>
              <w:ind w:left="1090"/>
              <w:spacing w:after="0" w:line="202" w:lineRule="exact"/>
              <w:rPr>
                <w:sz w:val="20"/>
                <w:szCs w:val="20"/>
                <w:color w:val="auto"/>
              </w:rPr>
            </w:pPr>
            <w:r>
              <w:rPr>
                <w:rFonts w:ascii="Arial" w:cs="Arial" w:eastAsia="Arial" w:hAnsi="Arial"/>
                <w:sz w:val="18"/>
                <w:szCs w:val="18"/>
                <w:color w:val="auto"/>
                <w:w w:val="96"/>
              </w:rPr>
              <w:t>Fifth</w:t>
            </w:r>
          </w:p>
        </w:tc>
        <w:tc>
          <w:tcPr>
            <w:tcW w:w="7100" w:type="dxa"/>
            <w:vAlign w:val="bottom"/>
            <w:gridSpan w:val="3"/>
            <w:shd w:val="clear" w:color="auto" w:fill="E5FFFF"/>
          </w:tcPr>
          <w:p>
            <w:pPr>
              <w:jc w:val="center"/>
              <w:ind w:left="1650"/>
              <w:spacing w:after="0" w:line="202" w:lineRule="exact"/>
              <w:rPr>
                <w:sz w:val="20"/>
                <w:szCs w:val="20"/>
                <w:color w:val="auto"/>
              </w:rPr>
            </w:pPr>
            <w:r>
              <w:rPr>
                <w:rFonts w:ascii="Arial" w:cs="Arial" w:eastAsia="Arial" w:hAnsi="Arial"/>
                <w:sz w:val="18"/>
                <w:szCs w:val="18"/>
                <w:color w:val="auto"/>
                <w:w w:val="99"/>
              </w:rPr>
              <w:t>3,811,338</w:t>
            </w:r>
          </w:p>
        </w:tc>
      </w:tr>
      <w:tr>
        <w:trPr>
          <w:trHeight w:val="203"/>
        </w:trPr>
        <w:tc>
          <w:tcPr>
            <w:tcW w:w="4320" w:type="dxa"/>
            <w:vAlign w:val="bottom"/>
          </w:tcPr>
          <w:p>
            <w:pPr>
              <w:jc w:val="center"/>
              <w:ind w:left="1070"/>
              <w:spacing w:after="0" w:line="202" w:lineRule="exact"/>
              <w:rPr>
                <w:sz w:val="20"/>
                <w:szCs w:val="20"/>
                <w:color w:val="auto"/>
              </w:rPr>
            </w:pPr>
            <w:r>
              <w:rPr>
                <w:rFonts w:ascii="Arial" w:cs="Arial" w:eastAsia="Arial" w:hAnsi="Arial"/>
                <w:sz w:val="18"/>
                <w:szCs w:val="18"/>
                <w:color w:val="auto"/>
                <w:w w:val="99"/>
              </w:rPr>
              <w:t>Sixth</w:t>
            </w:r>
          </w:p>
        </w:tc>
        <w:tc>
          <w:tcPr>
            <w:tcW w:w="7100" w:type="dxa"/>
            <w:vAlign w:val="bottom"/>
            <w:gridSpan w:val="3"/>
          </w:tcPr>
          <w:p>
            <w:pPr>
              <w:jc w:val="center"/>
              <w:ind w:left="1650"/>
              <w:spacing w:after="0" w:line="202" w:lineRule="exact"/>
              <w:rPr>
                <w:sz w:val="20"/>
                <w:szCs w:val="20"/>
                <w:color w:val="auto"/>
              </w:rPr>
            </w:pPr>
            <w:r>
              <w:rPr>
                <w:rFonts w:ascii="Arial" w:cs="Arial" w:eastAsia="Arial" w:hAnsi="Arial"/>
                <w:sz w:val="18"/>
                <w:szCs w:val="18"/>
                <w:color w:val="auto"/>
                <w:w w:val="99"/>
              </w:rPr>
              <w:t>3,811,338</w:t>
            </w:r>
          </w:p>
        </w:tc>
      </w:tr>
      <w:tr>
        <w:trPr>
          <w:trHeight w:val="203"/>
        </w:trPr>
        <w:tc>
          <w:tcPr>
            <w:tcW w:w="4320" w:type="dxa"/>
            <w:vAlign w:val="bottom"/>
            <w:shd w:val="clear" w:color="auto" w:fill="E5FFFF"/>
          </w:tcPr>
          <w:p>
            <w:pPr>
              <w:jc w:val="center"/>
              <w:ind w:left="1090"/>
              <w:spacing w:after="0" w:line="202" w:lineRule="exact"/>
              <w:rPr>
                <w:sz w:val="20"/>
                <w:szCs w:val="20"/>
                <w:color w:val="auto"/>
              </w:rPr>
            </w:pPr>
            <w:r>
              <w:rPr>
                <w:rFonts w:ascii="Arial" w:cs="Arial" w:eastAsia="Arial" w:hAnsi="Arial"/>
                <w:sz w:val="18"/>
                <w:szCs w:val="18"/>
                <w:color w:val="auto"/>
                <w:w w:val="99"/>
              </w:rPr>
              <w:t>Seventh</w:t>
            </w:r>
          </w:p>
        </w:tc>
        <w:tc>
          <w:tcPr>
            <w:tcW w:w="7100" w:type="dxa"/>
            <w:vAlign w:val="bottom"/>
            <w:gridSpan w:val="3"/>
            <w:shd w:val="clear" w:color="auto" w:fill="E5FFFF"/>
          </w:tcPr>
          <w:p>
            <w:pPr>
              <w:jc w:val="center"/>
              <w:ind w:left="1650"/>
              <w:spacing w:after="0" w:line="202" w:lineRule="exact"/>
              <w:rPr>
                <w:sz w:val="20"/>
                <w:szCs w:val="20"/>
                <w:color w:val="auto"/>
              </w:rPr>
            </w:pPr>
            <w:r>
              <w:rPr>
                <w:rFonts w:ascii="Arial" w:cs="Arial" w:eastAsia="Arial" w:hAnsi="Arial"/>
                <w:sz w:val="18"/>
                <w:szCs w:val="18"/>
                <w:color w:val="auto"/>
                <w:w w:val="99"/>
              </w:rPr>
              <w:t>3,811,338</w:t>
            </w:r>
          </w:p>
        </w:tc>
      </w:tr>
      <w:tr>
        <w:trPr>
          <w:trHeight w:val="203"/>
        </w:trPr>
        <w:tc>
          <w:tcPr>
            <w:tcW w:w="4320" w:type="dxa"/>
            <w:vAlign w:val="bottom"/>
          </w:tcPr>
          <w:p>
            <w:pPr>
              <w:jc w:val="center"/>
              <w:ind w:left="1090"/>
              <w:spacing w:after="0" w:line="202" w:lineRule="exact"/>
              <w:rPr>
                <w:sz w:val="20"/>
                <w:szCs w:val="20"/>
                <w:color w:val="auto"/>
              </w:rPr>
            </w:pPr>
            <w:r>
              <w:rPr>
                <w:rFonts w:ascii="Arial" w:cs="Arial" w:eastAsia="Arial" w:hAnsi="Arial"/>
                <w:sz w:val="18"/>
                <w:szCs w:val="18"/>
                <w:color w:val="auto"/>
                <w:w w:val="97"/>
              </w:rPr>
              <w:t>Eighth</w:t>
            </w:r>
          </w:p>
        </w:tc>
        <w:tc>
          <w:tcPr>
            <w:tcW w:w="7100" w:type="dxa"/>
            <w:vAlign w:val="bottom"/>
            <w:gridSpan w:val="3"/>
          </w:tcPr>
          <w:p>
            <w:pPr>
              <w:jc w:val="center"/>
              <w:ind w:left="1650"/>
              <w:spacing w:after="0" w:line="202" w:lineRule="exact"/>
              <w:rPr>
                <w:sz w:val="20"/>
                <w:szCs w:val="20"/>
                <w:color w:val="auto"/>
              </w:rPr>
            </w:pPr>
            <w:r>
              <w:rPr>
                <w:rFonts w:ascii="Arial" w:cs="Arial" w:eastAsia="Arial" w:hAnsi="Arial"/>
                <w:sz w:val="18"/>
                <w:szCs w:val="18"/>
                <w:color w:val="auto"/>
                <w:w w:val="99"/>
              </w:rPr>
              <w:t>3,811,338</w:t>
            </w:r>
          </w:p>
        </w:tc>
      </w:tr>
      <w:tr>
        <w:trPr>
          <w:trHeight w:val="203"/>
        </w:trPr>
        <w:tc>
          <w:tcPr>
            <w:tcW w:w="4320" w:type="dxa"/>
            <w:vAlign w:val="bottom"/>
            <w:shd w:val="clear" w:color="auto" w:fill="E5FFFF"/>
          </w:tcPr>
          <w:p>
            <w:pPr>
              <w:jc w:val="center"/>
              <w:ind w:left="1090"/>
              <w:spacing w:after="0" w:line="202" w:lineRule="exact"/>
              <w:rPr>
                <w:sz w:val="20"/>
                <w:szCs w:val="20"/>
                <w:color w:val="auto"/>
              </w:rPr>
            </w:pPr>
            <w:r>
              <w:rPr>
                <w:rFonts w:ascii="Arial" w:cs="Arial" w:eastAsia="Arial" w:hAnsi="Arial"/>
                <w:sz w:val="18"/>
                <w:szCs w:val="18"/>
                <w:color w:val="auto"/>
                <w:w w:val="99"/>
              </w:rPr>
              <w:t>Ninth</w:t>
            </w:r>
          </w:p>
        </w:tc>
        <w:tc>
          <w:tcPr>
            <w:tcW w:w="7100" w:type="dxa"/>
            <w:vAlign w:val="bottom"/>
            <w:gridSpan w:val="3"/>
            <w:shd w:val="clear" w:color="auto" w:fill="E5FFFF"/>
          </w:tcPr>
          <w:p>
            <w:pPr>
              <w:jc w:val="center"/>
              <w:ind w:left="1650"/>
              <w:spacing w:after="0" w:line="202" w:lineRule="exact"/>
              <w:rPr>
                <w:sz w:val="20"/>
                <w:szCs w:val="20"/>
                <w:color w:val="auto"/>
              </w:rPr>
            </w:pPr>
            <w:r>
              <w:rPr>
                <w:rFonts w:ascii="Arial" w:cs="Arial" w:eastAsia="Arial" w:hAnsi="Arial"/>
                <w:sz w:val="18"/>
                <w:szCs w:val="18"/>
                <w:color w:val="auto"/>
                <w:w w:val="99"/>
              </w:rPr>
              <w:t>3,811,338</w:t>
            </w:r>
          </w:p>
        </w:tc>
      </w:tr>
      <w:tr>
        <w:trPr>
          <w:trHeight w:val="217"/>
        </w:trPr>
        <w:tc>
          <w:tcPr>
            <w:tcW w:w="4320" w:type="dxa"/>
            <w:vAlign w:val="bottom"/>
          </w:tcPr>
          <w:p>
            <w:pPr>
              <w:jc w:val="center"/>
              <w:ind w:left="1070"/>
              <w:spacing w:after="0"/>
              <w:rPr>
                <w:sz w:val="20"/>
                <w:szCs w:val="20"/>
                <w:color w:val="auto"/>
              </w:rPr>
            </w:pPr>
            <w:r>
              <w:rPr>
                <w:rFonts w:ascii="Arial" w:cs="Arial" w:eastAsia="Arial" w:hAnsi="Arial"/>
                <w:sz w:val="18"/>
                <w:szCs w:val="18"/>
                <w:color w:val="auto"/>
                <w:w w:val="95"/>
              </w:rPr>
              <w:t>Tenth</w:t>
            </w:r>
          </w:p>
        </w:tc>
        <w:tc>
          <w:tcPr>
            <w:tcW w:w="7100" w:type="dxa"/>
            <w:vAlign w:val="bottom"/>
            <w:gridSpan w:val="3"/>
          </w:tcPr>
          <w:p>
            <w:pPr>
              <w:jc w:val="center"/>
              <w:ind w:left="1630"/>
              <w:spacing w:after="0"/>
              <w:rPr>
                <w:sz w:val="20"/>
                <w:szCs w:val="20"/>
                <w:color w:val="auto"/>
              </w:rPr>
            </w:pPr>
            <w:r>
              <w:rPr>
                <w:rFonts w:ascii="Arial" w:cs="Arial" w:eastAsia="Arial" w:hAnsi="Arial"/>
                <w:sz w:val="18"/>
                <w:szCs w:val="18"/>
                <w:color w:val="auto"/>
                <w:w w:val="99"/>
              </w:rPr>
              <w:t>89,838,684</w:t>
            </w:r>
          </w:p>
        </w:tc>
      </w:tr>
      <w:tr>
        <w:trPr>
          <w:trHeight w:val="391"/>
        </w:trPr>
        <w:tc>
          <w:tcPr>
            <w:tcW w:w="4320" w:type="dxa"/>
            <w:vAlign w:val="bottom"/>
          </w:tcPr>
          <w:p>
            <w:pPr>
              <w:spacing w:after="0"/>
              <w:rPr>
                <w:sz w:val="24"/>
                <w:szCs w:val="24"/>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188</w:t>
            </w:r>
          </w:p>
        </w:tc>
        <w:tc>
          <w:tcPr>
            <w:tcW w:w="5360" w:type="dxa"/>
            <w:vAlign w:val="bottom"/>
          </w:tcPr>
          <w:p>
            <w:pPr>
              <w:spacing w:after="0"/>
              <w:rPr>
                <w:sz w:val="24"/>
                <w:szCs w:val="24"/>
                <w:color w:val="auto"/>
              </w:rPr>
            </w:pPr>
          </w:p>
        </w:tc>
      </w:tr>
      <w:tr>
        <w:trPr>
          <w:trHeight w:val="237"/>
        </w:trPr>
        <w:tc>
          <w:tcPr>
            <w:tcW w:w="4320" w:type="dxa"/>
            <w:vAlign w:val="bottom"/>
            <w:tcBorders>
              <w:bottom w:val="single" w:sz="8" w:color="C0C0C0"/>
            </w:tcBorders>
          </w:tcPr>
          <w:p>
            <w:pPr>
              <w:spacing w:after="0"/>
              <w:rPr>
                <w:sz w:val="20"/>
                <w:szCs w:val="20"/>
                <w:color w:val="auto"/>
              </w:rPr>
            </w:pPr>
          </w:p>
        </w:tc>
        <w:tc>
          <w:tcPr>
            <w:tcW w:w="1180" w:type="dxa"/>
            <w:vAlign w:val="bottom"/>
            <w:tcBorders>
              <w:bottom w:val="single" w:sz="8" w:color="C0C0C0"/>
            </w:tcBorders>
          </w:tcPr>
          <w:p>
            <w:pPr>
              <w:spacing w:after="0"/>
              <w:rPr>
                <w:sz w:val="20"/>
                <w:szCs w:val="20"/>
                <w:color w:val="auto"/>
              </w:rPr>
            </w:pPr>
          </w:p>
        </w:tc>
        <w:tc>
          <w:tcPr>
            <w:tcW w:w="560" w:type="dxa"/>
            <w:vAlign w:val="bottom"/>
            <w:tcBorders>
              <w:bottom w:val="single" w:sz="8" w:color="C0C0C0"/>
            </w:tcBorders>
          </w:tcPr>
          <w:p>
            <w:pPr>
              <w:spacing w:after="0"/>
              <w:rPr>
                <w:sz w:val="20"/>
                <w:szCs w:val="20"/>
                <w:color w:val="auto"/>
              </w:rPr>
            </w:pPr>
          </w:p>
        </w:tc>
        <w:tc>
          <w:tcPr>
            <w:tcW w:w="536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00" w:right="239" w:bottom="1440" w:gutter="0" w:footer="0" w:header="0"/>
        </w:sectPr>
      </w:pPr>
    </w:p>
    <w:bookmarkStart w:id="240" w:name="page241"/>
    <w:bookmarkEnd w:id="2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20" w:type="dxa"/>
            <w:vAlign w:val="bottom"/>
          </w:tcPr>
          <w:p>
            <w:pPr>
              <w:spacing w:after="0"/>
              <w:rPr>
                <w:sz w:val="20"/>
                <w:szCs w:val="20"/>
                <w:color w:val="auto"/>
              </w:rPr>
            </w:pPr>
          </w:p>
        </w:tc>
        <w:tc>
          <w:tcPr>
            <w:tcW w:w="7100" w:type="dxa"/>
            <w:vAlign w:val="bottom"/>
            <w:gridSpan w:val="3"/>
          </w:tcPr>
          <w:p>
            <w:pPr>
              <w:jc w:val="center"/>
              <w:ind w:right="4230"/>
              <w:spacing w:after="0"/>
              <w:rPr>
                <w:sz w:val="20"/>
                <w:szCs w:val="20"/>
                <w:color w:val="auto"/>
              </w:rPr>
            </w:pPr>
            <w:r>
              <w:rPr>
                <w:rFonts w:ascii="Arial" w:cs="Arial" w:eastAsia="Arial" w:hAnsi="Arial"/>
                <w:sz w:val="18"/>
                <w:szCs w:val="18"/>
                <w:b w:val="1"/>
                <w:bCs w:val="1"/>
                <w:color w:val="auto"/>
                <w:w w:val="98"/>
              </w:rPr>
              <w:t>Ship F</w:t>
            </w:r>
          </w:p>
        </w:tc>
      </w:tr>
      <w:tr>
        <w:trPr>
          <w:trHeight w:val="405"/>
        </w:trPr>
        <w:tc>
          <w:tcPr>
            <w:tcW w:w="4320" w:type="dxa"/>
            <w:vAlign w:val="bottom"/>
            <w:tcBorders>
              <w:bottom w:val="single" w:sz="8" w:color="auto"/>
            </w:tcBorders>
          </w:tcPr>
          <w:p>
            <w:pPr>
              <w:jc w:val="center"/>
              <w:ind w:left="1090"/>
              <w:spacing w:after="0"/>
              <w:rPr>
                <w:sz w:val="20"/>
                <w:szCs w:val="20"/>
                <w:color w:val="auto"/>
              </w:rPr>
            </w:pPr>
            <w:r>
              <w:rPr>
                <w:rFonts w:ascii="Arial" w:cs="Arial" w:eastAsia="Arial" w:hAnsi="Arial"/>
                <w:sz w:val="18"/>
                <w:szCs w:val="18"/>
                <w:b w:val="1"/>
                <w:bCs w:val="1"/>
                <w:color w:val="auto"/>
                <w:w w:val="97"/>
              </w:rPr>
              <w:t>Term Loan</w:t>
            </w:r>
          </w:p>
        </w:tc>
        <w:tc>
          <w:tcPr>
            <w:tcW w:w="1180" w:type="dxa"/>
            <w:vAlign w:val="bottom"/>
            <w:tcBorders>
              <w:bottom w:val="single" w:sz="8" w:color="auto"/>
            </w:tcBorders>
          </w:tcPr>
          <w:p>
            <w:pPr>
              <w:spacing w:after="0"/>
              <w:rPr>
                <w:sz w:val="24"/>
                <w:szCs w:val="24"/>
                <w:color w:val="auto"/>
              </w:rPr>
            </w:pPr>
          </w:p>
        </w:tc>
        <w:tc>
          <w:tcPr>
            <w:tcW w:w="560" w:type="dxa"/>
            <w:vAlign w:val="bottom"/>
            <w:tcBorders>
              <w:bottom w:val="single" w:sz="8" w:color="E5FFFF"/>
            </w:tcBorders>
          </w:tcPr>
          <w:p>
            <w:pPr>
              <w:spacing w:after="0"/>
              <w:rPr>
                <w:sz w:val="24"/>
                <w:szCs w:val="24"/>
                <w:color w:val="auto"/>
              </w:rPr>
            </w:pPr>
          </w:p>
        </w:tc>
        <w:tc>
          <w:tcPr>
            <w:tcW w:w="5360" w:type="dxa"/>
            <w:vAlign w:val="bottom"/>
            <w:tcBorders>
              <w:bottom w:val="single" w:sz="8" w:color="auto"/>
            </w:tcBorders>
          </w:tcPr>
          <w:p>
            <w:pPr>
              <w:ind w:left="2200"/>
              <w:spacing w:after="0"/>
              <w:rPr>
                <w:sz w:val="20"/>
                <w:szCs w:val="20"/>
                <w:color w:val="auto"/>
              </w:rPr>
            </w:pPr>
            <w:r>
              <w:rPr>
                <w:rFonts w:ascii="Arial" w:cs="Arial" w:eastAsia="Arial" w:hAnsi="Arial"/>
                <w:sz w:val="18"/>
                <w:szCs w:val="18"/>
                <w:b w:val="1"/>
                <w:bCs w:val="1"/>
                <w:color w:val="auto"/>
              </w:rPr>
              <w:t>Amount ($)</w:t>
            </w:r>
          </w:p>
        </w:tc>
      </w:tr>
      <w:tr>
        <w:trPr>
          <w:trHeight w:val="196"/>
        </w:trPr>
        <w:tc>
          <w:tcPr>
            <w:tcW w:w="4320" w:type="dxa"/>
            <w:vAlign w:val="bottom"/>
            <w:shd w:val="clear" w:color="auto" w:fill="E5FFFF"/>
          </w:tcPr>
          <w:p>
            <w:pPr>
              <w:jc w:val="center"/>
              <w:ind w:left="1090"/>
              <w:spacing w:after="0" w:line="196" w:lineRule="exact"/>
              <w:rPr>
                <w:sz w:val="20"/>
                <w:szCs w:val="20"/>
                <w:color w:val="auto"/>
              </w:rPr>
            </w:pPr>
            <w:r>
              <w:rPr>
                <w:rFonts w:ascii="Arial" w:cs="Arial" w:eastAsia="Arial" w:hAnsi="Arial"/>
                <w:sz w:val="18"/>
                <w:szCs w:val="18"/>
                <w:color w:val="auto"/>
                <w:w w:val="97"/>
              </w:rPr>
              <w:t>First</w:t>
            </w:r>
          </w:p>
        </w:tc>
        <w:tc>
          <w:tcPr>
            <w:tcW w:w="118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5360" w:type="dxa"/>
            <w:vAlign w:val="bottom"/>
            <w:shd w:val="clear" w:color="auto" w:fill="E5FFFF"/>
          </w:tcPr>
          <w:p>
            <w:pPr>
              <w:jc w:val="center"/>
              <w:spacing w:after="0" w:line="196" w:lineRule="exact"/>
              <w:rPr>
                <w:sz w:val="20"/>
                <w:szCs w:val="20"/>
                <w:color w:val="auto"/>
              </w:rPr>
            </w:pPr>
            <w:r>
              <w:rPr>
                <w:rFonts w:ascii="Arial" w:cs="Arial" w:eastAsia="Arial" w:hAnsi="Arial"/>
                <w:sz w:val="18"/>
                <w:szCs w:val="18"/>
                <w:color w:val="auto"/>
                <w:w w:val="99"/>
              </w:rPr>
              <w:t>3,858,625</w:t>
            </w:r>
          </w:p>
        </w:tc>
      </w:tr>
      <w:tr>
        <w:trPr>
          <w:trHeight w:val="203"/>
        </w:trPr>
        <w:tc>
          <w:tcPr>
            <w:tcW w:w="4320" w:type="dxa"/>
            <w:vAlign w:val="bottom"/>
          </w:tcPr>
          <w:p>
            <w:pPr>
              <w:jc w:val="center"/>
              <w:ind w:left="1090"/>
              <w:spacing w:after="0" w:line="202" w:lineRule="exact"/>
              <w:rPr>
                <w:sz w:val="20"/>
                <w:szCs w:val="20"/>
                <w:color w:val="auto"/>
              </w:rPr>
            </w:pPr>
            <w:r>
              <w:rPr>
                <w:rFonts w:ascii="Arial" w:cs="Arial" w:eastAsia="Arial" w:hAnsi="Arial"/>
                <w:sz w:val="18"/>
                <w:szCs w:val="18"/>
                <w:color w:val="auto"/>
              </w:rPr>
              <w:t>Second</w:t>
            </w:r>
          </w:p>
        </w:tc>
        <w:tc>
          <w:tcPr>
            <w:tcW w:w="7100" w:type="dxa"/>
            <w:vAlign w:val="bottom"/>
            <w:gridSpan w:val="3"/>
          </w:tcPr>
          <w:p>
            <w:pPr>
              <w:jc w:val="center"/>
              <w:ind w:left="1650"/>
              <w:spacing w:after="0" w:line="202" w:lineRule="exact"/>
              <w:rPr>
                <w:sz w:val="20"/>
                <w:szCs w:val="20"/>
                <w:color w:val="auto"/>
              </w:rPr>
            </w:pPr>
            <w:r>
              <w:rPr>
                <w:rFonts w:ascii="Arial" w:cs="Arial" w:eastAsia="Arial" w:hAnsi="Arial"/>
                <w:sz w:val="18"/>
                <w:szCs w:val="18"/>
                <w:color w:val="auto"/>
                <w:w w:val="99"/>
              </w:rPr>
              <w:t>3,858,625</w:t>
            </w:r>
          </w:p>
        </w:tc>
      </w:tr>
      <w:tr>
        <w:trPr>
          <w:trHeight w:val="203"/>
        </w:trPr>
        <w:tc>
          <w:tcPr>
            <w:tcW w:w="4320" w:type="dxa"/>
            <w:vAlign w:val="bottom"/>
            <w:shd w:val="clear" w:color="auto" w:fill="E5FFFF"/>
          </w:tcPr>
          <w:p>
            <w:pPr>
              <w:jc w:val="center"/>
              <w:ind w:left="1090"/>
              <w:spacing w:after="0" w:line="202" w:lineRule="exact"/>
              <w:rPr>
                <w:sz w:val="20"/>
                <w:szCs w:val="20"/>
                <w:color w:val="auto"/>
              </w:rPr>
            </w:pPr>
            <w:r>
              <w:rPr>
                <w:rFonts w:ascii="Arial" w:cs="Arial" w:eastAsia="Arial" w:hAnsi="Arial"/>
                <w:sz w:val="18"/>
                <w:szCs w:val="18"/>
                <w:color w:val="auto"/>
              </w:rPr>
              <w:t>Third</w:t>
            </w:r>
          </w:p>
        </w:tc>
        <w:tc>
          <w:tcPr>
            <w:tcW w:w="7100" w:type="dxa"/>
            <w:vAlign w:val="bottom"/>
            <w:gridSpan w:val="3"/>
            <w:shd w:val="clear" w:color="auto" w:fill="E5FFFF"/>
          </w:tcPr>
          <w:p>
            <w:pPr>
              <w:jc w:val="center"/>
              <w:ind w:left="1650"/>
              <w:spacing w:after="0" w:line="202" w:lineRule="exact"/>
              <w:rPr>
                <w:sz w:val="20"/>
                <w:szCs w:val="20"/>
                <w:color w:val="auto"/>
              </w:rPr>
            </w:pPr>
            <w:r>
              <w:rPr>
                <w:rFonts w:ascii="Arial" w:cs="Arial" w:eastAsia="Arial" w:hAnsi="Arial"/>
                <w:sz w:val="18"/>
                <w:szCs w:val="18"/>
                <w:color w:val="auto"/>
                <w:w w:val="99"/>
              </w:rPr>
              <w:t>3,858,625</w:t>
            </w:r>
          </w:p>
        </w:tc>
      </w:tr>
      <w:tr>
        <w:trPr>
          <w:trHeight w:val="203"/>
        </w:trPr>
        <w:tc>
          <w:tcPr>
            <w:tcW w:w="4320" w:type="dxa"/>
            <w:vAlign w:val="bottom"/>
          </w:tcPr>
          <w:p>
            <w:pPr>
              <w:jc w:val="center"/>
              <w:ind w:left="1070"/>
              <w:spacing w:after="0" w:line="202" w:lineRule="exact"/>
              <w:rPr>
                <w:sz w:val="20"/>
                <w:szCs w:val="20"/>
                <w:color w:val="auto"/>
              </w:rPr>
            </w:pPr>
            <w:r>
              <w:rPr>
                <w:rFonts w:ascii="Arial" w:cs="Arial" w:eastAsia="Arial" w:hAnsi="Arial"/>
                <w:sz w:val="18"/>
                <w:szCs w:val="18"/>
                <w:color w:val="auto"/>
                <w:w w:val="99"/>
              </w:rPr>
              <w:t>Fourth</w:t>
            </w:r>
          </w:p>
        </w:tc>
        <w:tc>
          <w:tcPr>
            <w:tcW w:w="7100" w:type="dxa"/>
            <w:vAlign w:val="bottom"/>
            <w:gridSpan w:val="3"/>
          </w:tcPr>
          <w:p>
            <w:pPr>
              <w:jc w:val="center"/>
              <w:ind w:left="1650"/>
              <w:spacing w:after="0" w:line="202" w:lineRule="exact"/>
              <w:rPr>
                <w:sz w:val="20"/>
                <w:szCs w:val="20"/>
                <w:color w:val="auto"/>
              </w:rPr>
            </w:pPr>
            <w:r>
              <w:rPr>
                <w:rFonts w:ascii="Arial" w:cs="Arial" w:eastAsia="Arial" w:hAnsi="Arial"/>
                <w:sz w:val="18"/>
                <w:szCs w:val="18"/>
                <w:color w:val="auto"/>
                <w:w w:val="99"/>
              </w:rPr>
              <w:t>3,858,625</w:t>
            </w:r>
          </w:p>
        </w:tc>
      </w:tr>
      <w:tr>
        <w:trPr>
          <w:trHeight w:val="203"/>
        </w:trPr>
        <w:tc>
          <w:tcPr>
            <w:tcW w:w="4320" w:type="dxa"/>
            <w:vAlign w:val="bottom"/>
            <w:shd w:val="clear" w:color="auto" w:fill="E5FFFF"/>
          </w:tcPr>
          <w:p>
            <w:pPr>
              <w:jc w:val="center"/>
              <w:ind w:left="1090"/>
              <w:spacing w:after="0" w:line="202" w:lineRule="exact"/>
              <w:rPr>
                <w:sz w:val="20"/>
                <w:szCs w:val="20"/>
                <w:color w:val="auto"/>
              </w:rPr>
            </w:pPr>
            <w:r>
              <w:rPr>
                <w:rFonts w:ascii="Arial" w:cs="Arial" w:eastAsia="Arial" w:hAnsi="Arial"/>
                <w:sz w:val="18"/>
                <w:szCs w:val="18"/>
                <w:color w:val="auto"/>
                <w:w w:val="96"/>
              </w:rPr>
              <w:t>Fifth</w:t>
            </w:r>
          </w:p>
        </w:tc>
        <w:tc>
          <w:tcPr>
            <w:tcW w:w="7100" w:type="dxa"/>
            <w:vAlign w:val="bottom"/>
            <w:gridSpan w:val="3"/>
            <w:shd w:val="clear" w:color="auto" w:fill="E5FFFF"/>
          </w:tcPr>
          <w:p>
            <w:pPr>
              <w:jc w:val="center"/>
              <w:ind w:left="1650"/>
              <w:spacing w:after="0" w:line="202" w:lineRule="exact"/>
              <w:rPr>
                <w:sz w:val="20"/>
                <w:szCs w:val="20"/>
                <w:color w:val="auto"/>
              </w:rPr>
            </w:pPr>
            <w:r>
              <w:rPr>
                <w:rFonts w:ascii="Arial" w:cs="Arial" w:eastAsia="Arial" w:hAnsi="Arial"/>
                <w:sz w:val="18"/>
                <w:szCs w:val="18"/>
                <w:color w:val="auto"/>
                <w:w w:val="99"/>
              </w:rPr>
              <w:t>3,858,625</w:t>
            </w:r>
          </w:p>
        </w:tc>
      </w:tr>
      <w:tr>
        <w:trPr>
          <w:trHeight w:val="203"/>
        </w:trPr>
        <w:tc>
          <w:tcPr>
            <w:tcW w:w="4320" w:type="dxa"/>
            <w:vAlign w:val="bottom"/>
          </w:tcPr>
          <w:p>
            <w:pPr>
              <w:jc w:val="center"/>
              <w:ind w:left="1070"/>
              <w:spacing w:after="0" w:line="202" w:lineRule="exact"/>
              <w:rPr>
                <w:sz w:val="20"/>
                <w:szCs w:val="20"/>
                <w:color w:val="auto"/>
              </w:rPr>
            </w:pPr>
            <w:r>
              <w:rPr>
                <w:rFonts w:ascii="Arial" w:cs="Arial" w:eastAsia="Arial" w:hAnsi="Arial"/>
                <w:sz w:val="18"/>
                <w:szCs w:val="18"/>
                <w:color w:val="auto"/>
                <w:w w:val="99"/>
              </w:rPr>
              <w:t>Sixth</w:t>
            </w:r>
          </w:p>
        </w:tc>
        <w:tc>
          <w:tcPr>
            <w:tcW w:w="7100" w:type="dxa"/>
            <w:vAlign w:val="bottom"/>
            <w:gridSpan w:val="3"/>
          </w:tcPr>
          <w:p>
            <w:pPr>
              <w:jc w:val="center"/>
              <w:ind w:left="1650"/>
              <w:spacing w:after="0" w:line="202" w:lineRule="exact"/>
              <w:rPr>
                <w:sz w:val="20"/>
                <w:szCs w:val="20"/>
                <w:color w:val="auto"/>
              </w:rPr>
            </w:pPr>
            <w:r>
              <w:rPr>
                <w:rFonts w:ascii="Arial" w:cs="Arial" w:eastAsia="Arial" w:hAnsi="Arial"/>
                <w:sz w:val="18"/>
                <w:szCs w:val="18"/>
                <w:color w:val="auto"/>
                <w:w w:val="99"/>
              </w:rPr>
              <w:t>3,858,625</w:t>
            </w:r>
          </w:p>
        </w:tc>
      </w:tr>
      <w:tr>
        <w:trPr>
          <w:trHeight w:val="203"/>
        </w:trPr>
        <w:tc>
          <w:tcPr>
            <w:tcW w:w="4320" w:type="dxa"/>
            <w:vAlign w:val="bottom"/>
            <w:shd w:val="clear" w:color="auto" w:fill="E5FFFF"/>
          </w:tcPr>
          <w:p>
            <w:pPr>
              <w:jc w:val="center"/>
              <w:ind w:left="1090"/>
              <w:spacing w:after="0" w:line="202" w:lineRule="exact"/>
              <w:rPr>
                <w:sz w:val="20"/>
                <w:szCs w:val="20"/>
                <w:color w:val="auto"/>
              </w:rPr>
            </w:pPr>
            <w:r>
              <w:rPr>
                <w:rFonts w:ascii="Arial" w:cs="Arial" w:eastAsia="Arial" w:hAnsi="Arial"/>
                <w:sz w:val="18"/>
                <w:szCs w:val="18"/>
                <w:color w:val="auto"/>
                <w:w w:val="99"/>
              </w:rPr>
              <w:t>Seventh</w:t>
            </w:r>
          </w:p>
        </w:tc>
        <w:tc>
          <w:tcPr>
            <w:tcW w:w="7100" w:type="dxa"/>
            <w:vAlign w:val="bottom"/>
            <w:gridSpan w:val="3"/>
            <w:shd w:val="clear" w:color="auto" w:fill="E5FFFF"/>
          </w:tcPr>
          <w:p>
            <w:pPr>
              <w:jc w:val="center"/>
              <w:ind w:left="1650"/>
              <w:spacing w:after="0" w:line="202" w:lineRule="exact"/>
              <w:rPr>
                <w:sz w:val="20"/>
                <w:szCs w:val="20"/>
                <w:color w:val="auto"/>
              </w:rPr>
            </w:pPr>
            <w:r>
              <w:rPr>
                <w:rFonts w:ascii="Arial" w:cs="Arial" w:eastAsia="Arial" w:hAnsi="Arial"/>
                <w:sz w:val="18"/>
                <w:szCs w:val="18"/>
                <w:color w:val="auto"/>
                <w:w w:val="99"/>
              </w:rPr>
              <w:t>3,858,625</w:t>
            </w:r>
          </w:p>
        </w:tc>
      </w:tr>
      <w:tr>
        <w:trPr>
          <w:trHeight w:val="203"/>
        </w:trPr>
        <w:tc>
          <w:tcPr>
            <w:tcW w:w="4320" w:type="dxa"/>
            <w:vAlign w:val="bottom"/>
          </w:tcPr>
          <w:p>
            <w:pPr>
              <w:jc w:val="center"/>
              <w:ind w:left="1090"/>
              <w:spacing w:after="0" w:line="202" w:lineRule="exact"/>
              <w:rPr>
                <w:sz w:val="20"/>
                <w:szCs w:val="20"/>
                <w:color w:val="auto"/>
              </w:rPr>
            </w:pPr>
            <w:r>
              <w:rPr>
                <w:rFonts w:ascii="Arial" w:cs="Arial" w:eastAsia="Arial" w:hAnsi="Arial"/>
                <w:sz w:val="18"/>
                <w:szCs w:val="18"/>
                <w:color w:val="auto"/>
                <w:w w:val="97"/>
              </w:rPr>
              <w:t>Eighth</w:t>
            </w:r>
          </w:p>
        </w:tc>
        <w:tc>
          <w:tcPr>
            <w:tcW w:w="7100" w:type="dxa"/>
            <w:vAlign w:val="bottom"/>
            <w:gridSpan w:val="3"/>
          </w:tcPr>
          <w:p>
            <w:pPr>
              <w:jc w:val="center"/>
              <w:ind w:left="1650"/>
              <w:spacing w:after="0" w:line="202" w:lineRule="exact"/>
              <w:rPr>
                <w:sz w:val="20"/>
                <w:szCs w:val="20"/>
                <w:color w:val="auto"/>
              </w:rPr>
            </w:pPr>
            <w:r>
              <w:rPr>
                <w:rFonts w:ascii="Arial" w:cs="Arial" w:eastAsia="Arial" w:hAnsi="Arial"/>
                <w:sz w:val="18"/>
                <w:szCs w:val="18"/>
                <w:color w:val="auto"/>
                <w:w w:val="99"/>
              </w:rPr>
              <w:t>3,858,625</w:t>
            </w:r>
          </w:p>
        </w:tc>
      </w:tr>
      <w:tr>
        <w:trPr>
          <w:trHeight w:val="203"/>
        </w:trPr>
        <w:tc>
          <w:tcPr>
            <w:tcW w:w="4320" w:type="dxa"/>
            <w:vAlign w:val="bottom"/>
            <w:shd w:val="clear" w:color="auto" w:fill="E5FFFF"/>
          </w:tcPr>
          <w:p>
            <w:pPr>
              <w:jc w:val="center"/>
              <w:ind w:left="1090"/>
              <w:spacing w:after="0" w:line="202" w:lineRule="exact"/>
              <w:rPr>
                <w:sz w:val="20"/>
                <w:szCs w:val="20"/>
                <w:color w:val="auto"/>
              </w:rPr>
            </w:pPr>
            <w:r>
              <w:rPr>
                <w:rFonts w:ascii="Arial" w:cs="Arial" w:eastAsia="Arial" w:hAnsi="Arial"/>
                <w:sz w:val="18"/>
                <w:szCs w:val="18"/>
                <w:color w:val="auto"/>
                <w:w w:val="99"/>
              </w:rPr>
              <w:t>Ninth</w:t>
            </w:r>
          </w:p>
        </w:tc>
        <w:tc>
          <w:tcPr>
            <w:tcW w:w="7100" w:type="dxa"/>
            <w:vAlign w:val="bottom"/>
            <w:gridSpan w:val="3"/>
            <w:shd w:val="clear" w:color="auto" w:fill="E5FFFF"/>
          </w:tcPr>
          <w:p>
            <w:pPr>
              <w:jc w:val="center"/>
              <w:ind w:left="1650"/>
              <w:spacing w:after="0" w:line="202" w:lineRule="exact"/>
              <w:rPr>
                <w:sz w:val="20"/>
                <w:szCs w:val="20"/>
                <w:color w:val="auto"/>
              </w:rPr>
            </w:pPr>
            <w:r>
              <w:rPr>
                <w:rFonts w:ascii="Arial" w:cs="Arial" w:eastAsia="Arial" w:hAnsi="Arial"/>
                <w:sz w:val="18"/>
                <w:szCs w:val="18"/>
                <w:color w:val="auto"/>
                <w:w w:val="99"/>
              </w:rPr>
              <w:t>3,858,625</w:t>
            </w:r>
          </w:p>
        </w:tc>
      </w:tr>
      <w:tr>
        <w:trPr>
          <w:trHeight w:val="217"/>
        </w:trPr>
        <w:tc>
          <w:tcPr>
            <w:tcW w:w="4320" w:type="dxa"/>
            <w:vAlign w:val="bottom"/>
          </w:tcPr>
          <w:p>
            <w:pPr>
              <w:jc w:val="center"/>
              <w:ind w:left="1070"/>
              <w:spacing w:after="0"/>
              <w:rPr>
                <w:sz w:val="20"/>
                <w:szCs w:val="20"/>
                <w:color w:val="auto"/>
              </w:rPr>
            </w:pPr>
            <w:r>
              <w:rPr>
                <w:rFonts w:ascii="Arial" w:cs="Arial" w:eastAsia="Arial" w:hAnsi="Arial"/>
                <w:sz w:val="18"/>
                <w:szCs w:val="18"/>
                <w:color w:val="auto"/>
                <w:w w:val="95"/>
              </w:rPr>
              <w:t>Tenth</w:t>
            </w:r>
          </w:p>
        </w:tc>
        <w:tc>
          <w:tcPr>
            <w:tcW w:w="7100" w:type="dxa"/>
            <w:vAlign w:val="bottom"/>
            <w:gridSpan w:val="3"/>
          </w:tcPr>
          <w:p>
            <w:pPr>
              <w:jc w:val="center"/>
              <w:ind w:left="1630"/>
              <w:spacing w:after="0"/>
              <w:rPr>
                <w:sz w:val="20"/>
                <w:szCs w:val="20"/>
                <w:color w:val="auto"/>
              </w:rPr>
            </w:pPr>
            <w:r>
              <w:rPr>
                <w:rFonts w:ascii="Arial" w:cs="Arial" w:eastAsia="Arial" w:hAnsi="Arial"/>
                <w:sz w:val="18"/>
                <w:szCs w:val="18"/>
                <w:color w:val="auto"/>
                <w:w w:val="99"/>
              </w:rPr>
              <w:t>90,953,309</w:t>
            </w:r>
          </w:p>
        </w:tc>
      </w:tr>
      <w:tr>
        <w:trPr>
          <w:trHeight w:val="391"/>
        </w:trPr>
        <w:tc>
          <w:tcPr>
            <w:tcW w:w="4320" w:type="dxa"/>
            <w:vAlign w:val="bottom"/>
          </w:tcPr>
          <w:p>
            <w:pPr>
              <w:spacing w:after="0"/>
              <w:rPr>
                <w:sz w:val="24"/>
                <w:szCs w:val="24"/>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189</w:t>
            </w:r>
          </w:p>
        </w:tc>
        <w:tc>
          <w:tcPr>
            <w:tcW w:w="5360" w:type="dxa"/>
            <w:vAlign w:val="bottom"/>
          </w:tcPr>
          <w:p>
            <w:pPr>
              <w:spacing w:after="0"/>
              <w:rPr>
                <w:sz w:val="24"/>
                <w:szCs w:val="24"/>
                <w:color w:val="auto"/>
              </w:rPr>
            </w:pPr>
          </w:p>
        </w:tc>
      </w:tr>
      <w:tr>
        <w:trPr>
          <w:trHeight w:val="237"/>
        </w:trPr>
        <w:tc>
          <w:tcPr>
            <w:tcW w:w="4320" w:type="dxa"/>
            <w:vAlign w:val="bottom"/>
            <w:tcBorders>
              <w:bottom w:val="single" w:sz="8" w:color="C0C0C0"/>
            </w:tcBorders>
          </w:tcPr>
          <w:p>
            <w:pPr>
              <w:spacing w:after="0"/>
              <w:rPr>
                <w:sz w:val="20"/>
                <w:szCs w:val="20"/>
                <w:color w:val="auto"/>
              </w:rPr>
            </w:pPr>
          </w:p>
        </w:tc>
        <w:tc>
          <w:tcPr>
            <w:tcW w:w="1180" w:type="dxa"/>
            <w:vAlign w:val="bottom"/>
            <w:tcBorders>
              <w:bottom w:val="single" w:sz="8" w:color="C0C0C0"/>
            </w:tcBorders>
          </w:tcPr>
          <w:p>
            <w:pPr>
              <w:spacing w:after="0"/>
              <w:rPr>
                <w:sz w:val="20"/>
                <w:szCs w:val="20"/>
                <w:color w:val="auto"/>
              </w:rPr>
            </w:pPr>
          </w:p>
        </w:tc>
        <w:tc>
          <w:tcPr>
            <w:tcW w:w="560" w:type="dxa"/>
            <w:vAlign w:val="bottom"/>
            <w:tcBorders>
              <w:bottom w:val="single" w:sz="8" w:color="C0C0C0"/>
            </w:tcBorders>
          </w:tcPr>
          <w:p>
            <w:pPr>
              <w:spacing w:after="0"/>
              <w:rPr>
                <w:sz w:val="20"/>
                <w:szCs w:val="20"/>
                <w:color w:val="auto"/>
              </w:rPr>
            </w:pPr>
          </w:p>
        </w:tc>
        <w:tc>
          <w:tcPr>
            <w:tcW w:w="536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00" w:right="239" w:bottom="1440" w:gutter="0" w:footer="0" w:header="0"/>
        </w:sectPr>
      </w:pPr>
    </w:p>
    <w:bookmarkStart w:id="241" w:name="page242"/>
    <w:bookmarkEnd w:id="2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20" w:type="dxa"/>
            <w:vAlign w:val="bottom"/>
          </w:tcPr>
          <w:p>
            <w:pPr>
              <w:spacing w:after="0"/>
              <w:rPr>
                <w:sz w:val="20"/>
                <w:szCs w:val="20"/>
                <w:color w:val="auto"/>
              </w:rPr>
            </w:pPr>
          </w:p>
        </w:tc>
        <w:tc>
          <w:tcPr>
            <w:tcW w:w="7100" w:type="dxa"/>
            <w:vAlign w:val="bottom"/>
            <w:gridSpan w:val="3"/>
          </w:tcPr>
          <w:p>
            <w:pPr>
              <w:jc w:val="center"/>
              <w:ind w:right="4230"/>
              <w:spacing w:after="0"/>
              <w:rPr>
                <w:sz w:val="20"/>
                <w:szCs w:val="20"/>
                <w:color w:val="auto"/>
              </w:rPr>
            </w:pPr>
            <w:r>
              <w:rPr>
                <w:rFonts w:ascii="Arial" w:cs="Arial" w:eastAsia="Arial" w:hAnsi="Arial"/>
                <w:sz w:val="18"/>
                <w:szCs w:val="18"/>
                <w:b w:val="1"/>
                <w:bCs w:val="1"/>
                <w:color w:val="auto"/>
                <w:w w:val="99"/>
              </w:rPr>
              <w:t>Ship G</w:t>
            </w:r>
          </w:p>
        </w:tc>
      </w:tr>
      <w:tr>
        <w:trPr>
          <w:trHeight w:val="405"/>
        </w:trPr>
        <w:tc>
          <w:tcPr>
            <w:tcW w:w="4320" w:type="dxa"/>
            <w:vAlign w:val="bottom"/>
            <w:tcBorders>
              <w:bottom w:val="single" w:sz="8" w:color="auto"/>
            </w:tcBorders>
          </w:tcPr>
          <w:p>
            <w:pPr>
              <w:jc w:val="center"/>
              <w:ind w:left="1090"/>
              <w:spacing w:after="0"/>
              <w:rPr>
                <w:sz w:val="20"/>
                <w:szCs w:val="20"/>
                <w:color w:val="auto"/>
              </w:rPr>
            </w:pPr>
            <w:r>
              <w:rPr>
                <w:rFonts w:ascii="Arial" w:cs="Arial" w:eastAsia="Arial" w:hAnsi="Arial"/>
                <w:sz w:val="18"/>
                <w:szCs w:val="18"/>
                <w:b w:val="1"/>
                <w:bCs w:val="1"/>
                <w:color w:val="auto"/>
                <w:w w:val="97"/>
              </w:rPr>
              <w:t>Term Loan</w:t>
            </w:r>
          </w:p>
        </w:tc>
        <w:tc>
          <w:tcPr>
            <w:tcW w:w="1180" w:type="dxa"/>
            <w:vAlign w:val="bottom"/>
            <w:tcBorders>
              <w:bottom w:val="single" w:sz="8" w:color="auto"/>
            </w:tcBorders>
          </w:tcPr>
          <w:p>
            <w:pPr>
              <w:spacing w:after="0"/>
              <w:rPr>
                <w:sz w:val="24"/>
                <w:szCs w:val="24"/>
                <w:color w:val="auto"/>
              </w:rPr>
            </w:pPr>
          </w:p>
        </w:tc>
        <w:tc>
          <w:tcPr>
            <w:tcW w:w="560" w:type="dxa"/>
            <w:vAlign w:val="bottom"/>
            <w:tcBorders>
              <w:bottom w:val="single" w:sz="8" w:color="E5FFFF"/>
            </w:tcBorders>
          </w:tcPr>
          <w:p>
            <w:pPr>
              <w:spacing w:after="0"/>
              <w:rPr>
                <w:sz w:val="24"/>
                <w:szCs w:val="24"/>
                <w:color w:val="auto"/>
              </w:rPr>
            </w:pPr>
          </w:p>
        </w:tc>
        <w:tc>
          <w:tcPr>
            <w:tcW w:w="5360" w:type="dxa"/>
            <w:vAlign w:val="bottom"/>
            <w:tcBorders>
              <w:bottom w:val="single" w:sz="8" w:color="auto"/>
            </w:tcBorders>
          </w:tcPr>
          <w:p>
            <w:pPr>
              <w:ind w:left="2200"/>
              <w:spacing w:after="0"/>
              <w:rPr>
                <w:sz w:val="20"/>
                <w:szCs w:val="20"/>
                <w:color w:val="auto"/>
              </w:rPr>
            </w:pPr>
            <w:r>
              <w:rPr>
                <w:rFonts w:ascii="Arial" w:cs="Arial" w:eastAsia="Arial" w:hAnsi="Arial"/>
                <w:sz w:val="18"/>
                <w:szCs w:val="18"/>
                <w:b w:val="1"/>
                <w:bCs w:val="1"/>
                <w:color w:val="auto"/>
              </w:rPr>
              <w:t>Amount ($)</w:t>
            </w:r>
          </w:p>
        </w:tc>
      </w:tr>
      <w:tr>
        <w:trPr>
          <w:trHeight w:val="196"/>
        </w:trPr>
        <w:tc>
          <w:tcPr>
            <w:tcW w:w="4320" w:type="dxa"/>
            <w:vAlign w:val="bottom"/>
            <w:shd w:val="clear" w:color="auto" w:fill="E5FFFF"/>
          </w:tcPr>
          <w:p>
            <w:pPr>
              <w:jc w:val="center"/>
              <w:ind w:left="1090"/>
              <w:spacing w:after="0" w:line="196" w:lineRule="exact"/>
              <w:rPr>
                <w:sz w:val="20"/>
                <w:szCs w:val="20"/>
                <w:color w:val="auto"/>
              </w:rPr>
            </w:pPr>
            <w:r>
              <w:rPr>
                <w:rFonts w:ascii="Arial" w:cs="Arial" w:eastAsia="Arial" w:hAnsi="Arial"/>
                <w:sz w:val="18"/>
                <w:szCs w:val="18"/>
                <w:color w:val="auto"/>
                <w:w w:val="97"/>
              </w:rPr>
              <w:t>First</w:t>
            </w:r>
          </w:p>
        </w:tc>
        <w:tc>
          <w:tcPr>
            <w:tcW w:w="118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5360" w:type="dxa"/>
            <w:vAlign w:val="bottom"/>
            <w:shd w:val="clear" w:color="auto" w:fill="E5FFFF"/>
          </w:tcPr>
          <w:p>
            <w:pPr>
              <w:jc w:val="center"/>
              <w:spacing w:after="0" w:line="196" w:lineRule="exact"/>
              <w:rPr>
                <w:sz w:val="20"/>
                <w:szCs w:val="20"/>
                <w:color w:val="auto"/>
              </w:rPr>
            </w:pPr>
            <w:r>
              <w:rPr>
                <w:rFonts w:ascii="Arial" w:cs="Arial" w:eastAsia="Arial" w:hAnsi="Arial"/>
                <w:sz w:val="18"/>
                <w:szCs w:val="18"/>
                <w:color w:val="auto"/>
                <w:w w:val="99"/>
              </w:rPr>
              <w:t>3,915,370</w:t>
            </w:r>
          </w:p>
        </w:tc>
      </w:tr>
      <w:tr>
        <w:trPr>
          <w:trHeight w:val="203"/>
        </w:trPr>
        <w:tc>
          <w:tcPr>
            <w:tcW w:w="4320" w:type="dxa"/>
            <w:vAlign w:val="bottom"/>
          </w:tcPr>
          <w:p>
            <w:pPr>
              <w:jc w:val="center"/>
              <w:ind w:left="1090"/>
              <w:spacing w:after="0" w:line="202" w:lineRule="exact"/>
              <w:rPr>
                <w:sz w:val="20"/>
                <w:szCs w:val="20"/>
                <w:color w:val="auto"/>
              </w:rPr>
            </w:pPr>
            <w:r>
              <w:rPr>
                <w:rFonts w:ascii="Arial" w:cs="Arial" w:eastAsia="Arial" w:hAnsi="Arial"/>
                <w:sz w:val="18"/>
                <w:szCs w:val="18"/>
                <w:color w:val="auto"/>
              </w:rPr>
              <w:t>Second</w:t>
            </w:r>
          </w:p>
        </w:tc>
        <w:tc>
          <w:tcPr>
            <w:tcW w:w="7100" w:type="dxa"/>
            <w:vAlign w:val="bottom"/>
            <w:gridSpan w:val="3"/>
          </w:tcPr>
          <w:p>
            <w:pPr>
              <w:jc w:val="center"/>
              <w:ind w:left="1650"/>
              <w:spacing w:after="0" w:line="202" w:lineRule="exact"/>
              <w:rPr>
                <w:sz w:val="20"/>
                <w:szCs w:val="20"/>
                <w:color w:val="auto"/>
              </w:rPr>
            </w:pPr>
            <w:r>
              <w:rPr>
                <w:rFonts w:ascii="Arial" w:cs="Arial" w:eastAsia="Arial" w:hAnsi="Arial"/>
                <w:sz w:val="18"/>
                <w:szCs w:val="18"/>
                <w:color w:val="auto"/>
                <w:w w:val="99"/>
              </w:rPr>
              <w:t>3,915,370</w:t>
            </w:r>
          </w:p>
        </w:tc>
      </w:tr>
      <w:tr>
        <w:trPr>
          <w:trHeight w:val="203"/>
        </w:trPr>
        <w:tc>
          <w:tcPr>
            <w:tcW w:w="4320" w:type="dxa"/>
            <w:vAlign w:val="bottom"/>
            <w:shd w:val="clear" w:color="auto" w:fill="E5FFFF"/>
          </w:tcPr>
          <w:p>
            <w:pPr>
              <w:jc w:val="center"/>
              <w:ind w:left="1090"/>
              <w:spacing w:after="0" w:line="202" w:lineRule="exact"/>
              <w:rPr>
                <w:sz w:val="20"/>
                <w:szCs w:val="20"/>
                <w:color w:val="auto"/>
              </w:rPr>
            </w:pPr>
            <w:r>
              <w:rPr>
                <w:rFonts w:ascii="Arial" w:cs="Arial" w:eastAsia="Arial" w:hAnsi="Arial"/>
                <w:sz w:val="18"/>
                <w:szCs w:val="18"/>
                <w:color w:val="auto"/>
              </w:rPr>
              <w:t>Third</w:t>
            </w:r>
          </w:p>
        </w:tc>
        <w:tc>
          <w:tcPr>
            <w:tcW w:w="7100" w:type="dxa"/>
            <w:vAlign w:val="bottom"/>
            <w:gridSpan w:val="3"/>
            <w:shd w:val="clear" w:color="auto" w:fill="E5FFFF"/>
          </w:tcPr>
          <w:p>
            <w:pPr>
              <w:jc w:val="center"/>
              <w:ind w:left="1650"/>
              <w:spacing w:after="0" w:line="202" w:lineRule="exact"/>
              <w:rPr>
                <w:sz w:val="20"/>
                <w:szCs w:val="20"/>
                <w:color w:val="auto"/>
              </w:rPr>
            </w:pPr>
            <w:r>
              <w:rPr>
                <w:rFonts w:ascii="Arial" w:cs="Arial" w:eastAsia="Arial" w:hAnsi="Arial"/>
                <w:sz w:val="18"/>
                <w:szCs w:val="18"/>
                <w:color w:val="auto"/>
                <w:w w:val="99"/>
              </w:rPr>
              <w:t>3,915,370</w:t>
            </w:r>
          </w:p>
        </w:tc>
      </w:tr>
      <w:tr>
        <w:trPr>
          <w:trHeight w:val="203"/>
        </w:trPr>
        <w:tc>
          <w:tcPr>
            <w:tcW w:w="4320" w:type="dxa"/>
            <w:vAlign w:val="bottom"/>
          </w:tcPr>
          <w:p>
            <w:pPr>
              <w:jc w:val="center"/>
              <w:ind w:left="1070"/>
              <w:spacing w:after="0" w:line="202" w:lineRule="exact"/>
              <w:rPr>
                <w:sz w:val="20"/>
                <w:szCs w:val="20"/>
                <w:color w:val="auto"/>
              </w:rPr>
            </w:pPr>
            <w:r>
              <w:rPr>
                <w:rFonts w:ascii="Arial" w:cs="Arial" w:eastAsia="Arial" w:hAnsi="Arial"/>
                <w:sz w:val="18"/>
                <w:szCs w:val="18"/>
                <w:color w:val="auto"/>
                <w:w w:val="99"/>
              </w:rPr>
              <w:t>Fourth</w:t>
            </w:r>
          </w:p>
        </w:tc>
        <w:tc>
          <w:tcPr>
            <w:tcW w:w="7100" w:type="dxa"/>
            <w:vAlign w:val="bottom"/>
            <w:gridSpan w:val="3"/>
          </w:tcPr>
          <w:p>
            <w:pPr>
              <w:jc w:val="center"/>
              <w:ind w:left="1650"/>
              <w:spacing w:after="0" w:line="202" w:lineRule="exact"/>
              <w:rPr>
                <w:sz w:val="20"/>
                <w:szCs w:val="20"/>
                <w:color w:val="auto"/>
              </w:rPr>
            </w:pPr>
            <w:r>
              <w:rPr>
                <w:rFonts w:ascii="Arial" w:cs="Arial" w:eastAsia="Arial" w:hAnsi="Arial"/>
                <w:sz w:val="18"/>
                <w:szCs w:val="18"/>
                <w:color w:val="auto"/>
                <w:w w:val="99"/>
              </w:rPr>
              <w:t>3,915,370</w:t>
            </w:r>
          </w:p>
        </w:tc>
      </w:tr>
      <w:tr>
        <w:trPr>
          <w:trHeight w:val="203"/>
        </w:trPr>
        <w:tc>
          <w:tcPr>
            <w:tcW w:w="4320" w:type="dxa"/>
            <w:vAlign w:val="bottom"/>
            <w:shd w:val="clear" w:color="auto" w:fill="E5FFFF"/>
          </w:tcPr>
          <w:p>
            <w:pPr>
              <w:jc w:val="center"/>
              <w:ind w:left="1090"/>
              <w:spacing w:after="0" w:line="202" w:lineRule="exact"/>
              <w:rPr>
                <w:sz w:val="20"/>
                <w:szCs w:val="20"/>
                <w:color w:val="auto"/>
              </w:rPr>
            </w:pPr>
            <w:r>
              <w:rPr>
                <w:rFonts w:ascii="Arial" w:cs="Arial" w:eastAsia="Arial" w:hAnsi="Arial"/>
                <w:sz w:val="18"/>
                <w:szCs w:val="18"/>
                <w:color w:val="auto"/>
                <w:w w:val="96"/>
              </w:rPr>
              <w:t>Fifth</w:t>
            </w:r>
          </w:p>
        </w:tc>
        <w:tc>
          <w:tcPr>
            <w:tcW w:w="7100" w:type="dxa"/>
            <w:vAlign w:val="bottom"/>
            <w:gridSpan w:val="3"/>
            <w:shd w:val="clear" w:color="auto" w:fill="E5FFFF"/>
          </w:tcPr>
          <w:p>
            <w:pPr>
              <w:jc w:val="center"/>
              <w:ind w:left="1650"/>
              <w:spacing w:after="0" w:line="202" w:lineRule="exact"/>
              <w:rPr>
                <w:sz w:val="20"/>
                <w:szCs w:val="20"/>
                <w:color w:val="auto"/>
              </w:rPr>
            </w:pPr>
            <w:r>
              <w:rPr>
                <w:rFonts w:ascii="Arial" w:cs="Arial" w:eastAsia="Arial" w:hAnsi="Arial"/>
                <w:sz w:val="18"/>
                <w:szCs w:val="18"/>
                <w:color w:val="auto"/>
                <w:w w:val="99"/>
              </w:rPr>
              <w:t>3,915,370</w:t>
            </w:r>
          </w:p>
        </w:tc>
      </w:tr>
      <w:tr>
        <w:trPr>
          <w:trHeight w:val="203"/>
        </w:trPr>
        <w:tc>
          <w:tcPr>
            <w:tcW w:w="4320" w:type="dxa"/>
            <w:vAlign w:val="bottom"/>
          </w:tcPr>
          <w:p>
            <w:pPr>
              <w:jc w:val="center"/>
              <w:ind w:left="1070"/>
              <w:spacing w:after="0" w:line="202" w:lineRule="exact"/>
              <w:rPr>
                <w:sz w:val="20"/>
                <w:szCs w:val="20"/>
                <w:color w:val="auto"/>
              </w:rPr>
            </w:pPr>
            <w:r>
              <w:rPr>
                <w:rFonts w:ascii="Arial" w:cs="Arial" w:eastAsia="Arial" w:hAnsi="Arial"/>
                <w:sz w:val="18"/>
                <w:szCs w:val="18"/>
                <w:color w:val="auto"/>
                <w:w w:val="99"/>
              </w:rPr>
              <w:t>Sixth</w:t>
            </w:r>
          </w:p>
        </w:tc>
        <w:tc>
          <w:tcPr>
            <w:tcW w:w="7100" w:type="dxa"/>
            <w:vAlign w:val="bottom"/>
            <w:gridSpan w:val="3"/>
          </w:tcPr>
          <w:p>
            <w:pPr>
              <w:jc w:val="center"/>
              <w:ind w:left="1650"/>
              <w:spacing w:after="0" w:line="202" w:lineRule="exact"/>
              <w:rPr>
                <w:sz w:val="20"/>
                <w:szCs w:val="20"/>
                <w:color w:val="auto"/>
              </w:rPr>
            </w:pPr>
            <w:r>
              <w:rPr>
                <w:rFonts w:ascii="Arial" w:cs="Arial" w:eastAsia="Arial" w:hAnsi="Arial"/>
                <w:sz w:val="18"/>
                <w:szCs w:val="18"/>
                <w:color w:val="auto"/>
                <w:w w:val="99"/>
              </w:rPr>
              <w:t>3,915,370</w:t>
            </w:r>
          </w:p>
        </w:tc>
      </w:tr>
      <w:tr>
        <w:trPr>
          <w:trHeight w:val="203"/>
        </w:trPr>
        <w:tc>
          <w:tcPr>
            <w:tcW w:w="4320" w:type="dxa"/>
            <w:vAlign w:val="bottom"/>
            <w:shd w:val="clear" w:color="auto" w:fill="E5FFFF"/>
          </w:tcPr>
          <w:p>
            <w:pPr>
              <w:jc w:val="center"/>
              <w:ind w:left="1090"/>
              <w:spacing w:after="0" w:line="202" w:lineRule="exact"/>
              <w:rPr>
                <w:sz w:val="20"/>
                <w:szCs w:val="20"/>
                <w:color w:val="auto"/>
              </w:rPr>
            </w:pPr>
            <w:r>
              <w:rPr>
                <w:rFonts w:ascii="Arial" w:cs="Arial" w:eastAsia="Arial" w:hAnsi="Arial"/>
                <w:sz w:val="18"/>
                <w:szCs w:val="18"/>
                <w:color w:val="auto"/>
                <w:w w:val="99"/>
              </w:rPr>
              <w:t>Seventh</w:t>
            </w:r>
          </w:p>
        </w:tc>
        <w:tc>
          <w:tcPr>
            <w:tcW w:w="7100" w:type="dxa"/>
            <w:vAlign w:val="bottom"/>
            <w:gridSpan w:val="3"/>
            <w:shd w:val="clear" w:color="auto" w:fill="E5FFFF"/>
          </w:tcPr>
          <w:p>
            <w:pPr>
              <w:jc w:val="center"/>
              <w:ind w:left="1650"/>
              <w:spacing w:after="0" w:line="202" w:lineRule="exact"/>
              <w:rPr>
                <w:sz w:val="20"/>
                <w:szCs w:val="20"/>
                <w:color w:val="auto"/>
              </w:rPr>
            </w:pPr>
            <w:r>
              <w:rPr>
                <w:rFonts w:ascii="Arial" w:cs="Arial" w:eastAsia="Arial" w:hAnsi="Arial"/>
                <w:sz w:val="18"/>
                <w:szCs w:val="18"/>
                <w:color w:val="auto"/>
                <w:w w:val="99"/>
              </w:rPr>
              <w:t>3,915,370</w:t>
            </w:r>
          </w:p>
        </w:tc>
      </w:tr>
      <w:tr>
        <w:trPr>
          <w:trHeight w:val="203"/>
        </w:trPr>
        <w:tc>
          <w:tcPr>
            <w:tcW w:w="4320" w:type="dxa"/>
            <w:vAlign w:val="bottom"/>
          </w:tcPr>
          <w:p>
            <w:pPr>
              <w:jc w:val="center"/>
              <w:ind w:left="1090"/>
              <w:spacing w:after="0" w:line="202" w:lineRule="exact"/>
              <w:rPr>
                <w:sz w:val="20"/>
                <w:szCs w:val="20"/>
                <w:color w:val="auto"/>
              </w:rPr>
            </w:pPr>
            <w:r>
              <w:rPr>
                <w:rFonts w:ascii="Arial" w:cs="Arial" w:eastAsia="Arial" w:hAnsi="Arial"/>
                <w:sz w:val="18"/>
                <w:szCs w:val="18"/>
                <w:color w:val="auto"/>
                <w:w w:val="97"/>
              </w:rPr>
              <w:t>Eighth</w:t>
            </w:r>
          </w:p>
        </w:tc>
        <w:tc>
          <w:tcPr>
            <w:tcW w:w="7100" w:type="dxa"/>
            <w:vAlign w:val="bottom"/>
            <w:gridSpan w:val="3"/>
          </w:tcPr>
          <w:p>
            <w:pPr>
              <w:jc w:val="center"/>
              <w:ind w:left="1650"/>
              <w:spacing w:after="0" w:line="202" w:lineRule="exact"/>
              <w:rPr>
                <w:sz w:val="20"/>
                <w:szCs w:val="20"/>
                <w:color w:val="auto"/>
              </w:rPr>
            </w:pPr>
            <w:r>
              <w:rPr>
                <w:rFonts w:ascii="Arial" w:cs="Arial" w:eastAsia="Arial" w:hAnsi="Arial"/>
                <w:sz w:val="18"/>
                <w:szCs w:val="18"/>
                <w:color w:val="auto"/>
                <w:w w:val="99"/>
              </w:rPr>
              <w:t>3,915,370</w:t>
            </w:r>
          </w:p>
        </w:tc>
      </w:tr>
      <w:tr>
        <w:trPr>
          <w:trHeight w:val="203"/>
        </w:trPr>
        <w:tc>
          <w:tcPr>
            <w:tcW w:w="4320" w:type="dxa"/>
            <w:vAlign w:val="bottom"/>
            <w:shd w:val="clear" w:color="auto" w:fill="E5FFFF"/>
          </w:tcPr>
          <w:p>
            <w:pPr>
              <w:jc w:val="center"/>
              <w:ind w:left="1090"/>
              <w:spacing w:after="0" w:line="202" w:lineRule="exact"/>
              <w:rPr>
                <w:sz w:val="20"/>
                <w:szCs w:val="20"/>
                <w:color w:val="auto"/>
              </w:rPr>
            </w:pPr>
            <w:r>
              <w:rPr>
                <w:rFonts w:ascii="Arial" w:cs="Arial" w:eastAsia="Arial" w:hAnsi="Arial"/>
                <w:sz w:val="18"/>
                <w:szCs w:val="18"/>
                <w:color w:val="auto"/>
                <w:w w:val="99"/>
              </w:rPr>
              <w:t>Ninth</w:t>
            </w:r>
          </w:p>
        </w:tc>
        <w:tc>
          <w:tcPr>
            <w:tcW w:w="7100" w:type="dxa"/>
            <w:vAlign w:val="bottom"/>
            <w:gridSpan w:val="3"/>
            <w:shd w:val="clear" w:color="auto" w:fill="E5FFFF"/>
          </w:tcPr>
          <w:p>
            <w:pPr>
              <w:jc w:val="center"/>
              <w:ind w:left="1650"/>
              <w:spacing w:after="0" w:line="202" w:lineRule="exact"/>
              <w:rPr>
                <w:sz w:val="20"/>
                <w:szCs w:val="20"/>
                <w:color w:val="auto"/>
              </w:rPr>
            </w:pPr>
            <w:r>
              <w:rPr>
                <w:rFonts w:ascii="Arial" w:cs="Arial" w:eastAsia="Arial" w:hAnsi="Arial"/>
                <w:sz w:val="18"/>
                <w:szCs w:val="18"/>
                <w:color w:val="auto"/>
                <w:w w:val="99"/>
              </w:rPr>
              <w:t>3,915,370</w:t>
            </w:r>
          </w:p>
        </w:tc>
      </w:tr>
      <w:tr>
        <w:trPr>
          <w:trHeight w:val="217"/>
        </w:trPr>
        <w:tc>
          <w:tcPr>
            <w:tcW w:w="4320" w:type="dxa"/>
            <w:vAlign w:val="bottom"/>
          </w:tcPr>
          <w:p>
            <w:pPr>
              <w:jc w:val="center"/>
              <w:ind w:left="1070"/>
              <w:spacing w:after="0"/>
              <w:rPr>
                <w:sz w:val="20"/>
                <w:szCs w:val="20"/>
                <w:color w:val="auto"/>
              </w:rPr>
            </w:pPr>
            <w:r>
              <w:rPr>
                <w:rFonts w:ascii="Arial" w:cs="Arial" w:eastAsia="Arial" w:hAnsi="Arial"/>
                <w:sz w:val="18"/>
                <w:szCs w:val="18"/>
                <w:color w:val="auto"/>
                <w:w w:val="95"/>
              </w:rPr>
              <w:t>Tenth</w:t>
            </w:r>
          </w:p>
        </w:tc>
        <w:tc>
          <w:tcPr>
            <w:tcW w:w="7100" w:type="dxa"/>
            <w:vAlign w:val="bottom"/>
            <w:gridSpan w:val="3"/>
          </w:tcPr>
          <w:p>
            <w:pPr>
              <w:jc w:val="center"/>
              <w:ind w:left="1630"/>
              <w:spacing w:after="0"/>
              <w:rPr>
                <w:sz w:val="20"/>
                <w:szCs w:val="20"/>
                <w:color w:val="auto"/>
              </w:rPr>
            </w:pPr>
            <w:r>
              <w:rPr>
                <w:rFonts w:ascii="Arial" w:cs="Arial" w:eastAsia="Arial" w:hAnsi="Arial"/>
                <w:sz w:val="18"/>
                <w:szCs w:val="18"/>
                <w:color w:val="auto"/>
                <w:w w:val="99"/>
              </w:rPr>
              <w:t>92,290,852</w:t>
            </w:r>
          </w:p>
        </w:tc>
      </w:tr>
      <w:tr>
        <w:trPr>
          <w:trHeight w:val="391"/>
        </w:trPr>
        <w:tc>
          <w:tcPr>
            <w:tcW w:w="4320" w:type="dxa"/>
            <w:vAlign w:val="bottom"/>
          </w:tcPr>
          <w:p>
            <w:pPr>
              <w:spacing w:after="0"/>
              <w:rPr>
                <w:sz w:val="24"/>
                <w:szCs w:val="24"/>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190</w:t>
            </w:r>
          </w:p>
        </w:tc>
        <w:tc>
          <w:tcPr>
            <w:tcW w:w="5360" w:type="dxa"/>
            <w:vAlign w:val="bottom"/>
          </w:tcPr>
          <w:p>
            <w:pPr>
              <w:spacing w:after="0"/>
              <w:rPr>
                <w:sz w:val="24"/>
                <w:szCs w:val="24"/>
                <w:color w:val="auto"/>
              </w:rPr>
            </w:pPr>
          </w:p>
        </w:tc>
      </w:tr>
      <w:tr>
        <w:trPr>
          <w:trHeight w:val="237"/>
        </w:trPr>
        <w:tc>
          <w:tcPr>
            <w:tcW w:w="4320" w:type="dxa"/>
            <w:vAlign w:val="bottom"/>
            <w:tcBorders>
              <w:bottom w:val="single" w:sz="8" w:color="C0C0C0"/>
            </w:tcBorders>
          </w:tcPr>
          <w:p>
            <w:pPr>
              <w:spacing w:after="0"/>
              <w:rPr>
                <w:sz w:val="20"/>
                <w:szCs w:val="20"/>
                <w:color w:val="auto"/>
              </w:rPr>
            </w:pPr>
          </w:p>
        </w:tc>
        <w:tc>
          <w:tcPr>
            <w:tcW w:w="1180" w:type="dxa"/>
            <w:vAlign w:val="bottom"/>
            <w:tcBorders>
              <w:bottom w:val="single" w:sz="8" w:color="C0C0C0"/>
            </w:tcBorders>
          </w:tcPr>
          <w:p>
            <w:pPr>
              <w:spacing w:after="0"/>
              <w:rPr>
                <w:sz w:val="20"/>
                <w:szCs w:val="20"/>
                <w:color w:val="auto"/>
              </w:rPr>
            </w:pPr>
          </w:p>
        </w:tc>
        <w:tc>
          <w:tcPr>
            <w:tcW w:w="560" w:type="dxa"/>
            <w:vAlign w:val="bottom"/>
            <w:tcBorders>
              <w:bottom w:val="single" w:sz="8" w:color="C0C0C0"/>
            </w:tcBorders>
          </w:tcPr>
          <w:p>
            <w:pPr>
              <w:spacing w:after="0"/>
              <w:rPr>
                <w:sz w:val="20"/>
                <w:szCs w:val="20"/>
                <w:color w:val="auto"/>
              </w:rPr>
            </w:pPr>
          </w:p>
        </w:tc>
        <w:tc>
          <w:tcPr>
            <w:tcW w:w="536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00" w:right="239" w:bottom="1440" w:gutter="0" w:footer="0" w:header="0"/>
        </w:sectPr>
      </w:pPr>
    </w:p>
    <w:bookmarkStart w:id="242" w:name="page243"/>
    <w:bookmarkEnd w:id="2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20" w:type="dxa"/>
            <w:vAlign w:val="bottom"/>
          </w:tcPr>
          <w:p>
            <w:pPr>
              <w:spacing w:after="0"/>
              <w:rPr>
                <w:sz w:val="20"/>
                <w:szCs w:val="20"/>
                <w:color w:val="auto"/>
              </w:rPr>
            </w:pPr>
          </w:p>
        </w:tc>
        <w:tc>
          <w:tcPr>
            <w:tcW w:w="7100" w:type="dxa"/>
            <w:vAlign w:val="bottom"/>
            <w:gridSpan w:val="3"/>
          </w:tcPr>
          <w:p>
            <w:pPr>
              <w:jc w:val="center"/>
              <w:ind w:right="4230"/>
              <w:spacing w:after="0"/>
              <w:rPr>
                <w:sz w:val="20"/>
                <w:szCs w:val="20"/>
                <w:color w:val="auto"/>
              </w:rPr>
            </w:pPr>
            <w:r>
              <w:rPr>
                <w:rFonts w:ascii="Arial" w:cs="Arial" w:eastAsia="Arial" w:hAnsi="Arial"/>
                <w:sz w:val="18"/>
                <w:szCs w:val="18"/>
                <w:b w:val="1"/>
                <w:bCs w:val="1"/>
                <w:color w:val="auto"/>
              </w:rPr>
              <w:t>Ship H</w:t>
            </w:r>
          </w:p>
        </w:tc>
      </w:tr>
      <w:tr>
        <w:trPr>
          <w:trHeight w:val="405"/>
        </w:trPr>
        <w:tc>
          <w:tcPr>
            <w:tcW w:w="4320" w:type="dxa"/>
            <w:vAlign w:val="bottom"/>
            <w:tcBorders>
              <w:bottom w:val="single" w:sz="8" w:color="auto"/>
            </w:tcBorders>
          </w:tcPr>
          <w:p>
            <w:pPr>
              <w:jc w:val="center"/>
              <w:ind w:left="1090"/>
              <w:spacing w:after="0"/>
              <w:rPr>
                <w:sz w:val="20"/>
                <w:szCs w:val="20"/>
                <w:color w:val="auto"/>
              </w:rPr>
            </w:pPr>
            <w:r>
              <w:rPr>
                <w:rFonts w:ascii="Arial" w:cs="Arial" w:eastAsia="Arial" w:hAnsi="Arial"/>
                <w:sz w:val="18"/>
                <w:szCs w:val="18"/>
                <w:b w:val="1"/>
                <w:bCs w:val="1"/>
                <w:color w:val="auto"/>
                <w:w w:val="97"/>
              </w:rPr>
              <w:t>Term Loan</w:t>
            </w:r>
          </w:p>
        </w:tc>
        <w:tc>
          <w:tcPr>
            <w:tcW w:w="1180" w:type="dxa"/>
            <w:vAlign w:val="bottom"/>
            <w:tcBorders>
              <w:bottom w:val="single" w:sz="8" w:color="auto"/>
            </w:tcBorders>
          </w:tcPr>
          <w:p>
            <w:pPr>
              <w:spacing w:after="0"/>
              <w:rPr>
                <w:sz w:val="24"/>
                <w:szCs w:val="24"/>
                <w:color w:val="auto"/>
              </w:rPr>
            </w:pPr>
          </w:p>
        </w:tc>
        <w:tc>
          <w:tcPr>
            <w:tcW w:w="560" w:type="dxa"/>
            <w:vAlign w:val="bottom"/>
            <w:tcBorders>
              <w:bottom w:val="single" w:sz="8" w:color="E5FFFF"/>
            </w:tcBorders>
          </w:tcPr>
          <w:p>
            <w:pPr>
              <w:spacing w:after="0"/>
              <w:rPr>
                <w:sz w:val="24"/>
                <w:szCs w:val="24"/>
                <w:color w:val="auto"/>
              </w:rPr>
            </w:pPr>
          </w:p>
        </w:tc>
        <w:tc>
          <w:tcPr>
            <w:tcW w:w="5360" w:type="dxa"/>
            <w:vAlign w:val="bottom"/>
            <w:tcBorders>
              <w:bottom w:val="single" w:sz="8" w:color="auto"/>
            </w:tcBorders>
          </w:tcPr>
          <w:p>
            <w:pPr>
              <w:ind w:left="2200"/>
              <w:spacing w:after="0"/>
              <w:rPr>
                <w:sz w:val="20"/>
                <w:szCs w:val="20"/>
                <w:color w:val="auto"/>
              </w:rPr>
            </w:pPr>
            <w:r>
              <w:rPr>
                <w:rFonts w:ascii="Arial" w:cs="Arial" w:eastAsia="Arial" w:hAnsi="Arial"/>
                <w:sz w:val="18"/>
                <w:szCs w:val="18"/>
                <w:b w:val="1"/>
                <w:bCs w:val="1"/>
                <w:color w:val="auto"/>
              </w:rPr>
              <w:t>Amount ($)</w:t>
            </w:r>
          </w:p>
        </w:tc>
      </w:tr>
      <w:tr>
        <w:trPr>
          <w:trHeight w:val="196"/>
        </w:trPr>
        <w:tc>
          <w:tcPr>
            <w:tcW w:w="4320" w:type="dxa"/>
            <w:vAlign w:val="bottom"/>
            <w:shd w:val="clear" w:color="auto" w:fill="E5FFFF"/>
          </w:tcPr>
          <w:p>
            <w:pPr>
              <w:jc w:val="center"/>
              <w:ind w:left="1090"/>
              <w:spacing w:after="0" w:line="196" w:lineRule="exact"/>
              <w:rPr>
                <w:sz w:val="20"/>
                <w:szCs w:val="20"/>
                <w:color w:val="auto"/>
              </w:rPr>
            </w:pPr>
            <w:r>
              <w:rPr>
                <w:rFonts w:ascii="Arial" w:cs="Arial" w:eastAsia="Arial" w:hAnsi="Arial"/>
                <w:sz w:val="18"/>
                <w:szCs w:val="18"/>
                <w:color w:val="auto"/>
                <w:w w:val="97"/>
              </w:rPr>
              <w:t>First</w:t>
            </w:r>
          </w:p>
        </w:tc>
        <w:tc>
          <w:tcPr>
            <w:tcW w:w="118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5360" w:type="dxa"/>
            <w:vAlign w:val="bottom"/>
            <w:shd w:val="clear" w:color="auto" w:fill="E5FFFF"/>
          </w:tcPr>
          <w:p>
            <w:pPr>
              <w:jc w:val="center"/>
              <w:spacing w:after="0" w:line="196" w:lineRule="exact"/>
              <w:rPr>
                <w:sz w:val="20"/>
                <w:szCs w:val="20"/>
                <w:color w:val="auto"/>
              </w:rPr>
            </w:pPr>
            <w:r>
              <w:rPr>
                <w:rFonts w:ascii="Arial" w:cs="Arial" w:eastAsia="Arial" w:hAnsi="Arial"/>
                <w:sz w:val="18"/>
                <w:szCs w:val="18"/>
                <w:color w:val="auto"/>
                <w:w w:val="99"/>
              </w:rPr>
              <w:t>3,291,180</w:t>
            </w:r>
          </w:p>
        </w:tc>
      </w:tr>
      <w:tr>
        <w:trPr>
          <w:trHeight w:val="203"/>
        </w:trPr>
        <w:tc>
          <w:tcPr>
            <w:tcW w:w="4320" w:type="dxa"/>
            <w:vAlign w:val="bottom"/>
          </w:tcPr>
          <w:p>
            <w:pPr>
              <w:jc w:val="center"/>
              <w:ind w:left="1090"/>
              <w:spacing w:after="0" w:line="202" w:lineRule="exact"/>
              <w:rPr>
                <w:sz w:val="20"/>
                <w:szCs w:val="20"/>
                <w:color w:val="auto"/>
              </w:rPr>
            </w:pPr>
            <w:r>
              <w:rPr>
                <w:rFonts w:ascii="Arial" w:cs="Arial" w:eastAsia="Arial" w:hAnsi="Arial"/>
                <w:sz w:val="18"/>
                <w:szCs w:val="18"/>
                <w:color w:val="auto"/>
              </w:rPr>
              <w:t>Second</w:t>
            </w:r>
          </w:p>
        </w:tc>
        <w:tc>
          <w:tcPr>
            <w:tcW w:w="7100" w:type="dxa"/>
            <w:vAlign w:val="bottom"/>
            <w:gridSpan w:val="3"/>
          </w:tcPr>
          <w:p>
            <w:pPr>
              <w:jc w:val="center"/>
              <w:ind w:left="1650"/>
              <w:spacing w:after="0" w:line="202" w:lineRule="exact"/>
              <w:rPr>
                <w:sz w:val="20"/>
                <w:szCs w:val="20"/>
                <w:color w:val="auto"/>
              </w:rPr>
            </w:pPr>
            <w:r>
              <w:rPr>
                <w:rFonts w:ascii="Arial" w:cs="Arial" w:eastAsia="Arial" w:hAnsi="Arial"/>
                <w:sz w:val="18"/>
                <w:szCs w:val="18"/>
                <w:color w:val="auto"/>
                <w:w w:val="99"/>
              </w:rPr>
              <w:t>3,291,180</w:t>
            </w:r>
          </w:p>
        </w:tc>
      </w:tr>
      <w:tr>
        <w:trPr>
          <w:trHeight w:val="203"/>
        </w:trPr>
        <w:tc>
          <w:tcPr>
            <w:tcW w:w="4320" w:type="dxa"/>
            <w:vAlign w:val="bottom"/>
            <w:shd w:val="clear" w:color="auto" w:fill="E5FFFF"/>
          </w:tcPr>
          <w:p>
            <w:pPr>
              <w:jc w:val="center"/>
              <w:ind w:left="1090"/>
              <w:spacing w:after="0" w:line="202" w:lineRule="exact"/>
              <w:rPr>
                <w:sz w:val="20"/>
                <w:szCs w:val="20"/>
                <w:color w:val="auto"/>
              </w:rPr>
            </w:pPr>
            <w:r>
              <w:rPr>
                <w:rFonts w:ascii="Arial" w:cs="Arial" w:eastAsia="Arial" w:hAnsi="Arial"/>
                <w:sz w:val="18"/>
                <w:szCs w:val="18"/>
                <w:color w:val="auto"/>
              </w:rPr>
              <w:t>Third</w:t>
            </w:r>
          </w:p>
        </w:tc>
        <w:tc>
          <w:tcPr>
            <w:tcW w:w="7100" w:type="dxa"/>
            <w:vAlign w:val="bottom"/>
            <w:gridSpan w:val="3"/>
            <w:shd w:val="clear" w:color="auto" w:fill="E5FFFF"/>
          </w:tcPr>
          <w:p>
            <w:pPr>
              <w:jc w:val="center"/>
              <w:ind w:left="1650"/>
              <w:spacing w:after="0" w:line="202" w:lineRule="exact"/>
              <w:rPr>
                <w:sz w:val="20"/>
                <w:szCs w:val="20"/>
                <w:color w:val="auto"/>
              </w:rPr>
            </w:pPr>
            <w:r>
              <w:rPr>
                <w:rFonts w:ascii="Arial" w:cs="Arial" w:eastAsia="Arial" w:hAnsi="Arial"/>
                <w:sz w:val="18"/>
                <w:szCs w:val="18"/>
                <w:color w:val="auto"/>
                <w:w w:val="99"/>
              </w:rPr>
              <w:t>3,291,180</w:t>
            </w:r>
          </w:p>
        </w:tc>
      </w:tr>
      <w:tr>
        <w:trPr>
          <w:trHeight w:val="203"/>
        </w:trPr>
        <w:tc>
          <w:tcPr>
            <w:tcW w:w="4320" w:type="dxa"/>
            <w:vAlign w:val="bottom"/>
          </w:tcPr>
          <w:p>
            <w:pPr>
              <w:jc w:val="center"/>
              <w:ind w:left="1070"/>
              <w:spacing w:after="0" w:line="202" w:lineRule="exact"/>
              <w:rPr>
                <w:sz w:val="20"/>
                <w:szCs w:val="20"/>
                <w:color w:val="auto"/>
              </w:rPr>
            </w:pPr>
            <w:r>
              <w:rPr>
                <w:rFonts w:ascii="Arial" w:cs="Arial" w:eastAsia="Arial" w:hAnsi="Arial"/>
                <w:sz w:val="18"/>
                <w:szCs w:val="18"/>
                <w:color w:val="auto"/>
                <w:w w:val="99"/>
              </w:rPr>
              <w:t>Fourth</w:t>
            </w:r>
          </w:p>
        </w:tc>
        <w:tc>
          <w:tcPr>
            <w:tcW w:w="7100" w:type="dxa"/>
            <w:vAlign w:val="bottom"/>
            <w:gridSpan w:val="3"/>
          </w:tcPr>
          <w:p>
            <w:pPr>
              <w:jc w:val="center"/>
              <w:ind w:left="1650"/>
              <w:spacing w:after="0" w:line="202" w:lineRule="exact"/>
              <w:rPr>
                <w:sz w:val="20"/>
                <w:szCs w:val="20"/>
                <w:color w:val="auto"/>
              </w:rPr>
            </w:pPr>
            <w:r>
              <w:rPr>
                <w:rFonts w:ascii="Arial" w:cs="Arial" w:eastAsia="Arial" w:hAnsi="Arial"/>
                <w:sz w:val="18"/>
                <w:szCs w:val="18"/>
                <w:color w:val="auto"/>
                <w:w w:val="99"/>
              </w:rPr>
              <w:t>3,291,180</w:t>
            </w:r>
          </w:p>
        </w:tc>
      </w:tr>
      <w:tr>
        <w:trPr>
          <w:trHeight w:val="203"/>
        </w:trPr>
        <w:tc>
          <w:tcPr>
            <w:tcW w:w="4320" w:type="dxa"/>
            <w:vAlign w:val="bottom"/>
            <w:shd w:val="clear" w:color="auto" w:fill="E5FFFF"/>
          </w:tcPr>
          <w:p>
            <w:pPr>
              <w:jc w:val="center"/>
              <w:ind w:left="1090"/>
              <w:spacing w:after="0" w:line="202" w:lineRule="exact"/>
              <w:rPr>
                <w:sz w:val="20"/>
                <w:szCs w:val="20"/>
                <w:color w:val="auto"/>
              </w:rPr>
            </w:pPr>
            <w:r>
              <w:rPr>
                <w:rFonts w:ascii="Arial" w:cs="Arial" w:eastAsia="Arial" w:hAnsi="Arial"/>
                <w:sz w:val="18"/>
                <w:szCs w:val="18"/>
                <w:color w:val="auto"/>
                <w:w w:val="96"/>
              </w:rPr>
              <w:t>Fifth</w:t>
            </w:r>
          </w:p>
        </w:tc>
        <w:tc>
          <w:tcPr>
            <w:tcW w:w="7100" w:type="dxa"/>
            <w:vAlign w:val="bottom"/>
            <w:gridSpan w:val="3"/>
            <w:shd w:val="clear" w:color="auto" w:fill="E5FFFF"/>
          </w:tcPr>
          <w:p>
            <w:pPr>
              <w:jc w:val="center"/>
              <w:ind w:left="1650"/>
              <w:spacing w:after="0" w:line="202" w:lineRule="exact"/>
              <w:rPr>
                <w:sz w:val="20"/>
                <w:szCs w:val="20"/>
                <w:color w:val="auto"/>
              </w:rPr>
            </w:pPr>
            <w:r>
              <w:rPr>
                <w:rFonts w:ascii="Arial" w:cs="Arial" w:eastAsia="Arial" w:hAnsi="Arial"/>
                <w:sz w:val="18"/>
                <w:szCs w:val="18"/>
                <w:color w:val="auto"/>
                <w:w w:val="99"/>
              </w:rPr>
              <w:t>3,291,180</w:t>
            </w:r>
          </w:p>
        </w:tc>
      </w:tr>
      <w:tr>
        <w:trPr>
          <w:trHeight w:val="203"/>
        </w:trPr>
        <w:tc>
          <w:tcPr>
            <w:tcW w:w="4320" w:type="dxa"/>
            <w:vAlign w:val="bottom"/>
          </w:tcPr>
          <w:p>
            <w:pPr>
              <w:jc w:val="center"/>
              <w:ind w:left="1070"/>
              <w:spacing w:after="0" w:line="202" w:lineRule="exact"/>
              <w:rPr>
                <w:sz w:val="20"/>
                <w:szCs w:val="20"/>
                <w:color w:val="auto"/>
              </w:rPr>
            </w:pPr>
            <w:r>
              <w:rPr>
                <w:rFonts w:ascii="Arial" w:cs="Arial" w:eastAsia="Arial" w:hAnsi="Arial"/>
                <w:sz w:val="18"/>
                <w:szCs w:val="18"/>
                <w:color w:val="auto"/>
                <w:w w:val="99"/>
              </w:rPr>
              <w:t>Sixth</w:t>
            </w:r>
          </w:p>
        </w:tc>
        <w:tc>
          <w:tcPr>
            <w:tcW w:w="7100" w:type="dxa"/>
            <w:vAlign w:val="bottom"/>
            <w:gridSpan w:val="3"/>
          </w:tcPr>
          <w:p>
            <w:pPr>
              <w:jc w:val="center"/>
              <w:ind w:left="1650"/>
              <w:spacing w:after="0" w:line="202" w:lineRule="exact"/>
              <w:rPr>
                <w:sz w:val="20"/>
                <w:szCs w:val="20"/>
                <w:color w:val="auto"/>
              </w:rPr>
            </w:pPr>
            <w:r>
              <w:rPr>
                <w:rFonts w:ascii="Arial" w:cs="Arial" w:eastAsia="Arial" w:hAnsi="Arial"/>
                <w:sz w:val="18"/>
                <w:szCs w:val="18"/>
                <w:color w:val="auto"/>
                <w:w w:val="99"/>
              </w:rPr>
              <w:t>3,291,180</w:t>
            </w:r>
          </w:p>
        </w:tc>
      </w:tr>
      <w:tr>
        <w:trPr>
          <w:trHeight w:val="203"/>
        </w:trPr>
        <w:tc>
          <w:tcPr>
            <w:tcW w:w="4320" w:type="dxa"/>
            <w:vAlign w:val="bottom"/>
            <w:shd w:val="clear" w:color="auto" w:fill="E5FFFF"/>
          </w:tcPr>
          <w:p>
            <w:pPr>
              <w:jc w:val="center"/>
              <w:ind w:left="1090"/>
              <w:spacing w:after="0" w:line="202" w:lineRule="exact"/>
              <w:rPr>
                <w:sz w:val="20"/>
                <w:szCs w:val="20"/>
                <w:color w:val="auto"/>
              </w:rPr>
            </w:pPr>
            <w:r>
              <w:rPr>
                <w:rFonts w:ascii="Arial" w:cs="Arial" w:eastAsia="Arial" w:hAnsi="Arial"/>
                <w:sz w:val="18"/>
                <w:szCs w:val="18"/>
                <w:color w:val="auto"/>
                <w:w w:val="99"/>
              </w:rPr>
              <w:t>Seventh</w:t>
            </w:r>
          </w:p>
        </w:tc>
        <w:tc>
          <w:tcPr>
            <w:tcW w:w="7100" w:type="dxa"/>
            <w:vAlign w:val="bottom"/>
            <w:gridSpan w:val="3"/>
            <w:shd w:val="clear" w:color="auto" w:fill="E5FFFF"/>
          </w:tcPr>
          <w:p>
            <w:pPr>
              <w:jc w:val="center"/>
              <w:ind w:left="1650"/>
              <w:spacing w:after="0" w:line="202" w:lineRule="exact"/>
              <w:rPr>
                <w:sz w:val="20"/>
                <w:szCs w:val="20"/>
                <w:color w:val="auto"/>
              </w:rPr>
            </w:pPr>
            <w:r>
              <w:rPr>
                <w:rFonts w:ascii="Arial" w:cs="Arial" w:eastAsia="Arial" w:hAnsi="Arial"/>
                <w:sz w:val="18"/>
                <w:szCs w:val="18"/>
                <w:color w:val="auto"/>
                <w:w w:val="99"/>
              </w:rPr>
              <w:t>3,291,180</w:t>
            </w:r>
          </w:p>
        </w:tc>
      </w:tr>
      <w:tr>
        <w:trPr>
          <w:trHeight w:val="203"/>
        </w:trPr>
        <w:tc>
          <w:tcPr>
            <w:tcW w:w="4320" w:type="dxa"/>
            <w:vAlign w:val="bottom"/>
          </w:tcPr>
          <w:p>
            <w:pPr>
              <w:jc w:val="center"/>
              <w:ind w:left="1090"/>
              <w:spacing w:after="0" w:line="202" w:lineRule="exact"/>
              <w:rPr>
                <w:sz w:val="20"/>
                <w:szCs w:val="20"/>
                <w:color w:val="auto"/>
              </w:rPr>
            </w:pPr>
            <w:r>
              <w:rPr>
                <w:rFonts w:ascii="Arial" w:cs="Arial" w:eastAsia="Arial" w:hAnsi="Arial"/>
                <w:sz w:val="18"/>
                <w:szCs w:val="18"/>
                <w:color w:val="auto"/>
                <w:w w:val="97"/>
              </w:rPr>
              <w:t>Eighth</w:t>
            </w:r>
          </w:p>
        </w:tc>
        <w:tc>
          <w:tcPr>
            <w:tcW w:w="7100" w:type="dxa"/>
            <w:vAlign w:val="bottom"/>
            <w:gridSpan w:val="3"/>
          </w:tcPr>
          <w:p>
            <w:pPr>
              <w:jc w:val="center"/>
              <w:ind w:left="1650"/>
              <w:spacing w:after="0" w:line="202" w:lineRule="exact"/>
              <w:rPr>
                <w:sz w:val="20"/>
                <w:szCs w:val="20"/>
                <w:color w:val="auto"/>
              </w:rPr>
            </w:pPr>
            <w:r>
              <w:rPr>
                <w:rFonts w:ascii="Arial" w:cs="Arial" w:eastAsia="Arial" w:hAnsi="Arial"/>
                <w:sz w:val="18"/>
                <w:szCs w:val="18"/>
                <w:color w:val="auto"/>
                <w:w w:val="99"/>
              </w:rPr>
              <w:t>3,291,180</w:t>
            </w:r>
          </w:p>
        </w:tc>
      </w:tr>
      <w:tr>
        <w:trPr>
          <w:trHeight w:val="203"/>
        </w:trPr>
        <w:tc>
          <w:tcPr>
            <w:tcW w:w="4320" w:type="dxa"/>
            <w:vAlign w:val="bottom"/>
            <w:shd w:val="clear" w:color="auto" w:fill="E5FFFF"/>
          </w:tcPr>
          <w:p>
            <w:pPr>
              <w:jc w:val="center"/>
              <w:ind w:left="1090"/>
              <w:spacing w:after="0" w:line="202" w:lineRule="exact"/>
              <w:rPr>
                <w:sz w:val="20"/>
                <w:szCs w:val="20"/>
                <w:color w:val="auto"/>
              </w:rPr>
            </w:pPr>
            <w:r>
              <w:rPr>
                <w:rFonts w:ascii="Arial" w:cs="Arial" w:eastAsia="Arial" w:hAnsi="Arial"/>
                <w:sz w:val="18"/>
                <w:szCs w:val="18"/>
                <w:color w:val="auto"/>
                <w:w w:val="99"/>
              </w:rPr>
              <w:t>Ninth</w:t>
            </w:r>
          </w:p>
        </w:tc>
        <w:tc>
          <w:tcPr>
            <w:tcW w:w="7100" w:type="dxa"/>
            <w:vAlign w:val="bottom"/>
            <w:gridSpan w:val="3"/>
            <w:shd w:val="clear" w:color="auto" w:fill="E5FFFF"/>
          </w:tcPr>
          <w:p>
            <w:pPr>
              <w:jc w:val="center"/>
              <w:ind w:left="1650"/>
              <w:spacing w:after="0" w:line="202" w:lineRule="exact"/>
              <w:rPr>
                <w:sz w:val="20"/>
                <w:szCs w:val="20"/>
                <w:color w:val="auto"/>
              </w:rPr>
            </w:pPr>
            <w:r>
              <w:rPr>
                <w:rFonts w:ascii="Arial" w:cs="Arial" w:eastAsia="Arial" w:hAnsi="Arial"/>
                <w:sz w:val="18"/>
                <w:szCs w:val="18"/>
                <w:color w:val="auto"/>
                <w:w w:val="99"/>
              </w:rPr>
              <w:t>3,291,180</w:t>
            </w:r>
          </w:p>
        </w:tc>
      </w:tr>
      <w:tr>
        <w:trPr>
          <w:trHeight w:val="217"/>
        </w:trPr>
        <w:tc>
          <w:tcPr>
            <w:tcW w:w="4320" w:type="dxa"/>
            <w:vAlign w:val="bottom"/>
          </w:tcPr>
          <w:p>
            <w:pPr>
              <w:jc w:val="center"/>
              <w:ind w:left="1070"/>
              <w:spacing w:after="0"/>
              <w:rPr>
                <w:sz w:val="20"/>
                <w:szCs w:val="20"/>
                <w:color w:val="auto"/>
              </w:rPr>
            </w:pPr>
            <w:r>
              <w:rPr>
                <w:rFonts w:ascii="Arial" w:cs="Arial" w:eastAsia="Arial" w:hAnsi="Arial"/>
                <w:sz w:val="18"/>
                <w:szCs w:val="18"/>
                <w:color w:val="auto"/>
                <w:w w:val="95"/>
              </w:rPr>
              <w:t>Tenth</w:t>
            </w:r>
          </w:p>
        </w:tc>
        <w:tc>
          <w:tcPr>
            <w:tcW w:w="7100" w:type="dxa"/>
            <w:vAlign w:val="bottom"/>
            <w:gridSpan w:val="3"/>
          </w:tcPr>
          <w:p>
            <w:pPr>
              <w:jc w:val="center"/>
              <w:ind w:left="1630"/>
              <w:spacing w:after="0"/>
              <w:rPr>
                <w:sz w:val="20"/>
                <w:szCs w:val="20"/>
                <w:color w:val="auto"/>
              </w:rPr>
            </w:pPr>
            <w:r>
              <w:rPr>
                <w:rFonts w:ascii="Arial" w:cs="Arial" w:eastAsia="Arial" w:hAnsi="Arial"/>
                <w:sz w:val="18"/>
                <w:szCs w:val="18"/>
                <w:color w:val="auto"/>
                <w:w w:val="99"/>
              </w:rPr>
              <w:t>77,577,823</w:t>
            </w:r>
          </w:p>
        </w:tc>
      </w:tr>
      <w:tr>
        <w:trPr>
          <w:trHeight w:val="391"/>
        </w:trPr>
        <w:tc>
          <w:tcPr>
            <w:tcW w:w="4320" w:type="dxa"/>
            <w:vAlign w:val="bottom"/>
          </w:tcPr>
          <w:p>
            <w:pPr>
              <w:spacing w:after="0"/>
              <w:rPr>
                <w:sz w:val="24"/>
                <w:szCs w:val="24"/>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191</w:t>
            </w:r>
          </w:p>
        </w:tc>
        <w:tc>
          <w:tcPr>
            <w:tcW w:w="5360" w:type="dxa"/>
            <w:vAlign w:val="bottom"/>
          </w:tcPr>
          <w:p>
            <w:pPr>
              <w:spacing w:after="0"/>
              <w:rPr>
                <w:sz w:val="24"/>
                <w:szCs w:val="24"/>
                <w:color w:val="auto"/>
              </w:rPr>
            </w:pPr>
          </w:p>
        </w:tc>
      </w:tr>
      <w:tr>
        <w:trPr>
          <w:trHeight w:val="237"/>
        </w:trPr>
        <w:tc>
          <w:tcPr>
            <w:tcW w:w="4320" w:type="dxa"/>
            <w:vAlign w:val="bottom"/>
            <w:tcBorders>
              <w:bottom w:val="single" w:sz="8" w:color="C0C0C0"/>
            </w:tcBorders>
          </w:tcPr>
          <w:p>
            <w:pPr>
              <w:spacing w:after="0"/>
              <w:rPr>
                <w:sz w:val="20"/>
                <w:szCs w:val="20"/>
                <w:color w:val="auto"/>
              </w:rPr>
            </w:pPr>
          </w:p>
        </w:tc>
        <w:tc>
          <w:tcPr>
            <w:tcW w:w="1180" w:type="dxa"/>
            <w:vAlign w:val="bottom"/>
            <w:tcBorders>
              <w:bottom w:val="single" w:sz="8" w:color="C0C0C0"/>
            </w:tcBorders>
          </w:tcPr>
          <w:p>
            <w:pPr>
              <w:spacing w:after="0"/>
              <w:rPr>
                <w:sz w:val="20"/>
                <w:szCs w:val="20"/>
                <w:color w:val="auto"/>
              </w:rPr>
            </w:pPr>
          </w:p>
        </w:tc>
        <w:tc>
          <w:tcPr>
            <w:tcW w:w="560" w:type="dxa"/>
            <w:vAlign w:val="bottom"/>
            <w:tcBorders>
              <w:bottom w:val="single" w:sz="8" w:color="C0C0C0"/>
            </w:tcBorders>
          </w:tcPr>
          <w:p>
            <w:pPr>
              <w:spacing w:after="0"/>
              <w:rPr>
                <w:sz w:val="20"/>
                <w:szCs w:val="20"/>
                <w:color w:val="auto"/>
              </w:rPr>
            </w:pPr>
          </w:p>
        </w:tc>
        <w:tc>
          <w:tcPr>
            <w:tcW w:w="536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01" w:right="239" w:bottom="1440" w:gutter="0" w:footer="0" w:header="0"/>
        </w:sectPr>
      </w:pPr>
    </w:p>
    <w:bookmarkStart w:id="243" w:name="page244"/>
    <w:bookmarkEnd w:id="2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140" w:type="dxa"/>
            <w:vAlign w:val="bottom"/>
          </w:tcPr>
          <w:p>
            <w:pPr>
              <w:ind w:left="860"/>
              <w:spacing w:after="0"/>
              <w:rPr>
                <w:sz w:val="20"/>
                <w:szCs w:val="20"/>
                <w:color w:val="auto"/>
              </w:rPr>
            </w:pPr>
            <w:r>
              <w:rPr>
                <w:rFonts w:ascii="Arial" w:cs="Arial" w:eastAsia="Arial" w:hAnsi="Arial"/>
                <w:sz w:val="18"/>
                <w:szCs w:val="18"/>
                <w:b w:val="1"/>
                <w:bCs w:val="1"/>
                <w:color w:val="auto"/>
              </w:rPr>
              <w:t>SIGNATURES</w:t>
            </w:r>
          </w:p>
        </w:tc>
      </w:tr>
      <w:tr>
        <w:trPr>
          <w:trHeight w:val="365"/>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THE BORROWERS</w:t>
            </w:r>
          </w:p>
        </w:tc>
        <w:tc>
          <w:tcPr>
            <w:tcW w:w="7140" w:type="dxa"/>
            <w:vAlign w:val="bottom"/>
          </w:tcPr>
          <w:p>
            <w:pPr>
              <w:spacing w:after="0"/>
              <w:rPr>
                <w:sz w:val="24"/>
                <w:szCs w:val="24"/>
                <w:color w:val="auto"/>
              </w:rPr>
            </w:pPr>
          </w:p>
        </w:tc>
      </w:tr>
      <w:tr>
        <w:trPr>
          <w:trHeight w:val="411"/>
        </w:trPr>
        <w:tc>
          <w:tcPr>
            <w:tcW w:w="16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GAS-one LTD.</w:t>
            </w:r>
          </w:p>
        </w:tc>
        <w:tc>
          <w:tcPr>
            <w:tcW w:w="2660" w:type="dxa"/>
            <w:vAlign w:val="bottom"/>
            <w:gridSpan w:val="2"/>
          </w:tcPr>
          <w:p>
            <w:pPr>
              <w:spacing w:after="0"/>
              <w:rPr>
                <w:sz w:val="24"/>
                <w:szCs w:val="24"/>
                <w:color w:val="auto"/>
              </w:rPr>
            </w:pPr>
          </w:p>
        </w:tc>
        <w:tc>
          <w:tcPr>
            <w:tcW w:w="7140" w:type="dxa"/>
            <w:vAlign w:val="bottom"/>
          </w:tcPr>
          <w:p>
            <w:pPr>
              <w:ind w:left="3160"/>
              <w:spacing w:after="0"/>
              <w:rPr>
                <w:sz w:val="20"/>
                <w:szCs w:val="20"/>
                <w:color w:val="auto"/>
              </w:rPr>
            </w:pPr>
            <w:r>
              <w:rPr>
                <w:rFonts w:ascii="Arial" w:cs="Arial" w:eastAsia="Arial" w:hAnsi="Arial"/>
                <w:sz w:val="18"/>
                <w:szCs w:val="18"/>
                <w:color w:val="auto"/>
              </w:rPr>
              <w:t>/s/Achilleas Tasioulas</w:t>
            </w:r>
          </w:p>
        </w:tc>
      </w:tr>
      <w:tr>
        <w:trPr>
          <w:trHeight w:val="217"/>
        </w:trPr>
        <w:tc>
          <w:tcPr>
            <w:tcW w:w="4280" w:type="dxa"/>
            <w:vAlign w:val="bottom"/>
            <w:gridSpan w:val="3"/>
          </w:tcPr>
          <w:p>
            <w:pPr>
              <w:spacing w:after="0"/>
              <w:rPr>
                <w:sz w:val="20"/>
                <w:szCs w:val="20"/>
                <w:color w:val="auto"/>
              </w:rPr>
            </w:pPr>
            <w:r>
              <w:rPr>
                <w:rFonts w:ascii="Arial" w:cs="Arial" w:eastAsia="Arial" w:hAnsi="Arial"/>
                <w:sz w:val="18"/>
                <w:szCs w:val="18"/>
                <w:color w:val="auto"/>
              </w:rPr>
              <w:t>By: Achilleas Tasioulas</w:t>
            </w:r>
          </w:p>
        </w:tc>
        <w:tc>
          <w:tcPr>
            <w:tcW w:w="7140" w:type="dxa"/>
            <w:vAlign w:val="bottom"/>
          </w:tcPr>
          <w:p>
            <w:pPr>
              <w:spacing w:after="0"/>
              <w:rPr>
                <w:sz w:val="18"/>
                <w:szCs w:val="18"/>
                <w:color w:val="auto"/>
              </w:rPr>
            </w:pPr>
          </w:p>
        </w:tc>
      </w:tr>
      <w:tr>
        <w:trPr>
          <w:trHeight w:val="391"/>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GAS-two LTD.</w:t>
            </w:r>
          </w:p>
        </w:tc>
        <w:tc>
          <w:tcPr>
            <w:tcW w:w="7140" w:type="dxa"/>
            <w:vAlign w:val="bottom"/>
          </w:tcPr>
          <w:p>
            <w:pPr>
              <w:ind w:left="3160"/>
              <w:spacing w:after="0"/>
              <w:rPr>
                <w:sz w:val="20"/>
                <w:szCs w:val="20"/>
                <w:color w:val="auto"/>
              </w:rPr>
            </w:pPr>
            <w:r>
              <w:rPr>
                <w:rFonts w:ascii="Arial" w:cs="Arial" w:eastAsia="Arial" w:hAnsi="Arial"/>
                <w:sz w:val="18"/>
                <w:szCs w:val="18"/>
                <w:color w:val="auto"/>
              </w:rPr>
              <w:t>/s/Achilleas Tasioulas</w:t>
            </w:r>
          </w:p>
        </w:tc>
      </w:tr>
      <w:tr>
        <w:trPr>
          <w:trHeight w:val="217"/>
        </w:trPr>
        <w:tc>
          <w:tcPr>
            <w:tcW w:w="4280" w:type="dxa"/>
            <w:vAlign w:val="bottom"/>
            <w:gridSpan w:val="3"/>
          </w:tcPr>
          <w:p>
            <w:pPr>
              <w:spacing w:after="0"/>
              <w:rPr>
                <w:sz w:val="20"/>
                <w:szCs w:val="20"/>
                <w:color w:val="auto"/>
              </w:rPr>
            </w:pPr>
            <w:r>
              <w:rPr>
                <w:rFonts w:ascii="Arial" w:cs="Arial" w:eastAsia="Arial" w:hAnsi="Arial"/>
                <w:sz w:val="18"/>
                <w:szCs w:val="18"/>
                <w:color w:val="auto"/>
              </w:rPr>
              <w:t>By: Achilleas Tasioulas</w:t>
            </w:r>
          </w:p>
        </w:tc>
        <w:tc>
          <w:tcPr>
            <w:tcW w:w="7140" w:type="dxa"/>
            <w:vAlign w:val="bottom"/>
          </w:tcPr>
          <w:p>
            <w:pPr>
              <w:spacing w:after="0"/>
              <w:rPr>
                <w:sz w:val="18"/>
                <w:szCs w:val="18"/>
                <w:color w:val="auto"/>
              </w:rPr>
            </w:pPr>
          </w:p>
        </w:tc>
      </w:tr>
      <w:tr>
        <w:trPr>
          <w:trHeight w:val="391"/>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GAS-six LTD.</w:t>
            </w:r>
          </w:p>
        </w:tc>
        <w:tc>
          <w:tcPr>
            <w:tcW w:w="7140" w:type="dxa"/>
            <w:vAlign w:val="bottom"/>
          </w:tcPr>
          <w:p>
            <w:pPr>
              <w:ind w:left="3160"/>
              <w:spacing w:after="0"/>
              <w:rPr>
                <w:sz w:val="20"/>
                <w:szCs w:val="20"/>
                <w:color w:val="auto"/>
              </w:rPr>
            </w:pPr>
            <w:r>
              <w:rPr>
                <w:rFonts w:ascii="Arial" w:cs="Arial" w:eastAsia="Arial" w:hAnsi="Arial"/>
                <w:sz w:val="18"/>
                <w:szCs w:val="18"/>
                <w:color w:val="auto"/>
              </w:rPr>
              <w:t>/s/Achilleas Tasioulas</w:t>
            </w:r>
          </w:p>
        </w:tc>
      </w:tr>
      <w:tr>
        <w:trPr>
          <w:trHeight w:val="217"/>
        </w:trPr>
        <w:tc>
          <w:tcPr>
            <w:tcW w:w="4280" w:type="dxa"/>
            <w:vAlign w:val="bottom"/>
            <w:gridSpan w:val="3"/>
          </w:tcPr>
          <w:p>
            <w:pPr>
              <w:spacing w:after="0"/>
              <w:rPr>
                <w:sz w:val="20"/>
                <w:szCs w:val="20"/>
                <w:color w:val="auto"/>
              </w:rPr>
            </w:pPr>
            <w:r>
              <w:rPr>
                <w:rFonts w:ascii="Arial" w:cs="Arial" w:eastAsia="Arial" w:hAnsi="Arial"/>
                <w:sz w:val="18"/>
                <w:szCs w:val="18"/>
                <w:color w:val="auto"/>
              </w:rPr>
              <w:t>By: Achilleas Tasioulas</w:t>
            </w:r>
          </w:p>
        </w:tc>
        <w:tc>
          <w:tcPr>
            <w:tcW w:w="7140" w:type="dxa"/>
            <w:vAlign w:val="bottom"/>
          </w:tcPr>
          <w:p>
            <w:pPr>
              <w:spacing w:after="0"/>
              <w:rPr>
                <w:sz w:val="18"/>
                <w:szCs w:val="18"/>
                <w:color w:val="auto"/>
              </w:rPr>
            </w:pPr>
          </w:p>
        </w:tc>
      </w:tr>
      <w:tr>
        <w:trPr>
          <w:trHeight w:val="391"/>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GAS-seven LTD.</w:t>
            </w:r>
          </w:p>
        </w:tc>
        <w:tc>
          <w:tcPr>
            <w:tcW w:w="7140" w:type="dxa"/>
            <w:vAlign w:val="bottom"/>
          </w:tcPr>
          <w:p>
            <w:pPr>
              <w:ind w:left="3160"/>
              <w:spacing w:after="0"/>
              <w:rPr>
                <w:sz w:val="20"/>
                <w:szCs w:val="20"/>
                <w:color w:val="auto"/>
              </w:rPr>
            </w:pPr>
            <w:r>
              <w:rPr>
                <w:rFonts w:ascii="Arial" w:cs="Arial" w:eastAsia="Arial" w:hAnsi="Arial"/>
                <w:sz w:val="18"/>
                <w:szCs w:val="18"/>
                <w:color w:val="auto"/>
              </w:rPr>
              <w:t>/s/Achilleas Tasioulas</w:t>
            </w:r>
          </w:p>
        </w:tc>
      </w:tr>
      <w:tr>
        <w:trPr>
          <w:trHeight w:val="217"/>
        </w:trPr>
        <w:tc>
          <w:tcPr>
            <w:tcW w:w="4280" w:type="dxa"/>
            <w:vAlign w:val="bottom"/>
            <w:gridSpan w:val="3"/>
          </w:tcPr>
          <w:p>
            <w:pPr>
              <w:spacing w:after="0"/>
              <w:rPr>
                <w:sz w:val="20"/>
                <w:szCs w:val="20"/>
                <w:color w:val="auto"/>
              </w:rPr>
            </w:pPr>
            <w:r>
              <w:rPr>
                <w:rFonts w:ascii="Arial" w:cs="Arial" w:eastAsia="Arial" w:hAnsi="Arial"/>
                <w:sz w:val="18"/>
                <w:szCs w:val="18"/>
                <w:color w:val="auto"/>
              </w:rPr>
              <w:t>By: Achilleas Tasioulas</w:t>
            </w:r>
          </w:p>
        </w:tc>
        <w:tc>
          <w:tcPr>
            <w:tcW w:w="7140" w:type="dxa"/>
            <w:vAlign w:val="bottom"/>
          </w:tcPr>
          <w:p>
            <w:pPr>
              <w:spacing w:after="0"/>
              <w:rPr>
                <w:sz w:val="18"/>
                <w:szCs w:val="18"/>
                <w:color w:val="auto"/>
              </w:rPr>
            </w:pPr>
          </w:p>
        </w:tc>
      </w:tr>
      <w:tr>
        <w:trPr>
          <w:trHeight w:val="391"/>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GAS-eight LTD.</w:t>
            </w:r>
          </w:p>
        </w:tc>
        <w:tc>
          <w:tcPr>
            <w:tcW w:w="7140" w:type="dxa"/>
            <w:vAlign w:val="bottom"/>
          </w:tcPr>
          <w:p>
            <w:pPr>
              <w:ind w:left="3160"/>
              <w:spacing w:after="0"/>
              <w:rPr>
                <w:sz w:val="20"/>
                <w:szCs w:val="20"/>
                <w:color w:val="auto"/>
              </w:rPr>
            </w:pPr>
            <w:r>
              <w:rPr>
                <w:rFonts w:ascii="Arial" w:cs="Arial" w:eastAsia="Arial" w:hAnsi="Arial"/>
                <w:sz w:val="18"/>
                <w:szCs w:val="18"/>
                <w:color w:val="auto"/>
              </w:rPr>
              <w:t>/s/Achilleas Tasioulas</w:t>
            </w:r>
          </w:p>
        </w:tc>
      </w:tr>
      <w:tr>
        <w:trPr>
          <w:trHeight w:val="217"/>
        </w:trPr>
        <w:tc>
          <w:tcPr>
            <w:tcW w:w="4280" w:type="dxa"/>
            <w:vAlign w:val="bottom"/>
            <w:gridSpan w:val="3"/>
          </w:tcPr>
          <w:p>
            <w:pPr>
              <w:spacing w:after="0"/>
              <w:rPr>
                <w:sz w:val="20"/>
                <w:szCs w:val="20"/>
                <w:color w:val="auto"/>
              </w:rPr>
            </w:pPr>
            <w:r>
              <w:rPr>
                <w:rFonts w:ascii="Arial" w:cs="Arial" w:eastAsia="Arial" w:hAnsi="Arial"/>
                <w:sz w:val="18"/>
                <w:szCs w:val="18"/>
                <w:color w:val="auto"/>
              </w:rPr>
              <w:t>By: Achilleas Tasioulas</w:t>
            </w:r>
          </w:p>
        </w:tc>
        <w:tc>
          <w:tcPr>
            <w:tcW w:w="7140" w:type="dxa"/>
            <w:vAlign w:val="bottom"/>
          </w:tcPr>
          <w:p>
            <w:pPr>
              <w:spacing w:after="0"/>
              <w:rPr>
                <w:sz w:val="18"/>
                <w:szCs w:val="18"/>
                <w:color w:val="auto"/>
              </w:rPr>
            </w:pPr>
          </w:p>
        </w:tc>
      </w:tr>
      <w:tr>
        <w:trPr>
          <w:trHeight w:val="391"/>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GAS-nine LTD.</w:t>
            </w:r>
          </w:p>
        </w:tc>
        <w:tc>
          <w:tcPr>
            <w:tcW w:w="7140" w:type="dxa"/>
            <w:vAlign w:val="bottom"/>
          </w:tcPr>
          <w:p>
            <w:pPr>
              <w:ind w:left="3160"/>
              <w:spacing w:after="0"/>
              <w:rPr>
                <w:sz w:val="20"/>
                <w:szCs w:val="20"/>
                <w:color w:val="auto"/>
              </w:rPr>
            </w:pPr>
            <w:r>
              <w:rPr>
                <w:rFonts w:ascii="Arial" w:cs="Arial" w:eastAsia="Arial" w:hAnsi="Arial"/>
                <w:sz w:val="18"/>
                <w:szCs w:val="18"/>
                <w:color w:val="auto"/>
              </w:rPr>
              <w:t>/s/Achilleas Tasioulas</w:t>
            </w:r>
          </w:p>
        </w:tc>
      </w:tr>
      <w:tr>
        <w:trPr>
          <w:trHeight w:val="217"/>
        </w:trPr>
        <w:tc>
          <w:tcPr>
            <w:tcW w:w="4280" w:type="dxa"/>
            <w:vAlign w:val="bottom"/>
            <w:gridSpan w:val="3"/>
          </w:tcPr>
          <w:p>
            <w:pPr>
              <w:spacing w:after="0"/>
              <w:rPr>
                <w:sz w:val="20"/>
                <w:szCs w:val="20"/>
                <w:color w:val="auto"/>
              </w:rPr>
            </w:pPr>
            <w:r>
              <w:rPr>
                <w:rFonts w:ascii="Arial" w:cs="Arial" w:eastAsia="Arial" w:hAnsi="Arial"/>
                <w:sz w:val="18"/>
                <w:szCs w:val="18"/>
                <w:color w:val="auto"/>
              </w:rPr>
              <w:t>By: Achilleas Tasioulas</w:t>
            </w:r>
          </w:p>
        </w:tc>
        <w:tc>
          <w:tcPr>
            <w:tcW w:w="7140" w:type="dxa"/>
            <w:vAlign w:val="bottom"/>
          </w:tcPr>
          <w:p>
            <w:pPr>
              <w:spacing w:after="0"/>
              <w:rPr>
                <w:sz w:val="18"/>
                <w:szCs w:val="18"/>
                <w:color w:val="auto"/>
              </w:rPr>
            </w:pPr>
          </w:p>
        </w:tc>
      </w:tr>
      <w:tr>
        <w:trPr>
          <w:trHeight w:val="391"/>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GAS-ten LTD.</w:t>
            </w:r>
          </w:p>
        </w:tc>
        <w:tc>
          <w:tcPr>
            <w:tcW w:w="7140" w:type="dxa"/>
            <w:vAlign w:val="bottom"/>
          </w:tcPr>
          <w:p>
            <w:pPr>
              <w:ind w:left="3160"/>
              <w:spacing w:after="0"/>
              <w:rPr>
                <w:sz w:val="20"/>
                <w:szCs w:val="20"/>
                <w:color w:val="auto"/>
              </w:rPr>
            </w:pPr>
            <w:r>
              <w:rPr>
                <w:rFonts w:ascii="Arial" w:cs="Arial" w:eastAsia="Arial" w:hAnsi="Arial"/>
                <w:sz w:val="18"/>
                <w:szCs w:val="18"/>
                <w:color w:val="auto"/>
              </w:rPr>
              <w:t>/s/Achilleas Tasioulas</w:t>
            </w:r>
          </w:p>
        </w:tc>
      </w:tr>
      <w:tr>
        <w:trPr>
          <w:trHeight w:val="217"/>
        </w:trPr>
        <w:tc>
          <w:tcPr>
            <w:tcW w:w="4280" w:type="dxa"/>
            <w:vAlign w:val="bottom"/>
            <w:gridSpan w:val="3"/>
          </w:tcPr>
          <w:p>
            <w:pPr>
              <w:spacing w:after="0"/>
              <w:rPr>
                <w:sz w:val="20"/>
                <w:szCs w:val="20"/>
                <w:color w:val="auto"/>
              </w:rPr>
            </w:pPr>
            <w:r>
              <w:rPr>
                <w:rFonts w:ascii="Arial" w:cs="Arial" w:eastAsia="Arial" w:hAnsi="Arial"/>
                <w:sz w:val="18"/>
                <w:szCs w:val="18"/>
                <w:color w:val="auto"/>
              </w:rPr>
              <w:t>By: Achilleas Tasioulas</w:t>
            </w:r>
          </w:p>
        </w:tc>
        <w:tc>
          <w:tcPr>
            <w:tcW w:w="7140" w:type="dxa"/>
            <w:vAlign w:val="bottom"/>
          </w:tcPr>
          <w:p>
            <w:pPr>
              <w:spacing w:after="0"/>
              <w:rPr>
                <w:sz w:val="18"/>
                <w:szCs w:val="18"/>
                <w:color w:val="auto"/>
              </w:rPr>
            </w:pPr>
          </w:p>
        </w:tc>
      </w:tr>
      <w:tr>
        <w:trPr>
          <w:trHeight w:val="391"/>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GAS-fifteen LTD.</w:t>
            </w:r>
          </w:p>
        </w:tc>
        <w:tc>
          <w:tcPr>
            <w:tcW w:w="7140" w:type="dxa"/>
            <w:vAlign w:val="bottom"/>
          </w:tcPr>
          <w:p>
            <w:pPr>
              <w:ind w:left="3160"/>
              <w:spacing w:after="0"/>
              <w:rPr>
                <w:sz w:val="20"/>
                <w:szCs w:val="20"/>
                <w:color w:val="auto"/>
              </w:rPr>
            </w:pPr>
            <w:r>
              <w:rPr>
                <w:rFonts w:ascii="Arial" w:cs="Arial" w:eastAsia="Arial" w:hAnsi="Arial"/>
                <w:sz w:val="18"/>
                <w:szCs w:val="18"/>
                <w:color w:val="auto"/>
              </w:rPr>
              <w:t>/s/Achilleas Tasioulas</w:t>
            </w:r>
          </w:p>
        </w:tc>
      </w:tr>
      <w:tr>
        <w:trPr>
          <w:trHeight w:val="217"/>
        </w:trPr>
        <w:tc>
          <w:tcPr>
            <w:tcW w:w="4280" w:type="dxa"/>
            <w:vAlign w:val="bottom"/>
            <w:gridSpan w:val="3"/>
          </w:tcPr>
          <w:p>
            <w:pPr>
              <w:spacing w:after="0"/>
              <w:rPr>
                <w:sz w:val="20"/>
                <w:szCs w:val="20"/>
                <w:color w:val="auto"/>
              </w:rPr>
            </w:pPr>
            <w:r>
              <w:rPr>
                <w:rFonts w:ascii="Arial" w:cs="Arial" w:eastAsia="Arial" w:hAnsi="Arial"/>
                <w:sz w:val="18"/>
                <w:szCs w:val="18"/>
                <w:color w:val="auto"/>
              </w:rPr>
              <w:t>By: Achilleas Tasioulas</w:t>
            </w:r>
          </w:p>
        </w:tc>
        <w:tc>
          <w:tcPr>
            <w:tcW w:w="7140" w:type="dxa"/>
            <w:vAlign w:val="bottom"/>
          </w:tcPr>
          <w:p>
            <w:pPr>
              <w:spacing w:after="0"/>
              <w:rPr>
                <w:sz w:val="18"/>
                <w:szCs w:val="18"/>
                <w:color w:val="auto"/>
              </w:rPr>
            </w:pPr>
          </w:p>
        </w:tc>
      </w:tr>
      <w:tr>
        <w:trPr>
          <w:trHeight w:val="365"/>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THE GUARANTORS</w:t>
            </w:r>
          </w:p>
        </w:tc>
        <w:tc>
          <w:tcPr>
            <w:tcW w:w="7140" w:type="dxa"/>
            <w:vAlign w:val="bottom"/>
          </w:tcPr>
          <w:p>
            <w:pPr>
              <w:spacing w:after="0"/>
              <w:rPr>
                <w:sz w:val="24"/>
                <w:szCs w:val="24"/>
                <w:color w:val="auto"/>
              </w:rPr>
            </w:pPr>
          </w:p>
        </w:tc>
      </w:tr>
      <w:tr>
        <w:trPr>
          <w:trHeight w:val="20"/>
        </w:trPr>
        <w:tc>
          <w:tcPr>
            <w:tcW w:w="1700" w:type="dxa"/>
            <w:vAlign w:val="bottom"/>
            <w:gridSpan w:val="2"/>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411"/>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tc>
        <w:tc>
          <w:tcPr>
            <w:tcW w:w="7140" w:type="dxa"/>
            <w:vAlign w:val="bottom"/>
          </w:tcPr>
          <w:p>
            <w:pPr>
              <w:spacing w:after="0"/>
              <w:rPr>
                <w:sz w:val="24"/>
                <w:szCs w:val="24"/>
                <w:color w:val="auto"/>
              </w:rPr>
            </w:pP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By: Achilleas Tasioulas</w:t>
            </w:r>
          </w:p>
        </w:tc>
        <w:tc>
          <w:tcPr>
            <w:tcW w:w="7140" w:type="dxa"/>
            <w:vAlign w:val="bottom"/>
          </w:tcPr>
          <w:p>
            <w:pPr>
              <w:spacing w:after="0"/>
              <w:rPr>
                <w:sz w:val="17"/>
                <w:szCs w:val="17"/>
                <w:color w:val="auto"/>
              </w:rPr>
            </w:pPr>
          </w:p>
        </w:tc>
      </w:tr>
      <w:tr>
        <w:trPr>
          <w:trHeight w:val="181"/>
        </w:trPr>
        <w:tc>
          <w:tcPr>
            <w:tcW w:w="4280" w:type="dxa"/>
            <w:vAlign w:val="bottom"/>
            <w:gridSpan w:val="3"/>
          </w:tcPr>
          <w:p>
            <w:pPr>
              <w:spacing w:after="0" w:line="181" w:lineRule="exact"/>
              <w:rPr>
                <w:sz w:val="20"/>
                <w:szCs w:val="20"/>
                <w:color w:val="auto"/>
              </w:rPr>
            </w:pPr>
            <w:r>
              <w:rPr>
                <w:rFonts w:ascii="Arial" w:cs="Arial" w:eastAsia="Arial" w:hAnsi="Arial"/>
                <w:sz w:val="18"/>
                <w:szCs w:val="18"/>
                <w:color w:val="auto"/>
              </w:rPr>
              <w:t>for and on behalf of</w:t>
            </w:r>
          </w:p>
        </w:tc>
        <w:tc>
          <w:tcPr>
            <w:tcW w:w="7140" w:type="dxa"/>
            <w:vAlign w:val="bottom"/>
          </w:tcPr>
          <w:p>
            <w:pPr>
              <w:ind w:left="3160"/>
              <w:spacing w:after="0" w:line="181" w:lineRule="exact"/>
              <w:rPr>
                <w:sz w:val="20"/>
                <w:szCs w:val="20"/>
                <w:color w:val="auto"/>
              </w:rPr>
            </w:pPr>
            <w:r>
              <w:rPr>
                <w:rFonts w:ascii="Arial" w:cs="Arial" w:eastAsia="Arial" w:hAnsi="Arial"/>
                <w:sz w:val="18"/>
                <w:szCs w:val="18"/>
                <w:color w:val="auto"/>
              </w:rPr>
              <w:t>/s/Achilleas Tasioulas</w:t>
            </w:r>
          </w:p>
        </w:tc>
      </w:tr>
      <w:tr>
        <w:trPr>
          <w:trHeight w:val="225"/>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GASLOG LTD.</w:t>
            </w:r>
          </w:p>
        </w:tc>
        <w:tc>
          <w:tcPr>
            <w:tcW w:w="7140" w:type="dxa"/>
            <w:vAlign w:val="bottom"/>
          </w:tcPr>
          <w:p>
            <w:pPr>
              <w:ind w:left="3160"/>
              <w:spacing w:after="0"/>
              <w:rPr>
                <w:sz w:val="20"/>
                <w:szCs w:val="20"/>
                <w:color w:val="auto"/>
              </w:rPr>
            </w:pPr>
            <w:r>
              <w:rPr>
                <w:rFonts w:ascii="Arial" w:cs="Arial" w:eastAsia="Arial" w:hAnsi="Arial"/>
                <w:sz w:val="18"/>
                <w:szCs w:val="18"/>
                <w:color w:val="auto"/>
              </w:rPr>
              <w:t>Attorney-in-fact</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as Parent and Guarantor</w:t>
            </w:r>
          </w:p>
        </w:tc>
        <w:tc>
          <w:tcPr>
            <w:tcW w:w="7140" w:type="dxa"/>
            <w:vAlign w:val="bottom"/>
          </w:tcPr>
          <w:p>
            <w:pPr>
              <w:spacing w:after="0"/>
              <w:rPr>
                <w:sz w:val="17"/>
                <w:szCs w:val="17"/>
                <w:color w:val="auto"/>
              </w:rPr>
            </w:pPr>
          </w:p>
        </w:tc>
      </w:tr>
      <w:tr>
        <w:trPr>
          <w:trHeight w:val="217"/>
        </w:trPr>
        <w:tc>
          <w:tcPr>
            <w:tcW w:w="4280" w:type="dxa"/>
            <w:vAlign w:val="bottom"/>
            <w:gridSpan w:val="3"/>
          </w:tcPr>
          <w:p>
            <w:pPr>
              <w:spacing w:after="0"/>
              <w:rPr>
                <w:sz w:val="20"/>
                <w:szCs w:val="20"/>
                <w:color w:val="auto"/>
              </w:rPr>
            </w:pPr>
            <w:r>
              <w:rPr>
                <w:rFonts w:ascii="Arial" w:cs="Arial" w:eastAsia="Arial" w:hAnsi="Arial"/>
                <w:sz w:val="18"/>
                <w:szCs w:val="18"/>
                <w:color w:val="auto"/>
              </w:rPr>
              <w:t>in the presence of:</w:t>
            </w:r>
          </w:p>
        </w:tc>
        <w:tc>
          <w:tcPr>
            <w:tcW w:w="7140" w:type="dxa"/>
            <w:vAlign w:val="bottom"/>
          </w:tcPr>
          <w:p>
            <w:pPr>
              <w:spacing w:after="0"/>
              <w:rPr>
                <w:sz w:val="18"/>
                <w:szCs w:val="18"/>
                <w:color w:val="auto"/>
              </w:rPr>
            </w:pPr>
          </w:p>
        </w:tc>
      </w:tr>
      <w:tr>
        <w:trPr>
          <w:trHeight w:val="391"/>
        </w:trPr>
        <w:tc>
          <w:tcPr>
            <w:tcW w:w="4280" w:type="dxa"/>
            <w:vAlign w:val="bottom"/>
            <w:gridSpan w:val="3"/>
          </w:tcPr>
          <w:p>
            <w:pPr>
              <w:spacing w:after="0"/>
              <w:rPr>
                <w:sz w:val="20"/>
                <w:szCs w:val="20"/>
                <w:color w:val="auto"/>
              </w:rPr>
            </w:pPr>
            <w:r>
              <w:rPr>
                <w:rFonts w:ascii="Arial" w:cs="Arial" w:eastAsia="Arial" w:hAnsi="Arial"/>
                <w:sz w:val="18"/>
                <w:szCs w:val="18"/>
                <w:color w:val="auto"/>
              </w:rPr>
              <w:t>/s/Sam Tappenden</w:t>
            </w:r>
          </w:p>
        </w:tc>
        <w:tc>
          <w:tcPr>
            <w:tcW w:w="7140" w:type="dxa"/>
            <w:vAlign w:val="bottom"/>
          </w:tcPr>
          <w:p>
            <w:pPr>
              <w:spacing w:after="0"/>
              <w:rPr>
                <w:sz w:val="24"/>
                <w:szCs w:val="24"/>
                <w:color w:val="auto"/>
              </w:rPr>
            </w:pP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Witness</w:t>
            </w:r>
          </w:p>
        </w:tc>
        <w:tc>
          <w:tcPr>
            <w:tcW w:w="7140" w:type="dxa"/>
            <w:vAlign w:val="bottom"/>
          </w:tcPr>
          <w:p>
            <w:pPr>
              <w:spacing w:after="0"/>
              <w:rPr>
                <w:sz w:val="17"/>
                <w:szCs w:val="17"/>
                <w:color w:val="auto"/>
              </w:rPr>
            </w:pP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Name: Sam Tappenden</w:t>
            </w:r>
          </w:p>
        </w:tc>
        <w:tc>
          <w:tcPr>
            <w:tcW w:w="7140" w:type="dxa"/>
            <w:vAlign w:val="bottom"/>
          </w:tcPr>
          <w:p>
            <w:pPr>
              <w:spacing w:after="0"/>
              <w:rPr>
                <w:sz w:val="17"/>
                <w:szCs w:val="17"/>
                <w:color w:val="auto"/>
              </w:rPr>
            </w:pP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Address: Trainee Solicitor</w:t>
            </w:r>
          </w:p>
        </w:tc>
        <w:tc>
          <w:tcPr>
            <w:tcW w:w="7140" w:type="dxa"/>
            <w:vAlign w:val="bottom"/>
          </w:tcPr>
          <w:p>
            <w:pPr>
              <w:spacing w:after="0"/>
              <w:rPr>
                <w:sz w:val="17"/>
                <w:szCs w:val="17"/>
                <w:color w:val="auto"/>
              </w:rPr>
            </w:pPr>
          </w:p>
        </w:tc>
      </w:tr>
      <w:tr>
        <w:trPr>
          <w:trHeight w:val="217"/>
        </w:trPr>
        <w:tc>
          <w:tcPr>
            <w:tcW w:w="4280" w:type="dxa"/>
            <w:vAlign w:val="bottom"/>
            <w:gridSpan w:val="3"/>
          </w:tcPr>
          <w:p>
            <w:pPr>
              <w:spacing w:after="0"/>
              <w:rPr>
                <w:sz w:val="20"/>
                <w:szCs w:val="20"/>
                <w:color w:val="auto"/>
              </w:rPr>
            </w:pPr>
            <w:r>
              <w:rPr>
                <w:rFonts w:ascii="Arial" w:cs="Arial" w:eastAsia="Arial" w:hAnsi="Arial"/>
                <w:sz w:val="18"/>
                <w:szCs w:val="18"/>
                <w:color w:val="auto"/>
              </w:rPr>
              <w:t>Occupation: Norton Rose Fulbright Greece</w:t>
            </w:r>
          </w:p>
        </w:tc>
        <w:tc>
          <w:tcPr>
            <w:tcW w:w="7140" w:type="dxa"/>
            <w:vAlign w:val="bottom"/>
          </w:tcPr>
          <w:p>
            <w:pPr>
              <w:spacing w:after="0"/>
              <w:rPr>
                <w:sz w:val="18"/>
                <w:szCs w:val="18"/>
                <w:color w:val="auto"/>
              </w:rPr>
            </w:pPr>
          </w:p>
        </w:tc>
      </w:tr>
      <w:tr>
        <w:trPr>
          <w:trHeight w:val="392"/>
        </w:trPr>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140" w:type="dxa"/>
            <w:vAlign w:val="bottom"/>
          </w:tcPr>
          <w:p>
            <w:pPr>
              <w:ind w:left="1280"/>
              <w:spacing w:after="0"/>
              <w:rPr>
                <w:sz w:val="20"/>
                <w:szCs w:val="20"/>
                <w:color w:val="auto"/>
              </w:rPr>
            </w:pPr>
            <w:r>
              <w:rPr>
                <w:rFonts w:ascii="Arial" w:cs="Arial" w:eastAsia="Arial" w:hAnsi="Arial"/>
                <w:sz w:val="18"/>
                <w:szCs w:val="18"/>
                <w:color w:val="auto"/>
              </w:rPr>
              <w:t>192</w:t>
            </w:r>
          </w:p>
        </w:tc>
      </w:tr>
      <w:tr>
        <w:trPr>
          <w:trHeight w:val="237"/>
        </w:trPr>
        <w:tc>
          <w:tcPr>
            <w:tcW w:w="162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2580" w:type="dxa"/>
            <w:vAlign w:val="bottom"/>
            <w:tcBorders>
              <w:bottom w:val="single" w:sz="8" w:color="C0C0C0"/>
            </w:tcBorders>
          </w:tcPr>
          <w:p>
            <w:pPr>
              <w:spacing w:after="0"/>
              <w:rPr>
                <w:sz w:val="20"/>
                <w:szCs w:val="20"/>
                <w:color w:val="auto"/>
              </w:rPr>
            </w:pPr>
          </w:p>
        </w:tc>
        <w:tc>
          <w:tcPr>
            <w:tcW w:w="714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00" w:right="239" w:bottom="1440" w:gutter="0" w:footer="0" w:header="0"/>
        </w:sectPr>
      </w:pPr>
    </w:p>
    <w:bookmarkStart w:id="244" w:name="page245"/>
    <w:bookmarkEnd w:id="2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tc>
        <w:tc>
          <w:tcPr>
            <w:tcW w:w="6560" w:type="dxa"/>
            <w:vAlign w:val="bottom"/>
          </w:tcPr>
          <w:p>
            <w:pPr>
              <w:spacing w:after="0"/>
              <w:rPr>
                <w:sz w:val="19"/>
                <w:szCs w:val="19"/>
                <w:color w:val="auto"/>
              </w:rPr>
            </w:pPr>
          </w:p>
        </w:tc>
      </w:tr>
      <w:tr>
        <w:trPr>
          <w:trHeight w:val="203"/>
        </w:trPr>
        <w:tc>
          <w:tcPr>
            <w:tcW w:w="4860" w:type="dxa"/>
            <w:vAlign w:val="bottom"/>
            <w:gridSpan w:val="2"/>
          </w:tcPr>
          <w:p>
            <w:pPr>
              <w:spacing w:after="0" w:line="202" w:lineRule="exact"/>
              <w:rPr>
                <w:sz w:val="20"/>
                <w:szCs w:val="20"/>
                <w:color w:val="auto"/>
              </w:rPr>
            </w:pPr>
            <w:r>
              <w:rPr>
                <w:rFonts w:ascii="Arial" w:cs="Arial" w:eastAsia="Arial" w:hAnsi="Arial"/>
                <w:sz w:val="18"/>
                <w:szCs w:val="18"/>
                <w:color w:val="auto"/>
              </w:rPr>
              <w:t>By: Achilleas Tasioulas</w:t>
            </w:r>
          </w:p>
        </w:tc>
        <w:tc>
          <w:tcPr>
            <w:tcW w:w="6560" w:type="dxa"/>
            <w:vAlign w:val="bottom"/>
          </w:tcPr>
          <w:p>
            <w:pPr>
              <w:spacing w:after="0"/>
              <w:rPr>
                <w:sz w:val="17"/>
                <w:szCs w:val="17"/>
                <w:color w:val="auto"/>
              </w:rPr>
            </w:pPr>
          </w:p>
        </w:tc>
      </w:tr>
      <w:tr>
        <w:trPr>
          <w:trHeight w:val="181"/>
        </w:trPr>
        <w:tc>
          <w:tcPr>
            <w:tcW w:w="4860" w:type="dxa"/>
            <w:vAlign w:val="bottom"/>
            <w:gridSpan w:val="2"/>
          </w:tcPr>
          <w:p>
            <w:pPr>
              <w:spacing w:after="0" w:line="181" w:lineRule="exact"/>
              <w:rPr>
                <w:sz w:val="20"/>
                <w:szCs w:val="20"/>
                <w:color w:val="auto"/>
              </w:rPr>
            </w:pPr>
            <w:r>
              <w:rPr>
                <w:rFonts w:ascii="Arial" w:cs="Arial" w:eastAsia="Arial" w:hAnsi="Arial"/>
                <w:sz w:val="18"/>
                <w:szCs w:val="18"/>
                <w:color w:val="auto"/>
              </w:rPr>
              <w:t>for and on behalf of</w:t>
            </w:r>
          </w:p>
        </w:tc>
        <w:tc>
          <w:tcPr>
            <w:tcW w:w="6560" w:type="dxa"/>
            <w:vAlign w:val="bottom"/>
          </w:tcPr>
          <w:p>
            <w:pPr>
              <w:spacing w:after="0"/>
              <w:rPr>
                <w:sz w:val="15"/>
                <w:szCs w:val="15"/>
                <w:color w:val="auto"/>
              </w:rPr>
            </w:pPr>
          </w:p>
        </w:tc>
      </w:tr>
      <w:tr>
        <w:trPr>
          <w:trHeight w:val="225"/>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GASLOG CARRIERS LTD.</w:t>
            </w:r>
          </w:p>
        </w:tc>
        <w:tc>
          <w:tcPr>
            <w:tcW w:w="6560" w:type="dxa"/>
            <w:vAlign w:val="bottom"/>
          </w:tcPr>
          <w:p>
            <w:pPr>
              <w:ind w:left="2580"/>
              <w:spacing w:after="0"/>
              <w:rPr>
                <w:sz w:val="20"/>
                <w:szCs w:val="20"/>
                <w:color w:val="auto"/>
              </w:rPr>
            </w:pPr>
            <w:r>
              <w:rPr>
                <w:rFonts w:ascii="Arial" w:cs="Arial" w:eastAsia="Arial" w:hAnsi="Arial"/>
                <w:sz w:val="18"/>
                <w:szCs w:val="18"/>
                <w:color w:val="auto"/>
              </w:rPr>
              <w:t>/s/Achilleas Tasioulas</w:t>
            </w:r>
          </w:p>
        </w:tc>
      </w:tr>
      <w:tr>
        <w:trPr>
          <w:trHeight w:val="203"/>
        </w:trPr>
        <w:tc>
          <w:tcPr>
            <w:tcW w:w="4860" w:type="dxa"/>
            <w:vAlign w:val="bottom"/>
            <w:gridSpan w:val="2"/>
          </w:tcPr>
          <w:p>
            <w:pPr>
              <w:spacing w:after="0" w:line="202" w:lineRule="exact"/>
              <w:rPr>
                <w:sz w:val="20"/>
                <w:szCs w:val="20"/>
                <w:color w:val="auto"/>
              </w:rPr>
            </w:pPr>
            <w:r>
              <w:rPr>
                <w:rFonts w:ascii="Arial" w:cs="Arial" w:eastAsia="Arial" w:hAnsi="Arial"/>
                <w:sz w:val="18"/>
                <w:szCs w:val="18"/>
                <w:color w:val="auto"/>
              </w:rPr>
              <w:t>as Guarantor</w:t>
            </w:r>
          </w:p>
        </w:tc>
        <w:tc>
          <w:tcPr>
            <w:tcW w:w="6560" w:type="dxa"/>
            <w:vAlign w:val="bottom"/>
          </w:tcPr>
          <w:p>
            <w:pPr>
              <w:ind w:left="2580"/>
              <w:spacing w:after="0" w:line="202" w:lineRule="exact"/>
              <w:rPr>
                <w:sz w:val="20"/>
                <w:szCs w:val="20"/>
                <w:color w:val="auto"/>
              </w:rPr>
            </w:pPr>
            <w:r>
              <w:rPr>
                <w:rFonts w:ascii="Arial" w:cs="Arial" w:eastAsia="Arial" w:hAnsi="Arial"/>
                <w:sz w:val="18"/>
                <w:szCs w:val="18"/>
                <w:color w:val="auto"/>
              </w:rPr>
              <w:t>Attorney-in-fact</w:t>
            </w:r>
          </w:p>
        </w:tc>
      </w:tr>
      <w:tr>
        <w:trPr>
          <w:trHeight w:val="217"/>
        </w:trPr>
        <w:tc>
          <w:tcPr>
            <w:tcW w:w="486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6560" w:type="dxa"/>
            <w:vAlign w:val="bottom"/>
          </w:tcPr>
          <w:p>
            <w:pPr>
              <w:spacing w:after="0"/>
              <w:rPr>
                <w:sz w:val="18"/>
                <w:szCs w:val="18"/>
                <w:color w:val="auto"/>
              </w:rPr>
            </w:pPr>
          </w:p>
        </w:tc>
      </w:tr>
      <w:tr>
        <w:trPr>
          <w:trHeight w:val="391"/>
        </w:trPr>
        <w:tc>
          <w:tcPr>
            <w:tcW w:w="4860" w:type="dxa"/>
            <w:vAlign w:val="bottom"/>
            <w:gridSpan w:val="2"/>
          </w:tcPr>
          <w:p>
            <w:pPr>
              <w:spacing w:after="0"/>
              <w:rPr>
                <w:sz w:val="20"/>
                <w:szCs w:val="20"/>
                <w:color w:val="auto"/>
              </w:rPr>
            </w:pPr>
            <w:r>
              <w:rPr>
                <w:rFonts w:ascii="Arial" w:cs="Arial" w:eastAsia="Arial" w:hAnsi="Arial"/>
                <w:sz w:val="18"/>
                <w:szCs w:val="18"/>
                <w:color w:val="auto"/>
              </w:rPr>
              <w:t>/s/Sam Tappenden</w:t>
            </w:r>
          </w:p>
        </w:tc>
        <w:tc>
          <w:tcPr>
            <w:tcW w:w="6560" w:type="dxa"/>
            <w:vAlign w:val="bottom"/>
          </w:tcPr>
          <w:p>
            <w:pPr>
              <w:spacing w:after="0"/>
              <w:rPr>
                <w:sz w:val="24"/>
                <w:szCs w:val="24"/>
                <w:color w:val="auto"/>
              </w:rPr>
            </w:pPr>
          </w:p>
        </w:tc>
      </w:tr>
      <w:tr>
        <w:trPr>
          <w:trHeight w:val="203"/>
        </w:trPr>
        <w:tc>
          <w:tcPr>
            <w:tcW w:w="4860" w:type="dxa"/>
            <w:vAlign w:val="bottom"/>
            <w:gridSpan w:val="2"/>
          </w:tcPr>
          <w:p>
            <w:pPr>
              <w:spacing w:after="0" w:line="202" w:lineRule="exact"/>
              <w:rPr>
                <w:sz w:val="20"/>
                <w:szCs w:val="20"/>
                <w:color w:val="auto"/>
              </w:rPr>
            </w:pPr>
            <w:r>
              <w:rPr>
                <w:rFonts w:ascii="Arial" w:cs="Arial" w:eastAsia="Arial" w:hAnsi="Arial"/>
                <w:sz w:val="18"/>
                <w:szCs w:val="18"/>
                <w:color w:val="auto"/>
              </w:rPr>
              <w:t>Witness</w:t>
            </w:r>
          </w:p>
        </w:tc>
        <w:tc>
          <w:tcPr>
            <w:tcW w:w="6560" w:type="dxa"/>
            <w:vAlign w:val="bottom"/>
          </w:tcPr>
          <w:p>
            <w:pPr>
              <w:spacing w:after="0"/>
              <w:rPr>
                <w:sz w:val="17"/>
                <w:szCs w:val="17"/>
                <w:color w:val="auto"/>
              </w:rPr>
            </w:pPr>
          </w:p>
        </w:tc>
      </w:tr>
      <w:tr>
        <w:trPr>
          <w:trHeight w:val="203"/>
        </w:trPr>
        <w:tc>
          <w:tcPr>
            <w:tcW w:w="4860" w:type="dxa"/>
            <w:vAlign w:val="bottom"/>
            <w:gridSpan w:val="2"/>
          </w:tcPr>
          <w:p>
            <w:pPr>
              <w:spacing w:after="0" w:line="202" w:lineRule="exact"/>
              <w:rPr>
                <w:sz w:val="20"/>
                <w:szCs w:val="20"/>
                <w:color w:val="auto"/>
              </w:rPr>
            </w:pPr>
            <w:r>
              <w:rPr>
                <w:rFonts w:ascii="Arial" w:cs="Arial" w:eastAsia="Arial" w:hAnsi="Arial"/>
                <w:sz w:val="18"/>
                <w:szCs w:val="18"/>
                <w:color w:val="auto"/>
              </w:rPr>
              <w:t>Name: Sam Tappenden</w:t>
            </w:r>
          </w:p>
        </w:tc>
        <w:tc>
          <w:tcPr>
            <w:tcW w:w="6560" w:type="dxa"/>
            <w:vAlign w:val="bottom"/>
          </w:tcPr>
          <w:p>
            <w:pPr>
              <w:spacing w:after="0"/>
              <w:rPr>
                <w:sz w:val="17"/>
                <w:szCs w:val="17"/>
                <w:color w:val="auto"/>
              </w:rPr>
            </w:pPr>
          </w:p>
        </w:tc>
      </w:tr>
      <w:tr>
        <w:trPr>
          <w:trHeight w:val="203"/>
        </w:trPr>
        <w:tc>
          <w:tcPr>
            <w:tcW w:w="4860" w:type="dxa"/>
            <w:vAlign w:val="bottom"/>
            <w:gridSpan w:val="2"/>
          </w:tcPr>
          <w:p>
            <w:pPr>
              <w:spacing w:after="0" w:line="202" w:lineRule="exact"/>
              <w:rPr>
                <w:sz w:val="20"/>
                <w:szCs w:val="20"/>
                <w:color w:val="auto"/>
              </w:rPr>
            </w:pPr>
            <w:r>
              <w:rPr>
                <w:rFonts w:ascii="Arial" w:cs="Arial" w:eastAsia="Arial" w:hAnsi="Arial"/>
                <w:sz w:val="18"/>
                <w:szCs w:val="18"/>
                <w:color w:val="auto"/>
              </w:rPr>
              <w:t>Address: Trainnee Solicitor</w:t>
            </w:r>
          </w:p>
        </w:tc>
        <w:tc>
          <w:tcPr>
            <w:tcW w:w="6560" w:type="dxa"/>
            <w:vAlign w:val="bottom"/>
          </w:tcPr>
          <w:p>
            <w:pPr>
              <w:spacing w:after="0"/>
              <w:rPr>
                <w:sz w:val="17"/>
                <w:szCs w:val="17"/>
                <w:color w:val="auto"/>
              </w:rPr>
            </w:pPr>
          </w:p>
        </w:tc>
      </w:tr>
      <w:tr>
        <w:trPr>
          <w:trHeight w:val="217"/>
        </w:trPr>
        <w:tc>
          <w:tcPr>
            <w:tcW w:w="4860" w:type="dxa"/>
            <w:vAlign w:val="bottom"/>
            <w:gridSpan w:val="2"/>
          </w:tcPr>
          <w:p>
            <w:pPr>
              <w:spacing w:after="0"/>
              <w:rPr>
                <w:sz w:val="20"/>
                <w:szCs w:val="20"/>
                <w:color w:val="auto"/>
              </w:rPr>
            </w:pPr>
            <w:r>
              <w:rPr>
                <w:rFonts w:ascii="Arial" w:cs="Arial" w:eastAsia="Arial" w:hAnsi="Arial"/>
                <w:sz w:val="18"/>
                <w:szCs w:val="18"/>
                <w:color w:val="auto"/>
              </w:rPr>
              <w:t>Occupation: Norton Rose Fulbright Greece</w:t>
            </w:r>
          </w:p>
        </w:tc>
        <w:tc>
          <w:tcPr>
            <w:tcW w:w="6560" w:type="dxa"/>
            <w:vAlign w:val="bottom"/>
          </w:tcPr>
          <w:p>
            <w:pPr>
              <w:spacing w:after="0"/>
              <w:rPr>
                <w:sz w:val="18"/>
                <w:szCs w:val="18"/>
                <w:color w:val="auto"/>
              </w:rPr>
            </w:pPr>
          </w:p>
        </w:tc>
      </w:tr>
      <w:tr>
        <w:trPr>
          <w:trHeight w:val="365"/>
        </w:trPr>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THE ARRANGERS</w:t>
            </w:r>
          </w:p>
        </w:tc>
        <w:tc>
          <w:tcPr>
            <w:tcW w:w="3280" w:type="dxa"/>
            <w:vAlign w:val="bottom"/>
          </w:tcPr>
          <w:p>
            <w:pPr>
              <w:spacing w:after="0"/>
              <w:rPr>
                <w:sz w:val="24"/>
                <w:szCs w:val="24"/>
                <w:color w:val="auto"/>
              </w:rPr>
            </w:pPr>
          </w:p>
        </w:tc>
        <w:tc>
          <w:tcPr>
            <w:tcW w:w="6560" w:type="dxa"/>
            <w:vAlign w:val="bottom"/>
          </w:tcPr>
          <w:p>
            <w:pPr>
              <w:spacing w:after="0"/>
              <w:rPr>
                <w:sz w:val="24"/>
                <w:szCs w:val="24"/>
                <w:color w:val="auto"/>
              </w:rPr>
            </w:pPr>
          </w:p>
        </w:tc>
      </w:tr>
      <w:tr>
        <w:trPr>
          <w:trHeight w:val="411"/>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CITIGROUP GLOBAL MARKETS LIMITED</w:t>
            </w:r>
          </w:p>
        </w:tc>
        <w:tc>
          <w:tcPr>
            <w:tcW w:w="6560" w:type="dxa"/>
            <w:vAlign w:val="bottom"/>
          </w:tcPr>
          <w:p>
            <w:pPr>
              <w:ind w:left="2580"/>
              <w:spacing w:after="0"/>
              <w:rPr>
                <w:sz w:val="20"/>
                <w:szCs w:val="20"/>
                <w:color w:val="auto"/>
              </w:rPr>
            </w:pPr>
            <w:r>
              <w:rPr>
                <w:rFonts w:ascii="Arial" w:cs="Arial" w:eastAsia="Arial" w:hAnsi="Arial"/>
                <w:sz w:val="18"/>
                <w:szCs w:val="18"/>
                <w:color w:val="auto"/>
              </w:rPr>
              <w:t>/s/Vassilis Maroulis</w:t>
            </w:r>
          </w:p>
        </w:tc>
      </w:tr>
      <w:tr>
        <w:trPr>
          <w:trHeight w:val="203"/>
        </w:trPr>
        <w:tc>
          <w:tcPr>
            <w:tcW w:w="4860" w:type="dxa"/>
            <w:vAlign w:val="bottom"/>
            <w:gridSpan w:val="2"/>
          </w:tcPr>
          <w:p>
            <w:pPr>
              <w:spacing w:after="0" w:line="202" w:lineRule="exact"/>
              <w:rPr>
                <w:sz w:val="20"/>
                <w:szCs w:val="20"/>
                <w:color w:val="auto"/>
              </w:rPr>
            </w:pPr>
            <w:r>
              <w:rPr>
                <w:rFonts w:ascii="Arial" w:cs="Arial" w:eastAsia="Arial" w:hAnsi="Arial"/>
                <w:sz w:val="18"/>
                <w:szCs w:val="18"/>
                <w:color w:val="auto"/>
              </w:rPr>
              <w:t>as Mandated Lead Arranger</w:t>
            </w:r>
          </w:p>
        </w:tc>
        <w:tc>
          <w:tcPr>
            <w:tcW w:w="6560" w:type="dxa"/>
            <w:vAlign w:val="bottom"/>
          </w:tcPr>
          <w:p>
            <w:pPr>
              <w:ind w:left="2580"/>
              <w:spacing w:after="0" w:line="202" w:lineRule="exact"/>
              <w:rPr>
                <w:sz w:val="20"/>
                <w:szCs w:val="20"/>
                <w:color w:val="auto"/>
              </w:rPr>
            </w:pPr>
            <w:r>
              <w:rPr>
                <w:rFonts w:ascii="Arial" w:cs="Arial" w:eastAsia="Arial" w:hAnsi="Arial"/>
                <w:sz w:val="18"/>
                <w:szCs w:val="18"/>
                <w:color w:val="auto"/>
              </w:rPr>
              <w:t>Authorised signatory</w:t>
            </w:r>
          </w:p>
        </w:tc>
      </w:tr>
      <w:tr>
        <w:trPr>
          <w:trHeight w:val="217"/>
        </w:trPr>
        <w:tc>
          <w:tcPr>
            <w:tcW w:w="4860" w:type="dxa"/>
            <w:vAlign w:val="bottom"/>
            <w:gridSpan w:val="2"/>
          </w:tcPr>
          <w:p>
            <w:pPr>
              <w:spacing w:after="0"/>
              <w:rPr>
                <w:sz w:val="20"/>
                <w:szCs w:val="20"/>
                <w:color w:val="auto"/>
              </w:rPr>
            </w:pPr>
            <w:r>
              <w:rPr>
                <w:rFonts w:ascii="Arial" w:cs="Arial" w:eastAsia="Arial" w:hAnsi="Arial"/>
                <w:sz w:val="18"/>
                <w:szCs w:val="18"/>
                <w:color w:val="auto"/>
              </w:rPr>
              <w:t>By: Vassilis Maroulis</w:t>
            </w:r>
          </w:p>
        </w:tc>
        <w:tc>
          <w:tcPr>
            <w:tcW w:w="6560" w:type="dxa"/>
            <w:vAlign w:val="bottom"/>
          </w:tcPr>
          <w:p>
            <w:pPr>
              <w:spacing w:after="0"/>
              <w:rPr>
                <w:sz w:val="18"/>
                <w:szCs w:val="18"/>
                <w:color w:val="auto"/>
              </w:rPr>
            </w:pPr>
          </w:p>
        </w:tc>
      </w:tr>
      <w:tr>
        <w:trPr>
          <w:trHeight w:val="391"/>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CREDIT SUISSE AG</w:t>
            </w:r>
          </w:p>
        </w:tc>
        <w:tc>
          <w:tcPr>
            <w:tcW w:w="6560" w:type="dxa"/>
            <w:vAlign w:val="bottom"/>
          </w:tcPr>
          <w:p>
            <w:pPr>
              <w:ind w:left="2580"/>
              <w:spacing w:after="0"/>
              <w:rPr>
                <w:sz w:val="20"/>
                <w:szCs w:val="20"/>
                <w:color w:val="auto"/>
              </w:rPr>
            </w:pPr>
            <w:r>
              <w:rPr>
                <w:rFonts w:ascii="Arial" w:cs="Arial" w:eastAsia="Arial" w:hAnsi="Arial"/>
                <w:sz w:val="18"/>
                <w:szCs w:val="18"/>
                <w:color w:val="auto"/>
              </w:rPr>
              <w:t>/s/Niki Alexandrou</w:t>
            </w:r>
          </w:p>
        </w:tc>
      </w:tr>
      <w:tr>
        <w:trPr>
          <w:trHeight w:val="203"/>
        </w:trPr>
        <w:tc>
          <w:tcPr>
            <w:tcW w:w="4860" w:type="dxa"/>
            <w:vAlign w:val="bottom"/>
            <w:gridSpan w:val="2"/>
          </w:tcPr>
          <w:p>
            <w:pPr>
              <w:spacing w:after="0" w:line="202" w:lineRule="exact"/>
              <w:rPr>
                <w:sz w:val="20"/>
                <w:szCs w:val="20"/>
                <w:color w:val="auto"/>
              </w:rPr>
            </w:pPr>
            <w:r>
              <w:rPr>
                <w:rFonts w:ascii="Arial" w:cs="Arial" w:eastAsia="Arial" w:hAnsi="Arial"/>
                <w:sz w:val="18"/>
                <w:szCs w:val="18"/>
                <w:color w:val="auto"/>
              </w:rPr>
              <w:t>as Mandated Lead Arranger</w:t>
            </w:r>
          </w:p>
        </w:tc>
        <w:tc>
          <w:tcPr>
            <w:tcW w:w="6560" w:type="dxa"/>
            <w:vAlign w:val="bottom"/>
          </w:tcPr>
          <w:p>
            <w:pPr>
              <w:ind w:left="2580"/>
              <w:spacing w:after="0" w:line="202" w:lineRule="exact"/>
              <w:rPr>
                <w:sz w:val="20"/>
                <w:szCs w:val="20"/>
                <w:color w:val="auto"/>
              </w:rPr>
            </w:pPr>
            <w:r>
              <w:rPr>
                <w:rFonts w:ascii="Arial" w:cs="Arial" w:eastAsia="Arial" w:hAnsi="Arial"/>
                <w:sz w:val="18"/>
                <w:szCs w:val="18"/>
                <w:color w:val="auto"/>
              </w:rPr>
              <w:t>Attorney-in-fact</w:t>
            </w:r>
          </w:p>
        </w:tc>
      </w:tr>
      <w:tr>
        <w:trPr>
          <w:trHeight w:val="217"/>
        </w:trPr>
        <w:tc>
          <w:tcPr>
            <w:tcW w:w="4860" w:type="dxa"/>
            <w:vAlign w:val="bottom"/>
            <w:gridSpan w:val="2"/>
          </w:tcPr>
          <w:p>
            <w:pPr>
              <w:spacing w:after="0"/>
              <w:rPr>
                <w:sz w:val="20"/>
                <w:szCs w:val="20"/>
                <w:color w:val="auto"/>
              </w:rPr>
            </w:pPr>
            <w:r>
              <w:rPr>
                <w:rFonts w:ascii="Arial" w:cs="Arial" w:eastAsia="Arial" w:hAnsi="Arial"/>
                <w:sz w:val="18"/>
                <w:szCs w:val="18"/>
                <w:color w:val="auto"/>
              </w:rPr>
              <w:t>By: Niki Alexandrou</w:t>
            </w:r>
          </w:p>
        </w:tc>
        <w:tc>
          <w:tcPr>
            <w:tcW w:w="6560" w:type="dxa"/>
            <w:vAlign w:val="bottom"/>
          </w:tcPr>
          <w:p>
            <w:pPr>
              <w:spacing w:after="0"/>
              <w:rPr>
                <w:sz w:val="18"/>
                <w:szCs w:val="18"/>
                <w:color w:val="auto"/>
              </w:rPr>
            </w:pPr>
          </w:p>
        </w:tc>
      </w:tr>
      <w:tr>
        <w:trPr>
          <w:trHeight w:val="391"/>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NORDEA BANK AB, LONDON BRANCH</w:t>
            </w:r>
          </w:p>
        </w:tc>
        <w:tc>
          <w:tcPr>
            <w:tcW w:w="6560" w:type="dxa"/>
            <w:vAlign w:val="bottom"/>
          </w:tcPr>
          <w:p>
            <w:pPr>
              <w:ind w:left="2580"/>
              <w:spacing w:after="0"/>
              <w:rPr>
                <w:sz w:val="20"/>
                <w:szCs w:val="20"/>
                <w:color w:val="auto"/>
              </w:rPr>
            </w:pPr>
            <w:r>
              <w:rPr>
                <w:rFonts w:ascii="Arial" w:cs="Arial" w:eastAsia="Arial" w:hAnsi="Arial"/>
                <w:sz w:val="18"/>
                <w:szCs w:val="18"/>
                <w:color w:val="auto"/>
              </w:rPr>
              <w:t>/s/Niki Alexandrou</w:t>
            </w:r>
          </w:p>
        </w:tc>
      </w:tr>
      <w:tr>
        <w:trPr>
          <w:trHeight w:val="203"/>
        </w:trPr>
        <w:tc>
          <w:tcPr>
            <w:tcW w:w="4860" w:type="dxa"/>
            <w:vAlign w:val="bottom"/>
            <w:gridSpan w:val="2"/>
          </w:tcPr>
          <w:p>
            <w:pPr>
              <w:spacing w:after="0" w:line="202" w:lineRule="exact"/>
              <w:rPr>
                <w:sz w:val="20"/>
                <w:szCs w:val="20"/>
                <w:color w:val="auto"/>
              </w:rPr>
            </w:pPr>
            <w:r>
              <w:rPr>
                <w:rFonts w:ascii="Arial" w:cs="Arial" w:eastAsia="Arial" w:hAnsi="Arial"/>
                <w:sz w:val="18"/>
                <w:szCs w:val="18"/>
                <w:color w:val="auto"/>
              </w:rPr>
              <w:t>as Mandated Lead Arranger</w:t>
            </w:r>
          </w:p>
        </w:tc>
        <w:tc>
          <w:tcPr>
            <w:tcW w:w="6560" w:type="dxa"/>
            <w:vAlign w:val="bottom"/>
          </w:tcPr>
          <w:p>
            <w:pPr>
              <w:ind w:left="2580"/>
              <w:spacing w:after="0" w:line="202" w:lineRule="exact"/>
              <w:rPr>
                <w:sz w:val="20"/>
                <w:szCs w:val="20"/>
                <w:color w:val="auto"/>
              </w:rPr>
            </w:pPr>
            <w:r>
              <w:rPr>
                <w:rFonts w:ascii="Arial" w:cs="Arial" w:eastAsia="Arial" w:hAnsi="Arial"/>
                <w:sz w:val="18"/>
                <w:szCs w:val="18"/>
                <w:color w:val="auto"/>
              </w:rPr>
              <w:t>Attorney-in-fact</w:t>
            </w:r>
          </w:p>
        </w:tc>
      </w:tr>
      <w:tr>
        <w:trPr>
          <w:trHeight w:val="217"/>
        </w:trPr>
        <w:tc>
          <w:tcPr>
            <w:tcW w:w="4860" w:type="dxa"/>
            <w:vAlign w:val="bottom"/>
            <w:gridSpan w:val="2"/>
          </w:tcPr>
          <w:p>
            <w:pPr>
              <w:spacing w:after="0"/>
              <w:rPr>
                <w:sz w:val="20"/>
                <w:szCs w:val="20"/>
                <w:color w:val="auto"/>
              </w:rPr>
            </w:pPr>
            <w:r>
              <w:rPr>
                <w:rFonts w:ascii="Arial" w:cs="Arial" w:eastAsia="Arial" w:hAnsi="Arial"/>
                <w:sz w:val="18"/>
                <w:szCs w:val="18"/>
                <w:color w:val="auto"/>
              </w:rPr>
              <w:t>By: Niki Alexandrou</w:t>
            </w:r>
          </w:p>
        </w:tc>
        <w:tc>
          <w:tcPr>
            <w:tcW w:w="6560" w:type="dxa"/>
            <w:vAlign w:val="bottom"/>
          </w:tcPr>
          <w:p>
            <w:pPr>
              <w:spacing w:after="0"/>
              <w:rPr>
                <w:sz w:val="18"/>
                <w:szCs w:val="18"/>
                <w:color w:val="auto"/>
              </w:rPr>
            </w:pPr>
          </w:p>
        </w:tc>
      </w:tr>
      <w:tr>
        <w:trPr>
          <w:trHeight w:val="391"/>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SKANDINAVISKA ENSKILDA BANKEN AB (publ)</w:t>
            </w:r>
          </w:p>
        </w:tc>
        <w:tc>
          <w:tcPr>
            <w:tcW w:w="6560" w:type="dxa"/>
            <w:vAlign w:val="bottom"/>
          </w:tcPr>
          <w:p>
            <w:pPr>
              <w:ind w:left="2580"/>
              <w:spacing w:after="0"/>
              <w:rPr>
                <w:sz w:val="20"/>
                <w:szCs w:val="20"/>
                <w:color w:val="auto"/>
              </w:rPr>
            </w:pPr>
            <w:r>
              <w:rPr>
                <w:rFonts w:ascii="Arial" w:cs="Arial" w:eastAsia="Arial" w:hAnsi="Arial"/>
                <w:sz w:val="18"/>
                <w:szCs w:val="18"/>
                <w:color w:val="auto"/>
              </w:rPr>
              <w:t>/s/Niki Alexandrou</w:t>
            </w:r>
          </w:p>
        </w:tc>
      </w:tr>
      <w:tr>
        <w:trPr>
          <w:trHeight w:val="203"/>
        </w:trPr>
        <w:tc>
          <w:tcPr>
            <w:tcW w:w="4860" w:type="dxa"/>
            <w:vAlign w:val="bottom"/>
            <w:gridSpan w:val="2"/>
          </w:tcPr>
          <w:p>
            <w:pPr>
              <w:spacing w:after="0" w:line="202" w:lineRule="exact"/>
              <w:rPr>
                <w:sz w:val="20"/>
                <w:szCs w:val="20"/>
                <w:color w:val="auto"/>
              </w:rPr>
            </w:pPr>
            <w:r>
              <w:rPr>
                <w:rFonts w:ascii="Arial" w:cs="Arial" w:eastAsia="Arial" w:hAnsi="Arial"/>
                <w:sz w:val="18"/>
                <w:szCs w:val="18"/>
                <w:color w:val="auto"/>
              </w:rPr>
              <w:t>as Mandated Lead Arranger</w:t>
            </w:r>
          </w:p>
        </w:tc>
        <w:tc>
          <w:tcPr>
            <w:tcW w:w="6560" w:type="dxa"/>
            <w:vAlign w:val="bottom"/>
          </w:tcPr>
          <w:p>
            <w:pPr>
              <w:ind w:left="2580"/>
              <w:spacing w:after="0" w:line="202" w:lineRule="exact"/>
              <w:rPr>
                <w:sz w:val="20"/>
                <w:szCs w:val="20"/>
                <w:color w:val="auto"/>
              </w:rPr>
            </w:pPr>
            <w:r>
              <w:rPr>
                <w:rFonts w:ascii="Arial" w:cs="Arial" w:eastAsia="Arial" w:hAnsi="Arial"/>
                <w:sz w:val="18"/>
                <w:szCs w:val="18"/>
                <w:color w:val="auto"/>
              </w:rPr>
              <w:t>Attorney-in-fact</w:t>
            </w:r>
          </w:p>
        </w:tc>
      </w:tr>
      <w:tr>
        <w:trPr>
          <w:trHeight w:val="217"/>
        </w:trPr>
        <w:tc>
          <w:tcPr>
            <w:tcW w:w="4860" w:type="dxa"/>
            <w:vAlign w:val="bottom"/>
            <w:gridSpan w:val="2"/>
          </w:tcPr>
          <w:p>
            <w:pPr>
              <w:spacing w:after="0"/>
              <w:rPr>
                <w:sz w:val="20"/>
                <w:szCs w:val="20"/>
                <w:color w:val="auto"/>
              </w:rPr>
            </w:pPr>
            <w:r>
              <w:rPr>
                <w:rFonts w:ascii="Arial" w:cs="Arial" w:eastAsia="Arial" w:hAnsi="Arial"/>
                <w:sz w:val="18"/>
                <w:szCs w:val="18"/>
                <w:color w:val="auto"/>
              </w:rPr>
              <w:t>By: Niki Alexandrou</w:t>
            </w:r>
          </w:p>
        </w:tc>
        <w:tc>
          <w:tcPr>
            <w:tcW w:w="6560" w:type="dxa"/>
            <w:vAlign w:val="bottom"/>
          </w:tcPr>
          <w:p>
            <w:pPr>
              <w:spacing w:after="0"/>
              <w:rPr>
                <w:sz w:val="18"/>
                <w:szCs w:val="18"/>
                <w:color w:val="auto"/>
              </w:rPr>
            </w:pPr>
          </w:p>
        </w:tc>
      </w:tr>
      <w:tr>
        <w:trPr>
          <w:trHeight w:val="391"/>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HSBC BANK plc</w:t>
            </w:r>
          </w:p>
        </w:tc>
        <w:tc>
          <w:tcPr>
            <w:tcW w:w="6560" w:type="dxa"/>
            <w:vAlign w:val="bottom"/>
          </w:tcPr>
          <w:p>
            <w:pPr>
              <w:ind w:left="2580"/>
              <w:spacing w:after="0"/>
              <w:rPr>
                <w:sz w:val="20"/>
                <w:szCs w:val="20"/>
                <w:color w:val="auto"/>
              </w:rPr>
            </w:pPr>
            <w:r>
              <w:rPr>
                <w:rFonts w:ascii="Arial" w:cs="Arial" w:eastAsia="Arial" w:hAnsi="Arial"/>
                <w:sz w:val="18"/>
                <w:szCs w:val="18"/>
                <w:color w:val="auto"/>
              </w:rPr>
              <w:t>/s/Antonis Lamnides</w:t>
            </w:r>
          </w:p>
        </w:tc>
      </w:tr>
      <w:tr>
        <w:trPr>
          <w:trHeight w:val="203"/>
        </w:trPr>
        <w:tc>
          <w:tcPr>
            <w:tcW w:w="4860" w:type="dxa"/>
            <w:vAlign w:val="bottom"/>
            <w:gridSpan w:val="2"/>
          </w:tcPr>
          <w:p>
            <w:pPr>
              <w:spacing w:after="0" w:line="202" w:lineRule="exact"/>
              <w:rPr>
                <w:sz w:val="20"/>
                <w:szCs w:val="20"/>
                <w:color w:val="auto"/>
              </w:rPr>
            </w:pPr>
            <w:r>
              <w:rPr>
                <w:rFonts w:ascii="Arial" w:cs="Arial" w:eastAsia="Arial" w:hAnsi="Arial"/>
                <w:sz w:val="18"/>
                <w:szCs w:val="18"/>
                <w:color w:val="auto"/>
              </w:rPr>
              <w:t>as Mandated Lead Arranger</w:t>
            </w:r>
          </w:p>
        </w:tc>
        <w:tc>
          <w:tcPr>
            <w:tcW w:w="6560" w:type="dxa"/>
            <w:vAlign w:val="bottom"/>
          </w:tcPr>
          <w:p>
            <w:pPr>
              <w:ind w:left="2580"/>
              <w:spacing w:after="0" w:line="202" w:lineRule="exact"/>
              <w:rPr>
                <w:sz w:val="20"/>
                <w:szCs w:val="20"/>
                <w:color w:val="auto"/>
              </w:rPr>
            </w:pPr>
            <w:r>
              <w:rPr>
                <w:rFonts w:ascii="Arial" w:cs="Arial" w:eastAsia="Arial" w:hAnsi="Arial"/>
                <w:sz w:val="18"/>
                <w:szCs w:val="18"/>
                <w:color w:val="auto"/>
              </w:rPr>
              <w:t>Authorised signatory</w:t>
            </w:r>
          </w:p>
        </w:tc>
      </w:tr>
      <w:tr>
        <w:trPr>
          <w:trHeight w:val="217"/>
        </w:trPr>
        <w:tc>
          <w:tcPr>
            <w:tcW w:w="4860" w:type="dxa"/>
            <w:vAlign w:val="bottom"/>
            <w:gridSpan w:val="2"/>
          </w:tcPr>
          <w:p>
            <w:pPr>
              <w:spacing w:after="0"/>
              <w:rPr>
                <w:sz w:val="20"/>
                <w:szCs w:val="20"/>
                <w:color w:val="auto"/>
              </w:rPr>
            </w:pPr>
            <w:r>
              <w:rPr>
                <w:rFonts w:ascii="Arial" w:cs="Arial" w:eastAsia="Arial" w:hAnsi="Arial"/>
                <w:sz w:val="18"/>
                <w:szCs w:val="18"/>
                <w:color w:val="auto"/>
              </w:rPr>
              <w:t>By: Antonis Lamnides</w:t>
            </w:r>
          </w:p>
        </w:tc>
        <w:tc>
          <w:tcPr>
            <w:tcW w:w="6560" w:type="dxa"/>
            <w:vAlign w:val="bottom"/>
          </w:tcPr>
          <w:p>
            <w:pPr>
              <w:spacing w:after="0"/>
              <w:rPr>
                <w:sz w:val="18"/>
                <w:szCs w:val="18"/>
                <w:color w:val="auto"/>
              </w:rPr>
            </w:pPr>
          </w:p>
        </w:tc>
      </w:tr>
      <w:tr>
        <w:trPr>
          <w:trHeight w:val="391"/>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ING BANK N.V., LONDON BRANCH</w:t>
            </w:r>
          </w:p>
        </w:tc>
        <w:tc>
          <w:tcPr>
            <w:tcW w:w="6560" w:type="dxa"/>
            <w:vAlign w:val="bottom"/>
          </w:tcPr>
          <w:p>
            <w:pPr>
              <w:ind w:left="2580"/>
              <w:spacing w:after="0"/>
              <w:rPr>
                <w:sz w:val="20"/>
                <w:szCs w:val="20"/>
                <w:color w:val="auto"/>
              </w:rPr>
            </w:pPr>
            <w:r>
              <w:rPr>
                <w:rFonts w:ascii="Arial" w:cs="Arial" w:eastAsia="Arial" w:hAnsi="Arial"/>
                <w:sz w:val="18"/>
                <w:szCs w:val="18"/>
                <w:color w:val="auto"/>
              </w:rPr>
              <w:t>/s/Niki Alexandrou</w:t>
            </w:r>
          </w:p>
        </w:tc>
      </w:tr>
      <w:tr>
        <w:trPr>
          <w:trHeight w:val="203"/>
        </w:trPr>
        <w:tc>
          <w:tcPr>
            <w:tcW w:w="4860" w:type="dxa"/>
            <w:vAlign w:val="bottom"/>
            <w:gridSpan w:val="2"/>
          </w:tcPr>
          <w:p>
            <w:pPr>
              <w:spacing w:after="0" w:line="202" w:lineRule="exact"/>
              <w:rPr>
                <w:sz w:val="20"/>
                <w:szCs w:val="20"/>
                <w:color w:val="auto"/>
              </w:rPr>
            </w:pPr>
            <w:r>
              <w:rPr>
                <w:rFonts w:ascii="Arial" w:cs="Arial" w:eastAsia="Arial" w:hAnsi="Arial"/>
                <w:sz w:val="18"/>
                <w:szCs w:val="18"/>
                <w:color w:val="auto"/>
              </w:rPr>
              <w:t>as Mandated Lead Arranger</w:t>
            </w:r>
          </w:p>
        </w:tc>
        <w:tc>
          <w:tcPr>
            <w:tcW w:w="6560" w:type="dxa"/>
            <w:vAlign w:val="bottom"/>
          </w:tcPr>
          <w:p>
            <w:pPr>
              <w:ind w:left="2580"/>
              <w:spacing w:after="0" w:line="202" w:lineRule="exact"/>
              <w:rPr>
                <w:sz w:val="20"/>
                <w:szCs w:val="20"/>
                <w:color w:val="auto"/>
              </w:rPr>
            </w:pPr>
            <w:r>
              <w:rPr>
                <w:rFonts w:ascii="Arial" w:cs="Arial" w:eastAsia="Arial" w:hAnsi="Arial"/>
                <w:sz w:val="18"/>
                <w:szCs w:val="18"/>
                <w:color w:val="auto"/>
              </w:rPr>
              <w:t>Attorney-in-fact</w:t>
            </w:r>
          </w:p>
        </w:tc>
      </w:tr>
      <w:tr>
        <w:trPr>
          <w:trHeight w:val="217"/>
        </w:trPr>
        <w:tc>
          <w:tcPr>
            <w:tcW w:w="4860" w:type="dxa"/>
            <w:vAlign w:val="bottom"/>
            <w:gridSpan w:val="2"/>
          </w:tcPr>
          <w:p>
            <w:pPr>
              <w:spacing w:after="0"/>
              <w:rPr>
                <w:sz w:val="20"/>
                <w:szCs w:val="20"/>
                <w:color w:val="auto"/>
              </w:rPr>
            </w:pPr>
            <w:r>
              <w:rPr>
                <w:rFonts w:ascii="Arial" w:cs="Arial" w:eastAsia="Arial" w:hAnsi="Arial"/>
                <w:sz w:val="18"/>
                <w:szCs w:val="18"/>
                <w:color w:val="auto"/>
              </w:rPr>
              <w:t>By: Niki Alexandrou</w:t>
            </w:r>
          </w:p>
        </w:tc>
        <w:tc>
          <w:tcPr>
            <w:tcW w:w="6560" w:type="dxa"/>
            <w:vAlign w:val="bottom"/>
          </w:tcPr>
          <w:p>
            <w:pPr>
              <w:spacing w:after="0"/>
              <w:rPr>
                <w:sz w:val="18"/>
                <w:szCs w:val="18"/>
                <w:color w:val="auto"/>
              </w:rPr>
            </w:pPr>
          </w:p>
        </w:tc>
      </w:tr>
      <w:tr>
        <w:trPr>
          <w:trHeight w:val="391"/>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DANMARKS SKIBSKREDIT A/S</w:t>
            </w:r>
          </w:p>
        </w:tc>
        <w:tc>
          <w:tcPr>
            <w:tcW w:w="6560" w:type="dxa"/>
            <w:vAlign w:val="bottom"/>
          </w:tcPr>
          <w:p>
            <w:pPr>
              <w:ind w:left="2580"/>
              <w:spacing w:after="0"/>
              <w:rPr>
                <w:sz w:val="20"/>
                <w:szCs w:val="20"/>
                <w:color w:val="auto"/>
              </w:rPr>
            </w:pPr>
            <w:r>
              <w:rPr>
                <w:rFonts w:ascii="Arial" w:cs="Arial" w:eastAsia="Arial" w:hAnsi="Arial"/>
                <w:sz w:val="18"/>
                <w:szCs w:val="18"/>
                <w:color w:val="auto"/>
              </w:rPr>
              <w:t>/s/Niki Alexandrou</w:t>
            </w:r>
          </w:p>
        </w:tc>
      </w:tr>
      <w:tr>
        <w:trPr>
          <w:trHeight w:val="203"/>
        </w:trPr>
        <w:tc>
          <w:tcPr>
            <w:tcW w:w="4860" w:type="dxa"/>
            <w:vAlign w:val="bottom"/>
            <w:gridSpan w:val="2"/>
          </w:tcPr>
          <w:p>
            <w:pPr>
              <w:spacing w:after="0" w:line="202" w:lineRule="exact"/>
              <w:rPr>
                <w:sz w:val="20"/>
                <w:szCs w:val="20"/>
                <w:color w:val="auto"/>
              </w:rPr>
            </w:pPr>
            <w:r>
              <w:rPr>
                <w:rFonts w:ascii="Arial" w:cs="Arial" w:eastAsia="Arial" w:hAnsi="Arial"/>
                <w:sz w:val="18"/>
                <w:szCs w:val="18"/>
                <w:color w:val="auto"/>
              </w:rPr>
              <w:t>as Mandated Lead Arranger</w:t>
            </w:r>
          </w:p>
        </w:tc>
        <w:tc>
          <w:tcPr>
            <w:tcW w:w="6560" w:type="dxa"/>
            <w:vAlign w:val="bottom"/>
          </w:tcPr>
          <w:p>
            <w:pPr>
              <w:ind w:left="2580"/>
              <w:spacing w:after="0" w:line="202" w:lineRule="exact"/>
              <w:rPr>
                <w:sz w:val="20"/>
                <w:szCs w:val="20"/>
                <w:color w:val="auto"/>
              </w:rPr>
            </w:pPr>
            <w:r>
              <w:rPr>
                <w:rFonts w:ascii="Arial" w:cs="Arial" w:eastAsia="Arial" w:hAnsi="Arial"/>
                <w:sz w:val="18"/>
                <w:szCs w:val="18"/>
                <w:color w:val="auto"/>
              </w:rPr>
              <w:t>Attorney-in-fact</w:t>
            </w:r>
          </w:p>
        </w:tc>
      </w:tr>
      <w:tr>
        <w:trPr>
          <w:trHeight w:val="217"/>
        </w:trPr>
        <w:tc>
          <w:tcPr>
            <w:tcW w:w="4860" w:type="dxa"/>
            <w:vAlign w:val="bottom"/>
            <w:gridSpan w:val="2"/>
          </w:tcPr>
          <w:p>
            <w:pPr>
              <w:spacing w:after="0"/>
              <w:rPr>
                <w:sz w:val="20"/>
                <w:szCs w:val="20"/>
                <w:color w:val="auto"/>
              </w:rPr>
            </w:pPr>
            <w:r>
              <w:rPr>
                <w:rFonts w:ascii="Arial" w:cs="Arial" w:eastAsia="Arial" w:hAnsi="Arial"/>
                <w:sz w:val="18"/>
                <w:szCs w:val="18"/>
                <w:color w:val="auto"/>
              </w:rPr>
              <w:t>By: Niki Alexandrou</w:t>
            </w:r>
          </w:p>
        </w:tc>
        <w:tc>
          <w:tcPr>
            <w:tcW w:w="6560" w:type="dxa"/>
            <w:vAlign w:val="bottom"/>
          </w:tcPr>
          <w:p>
            <w:pPr>
              <w:spacing w:after="0"/>
              <w:rPr>
                <w:sz w:val="18"/>
                <w:szCs w:val="18"/>
                <w:color w:val="auto"/>
              </w:rPr>
            </w:pPr>
          </w:p>
        </w:tc>
      </w:tr>
      <w:tr>
        <w:trPr>
          <w:trHeight w:val="391"/>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THE KOREA DEVELOPMENT BANK</w:t>
            </w:r>
          </w:p>
        </w:tc>
        <w:tc>
          <w:tcPr>
            <w:tcW w:w="6560" w:type="dxa"/>
            <w:vAlign w:val="bottom"/>
          </w:tcPr>
          <w:p>
            <w:pPr>
              <w:ind w:left="2580"/>
              <w:spacing w:after="0"/>
              <w:rPr>
                <w:sz w:val="20"/>
                <w:szCs w:val="20"/>
                <w:color w:val="auto"/>
              </w:rPr>
            </w:pPr>
            <w:r>
              <w:rPr>
                <w:rFonts w:ascii="Arial" w:cs="Arial" w:eastAsia="Arial" w:hAnsi="Arial"/>
                <w:sz w:val="18"/>
                <w:szCs w:val="18"/>
                <w:color w:val="auto"/>
              </w:rPr>
              <w:t>/s/Tae Wook Lim</w:t>
            </w:r>
          </w:p>
        </w:tc>
      </w:tr>
      <w:tr>
        <w:trPr>
          <w:trHeight w:val="203"/>
        </w:trPr>
        <w:tc>
          <w:tcPr>
            <w:tcW w:w="4860" w:type="dxa"/>
            <w:vAlign w:val="bottom"/>
            <w:gridSpan w:val="2"/>
          </w:tcPr>
          <w:p>
            <w:pPr>
              <w:spacing w:after="0" w:line="202" w:lineRule="exact"/>
              <w:rPr>
                <w:sz w:val="20"/>
                <w:szCs w:val="20"/>
                <w:color w:val="auto"/>
              </w:rPr>
            </w:pPr>
            <w:r>
              <w:rPr>
                <w:rFonts w:ascii="Arial" w:cs="Arial" w:eastAsia="Arial" w:hAnsi="Arial"/>
                <w:sz w:val="18"/>
                <w:szCs w:val="18"/>
                <w:color w:val="auto"/>
              </w:rPr>
              <w:t>as Mandated Lead Arranger</w:t>
            </w:r>
          </w:p>
        </w:tc>
        <w:tc>
          <w:tcPr>
            <w:tcW w:w="6560" w:type="dxa"/>
            <w:vAlign w:val="bottom"/>
          </w:tcPr>
          <w:p>
            <w:pPr>
              <w:ind w:left="2580"/>
              <w:spacing w:after="0" w:line="202" w:lineRule="exact"/>
              <w:rPr>
                <w:sz w:val="20"/>
                <w:szCs w:val="20"/>
                <w:color w:val="auto"/>
              </w:rPr>
            </w:pPr>
            <w:r>
              <w:rPr>
                <w:rFonts w:ascii="Arial" w:cs="Arial" w:eastAsia="Arial" w:hAnsi="Arial"/>
                <w:sz w:val="18"/>
                <w:szCs w:val="18"/>
                <w:color w:val="auto"/>
              </w:rPr>
              <w:t>Authorised signatory</w:t>
            </w:r>
          </w:p>
        </w:tc>
      </w:tr>
      <w:tr>
        <w:trPr>
          <w:trHeight w:val="217"/>
        </w:trPr>
        <w:tc>
          <w:tcPr>
            <w:tcW w:w="4860" w:type="dxa"/>
            <w:vAlign w:val="bottom"/>
            <w:gridSpan w:val="2"/>
          </w:tcPr>
          <w:p>
            <w:pPr>
              <w:spacing w:after="0"/>
              <w:rPr>
                <w:sz w:val="20"/>
                <w:szCs w:val="20"/>
                <w:color w:val="auto"/>
              </w:rPr>
            </w:pPr>
            <w:r>
              <w:rPr>
                <w:rFonts w:ascii="Arial" w:cs="Arial" w:eastAsia="Arial" w:hAnsi="Arial"/>
                <w:sz w:val="18"/>
                <w:szCs w:val="18"/>
                <w:color w:val="auto"/>
              </w:rPr>
              <w:t>By: Tae Wook Lim</w:t>
            </w:r>
          </w:p>
        </w:tc>
        <w:tc>
          <w:tcPr>
            <w:tcW w:w="6560" w:type="dxa"/>
            <w:vAlign w:val="bottom"/>
          </w:tcPr>
          <w:p>
            <w:pPr>
              <w:spacing w:after="0"/>
              <w:rPr>
                <w:sz w:val="18"/>
                <w:szCs w:val="18"/>
                <w:color w:val="auto"/>
              </w:rPr>
            </w:pPr>
          </w:p>
        </w:tc>
      </w:tr>
      <w:tr>
        <w:trPr>
          <w:trHeight w:val="391"/>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DVB BANK AMERICA N.V.</w:t>
            </w:r>
          </w:p>
        </w:tc>
        <w:tc>
          <w:tcPr>
            <w:tcW w:w="6560" w:type="dxa"/>
            <w:vAlign w:val="bottom"/>
          </w:tcPr>
          <w:p>
            <w:pPr>
              <w:ind w:left="2580"/>
              <w:spacing w:after="0"/>
              <w:rPr>
                <w:sz w:val="20"/>
                <w:szCs w:val="20"/>
                <w:color w:val="auto"/>
              </w:rPr>
            </w:pPr>
            <w:r>
              <w:rPr>
                <w:rFonts w:ascii="Arial" w:cs="Arial" w:eastAsia="Arial" w:hAnsi="Arial"/>
                <w:sz w:val="18"/>
                <w:szCs w:val="18"/>
                <w:color w:val="auto"/>
              </w:rPr>
              <w:t>/s/Niki Alexandrou</w:t>
            </w:r>
          </w:p>
        </w:tc>
      </w:tr>
      <w:tr>
        <w:trPr>
          <w:trHeight w:val="203"/>
        </w:trPr>
        <w:tc>
          <w:tcPr>
            <w:tcW w:w="4860" w:type="dxa"/>
            <w:vAlign w:val="bottom"/>
            <w:gridSpan w:val="2"/>
          </w:tcPr>
          <w:p>
            <w:pPr>
              <w:spacing w:after="0" w:line="202" w:lineRule="exact"/>
              <w:rPr>
                <w:sz w:val="20"/>
                <w:szCs w:val="20"/>
                <w:color w:val="auto"/>
              </w:rPr>
            </w:pPr>
            <w:r>
              <w:rPr>
                <w:rFonts w:ascii="Arial" w:cs="Arial" w:eastAsia="Arial" w:hAnsi="Arial"/>
                <w:sz w:val="18"/>
                <w:szCs w:val="18"/>
                <w:color w:val="auto"/>
              </w:rPr>
              <w:t>as Arranger</w:t>
            </w:r>
          </w:p>
        </w:tc>
        <w:tc>
          <w:tcPr>
            <w:tcW w:w="6560" w:type="dxa"/>
            <w:vAlign w:val="bottom"/>
          </w:tcPr>
          <w:p>
            <w:pPr>
              <w:ind w:left="2580"/>
              <w:spacing w:after="0" w:line="202" w:lineRule="exact"/>
              <w:rPr>
                <w:sz w:val="20"/>
                <w:szCs w:val="20"/>
                <w:color w:val="auto"/>
              </w:rPr>
            </w:pPr>
            <w:r>
              <w:rPr>
                <w:rFonts w:ascii="Arial" w:cs="Arial" w:eastAsia="Arial" w:hAnsi="Arial"/>
                <w:sz w:val="18"/>
                <w:szCs w:val="18"/>
                <w:color w:val="auto"/>
              </w:rPr>
              <w:t>Attorney-in-fact</w:t>
            </w:r>
          </w:p>
        </w:tc>
      </w:tr>
      <w:tr>
        <w:trPr>
          <w:trHeight w:val="217"/>
        </w:trPr>
        <w:tc>
          <w:tcPr>
            <w:tcW w:w="4860" w:type="dxa"/>
            <w:vAlign w:val="bottom"/>
            <w:gridSpan w:val="2"/>
          </w:tcPr>
          <w:p>
            <w:pPr>
              <w:spacing w:after="0"/>
              <w:rPr>
                <w:sz w:val="20"/>
                <w:szCs w:val="20"/>
                <w:color w:val="auto"/>
              </w:rPr>
            </w:pPr>
            <w:r>
              <w:rPr>
                <w:rFonts w:ascii="Arial" w:cs="Arial" w:eastAsia="Arial" w:hAnsi="Arial"/>
                <w:sz w:val="18"/>
                <w:szCs w:val="18"/>
                <w:color w:val="auto"/>
              </w:rPr>
              <w:t>By: Niki Alexandrou</w:t>
            </w:r>
          </w:p>
        </w:tc>
        <w:tc>
          <w:tcPr>
            <w:tcW w:w="6560" w:type="dxa"/>
            <w:vAlign w:val="bottom"/>
          </w:tcPr>
          <w:p>
            <w:pPr>
              <w:spacing w:after="0"/>
              <w:rPr>
                <w:sz w:val="18"/>
                <w:szCs w:val="18"/>
                <w:color w:val="auto"/>
              </w:rPr>
            </w:pPr>
          </w:p>
        </w:tc>
      </w:tr>
      <w:tr>
        <w:trPr>
          <w:trHeight w:val="392"/>
        </w:trPr>
        <w:tc>
          <w:tcPr>
            <w:tcW w:w="15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560" w:type="dxa"/>
            <w:vAlign w:val="bottom"/>
          </w:tcPr>
          <w:p>
            <w:pPr>
              <w:ind w:left="700"/>
              <w:spacing w:after="0"/>
              <w:rPr>
                <w:sz w:val="20"/>
                <w:szCs w:val="20"/>
                <w:color w:val="auto"/>
              </w:rPr>
            </w:pPr>
            <w:r>
              <w:rPr>
                <w:rFonts w:ascii="Arial" w:cs="Arial" w:eastAsia="Arial" w:hAnsi="Arial"/>
                <w:sz w:val="18"/>
                <w:szCs w:val="18"/>
                <w:color w:val="auto"/>
              </w:rPr>
              <w:t>193</w:t>
            </w:r>
          </w:p>
        </w:tc>
      </w:tr>
      <w:tr>
        <w:trPr>
          <w:trHeight w:val="237"/>
        </w:trPr>
        <w:tc>
          <w:tcPr>
            <w:tcW w:w="1580" w:type="dxa"/>
            <w:vAlign w:val="bottom"/>
            <w:tcBorders>
              <w:bottom w:val="single" w:sz="8" w:color="C0C0C0"/>
            </w:tcBorders>
          </w:tcPr>
          <w:p>
            <w:pPr>
              <w:spacing w:after="0"/>
              <w:rPr>
                <w:sz w:val="20"/>
                <w:szCs w:val="20"/>
                <w:color w:val="auto"/>
              </w:rPr>
            </w:pPr>
          </w:p>
        </w:tc>
        <w:tc>
          <w:tcPr>
            <w:tcW w:w="3280" w:type="dxa"/>
            <w:vAlign w:val="bottom"/>
            <w:tcBorders>
              <w:bottom w:val="single" w:sz="8" w:color="C0C0C0"/>
            </w:tcBorders>
          </w:tcPr>
          <w:p>
            <w:pPr>
              <w:spacing w:after="0"/>
              <w:rPr>
                <w:sz w:val="20"/>
                <w:szCs w:val="20"/>
                <w:color w:val="auto"/>
              </w:rPr>
            </w:pPr>
          </w:p>
        </w:tc>
        <w:tc>
          <w:tcPr>
            <w:tcW w:w="656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01" w:right="239" w:bottom="1440" w:gutter="0" w:footer="0" w:header="0"/>
        </w:sectPr>
      </w:pPr>
    </w:p>
    <w:bookmarkStart w:id="245" w:name="page246"/>
    <w:bookmarkEnd w:id="2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gridSpan w:val="4"/>
          </w:tcPr>
          <w:p>
            <w:pPr>
              <w:spacing w:after="0"/>
              <w:rPr>
                <w:sz w:val="20"/>
                <w:szCs w:val="20"/>
                <w:color w:val="auto"/>
              </w:rPr>
            </w:pPr>
            <w:r>
              <w:rPr>
                <w:rFonts w:ascii="Arial" w:cs="Arial" w:eastAsia="Arial" w:hAnsi="Arial"/>
                <w:sz w:val="18"/>
                <w:szCs w:val="18"/>
                <w:b w:val="1"/>
                <w:bCs w:val="1"/>
                <w:color w:val="auto"/>
              </w:rPr>
              <w:t>THE ORIGINAL LENDERS</w:t>
            </w:r>
          </w:p>
        </w:tc>
        <w:tc>
          <w:tcPr>
            <w:tcW w:w="6560" w:type="dxa"/>
            <w:vAlign w:val="bottom"/>
          </w:tcPr>
          <w:p>
            <w:pPr>
              <w:spacing w:after="0"/>
              <w:rPr>
                <w:sz w:val="17"/>
                <w:szCs w:val="17"/>
                <w:color w:val="auto"/>
              </w:rPr>
            </w:pPr>
          </w:p>
        </w:tc>
      </w:tr>
      <w:tr>
        <w:trPr>
          <w:trHeight w:val="20"/>
        </w:trPr>
        <w:tc>
          <w:tcPr>
            <w:tcW w:w="18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411"/>
        </w:trPr>
        <w:tc>
          <w:tcPr>
            <w:tcW w:w="4860" w:type="dxa"/>
            <w:vAlign w:val="bottom"/>
            <w:gridSpan w:val="4"/>
          </w:tcPr>
          <w:p>
            <w:pPr>
              <w:spacing w:after="0"/>
              <w:rPr>
                <w:sz w:val="20"/>
                <w:szCs w:val="20"/>
                <w:color w:val="auto"/>
              </w:rPr>
            </w:pPr>
            <w:r>
              <w:rPr>
                <w:rFonts w:ascii="Arial" w:cs="Arial" w:eastAsia="Arial" w:hAnsi="Arial"/>
                <w:sz w:val="18"/>
                <w:szCs w:val="18"/>
                <w:b w:val="1"/>
                <w:bCs w:val="1"/>
                <w:color w:val="auto"/>
              </w:rPr>
              <w:t>CITIBANK, N.A., LONDON BRANCH</w:t>
            </w:r>
          </w:p>
        </w:tc>
        <w:tc>
          <w:tcPr>
            <w:tcW w:w="6560" w:type="dxa"/>
            <w:vAlign w:val="bottom"/>
          </w:tcPr>
          <w:p>
            <w:pPr>
              <w:ind w:left="2580"/>
              <w:spacing w:after="0"/>
              <w:rPr>
                <w:sz w:val="20"/>
                <w:szCs w:val="20"/>
                <w:color w:val="auto"/>
              </w:rPr>
            </w:pPr>
            <w:r>
              <w:rPr>
                <w:rFonts w:ascii="Arial" w:cs="Arial" w:eastAsia="Arial" w:hAnsi="Arial"/>
                <w:sz w:val="18"/>
                <w:szCs w:val="18"/>
                <w:color w:val="auto"/>
              </w:rPr>
              <w:t>/s/Vassilis Maroulis</w:t>
            </w:r>
          </w:p>
        </w:tc>
      </w:tr>
      <w:tr>
        <w:trPr>
          <w:trHeight w:val="217"/>
        </w:trPr>
        <w:tc>
          <w:tcPr>
            <w:tcW w:w="4860" w:type="dxa"/>
            <w:vAlign w:val="bottom"/>
            <w:gridSpan w:val="4"/>
          </w:tcPr>
          <w:p>
            <w:pPr>
              <w:spacing w:after="0"/>
              <w:rPr>
                <w:sz w:val="20"/>
                <w:szCs w:val="20"/>
                <w:color w:val="auto"/>
              </w:rPr>
            </w:pPr>
            <w:r>
              <w:rPr>
                <w:rFonts w:ascii="Arial" w:cs="Arial" w:eastAsia="Arial" w:hAnsi="Arial"/>
                <w:sz w:val="18"/>
                <w:szCs w:val="18"/>
                <w:color w:val="auto"/>
              </w:rPr>
              <w:t>By: Vassilis Maroulis</w:t>
            </w:r>
          </w:p>
        </w:tc>
        <w:tc>
          <w:tcPr>
            <w:tcW w:w="6560" w:type="dxa"/>
            <w:vAlign w:val="bottom"/>
          </w:tcPr>
          <w:p>
            <w:pPr>
              <w:ind w:left="2580"/>
              <w:spacing w:after="0"/>
              <w:rPr>
                <w:sz w:val="20"/>
                <w:szCs w:val="20"/>
                <w:color w:val="auto"/>
              </w:rPr>
            </w:pPr>
            <w:r>
              <w:rPr>
                <w:rFonts w:ascii="Arial" w:cs="Arial" w:eastAsia="Arial" w:hAnsi="Arial"/>
                <w:sz w:val="18"/>
                <w:szCs w:val="18"/>
                <w:color w:val="auto"/>
              </w:rPr>
              <w:t>Authorised signatory</w:t>
            </w:r>
          </w:p>
        </w:tc>
      </w:tr>
      <w:tr>
        <w:trPr>
          <w:trHeight w:val="391"/>
        </w:trPr>
        <w:tc>
          <w:tcPr>
            <w:tcW w:w="4860" w:type="dxa"/>
            <w:vAlign w:val="bottom"/>
            <w:gridSpan w:val="4"/>
          </w:tcPr>
          <w:p>
            <w:pPr>
              <w:spacing w:after="0"/>
              <w:rPr>
                <w:sz w:val="20"/>
                <w:szCs w:val="20"/>
                <w:color w:val="auto"/>
              </w:rPr>
            </w:pPr>
            <w:r>
              <w:rPr>
                <w:rFonts w:ascii="Arial" w:cs="Arial" w:eastAsia="Arial" w:hAnsi="Arial"/>
                <w:sz w:val="18"/>
                <w:szCs w:val="18"/>
                <w:b w:val="1"/>
                <w:bCs w:val="1"/>
                <w:color w:val="auto"/>
              </w:rPr>
              <w:t>CREDIT SUISSE AG</w:t>
            </w:r>
          </w:p>
        </w:tc>
        <w:tc>
          <w:tcPr>
            <w:tcW w:w="6560" w:type="dxa"/>
            <w:vAlign w:val="bottom"/>
          </w:tcPr>
          <w:p>
            <w:pPr>
              <w:ind w:left="2580"/>
              <w:spacing w:after="0"/>
              <w:rPr>
                <w:sz w:val="20"/>
                <w:szCs w:val="20"/>
                <w:color w:val="auto"/>
              </w:rPr>
            </w:pPr>
            <w:r>
              <w:rPr>
                <w:rFonts w:ascii="Arial" w:cs="Arial" w:eastAsia="Arial" w:hAnsi="Arial"/>
                <w:sz w:val="18"/>
                <w:szCs w:val="18"/>
                <w:color w:val="auto"/>
              </w:rPr>
              <w:t>/s/Niki Alexandrou</w:t>
            </w:r>
          </w:p>
        </w:tc>
      </w:tr>
      <w:tr>
        <w:trPr>
          <w:trHeight w:val="217"/>
        </w:trPr>
        <w:tc>
          <w:tcPr>
            <w:tcW w:w="4860" w:type="dxa"/>
            <w:vAlign w:val="bottom"/>
            <w:gridSpan w:val="4"/>
          </w:tcPr>
          <w:p>
            <w:pPr>
              <w:spacing w:after="0"/>
              <w:rPr>
                <w:sz w:val="20"/>
                <w:szCs w:val="20"/>
                <w:color w:val="auto"/>
              </w:rPr>
            </w:pPr>
            <w:r>
              <w:rPr>
                <w:rFonts w:ascii="Arial" w:cs="Arial" w:eastAsia="Arial" w:hAnsi="Arial"/>
                <w:sz w:val="18"/>
                <w:szCs w:val="18"/>
                <w:color w:val="auto"/>
              </w:rPr>
              <w:t>By: Niki Alexandrou</w:t>
            </w:r>
          </w:p>
        </w:tc>
        <w:tc>
          <w:tcPr>
            <w:tcW w:w="6560" w:type="dxa"/>
            <w:vAlign w:val="bottom"/>
          </w:tcPr>
          <w:p>
            <w:pPr>
              <w:ind w:left="2580"/>
              <w:spacing w:after="0"/>
              <w:rPr>
                <w:sz w:val="20"/>
                <w:szCs w:val="20"/>
                <w:color w:val="auto"/>
              </w:rPr>
            </w:pPr>
            <w:r>
              <w:rPr>
                <w:rFonts w:ascii="Arial" w:cs="Arial" w:eastAsia="Arial" w:hAnsi="Arial"/>
                <w:sz w:val="18"/>
                <w:szCs w:val="18"/>
                <w:color w:val="auto"/>
              </w:rPr>
              <w:t>Attorney-in-fact</w:t>
            </w:r>
          </w:p>
        </w:tc>
      </w:tr>
      <w:tr>
        <w:trPr>
          <w:trHeight w:val="391"/>
        </w:trPr>
        <w:tc>
          <w:tcPr>
            <w:tcW w:w="4860" w:type="dxa"/>
            <w:vAlign w:val="bottom"/>
            <w:gridSpan w:val="4"/>
          </w:tcPr>
          <w:p>
            <w:pPr>
              <w:spacing w:after="0"/>
              <w:rPr>
                <w:sz w:val="20"/>
                <w:szCs w:val="20"/>
                <w:color w:val="auto"/>
              </w:rPr>
            </w:pPr>
            <w:r>
              <w:rPr>
                <w:rFonts w:ascii="Arial" w:cs="Arial" w:eastAsia="Arial" w:hAnsi="Arial"/>
                <w:sz w:val="18"/>
                <w:szCs w:val="18"/>
                <w:b w:val="1"/>
                <w:bCs w:val="1"/>
                <w:color w:val="auto"/>
              </w:rPr>
              <w:t>NORDEA BANK AB, LONDON BRANCH</w:t>
            </w:r>
          </w:p>
        </w:tc>
        <w:tc>
          <w:tcPr>
            <w:tcW w:w="6560" w:type="dxa"/>
            <w:vAlign w:val="bottom"/>
          </w:tcPr>
          <w:p>
            <w:pPr>
              <w:ind w:left="2580"/>
              <w:spacing w:after="0"/>
              <w:rPr>
                <w:sz w:val="20"/>
                <w:szCs w:val="20"/>
                <w:color w:val="auto"/>
              </w:rPr>
            </w:pPr>
            <w:r>
              <w:rPr>
                <w:rFonts w:ascii="Arial" w:cs="Arial" w:eastAsia="Arial" w:hAnsi="Arial"/>
                <w:sz w:val="18"/>
                <w:szCs w:val="18"/>
                <w:color w:val="auto"/>
              </w:rPr>
              <w:t>/s/Niki Alexandrou</w:t>
            </w:r>
          </w:p>
        </w:tc>
      </w:tr>
      <w:tr>
        <w:trPr>
          <w:trHeight w:val="217"/>
        </w:trPr>
        <w:tc>
          <w:tcPr>
            <w:tcW w:w="4860" w:type="dxa"/>
            <w:vAlign w:val="bottom"/>
            <w:gridSpan w:val="4"/>
          </w:tcPr>
          <w:p>
            <w:pPr>
              <w:spacing w:after="0"/>
              <w:rPr>
                <w:sz w:val="20"/>
                <w:szCs w:val="20"/>
                <w:color w:val="auto"/>
              </w:rPr>
            </w:pPr>
            <w:r>
              <w:rPr>
                <w:rFonts w:ascii="Arial" w:cs="Arial" w:eastAsia="Arial" w:hAnsi="Arial"/>
                <w:sz w:val="18"/>
                <w:szCs w:val="18"/>
                <w:color w:val="auto"/>
              </w:rPr>
              <w:t>By: Niki Alexandrou</w:t>
            </w:r>
          </w:p>
        </w:tc>
        <w:tc>
          <w:tcPr>
            <w:tcW w:w="6560" w:type="dxa"/>
            <w:vAlign w:val="bottom"/>
          </w:tcPr>
          <w:p>
            <w:pPr>
              <w:ind w:left="2580"/>
              <w:spacing w:after="0"/>
              <w:rPr>
                <w:sz w:val="20"/>
                <w:szCs w:val="20"/>
                <w:color w:val="auto"/>
              </w:rPr>
            </w:pPr>
            <w:r>
              <w:rPr>
                <w:rFonts w:ascii="Arial" w:cs="Arial" w:eastAsia="Arial" w:hAnsi="Arial"/>
                <w:sz w:val="18"/>
                <w:szCs w:val="18"/>
                <w:color w:val="auto"/>
              </w:rPr>
              <w:t>Attorney-in-fact</w:t>
            </w:r>
          </w:p>
        </w:tc>
      </w:tr>
      <w:tr>
        <w:trPr>
          <w:trHeight w:val="391"/>
        </w:trPr>
        <w:tc>
          <w:tcPr>
            <w:tcW w:w="4860" w:type="dxa"/>
            <w:vAlign w:val="bottom"/>
            <w:gridSpan w:val="4"/>
          </w:tcPr>
          <w:p>
            <w:pPr>
              <w:spacing w:after="0"/>
              <w:rPr>
                <w:sz w:val="20"/>
                <w:szCs w:val="20"/>
                <w:color w:val="auto"/>
              </w:rPr>
            </w:pPr>
            <w:r>
              <w:rPr>
                <w:rFonts w:ascii="Arial" w:cs="Arial" w:eastAsia="Arial" w:hAnsi="Arial"/>
                <w:sz w:val="18"/>
                <w:szCs w:val="18"/>
                <w:b w:val="1"/>
                <w:bCs w:val="1"/>
                <w:color w:val="auto"/>
              </w:rPr>
              <w:t>SKANDINAVISKA ENSKILDA BANKEN AB (publ)</w:t>
            </w:r>
          </w:p>
        </w:tc>
        <w:tc>
          <w:tcPr>
            <w:tcW w:w="6560" w:type="dxa"/>
            <w:vAlign w:val="bottom"/>
          </w:tcPr>
          <w:p>
            <w:pPr>
              <w:ind w:left="2580"/>
              <w:spacing w:after="0"/>
              <w:rPr>
                <w:sz w:val="20"/>
                <w:szCs w:val="20"/>
                <w:color w:val="auto"/>
              </w:rPr>
            </w:pPr>
            <w:r>
              <w:rPr>
                <w:rFonts w:ascii="Arial" w:cs="Arial" w:eastAsia="Arial" w:hAnsi="Arial"/>
                <w:sz w:val="18"/>
                <w:szCs w:val="18"/>
                <w:color w:val="auto"/>
              </w:rPr>
              <w:t>/s/Niki Alexandrou</w:t>
            </w:r>
          </w:p>
        </w:tc>
      </w:tr>
      <w:tr>
        <w:trPr>
          <w:trHeight w:val="217"/>
        </w:trPr>
        <w:tc>
          <w:tcPr>
            <w:tcW w:w="4860" w:type="dxa"/>
            <w:vAlign w:val="bottom"/>
            <w:gridSpan w:val="4"/>
          </w:tcPr>
          <w:p>
            <w:pPr>
              <w:spacing w:after="0"/>
              <w:rPr>
                <w:sz w:val="20"/>
                <w:szCs w:val="20"/>
                <w:color w:val="auto"/>
              </w:rPr>
            </w:pPr>
            <w:r>
              <w:rPr>
                <w:rFonts w:ascii="Arial" w:cs="Arial" w:eastAsia="Arial" w:hAnsi="Arial"/>
                <w:sz w:val="18"/>
                <w:szCs w:val="18"/>
                <w:color w:val="auto"/>
              </w:rPr>
              <w:t>By: Niki Alexandrou</w:t>
            </w:r>
          </w:p>
        </w:tc>
        <w:tc>
          <w:tcPr>
            <w:tcW w:w="6560" w:type="dxa"/>
            <w:vAlign w:val="bottom"/>
          </w:tcPr>
          <w:p>
            <w:pPr>
              <w:ind w:left="2580"/>
              <w:spacing w:after="0"/>
              <w:rPr>
                <w:sz w:val="20"/>
                <w:szCs w:val="20"/>
                <w:color w:val="auto"/>
              </w:rPr>
            </w:pPr>
            <w:r>
              <w:rPr>
                <w:rFonts w:ascii="Arial" w:cs="Arial" w:eastAsia="Arial" w:hAnsi="Arial"/>
                <w:sz w:val="18"/>
                <w:szCs w:val="18"/>
                <w:color w:val="auto"/>
              </w:rPr>
              <w:t>Attorney-in-fact</w:t>
            </w:r>
          </w:p>
        </w:tc>
      </w:tr>
      <w:tr>
        <w:trPr>
          <w:trHeight w:val="391"/>
        </w:trPr>
        <w:tc>
          <w:tcPr>
            <w:tcW w:w="4860" w:type="dxa"/>
            <w:vAlign w:val="bottom"/>
            <w:gridSpan w:val="4"/>
          </w:tcPr>
          <w:p>
            <w:pPr>
              <w:spacing w:after="0"/>
              <w:rPr>
                <w:sz w:val="20"/>
                <w:szCs w:val="20"/>
                <w:color w:val="auto"/>
              </w:rPr>
            </w:pPr>
            <w:r>
              <w:rPr>
                <w:rFonts w:ascii="Arial" w:cs="Arial" w:eastAsia="Arial" w:hAnsi="Arial"/>
                <w:sz w:val="18"/>
                <w:szCs w:val="18"/>
                <w:b w:val="1"/>
                <w:bCs w:val="1"/>
                <w:color w:val="auto"/>
              </w:rPr>
              <w:t>HSBC BANK plc</w:t>
            </w:r>
          </w:p>
        </w:tc>
        <w:tc>
          <w:tcPr>
            <w:tcW w:w="6560" w:type="dxa"/>
            <w:vAlign w:val="bottom"/>
          </w:tcPr>
          <w:p>
            <w:pPr>
              <w:ind w:left="2580"/>
              <w:spacing w:after="0"/>
              <w:rPr>
                <w:sz w:val="20"/>
                <w:szCs w:val="20"/>
                <w:color w:val="auto"/>
              </w:rPr>
            </w:pPr>
            <w:r>
              <w:rPr>
                <w:rFonts w:ascii="Arial" w:cs="Arial" w:eastAsia="Arial" w:hAnsi="Arial"/>
                <w:sz w:val="18"/>
                <w:szCs w:val="18"/>
                <w:color w:val="auto"/>
              </w:rPr>
              <w:t>/s/Antonis Lamnides</w:t>
            </w:r>
          </w:p>
        </w:tc>
      </w:tr>
      <w:tr>
        <w:trPr>
          <w:trHeight w:val="217"/>
        </w:trPr>
        <w:tc>
          <w:tcPr>
            <w:tcW w:w="4860" w:type="dxa"/>
            <w:vAlign w:val="bottom"/>
            <w:gridSpan w:val="4"/>
          </w:tcPr>
          <w:p>
            <w:pPr>
              <w:spacing w:after="0"/>
              <w:rPr>
                <w:sz w:val="20"/>
                <w:szCs w:val="20"/>
                <w:color w:val="auto"/>
              </w:rPr>
            </w:pPr>
            <w:r>
              <w:rPr>
                <w:rFonts w:ascii="Arial" w:cs="Arial" w:eastAsia="Arial" w:hAnsi="Arial"/>
                <w:sz w:val="18"/>
                <w:szCs w:val="18"/>
                <w:color w:val="auto"/>
              </w:rPr>
              <w:t>By: Antonis Lamnides</w:t>
            </w:r>
          </w:p>
        </w:tc>
        <w:tc>
          <w:tcPr>
            <w:tcW w:w="6560" w:type="dxa"/>
            <w:vAlign w:val="bottom"/>
          </w:tcPr>
          <w:p>
            <w:pPr>
              <w:ind w:left="2580"/>
              <w:spacing w:after="0"/>
              <w:rPr>
                <w:sz w:val="20"/>
                <w:szCs w:val="20"/>
                <w:color w:val="auto"/>
              </w:rPr>
            </w:pPr>
            <w:r>
              <w:rPr>
                <w:rFonts w:ascii="Arial" w:cs="Arial" w:eastAsia="Arial" w:hAnsi="Arial"/>
                <w:sz w:val="18"/>
                <w:szCs w:val="18"/>
                <w:color w:val="auto"/>
              </w:rPr>
              <w:t>Authorised signatory</w:t>
            </w:r>
          </w:p>
        </w:tc>
      </w:tr>
      <w:tr>
        <w:trPr>
          <w:trHeight w:val="391"/>
        </w:trPr>
        <w:tc>
          <w:tcPr>
            <w:tcW w:w="4860" w:type="dxa"/>
            <w:vAlign w:val="bottom"/>
            <w:gridSpan w:val="4"/>
          </w:tcPr>
          <w:p>
            <w:pPr>
              <w:spacing w:after="0"/>
              <w:rPr>
                <w:sz w:val="20"/>
                <w:szCs w:val="20"/>
                <w:color w:val="auto"/>
              </w:rPr>
            </w:pPr>
            <w:r>
              <w:rPr>
                <w:rFonts w:ascii="Arial" w:cs="Arial" w:eastAsia="Arial" w:hAnsi="Arial"/>
                <w:sz w:val="18"/>
                <w:szCs w:val="18"/>
                <w:b w:val="1"/>
                <w:bCs w:val="1"/>
                <w:color w:val="auto"/>
              </w:rPr>
              <w:t>ING BANK N.V., LONDON BRANCH</w:t>
            </w:r>
          </w:p>
        </w:tc>
        <w:tc>
          <w:tcPr>
            <w:tcW w:w="6560" w:type="dxa"/>
            <w:vAlign w:val="bottom"/>
          </w:tcPr>
          <w:p>
            <w:pPr>
              <w:ind w:left="2580"/>
              <w:spacing w:after="0"/>
              <w:rPr>
                <w:sz w:val="20"/>
                <w:szCs w:val="20"/>
                <w:color w:val="auto"/>
              </w:rPr>
            </w:pPr>
            <w:r>
              <w:rPr>
                <w:rFonts w:ascii="Arial" w:cs="Arial" w:eastAsia="Arial" w:hAnsi="Arial"/>
                <w:sz w:val="18"/>
                <w:szCs w:val="18"/>
                <w:color w:val="auto"/>
              </w:rPr>
              <w:t>/s/Niki Alexandrou</w:t>
            </w:r>
          </w:p>
        </w:tc>
      </w:tr>
      <w:tr>
        <w:trPr>
          <w:trHeight w:val="217"/>
        </w:trPr>
        <w:tc>
          <w:tcPr>
            <w:tcW w:w="4860" w:type="dxa"/>
            <w:vAlign w:val="bottom"/>
            <w:gridSpan w:val="4"/>
          </w:tcPr>
          <w:p>
            <w:pPr>
              <w:spacing w:after="0"/>
              <w:rPr>
                <w:sz w:val="20"/>
                <w:szCs w:val="20"/>
                <w:color w:val="auto"/>
              </w:rPr>
            </w:pPr>
            <w:r>
              <w:rPr>
                <w:rFonts w:ascii="Arial" w:cs="Arial" w:eastAsia="Arial" w:hAnsi="Arial"/>
                <w:sz w:val="18"/>
                <w:szCs w:val="18"/>
                <w:color w:val="auto"/>
              </w:rPr>
              <w:t>By: Niki Alexandrou</w:t>
            </w:r>
          </w:p>
        </w:tc>
        <w:tc>
          <w:tcPr>
            <w:tcW w:w="6560" w:type="dxa"/>
            <w:vAlign w:val="bottom"/>
          </w:tcPr>
          <w:p>
            <w:pPr>
              <w:ind w:left="2580"/>
              <w:spacing w:after="0"/>
              <w:rPr>
                <w:sz w:val="20"/>
                <w:szCs w:val="20"/>
                <w:color w:val="auto"/>
              </w:rPr>
            </w:pPr>
            <w:r>
              <w:rPr>
                <w:rFonts w:ascii="Arial" w:cs="Arial" w:eastAsia="Arial" w:hAnsi="Arial"/>
                <w:sz w:val="18"/>
                <w:szCs w:val="18"/>
                <w:color w:val="auto"/>
              </w:rPr>
              <w:t>Attorney-in-fact</w:t>
            </w:r>
          </w:p>
        </w:tc>
      </w:tr>
      <w:tr>
        <w:trPr>
          <w:trHeight w:val="391"/>
        </w:trPr>
        <w:tc>
          <w:tcPr>
            <w:tcW w:w="4860" w:type="dxa"/>
            <w:vAlign w:val="bottom"/>
            <w:gridSpan w:val="4"/>
          </w:tcPr>
          <w:p>
            <w:pPr>
              <w:spacing w:after="0"/>
              <w:rPr>
                <w:sz w:val="20"/>
                <w:szCs w:val="20"/>
                <w:color w:val="auto"/>
              </w:rPr>
            </w:pPr>
            <w:r>
              <w:rPr>
                <w:rFonts w:ascii="Arial" w:cs="Arial" w:eastAsia="Arial" w:hAnsi="Arial"/>
                <w:sz w:val="18"/>
                <w:szCs w:val="18"/>
                <w:b w:val="1"/>
                <w:bCs w:val="1"/>
                <w:color w:val="auto"/>
              </w:rPr>
              <w:t>DANMARKS SKIBSKREDIT A/S</w:t>
            </w:r>
          </w:p>
        </w:tc>
        <w:tc>
          <w:tcPr>
            <w:tcW w:w="6560" w:type="dxa"/>
            <w:vAlign w:val="bottom"/>
          </w:tcPr>
          <w:p>
            <w:pPr>
              <w:ind w:left="2580"/>
              <w:spacing w:after="0"/>
              <w:rPr>
                <w:sz w:val="20"/>
                <w:szCs w:val="20"/>
                <w:color w:val="auto"/>
              </w:rPr>
            </w:pPr>
            <w:r>
              <w:rPr>
                <w:rFonts w:ascii="Arial" w:cs="Arial" w:eastAsia="Arial" w:hAnsi="Arial"/>
                <w:sz w:val="18"/>
                <w:szCs w:val="18"/>
                <w:color w:val="auto"/>
              </w:rPr>
              <w:t>/s/Niki Alexandrou</w:t>
            </w:r>
          </w:p>
        </w:tc>
      </w:tr>
      <w:tr>
        <w:trPr>
          <w:trHeight w:val="217"/>
        </w:trPr>
        <w:tc>
          <w:tcPr>
            <w:tcW w:w="4860" w:type="dxa"/>
            <w:vAlign w:val="bottom"/>
            <w:gridSpan w:val="4"/>
          </w:tcPr>
          <w:p>
            <w:pPr>
              <w:spacing w:after="0"/>
              <w:rPr>
                <w:sz w:val="20"/>
                <w:szCs w:val="20"/>
                <w:color w:val="auto"/>
              </w:rPr>
            </w:pPr>
            <w:r>
              <w:rPr>
                <w:rFonts w:ascii="Arial" w:cs="Arial" w:eastAsia="Arial" w:hAnsi="Arial"/>
                <w:sz w:val="18"/>
                <w:szCs w:val="18"/>
                <w:color w:val="auto"/>
              </w:rPr>
              <w:t>By: Niki Alexandrou</w:t>
            </w:r>
          </w:p>
        </w:tc>
        <w:tc>
          <w:tcPr>
            <w:tcW w:w="6560" w:type="dxa"/>
            <w:vAlign w:val="bottom"/>
          </w:tcPr>
          <w:p>
            <w:pPr>
              <w:ind w:left="2580"/>
              <w:spacing w:after="0"/>
              <w:rPr>
                <w:sz w:val="20"/>
                <w:szCs w:val="20"/>
                <w:color w:val="auto"/>
              </w:rPr>
            </w:pPr>
            <w:r>
              <w:rPr>
                <w:rFonts w:ascii="Arial" w:cs="Arial" w:eastAsia="Arial" w:hAnsi="Arial"/>
                <w:sz w:val="18"/>
                <w:szCs w:val="18"/>
                <w:color w:val="auto"/>
              </w:rPr>
              <w:t>Attorney-in-fact</w:t>
            </w:r>
          </w:p>
        </w:tc>
      </w:tr>
      <w:tr>
        <w:trPr>
          <w:trHeight w:val="391"/>
        </w:trPr>
        <w:tc>
          <w:tcPr>
            <w:tcW w:w="4860" w:type="dxa"/>
            <w:vAlign w:val="bottom"/>
            <w:gridSpan w:val="4"/>
          </w:tcPr>
          <w:p>
            <w:pPr>
              <w:spacing w:after="0"/>
              <w:rPr>
                <w:sz w:val="20"/>
                <w:szCs w:val="20"/>
                <w:color w:val="auto"/>
              </w:rPr>
            </w:pPr>
            <w:r>
              <w:rPr>
                <w:rFonts w:ascii="Arial" w:cs="Arial" w:eastAsia="Arial" w:hAnsi="Arial"/>
                <w:sz w:val="18"/>
                <w:szCs w:val="18"/>
                <w:b w:val="1"/>
                <w:bCs w:val="1"/>
                <w:color w:val="auto"/>
              </w:rPr>
              <w:t>THE KOREA DEVELOPMENT BANK</w:t>
            </w:r>
          </w:p>
        </w:tc>
        <w:tc>
          <w:tcPr>
            <w:tcW w:w="6560" w:type="dxa"/>
            <w:vAlign w:val="bottom"/>
          </w:tcPr>
          <w:p>
            <w:pPr>
              <w:ind w:left="2580"/>
              <w:spacing w:after="0"/>
              <w:rPr>
                <w:sz w:val="20"/>
                <w:szCs w:val="20"/>
                <w:color w:val="auto"/>
              </w:rPr>
            </w:pPr>
            <w:r>
              <w:rPr>
                <w:rFonts w:ascii="Arial" w:cs="Arial" w:eastAsia="Arial" w:hAnsi="Arial"/>
                <w:sz w:val="18"/>
                <w:szCs w:val="18"/>
                <w:color w:val="auto"/>
              </w:rPr>
              <w:t>/s/Tae Wook Lim</w:t>
            </w:r>
          </w:p>
        </w:tc>
      </w:tr>
      <w:tr>
        <w:trPr>
          <w:trHeight w:val="217"/>
        </w:trPr>
        <w:tc>
          <w:tcPr>
            <w:tcW w:w="4860" w:type="dxa"/>
            <w:vAlign w:val="bottom"/>
            <w:gridSpan w:val="4"/>
          </w:tcPr>
          <w:p>
            <w:pPr>
              <w:spacing w:after="0"/>
              <w:rPr>
                <w:sz w:val="20"/>
                <w:szCs w:val="20"/>
                <w:color w:val="auto"/>
              </w:rPr>
            </w:pPr>
            <w:r>
              <w:rPr>
                <w:rFonts w:ascii="Arial" w:cs="Arial" w:eastAsia="Arial" w:hAnsi="Arial"/>
                <w:sz w:val="18"/>
                <w:szCs w:val="18"/>
                <w:color w:val="auto"/>
              </w:rPr>
              <w:t>By: Tae Wook Lim</w:t>
            </w:r>
          </w:p>
        </w:tc>
        <w:tc>
          <w:tcPr>
            <w:tcW w:w="6560" w:type="dxa"/>
            <w:vAlign w:val="bottom"/>
          </w:tcPr>
          <w:p>
            <w:pPr>
              <w:ind w:left="2580"/>
              <w:spacing w:after="0"/>
              <w:rPr>
                <w:sz w:val="20"/>
                <w:szCs w:val="20"/>
                <w:color w:val="auto"/>
              </w:rPr>
            </w:pPr>
            <w:r>
              <w:rPr>
                <w:rFonts w:ascii="Arial" w:cs="Arial" w:eastAsia="Arial" w:hAnsi="Arial"/>
                <w:sz w:val="18"/>
                <w:szCs w:val="18"/>
                <w:color w:val="auto"/>
              </w:rPr>
              <w:t>Authorised signatory</w:t>
            </w:r>
          </w:p>
        </w:tc>
      </w:tr>
      <w:tr>
        <w:trPr>
          <w:trHeight w:val="391"/>
        </w:trPr>
        <w:tc>
          <w:tcPr>
            <w:tcW w:w="4860" w:type="dxa"/>
            <w:vAlign w:val="bottom"/>
            <w:gridSpan w:val="4"/>
          </w:tcPr>
          <w:p>
            <w:pPr>
              <w:spacing w:after="0"/>
              <w:rPr>
                <w:sz w:val="20"/>
                <w:szCs w:val="20"/>
                <w:color w:val="auto"/>
              </w:rPr>
            </w:pPr>
            <w:r>
              <w:rPr>
                <w:rFonts w:ascii="Arial" w:cs="Arial" w:eastAsia="Arial" w:hAnsi="Arial"/>
                <w:sz w:val="18"/>
                <w:szCs w:val="18"/>
                <w:b w:val="1"/>
                <w:bCs w:val="1"/>
                <w:color w:val="auto"/>
              </w:rPr>
              <w:t>DVB BANK AMERICA N.V.</w:t>
            </w:r>
          </w:p>
        </w:tc>
        <w:tc>
          <w:tcPr>
            <w:tcW w:w="6560" w:type="dxa"/>
            <w:vAlign w:val="bottom"/>
          </w:tcPr>
          <w:p>
            <w:pPr>
              <w:ind w:left="2580"/>
              <w:spacing w:after="0"/>
              <w:rPr>
                <w:sz w:val="20"/>
                <w:szCs w:val="20"/>
                <w:color w:val="auto"/>
              </w:rPr>
            </w:pPr>
            <w:r>
              <w:rPr>
                <w:rFonts w:ascii="Arial" w:cs="Arial" w:eastAsia="Arial" w:hAnsi="Arial"/>
                <w:sz w:val="18"/>
                <w:szCs w:val="18"/>
                <w:color w:val="auto"/>
              </w:rPr>
              <w:t>/s/Niki Alexandrou</w:t>
            </w:r>
          </w:p>
        </w:tc>
      </w:tr>
      <w:tr>
        <w:trPr>
          <w:trHeight w:val="217"/>
        </w:trPr>
        <w:tc>
          <w:tcPr>
            <w:tcW w:w="4860" w:type="dxa"/>
            <w:vAlign w:val="bottom"/>
            <w:gridSpan w:val="4"/>
          </w:tcPr>
          <w:p>
            <w:pPr>
              <w:spacing w:after="0"/>
              <w:rPr>
                <w:sz w:val="20"/>
                <w:szCs w:val="20"/>
                <w:color w:val="auto"/>
              </w:rPr>
            </w:pPr>
            <w:r>
              <w:rPr>
                <w:rFonts w:ascii="Arial" w:cs="Arial" w:eastAsia="Arial" w:hAnsi="Arial"/>
                <w:sz w:val="18"/>
                <w:szCs w:val="18"/>
                <w:color w:val="auto"/>
              </w:rPr>
              <w:t>By: Niki Alexandrou</w:t>
            </w:r>
          </w:p>
        </w:tc>
        <w:tc>
          <w:tcPr>
            <w:tcW w:w="6560" w:type="dxa"/>
            <w:vAlign w:val="bottom"/>
          </w:tcPr>
          <w:p>
            <w:pPr>
              <w:ind w:left="2580"/>
              <w:spacing w:after="0"/>
              <w:rPr>
                <w:sz w:val="20"/>
                <w:szCs w:val="20"/>
                <w:color w:val="auto"/>
              </w:rPr>
            </w:pPr>
            <w:r>
              <w:rPr>
                <w:rFonts w:ascii="Arial" w:cs="Arial" w:eastAsia="Arial" w:hAnsi="Arial"/>
                <w:sz w:val="18"/>
                <w:szCs w:val="18"/>
                <w:color w:val="auto"/>
              </w:rPr>
              <w:t>Attorney-in-fact</w:t>
            </w:r>
          </w:p>
        </w:tc>
      </w:tr>
      <w:tr>
        <w:trPr>
          <w:trHeight w:val="365"/>
        </w:trPr>
        <w:tc>
          <w:tcPr>
            <w:tcW w:w="26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THE GLOBAL CO-ORDINATOR</w:t>
            </w:r>
          </w:p>
        </w:tc>
        <w:tc>
          <w:tcPr>
            <w:tcW w:w="2220" w:type="dxa"/>
            <w:vAlign w:val="bottom"/>
          </w:tcPr>
          <w:p>
            <w:pPr>
              <w:spacing w:after="0"/>
              <w:rPr>
                <w:sz w:val="24"/>
                <w:szCs w:val="24"/>
                <w:color w:val="auto"/>
              </w:rPr>
            </w:pPr>
          </w:p>
        </w:tc>
        <w:tc>
          <w:tcPr>
            <w:tcW w:w="6560" w:type="dxa"/>
            <w:vAlign w:val="bottom"/>
          </w:tcPr>
          <w:p>
            <w:pPr>
              <w:spacing w:after="0"/>
              <w:rPr>
                <w:sz w:val="24"/>
                <w:szCs w:val="24"/>
                <w:color w:val="auto"/>
              </w:rPr>
            </w:pPr>
          </w:p>
        </w:tc>
      </w:tr>
      <w:tr>
        <w:trPr>
          <w:trHeight w:val="411"/>
        </w:trPr>
        <w:tc>
          <w:tcPr>
            <w:tcW w:w="4860" w:type="dxa"/>
            <w:vAlign w:val="bottom"/>
            <w:gridSpan w:val="4"/>
          </w:tcPr>
          <w:p>
            <w:pPr>
              <w:spacing w:after="0"/>
              <w:rPr>
                <w:sz w:val="20"/>
                <w:szCs w:val="20"/>
                <w:color w:val="auto"/>
              </w:rPr>
            </w:pPr>
            <w:r>
              <w:rPr>
                <w:rFonts w:ascii="Arial" w:cs="Arial" w:eastAsia="Arial" w:hAnsi="Arial"/>
                <w:sz w:val="18"/>
                <w:szCs w:val="18"/>
                <w:b w:val="1"/>
                <w:bCs w:val="1"/>
                <w:color w:val="auto"/>
              </w:rPr>
              <w:t>CITIGROUP GLOBAL MARKETS LIMITED</w:t>
            </w:r>
          </w:p>
        </w:tc>
        <w:tc>
          <w:tcPr>
            <w:tcW w:w="6560" w:type="dxa"/>
            <w:vAlign w:val="bottom"/>
          </w:tcPr>
          <w:p>
            <w:pPr>
              <w:ind w:left="2580"/>
              <w:spacing w:after="0"/>
              <w:rPr>
                <w:sz w:val="20"/>
                <w:szCs w:val="20"/>
                <w:color w:val="auto"/>
              </w:rPr>
            </w:pPr>
            <w:r>
              <w:rPr>
                <w:rFonts w:ascii="Arial" w:cs="Arial" w:eastAsia="Arial" w:hAnsi="Arial"/>
                <w:sz w:val="18"/>
                <w:szCs w:val="18"/>
                <w:color w:val="auto"/>
              </w:rPr>
              <w:t>/s/Vassilis Maroulis</w:t>
            </w:r>
          </w:p>
        </w:tc>
      </w:tr>
      <w:tr>
        <w:trPr>
          <w:trHeight w:val="217"/>
        </w:trPr>
        <w:tc>
          <w:tcPr>
            <w:tcW w:w="4860" w:type="dxa"/>
            <w:vAlign w:val="bottom"/>
            <w:gridSpan w:val="4"/>
          </w:tcPr>
          <w:p>
            <w:pPr>
              <w:spacing w:after="0"/>
              <w:rPr>
                <w:sz w:val="20"/>
                <w:szCs w:val="20"/>
                <w:color w:val="auto"/>
              </w:rPr>
            </w:pPr>
            <w:r>
              <w:rPr>
                <w:rFonts w:ascii="Arial" w:cs="Arial" w:eastAsia="Arial" w:hAnsi="Arial"/>
                <w:sz w:val="18"/>
                <w:szCs w:val="18"/>
                <w:color w:val="auto"/>
              </w:rPr>
              <w:t>By: Vassilis Maroulis</w:t>
            </w:r>
          </w:p>
        </w:tc>
        <w:tc>
          <w:tcPr>
            <w:tcW w:w="6560" w:type="dxa"/>
            <w:vAlign w:val="bottom"/>
          </w:tcPr>
          <w:p>
            <w:pPr>
              <w:ind w:left="2580"/>
              <w:spacing w:after="0"/>
              <w:rPr>
                <w:sz w:val="20"/>
                <w:szCs w:val="20"/>
                <w:color w:val="auto"/>
              </w:rPr>
            </w:pPr>
            <w:r>
              <w:rPr>
                <w:rFonts w:ascii="Arial" w:cs="Arial" w:eastAsia="Arial" w:hAnsi="Arial"/>
                <w:sz w:val="18"/>
                <w:szCs w:val="18"/>
                <w:color w:val="auto"/>
              </w:rPr>
              <w:t>Authorised signatory</w:t>
            </w:r>
          </w:p>
        </w:tc>
      </w:tr>
      <w:tr>
        <w:trPr>
          <w:trHeight w:val="365"/>
        </w:trPr>
        <w:tc>
          <w:tcPr>
            <w:tcW w:w="4860" w:type="dxa"/>
            <w:vAlign w:val="bottom"/>
            <w:gridSpan w:val="4"/>
          </w:tcPr>
          <w:p>
            <w:pPr>
              <w:spacing w:after="0"/>
              <w:rPr>
                <w:sz w:val="20"/>
                <w:szCs w:val="20"/>
                <w:color w:val="auto"/>
              </w:rPr>
            </w:pPr>
            <w:r>
              <w:rPr>
                <w:rFonts w:ascii="Arial" w:cs="Arial" w:eastAsia="Arial" w:hAnsi="Arial"/>
                <w:sz w:val="18"/>
                <w:szCs w:val="18"/>
                <w:b w:val="1"/>
                <w:bCs w:val="1"/>
                <w:color w:val="auto"/>
              </w:rPr>
              <w:t>THE BOOKRUNNERS</w:t>
            </w:r>
          </w:p>
        </w:tc>
        <w:tc>
          <w:tcPr>
            <w:tcW w:w="6560" w:type="dxa"/>
            <w:vAlign w:val="bottom"/>
          </w:tcPr>
          <w:p>
            <w:pPr>
              <w:spacing w:after="0"/>
              <w:rPr>
                <w:sz w:val="24"/>
                <w:szCs w:val="24"/>
                <w:color w:val="auto"/>
              </w:rPr>
            </w:pPr>
          </w:p>
        </w:tc>
      </w:tr>
      <w:tr>
        <w:trPr>
          <w:trHeight w:val="20"/>
        </w:trPr>
        <w:tc>
          <w:tcPr>
            <w:tcW w:w="1840" w:type="dxa"/>
            <w:vAlign w:val="bottom"/>
            <w:shd w:val="clear" w:color="auto" w:fill="000000"/>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411"/>
        </w:trPr>
        <w:tc>
          <w:tcPr>
            <w:tcW w:w="4860" w:type="dxa"/>
            <w:vAlign w:val="bottom"/>
            <w:gridSpan w:val="4"/>
          </w:tcPr>
          <w:p>
            <w:pPr>
              <w:spacing w:after="0"/>
              <w:rPr>
                <w:sz w:val="20"/>
                <w:szCs w:val="20"/>
                <w:color w:val="auto"/>
              </w:rPr>
            </w:pPr>
            <w:r>
              <w:rPr>
                <w:rFonts w:ascii="Arial" w:cs="Arial" w:eastAsia="Arial" w:hAnsi="Arial"/>
                <w:sz w:val="18"/>
                <w:szCs w:val="18"/>
                <w:b w:val="1"/>
                <w:bCs w:val="1"/>
                <w:color w:val="auto"/>
              </w:rPr>
              <w:t>CITIGROUP GLOBAL MARKETS LIMITED</w:t>
            </w:r>
          </w:p>
        </w:tc>
        <w:tc>
          <w:tcPr>
            <w:tcW w:w="6560" w:type="dxa"/>
            <w:vAlign w:val="bottom"/>
          </w:tcPr>
          <w:p>
            <w:pPr>
              <w:ind w:left="2580"/>
              <w:spacing w:after="0"/>
              <w:rPr>
                <w:sz w:val="20"/>
                <w:szCs w:val="20"/>
                <w:color w:val="auto"/>
              </w:rPr>
            </w:pPr>
            <w:r>
              <w:rPr>
                <w:rFonts w:ascii="Arial" w:cs="Arial" w:eastAsia="Arial" w:hAnsi="Arial"/>
                <w:sz w:val="18"/>
                <w:szCs w:val="18"/>
                <w:color w:val="auto"/>
              </w:rPr>
              <w:t>/s/Vassilis Maroulis</w:t>
            </w:r>
          </w:p>
        </w:tc>
      </w:tr>
      <w:tr>
        <w:trPr>
          <w:trHeight w:val="217"/>
        </w:trPr>
        <w:tc>
          <w:tcPr>
            <w:tcW w:w="4860" w:type="dxa"/>
            <w:vAlign w:val="bottom"/>
            <w:gridSpan w:val="4"/>
          </w:tcPr>
          <w:p>
            <w:pPr>
              <w:spacing w:after="0"/>
              <w:rPr>
                <w:sz w:val="20"/>
                <w:szCs w:val="20"/>
                <w:color w:val="auto"/>
              </w:rPr>
            </w:pPr>
            <w:r>
              <w:rPr>
                <w:rFonts w:ascii="Arial" w:cs="Arial" w:eastAsia="Arial" w:hAnsi="Arial"/>
                <w:sz w:val="18"/>
                <w:szCs w:val="18"/>
                <w:color w:val="auto"/>
              </w:rPr>
              <w:t>By: Vassilis Maroulis</w:t>
            </w:r>
          </w:p>
        </w:tc>
        <w:tc>
          <w:tcPr>
            <w:tcW w:w="6560" w:type="dxa"/>
            <w:vAlign w:val="bottom"/>
          </w:tcPr>
          <w:p>
            <w:pPr>
              <w:ind w:left="2580"/>
              <w:spacing w:after="0"/>
              <w:rPr>
                <w:sz w:val="20"/>
                <w:szCs w:val="20"/>
                <w:color w:val="auto"/>
              </w:rPr>
            </w:pPr>
            <w:r>
              <w:rPr>
                <w:rFonts w:ascii="Arial" w:cs="Arial" w:eastAsia="Arial" w:hAnsi="Arial"/>
                <w:sz w:val="18"/>
                <w:szCs w:val="18"/>
                <w:color w:val="auto"/>
              </w:rPr>
              <w:t>Authorised signatory</w:t>
            </w:r>
          </w:p>
        </w:tc>
      </w:tr>
      <w:tr>
        <w:trPr>
          <w:trHeight w:val="391"/>
        </w:trPr>
        <w:tc>
          <w:tcPr>
            <w:tcW w:w="4860" w:type="dxa"/>
            <w:vAlign w:val="bottom"/>
            <w:gridSpan w:val="4"/>
          </w:tcPr>
          <w:p>
            <w:pPr>
              <w:spacing w:after="0"/>
              <w:rPr>
                <w:sz w:val="20"/>
                <w:szCs w:val="20"/>
                <w:color w:val="auto"/>
              </w:rPr>
            </w:pPr>
            <w:r>
              <w:rPr>
                <w:rFonts w:ascii="Arial" w:cs="Arial" w:eastAsia="Arial" w:hAnsi="Arial"/>
                <w:sz w:val="18"/>
                <w:szCs w:val="18"/>
                <w:b w:val="1"/>
                <w:bCs w:val="1"/>
                <w:color w:val="auto"/>
              </w:rPr>
              <w:t>CREDIT SUISSE AG</w:t>
            </w:r>
          </w:p>
        </w:tc>
        <w:tc>
          <w:tcPr>
            <w:tcW w:w="6560" w:type="dxa"/>
            <w:vAlign w:val="bottom"/>
          </w:tcPr>
          <w:p>
            <w:pPr>
              <w:ind w:left="2580"/>
              <w:spacing w:after="0"/>
              <w:rPr>
                <w:sz w:val="20"/>
                <w:szCs w:val="20"/>
                <w:color w:val="auto"/>
              </w:rPr>
            </w:pPr>
            <w:r>
              <w:rPr>
                <w:rFonts w:ascii="Arial" w:cs="Arial" w:eastAsia="Arial" w:hAnsi="Arial"/>
                <w:sz w:val="18"/>
                <w:szCs w:val="18"/>
                <w:color w:val="auto"/>
              </w:rPr>
              <w:t>/s/Niki Alexandrou</w:t>
            </w:r>
          </w:p>
        </w:tc>
      </w:tr>
      <w:tr>
        <w:trPr>
          <w:trHeight w:val="217"/>
        </w:trPr>
        <w:tc>
          <w:tcPr>
            <w:tcW w:w="4860" w:type="dxa"/>
            <w:vAlign w:val="bottom"/>
            <w:gridSpan w:val="4"/>
          </w:tcPr>
          <w:p>
            <w:pPr>
              <w:spacing w:after="0"/>
              <w:rPr>
                <w:sz w:val="20"/>
                <w:szCs w:val="20"/>
                <w:color w:val="auto"/>
              </w:rPr>
            </w:pPr>
            <w:r>
              <w:rPr>
                <w:rFonts w:ascii="Arial" w:cs="Arial" w:eastAsia="Arial" w:hAnsi="Arial"/>
                <w:sz w:val="18"/>
                <w:szCs w:val="18"/>
                <w:color w:val="auto"/>
              </w:rPr>
              <w:t>By: Niki Alexandrou</w:t>
            </w:r>
          </w:p>
        </w:tc>
        <w:tc>
          <w:tcPr>
            <w:tcW w:w="6560" w:type="dxa"/>
            <w:vAlign w:val="bottom"/>
          </w:tcPr>
          <w:p>
            <w:pPr>
              <w:ind w:left="2580"/>
              <w:spacing w:after="0"/>
              <w:rPr>
                <w:sz w:val="20"/>
                <w:szCs w:val="20"/>
                <w:color w:val="auto"/>
              </w:rPr>
            </w:pPr>
            <w:r>
              <w:rPr>
                <w:rFonts w:ascii="Arial" w:cs="Arial" w:eastAsia="Arial" w:hAnsi="Arial"/>
                <w:sz w:val="18"/>
                <w:szCs w:val="18"/>
                <w:color w:val="auto"/>
              </w:rPr>
              <w:t>Attorney-in-fact</w:t>
            </w:r>
          </w:p>
        </w:tc>
      </w:tr>
      <w:tr>
        <w:trPr>
          <w:trHeight w:val="391"/>
        </w:trPr>
        <w:tc>
          <w:tcPr>
            <w:tcW w:w="4860" w:type="dxa"/>
            <w:vAlign w:val="bottom"/>
            <w:gridSpan w:val="4"/>
          </w:tcPr>
          <w:p>
            <w:pPr>
              <w:spacing w:after="0"/>
              <w:rPr>
                <w:sz w:val="20"/>
                <w:szCs w:val="20"/>
                <w:color w:val="auto"/>
              </w:rPr>
            </w:pPr>
            <w:r>
              <w:rPr>
                <w:rFonts w:ascii="Arial" w:cs="Arial" w:eastAsia="Arial" w:hAnsi="Arial"/>
                <w:sz w:val="18"/>
                <w:szCs w:val="18"/>
                <w:b w:val="1"/>
                <w:bCs w:val="1"/>
                <w:color w:val="auto"/>
              </w:rPr>
              <w:t>NORDEA BANK AB, LONDON BRANCH</w:t>
            </w:r>
          </w:p>
        </w:tc>
        <w:tc>
          <w:tcPr>
            <w:tcW w:w="6560" w:type="dxa"/>
            <w:vAlign w:val="bottom"/>
          </w:tcPr>
          <w:p>
            <w:pPr>
              <w:ind w:left="2580"/>
              <w:spacing w:after="0"/>
              <w:rPr>
                <w:sz w:val="20"/>
                <w:szCs w:val="20"/>
                <w:color w:val="auto"/>
              </w:rPr>
            </w:pPr>
            <w:r>
              <w:rPr>
                <w:rFonts w:ascii="Arial" w:cs="Arial" w:eastAsia="Arial" w:hAnsi="Arial"/>
                <w:sz w:val="18"/>
                <w:szCs w:val="18"/>
                <w:color w:val="auto"/>
              </w:rPr>
              <w:t>/s/Niki Alexandrou</w:t>
            </w:r>
          </w:p>
        </w:tc>
      </w:tr>
      <w:tr>
        <w:trPr>
          <w:trHeight w:val="217"/>
        </w:trPr>
        <w:tc>
          <w:tcPr>
            <w:tcW w:w="4860" w:type="dxa"/>
            <w:vAlign w:val="bottom"/>
            <w:gridSpan w:val="4"/>
          </w:tcPr>
          <w:p>
            <w:pPr>
              <w:spacing w:after="0"/>
              <w:rPr>
                <w:sz w:val="20"/>
                <w:szCs w:val="20"/>
                <w:color w:val="auto"/>
              </w:rPr>
            </w:pPr>
            <w:r>
              <w:rPr>
                <w:rFonts w:ascii="Arial" w:cs="Arial" w:eastAsia="Arial" w:hAnsi="Arial"/>
                <w:sz w:val="18"/>
                <w:szCs w:val="18"/>
                <w:color w:val="auto"/>
              </w:rPr>
              <w:t>By: Niki Alexandrou</w:t>
            </w:r>
          </w:p>
        </w:tc>
        <w:tc>
          <w:tcPr>
            <w:tcW w:w="6560" w:type="dxa"/>
            <w:vAlign w:val="bottom"/>
          </w:tcPr>
          <w:p>
            <w:pPr>
              <w:ind w:left="2580"/>
              <w:spacing w:after="0"/>
              <w:rPr>
                <w:sz w:val="20"/>
                <w:szCs w:val="20"/>
                <w:color w:val="auto"/>
              </w:rPr>
            </w:pPr>
            <w:r>
              <w:rPr>
                <w:rFonts w:ascii="Arial" w:cs="Arial" w:eastAsia="Arial" w:hAnsi="Arial"/>
                <w:sz w:val="18"/>
                <w:szCs w:val="18"/>
                <w:color w:val="auto"/>
              </w:rPr>
              <w:t>Attorney-in-fact</w:t>
            </w:r>
          </w:p>
        </w:tc>
      </w:tr>
      <w:tr>
        <w:trPr>
          <w:trHeight w:val="392"/>
        </w:trPr>
        <w:tc>
          <w:tcPr>
            <w:tcW w:w="1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560" w:type="dxa"/>
            <w:vAlign w:val="bottom"/>
          </w:tcPr>
          <w:p>
            <w:pPr>
              <w:ind w:left="700"/>
              <w:spacing w:after="0"/>
              <w:rPr>
                <w:sz w:val="20"/>
                <w:szCs w:val="20"/>
                <w:color w:val="auto"/>
              </w:rPr>
            </w:pPr>
            <w:r>
              <w:rPr>
                <w:rFonts w:ascii="Arial" w:cs="Arial" w:eastAsia="Arial" w:hAnsi="Arial"/>
                <w:sz w:val="18"/>
                <w:szCs w:val="18"/>
                <w:color w:val="auto"/>
              </w:rPr>
              <w:t>194</w:t>
            </w:r>
          </w:p>
        </w:tc>
      </w:tr>
      <w:tr>
        <w:trPr>
          <w:trHeight w:val="237"/>
        </w:trPr>
        <w:tc>
          <w:tcPr>
            <w:tcW w:w="184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2220" w:type="dxa"/>
            <w:vAlign w:val="bottom"/>
            <w:tcBorders>
              <w:bottom w:val="single" w:sz="8" w:color="C0C0C0"/>
            </w:tcBorders>
          </w:tcPr>
          <w:p>
            <w:pPr>
              <w:spacing w:after="0"/>
              <w:rPr>
                <w:sz w:val="20"/>
                <w:szCs w:val="20"/>
                <w:color w:val="auto"/>
              </w:rPr>
            </w:pPr>
          </w:p>
        </w:tc>
        <w:tc>
          <w:tcPr>
            <w:tcW w:w="656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392" w:right="239" w:bottom="1440" w:gutter="0" w:footer="0" w:header="0"/>
        </w:sectPr>
      </w:pPr>
    </w:p>
    <w:bookmarkStart w:id="246" w:name="page247"/>
    <w:bookmarkEnd w:id="2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60" w:type="dxa"/>
            <w:vAlign w:val="bottom"/>
            <w:gridSpan w:val="3"/>
          </w:tcPr>
          <w:p>
            <w:pPr>
              <w:spacing w:after="0"/>
              <w:rPr>
                <w:sz w:val="20"/>
                <w:szCs w:val="20"/>
                <w:color w:val="auto"/>
              </w:rPr>
            </w:pPr>
            <w:r>
              <w:rPr>
                <w:rFonts w:ascii="Arial" w:cs="Arial" w:eastAsia="Arial" w:hAnsi="Arial"/>
                <w:sz w:val="18"/>
                <w:szCs w:val="18"/>
                <w:b w:val="1"/>
                <w:bCs w:val="1"/>
                <w:color w:val="auto"/>
              </w:rPr>
              <w:t>SKANDINAVISKA ENSKILDA BANKEN AB (publ)</w:t>
            </w:r>
          </w:p>
        </w:tc>
        <w:tc>
          <w:tcPr>
            <w:tcW w:w="6560" w:type="dxa"/>
            <w:vAlign w:val="bottom"/>
          </w:tcPr>
          <w:p>
            <w:pPr>
              <w:ind w:left="2580"/>
              <w:spacing w:after="0"/>
              <w:rPr>
                <w:sz w:val="20"/>
                <w:szCs w:val="20"/>
                <w:color w:val="auto"/>
              </w:rPr>
            </w:pPr>
            <w:r>
              <w:rPr>
                <w:rFonts w:ascii="Arial" w:cs="Arial" w:eastAsia="Arial" w:hAnsi="Arial"/>
                <w:sz w:val="18"/>
                <w:szCs w:val="18"/>
                <w:color w:val="auto"/>
              </w:rPr>
              <w:t>/s/Niki Alexandrou</w:t>
            </w:r>
          </w:p>
        </w:tc>
      </w:tr>
      <w:tr>
        <w:trPr>
          <w:trHeight w:val="217"/>
        </w:trPr>
        <w:tc>
          <w:tcPr>
            <w:tcW w:w="4860" w:type="dxa"/>
            <w:vAlign w:val="bottom"/>
            <w:gridSpan w:val="3"/>
          </w:tcPr>
          <w:p>
            <w:pPr>
              <w:spacing w:after="0"/>
              <w:rPr>
                <w:sz w:val="20"/>
                <w:szCs w:val="20"/>
                <w:color w:val="auto"/>
              </w:rPr>
            </w:pPr>
            <w:r>
              <w:rPr>
                <w:rFonts w:ascii="Arial" w:cs="Arial" w:eastAsia="Arial" w:hAnsi="Arial"/>
                <w:sz w:val="18"/>
                <w:szCs w:val="18"/>
                <w:color w:val="auto"/>
              </w:rPr>
              <w:t>By: Niki Alexandrou</w:t>
            </w:r>
          </w:p>
        </w:tc>
        <w:tc>
          <w:tcPr>
            <w:tcW w:w="6560" w:type="dxa"/>
            <w:vAlign w:val="bottom"/>
          </w:tcPr>
          <w:p>
            <w:pPr>
              <w:ind w:left="2580"/>
              <w:spacing w:after="0"/>
              <w:rPr>
                <w:sz w:val="20"/>
                <w:szCs w:val="20"/>
                <w:color w:val="auto"/>
              </w:rPr>
            </w:pPr>
            <w:r>
              <w:rPr>
                <w:rFonts w:ascii="Arial" w:cs="Arial" w:eastAsia="Arial" w:hAnsi="Arial"/>
                <w:sz w:val="18"/>
                <w:szCs w:val="18"/>
                <w:color w:val="auto"/>
              </w:rPr>
              <w:t>Attorney-in-fact</w:t>
            </w:r>
          </w:p>
        </w:tc>
      </w:tr>
      <w:tr>
        <w:trPr>
          <w:trHeight w:val="391"/>
        </w:trPr>
        <w:tc>
          <w:tcPr>
            <w:tcW w:w="4860" w:type="dxa"/>
            <w:vAlign w:val="bottom"/>
            <w:gridSpan w:val="3"/>
          </w:tcPr>
          <w:p>
            <w:pPr>
              <w:spacing w:after="0"/>
              <w:rPr>
                <w:sz w:val="20"/>
                <w:szCs w:val="20"/>
                <w:color w:val="auto"/>
              </w:rPr>
            </w:pPr>
            <w:r>
              <w:rPr>
                <w:rFonts w:ascii="Arial" w:cs="Arial" w:eastAsia="Arial" w:hAnsi="Arial"/>
                <w:sz w:val="18"/>
                <w:szCs w:val="18"/>
                <w:b w:val="1"/>
                <w:bCs w:val="1"/>
                <w:color w:val="auto"/>
              </w:rPr>
              <w:t>HSBC BANK plc</w:t>
            </w:r>
          </w:p>
        </w:tc>
        <w:tc>
          <w:tcPr>
            <w:tcW w:w="6560" w:type="dxa"/>
            <w:vAlign w:val="bottom"/>
          </w:tcPr>
          <w:p>
            <w:pPr>
              <w:ind w:left="2580"/>
              <w:spacing w:after="0"/>
              <w:rPr>
                <w:sz w:val="20"/>
                <w:szCs w:val="20"/>
                <w:color w:val="auto"/>
              </w:rPr>
            </w:pPr>
            <w:r>
              <w:rPr>
                <w:rFonts w:ascii="Arial" w:cs="Arial" w:eastAsia="Arial" w:hAnsi="Arial"/>
                <w:sz w:val="18"/>
                <w:szCs w:val="18"/>
                <w:color w:val="auto"/>
              </w:rPr>
              <w:t>/s/Antonis Lamnides</w:t>
            </w:r>
          </w:p>
        </w:tc>
      </w:tr>
      <w:tr>
        <w:trPr>
          <w:trHeight w:val="217"/>
        </w:trPr>
        <w:tc>
          <w:tcPr>
            <w:tcW w:w="4860" w:type="dxa"/>
            <w:vAlign w:val="bottom"/>
            <w:gridSpan w:val="3"/>
          </w:tcPr>
          <w:p>
            <w:pPr>
              <w:spacing w:after="0"/>
              <w:rPr>
                <w:sz w:val="20"/>
                <w:szCs w:val="20"/>
                <w:color w:val="auto"/>
              </w:rPr>
            </w:pPr>
            <w:r>
              <w:rPr>
                <w:rFonts w:ascii="Arial" w:cs="Arial" w:eastAsia="Arial" w:hAnsi="Arial"/>
                <w:sz w:val="18"/>
                <w:szCs w:val="18"/>
                <w:color w:val="auto"/>
              </w:rPr>
              <w:t>By: Antonis Lamnides</w:t>
            </w:r>
          </w:p>
        </w:tc>
        <w:tc>
          <w:tcPr>
            <w:tcW w:w="6560" w:type="dxa"/>
            <w:vAlign w:val="bottom"/>
          </w:tcPr>
          <w:p>
            <w:pPr>
              <w:ind w:left="2580"/>
              <w:spacing w:after="0"/>
              <w:rPr>
                <w:sz w:val="20"/>
                <w:szCs w:val="20"/>
                <w:color w:val="auto"/>
              </w:rPr>
            </w:pPr>
            <w:r>
              <w:rPr>
                <w:rFonts w:ascii="Arial" w:cs="Arial" w:eastAsia="Arial" w:hAnsi="Arial"/>
                <w:sz w:val="18"/>
                <w:szCs w:val="18"/>
                <w:color w:val="auto"/>
              </w:rPr>
              <w:t>Authorised signatory</w:t>
            </w:r>
          </w:p>
        </w:tc>
      </w:tr>
      <w:tr>
        <w:trPr>
          <w:trHeight w:val="391"/>
        </w:trPr>
        <w:tc>
          <w:tcPr>
            <w:tcW w:w="4860" w:type="dxa"/>
            <w:vAlign w:val="bottom"/>
            <w:gridSpan w:val="3"/>
          </w:tcPr>
          <w:p>
            <w:pPr>
              <w:spacing w:after="0"/>
              <w:rPr>
                <w:sz w:val="20"/>
                <w:szCs w:val="20"/>
                <w:color w:val="auto"/>
              </w:rPr>
            </w:pPr>
            <w:r>
              <w:rPr>
                <w:rFonts w:ascii="Arial" w:cs="Arial" w:eastAsia="Arial" w:hAnsi="Arial"/>
                <w:sz w:val="18"/>
                <w:szCs w:val="18"/>
                <w:b w:val="1"/>
                <w:bCs w:val="1"/>
                <w:color w:val="auto"/>
              </w:rPr>
              <w:t>ING BANK N.V., LONDON BRANCH</w:t>
            </w:r>
          </w:p>
        </w:tc>
        <w:tc>
          <w:tcPr>
            <w:tcW w:w="6560" w:type="dxa"/>
            <w:vAlign w:val="bottom"/>
          </w:tcPr>
          <w:p>
            <w:pPr>
              <w:ind w:left="2580"/>
              <w:spacing w:after="0"/>
              <w:rPr>
                <w:sz w:val="20"/>
                <w:szCs w:val="20"/>
                <w:color w:val="auto"/>
              </w:rPr>
            </w:pPr>
            <w:r>
              <w:rPr>
                <w:rFonts w:ascii="Arial" w:cs="Arial" w:eastAsia="Arial" w:hAnsi="Arial"/>
                <w:sz w:val="18"/>
                <w:szCs w:val="18"/>
                <w:color w:val="auto"/>
              </w:rPr>
              <w:t>/s/Niki Alexandrou</w:t>
            </w:r>
          </w:p>
        </w:tc>
      </w:tr>
      <w:tr>
        <w:trPr>
          <w:trHeight w:val="217"/>
        </w:trPr>
        <w:tc>
          <w:tcPr>
            <w:tcW w:w="4860" w:type="dxa"/>
            <w:vAlign w:val="bottom"/>
            <w:gridSpan w:val="3"/>
          </w:tcPr>
          <w:p>
            <w:pPr>
              <w:spacing w:after="0"/>
              <w:rPr>
                <w:sz w:val="20"/>
                <w:szCs w:val="20"/>
                <w:color w:val="auto"/>
              </w:rPr>
            </w:pPr>
            <w:r>
              <w:rPr>
                <w:rFonts w:ascii="Arial" w:cs="Arial" w:eastAsia="Arial" w:hAnsi="Arial"/>
                <w:sz w:val="18"/>
                <w:szCs w:val="18"/>
                <w:color w:val="auto"/>
              </w:rPr>
              <w:t>By: Niki Alexandrou</w:t>
            </w:r>
          </w:p>
        </w:tc>
        <w:tc>
          <w:tcPr>
            <w:tcW w:w="6560" w:type="dxa"/>
            <w:vAlign w:val="bottom"/>
          </w:tcPr>
          <w:p>
            <w:pPr>
              <w:ind w:left="2580"/>
              <w:spacing w:after="0"/>
              <w:rPr>
                <w:sz w:val="20"/>
                <w:szCs w:val="20"/>
                <w:color w:val="auto"/>
              </w:rPr>
            </w:pPr>
            <w:r>
              <w:rPr>
                <w:rFonts w:ascii="Arial" w:cs="Arial" w:eastAsia="Arial" w:hAnsi="Arial"/>
                <w:sz w:val="18"/>
                <w:szCs w:val="18"/>
                <w:color w:val="auto"/>
              </w:rPr>
              <w:t>Attorney-in-fact</w:t>
            </w:r>
          </w:p>
        </w:tc>
      </w:tr>
      <w:tr>
        <w:trPr>
          <w:trHeight w:val="365"/>
        </w:trPr>
        <w:tc>
          <w:tcPr>
            <w:tcW w:w="4860" w:type="dxa"/>
            <w:vAlign w:val="bottom"/>
            <w:gridSpan w:val="3"/>
          </w:tcPr>
          <w:p>
            <w:pPr>
              <w:spacing w:after="0"/>
              <w:rPr>
                <w:sz w:val="20"/>
                <w:szCs w:val="20"/>
                <w:color w:val="auto"/>
              </w:rPr>
            </w:pPr>
            <w:r>
              <w:rPr>
                <w:rFonts w:ascii="Arial" w:cs="Arial" w:eastAsia="Arial" w:hAnsi="Arial"/>
                <w:sz w:val="18"/>
                <w:szCs w:val="18"/>
                <w:b w:val="1"/>
                <w:bCs w:val="1"/>
                <w:color w:val="auto"/>
              </w:rPr>
              <w:t>THE AGENT</w:t>
            </w:r>
          </w:p>
        </w:tc>
        <w:tc>
          <w:tcPr>
            <w:tcW w:w="6560" w:type="dxa"/>
            <w:vAlign w:val="bottom"/>
          </w:tcPr>
          <w:p>
            <w:pPr>
              <w:spacing w:after="0"/>
              <w:rPr>
                <w:sz w:val="24"/>
                <w:szCs w:val="24"/>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411"/>
        </w:trPr>
        <w:tc>
          <w:tcPr>
            <w:tcW w:w="4860" w:type="dxa"/>
            <w:vAlign w:val="bottom"/>
            <w:gridSpan w:val="3"/>
          </w:tcPr>
          <w:p>
            <w:pPr>
              <w:spacing w:after="0"/>
              <w:rPr>
                <w:sz w:val="20"/>
                <w:szCs w:val="20"/>
                <w:color w:val="auto"/>
              </w:rPr>
            </w:pPr>
            <w:r>
              <w:rPr>
                <w:rFonts w:ascii="Arial" w:cs="Arial" w:eastAsia="Arial" w:hAnsi="Arial"/>
                <w:sz w:val="18"/>
                <w:szCs w:val="18"/>
                <w:b w:val="1"/>
                <w:bCs w:val="1"/>
                <w:color w:val="auto"/>
              </w:rPr>
              <w:t>NORDEA BANK AB, LONDON BRANCH</w:t>
            </w:r>
          </w:p>
        </w:tc>
        <w:tc>
          <w:tcPr>
            <w:tcW w:w="6560" w:type="dxa"/>
            <w:vAlign w:val="bottom"/>
          </w:tcPr>
          <w:p>
            <w:pPr>
              <w:ind w:left="2580"/>
              <w:spacing w:after="0"/>
              <w:rPr>
                <w:sz w:val="20"/>
                <w:szCs w:val="20"/>
                <w:color w:val="auto"/>
              </w:rPr>
            </w:pPr>
            <w:r>
              <w:rPr>
                <w:rFonts w:ascii="Arial" w:cs="Arial" w:eastAsia="Arial" w:hAnsi="Arial"/>
                <w:sz w:val="18"/>
                <w:szCs w:val="18"/>
                <w:color w:val="auto"/>
              </w:rPr>
              <w:t>/s/Niki Alexandrou</w:t>
            </w:r>
          </w:p>
        </w:tc>
      </w:tr>
      <w:tr>
        <w:trPr>
          <w:trHeight w:val="217"/>
        </w:trPr>
        <w:tc>
          <w:tcPr>
            <w:tcW w:w="4860" w:type="dxa"/>
            <w:vAlign w:val="bottom"/>
            <w:gridSpan w:val="3"/>
          </w:tcPr>
          <w:p>
            <w:pPr>
              <w:spacing w:after="0"/>
              <w:rPr>
                <w:sz w:val="20"/>
                <w:szCs w:val="20"/>
                <w:color w:val="auto"/>
              </w:rPr>
            </w:pPr>
            <w:r>
              <w:rPr>
                <w:rFonts w:ascii="Arial" w:cs="Arial" w:eastAsia="Arial" w:hAnsi="Arial"/>
                <w:sz w:val="18"/>
                <w:szCs w:val="18"/>
                <w:color w:val="auto"/>
              </w:rPr>
              <w:t>By: Niki Alexandrou</w:t>
            </w:r>
          </w:p>
        </w:tc>
        <w:tc>
          <w:tcPr>
            <w:tcW w:w="6560" w:type="dxa"/>
            <w:vAlign w:val="bottom"/>
          </w:tcPr>
          <w:p>
            <w:pPr>
              <w:ind w:left="2580"/>
              <w:spacing w:after="0"/>
              <w:rPr>
                <w:sz w:val="20"/>
                <w:szCs w:val="20"/>
                <w:color w:val="auto"/>
              </w:rPr>
            </w:pPr>
            <w:r>
              <w:rPr>
                <w:rFonts w:ascii="Arial" w:cs="Arial" w:eastAsia="Arial" w:hAnsi="Arial"/>
                <w:sz w:val="18"/>
                <w:szCs w:val="18"/>
                <w:color w:val="auto"/>
              </w:rPr>
              <w:t>Attorney-in-fact</w:t>
            </w:r>
          </w:p>
        </w:tc>
      </w:tr>
      <w:tr>
        <w:trPr>
          <w:trHeight w:val="365"/>
        </w:trPr>
        <w:tc>
          <w:tcPr>
            <w:tcW w:w="4860" w:type="dxa"/>
            <w:vAlign w:val="bottom"/>
            <w:gridSpan w:val="3"/>
          </w:tcPr>
          <w:p>
            <w:pPr>
              <w:spacing w:after="0"/>
              <w:rPr>
                <w:sz w:val="20"/>
                <w:szCs w:val="20"/>
                <w:color w:val="auto"/>
              </w:rPr>
            </w:pPr>
            <w:r>
              <w:rPr>
                <w:rFonts w:ascii="Arial" w:cs="Arial" w:eastAsia="Arial" w:hAnsi="Arial"/>
                <w:sz w:val="18"/>
                <w:szCs w:val="18"/>
                <w:b w:val="1"/>
                <w:bCs w:val="1"/>
                <w:color w:val="auto"/>
              </w:rPr>
              <w:t>THE SECURITY AGENT</w:t>
            </w:r>
          </w:p>
        </w:tc>
        <w:tc>
          <w:tcPr>
            <w:tcW w:w="6560" w:type="dxa"/>
            <w:vAlign w:val="bottom"/>
          </w:tcPr>
          <w:p>
            <w:pPr>
              <w:spacing w:after="0"/>
              <w:rPr>
                <w:sz w:val="24"/>
                <w:szCs w:val="24"/>
                <w:color w:val="auto"/>
              </w:rPr>
            </w:pPr>
          </w:p>
        </w:tc>
      </w:tr>
      <w:tr>
        <w:trPr>
          <w:trHeight w:val="20"/>
        </w:trPr>
        <w:tc>
          <w:tcPr>
            <w:tcW w:w="2000" w:type="dxa"/>
            <w:vAlign w:val="bottom"/>
            <w:gridSpan w:val="2"/>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411"/>
        </w:trPr>
        <w:tc>
          <w:tcPr>
            <w:tcW w:w="4860" w:type="dxa"/>
            <w:vAlign w:val="bottom"/>
            <w:gridSpan w:val="3"/>
          </w:tcPr>
          <w:p>
            <w:pPr>
              <w:spacing w:after="0"/>
              <w:rPr>
                <w:sz w:val="20"/>
                <w:szCs w:val="20"/>
                <w:color w:val="auto"/>
              </w:rPr>
            </w:pPr>
            <w:r>
              <w:rPr>
                <w:rFonts w:ascii="Arial" w:cs="Arial" w:eastAsia="Arial" w:hAnsi="Arial"/>
                <w:sz w:val="18"/>
                <w:szCs w:val="18"/>
                <w:b w:val="1"/>
                <w:bCs w:val="1"/>
                <w:color w:val="auto"/>
              </w:rPr>
              <w:t>NORDEA BANK AB, LONDON BRANCH</w:t>
            </w:r>
          </w:p>
        </w:tc>
        <w:tc>
          <w:tcPr>
            <w:tcW w:w="6560" w:type="dxa"/>
            <w:vAlign w:val="bottom"/>
          </w:tcPr>
          <w:p>
            <w:pPr>
              <w:ind w:left="2580"/>
              <w:spacing w:after="0"/>
              <w:rPr>
                <w:sz w:val="20"/>
                <w:szCs w:val="20"/>
                <w:color w:val="auto"/>
              </w:rPr>
            </w:pPr>
            <w:r>
              <w:rPr>
                <w:rFonts w:ascii="Arial" w:cs="Arial" w:eastAsia="Arial" w:hAnsi="Arial"/>
                <w:sz w:val="18"/>
                <w:szCs w:val="18"/>
                <w:color w:val="auto"/>
              </w:rPr>
              <w:t>/s/Niki Alexandrou</w:t>
            </w:r>
          </w:p>
        </w:tc>
      </w:tr>
      <w:tr>
        <w:trPr>
          <w:trHeight w:val="217"/>
        </w:trPr>
        <w:tc>
          <w:tcPr>
            <w:tcW w:w="4860" w:type="dxa"/>
            <w:vAlign w:val="bottom"/>
            <w:gridSpan w:val="3"/>
          </w:tcPr>
          <w:p>
            <w:pPr>
              <w:spacing w:after="0"/>
              <w:rPr>
                <w:sz w:val="20"/>
                <w:szCs w:val="20"/>
                <w:color w:val="auto"/>
              </w:rPr>
            </w:pPr>
            <w:r>
              <w:rPr>
                <w:rFonts w:ascii="Arial" w:cs="Arial" w:eastAsia="Arial" w:hAnsi="Arial"/>
                <w:sz w:val="18"/>
                <w:szCs w:val="18"/>
                <w:color w:val="auto"/>
              </w:rPr>
              <w:t>By: Niki Alexandrou</w:t>
            </w:r>
          </w:p>
        </w:tc>
        <w:tc>
          <w:tcPr>
            <w:tcW w:w="6560" w:type="dxa"/>
            <w:vAlign w:val="bottom"/>
          </w:tcPr>
          <w:p>
            <w:pPr>
              <w:ind w:left="2580"/>
              <w:spacing w:after="0"/>
              <w:rPr>
                <w:sz w:val="20"/>
                <w:szCs w:val="20"/>
                <w:color w:val="auto"/>
              </w:rPr>
            </w:pPr>
            <w:r>
              <w:rPr>
                <w:rFonts w:ascii="Arial" w:cs="Arial" w:eastAsia="Arial" w:hAnsi="Arial"/>
                <w:sz w:val="18"/>
                <w:szCs w:val="18"/>
                <w:color w:val="auto"/>
              </w:rPr>
              <w:t>Attorney-in-fact</w:t>
            </w:r>
          </w:p>
        </w:tc>
      </w:tr>
      <w:tr>
        <w:trPr>
          <w:trHeight w:val="392"/>
        </w:trPr>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560" w:type="dxa"/>
            <w:vAlign w:val="bottom"/>
          </w:tcPr>
          <w:p>
            <w:pPr>
              <w:ind w:left="700"/>
              <w:spacing w:after="0"/>
              <w:rPr>
                <w:sz w:val="20"/>
                <w:szCs w:val="20"/>
                <w:color w:val="auto"/>
              </w:rPr>
            </w:pPr>
            <w:r>
              <w:rPr>
                <w:rFonts w:ascii="Arial" w:cs="Arial" w:eastAsia="Arial" w:hAnsi="Arial"/>
                <w:sz w:val="18"/>
                <w:szCs w:val="18"/>
                <w:color w:val="auto"/>
              </w:rPr>
              <w:t>195</w:t>
            </w:r>
          </w:p>
        </w:tc>
      </w:tr>
      <w:tr>
        <w:trPr>
          <w:trHeight w:val="237"/>
        </w:trPr>
        <w:tc>
          <w:tcPr>
            <w:tcW w:w="1040" w:type="dxa"/>
            <w:vAlign w:val="bottom"/>
            <w:tcBorders>
              <w:bottom w:val="single" w:sz="8" w:color="C0C0C0"/>
            </w:tcBorders>
          </w:tcPr>
          <w:p>
            <w:pPr>
              <w:spacing w:after="0"/>
              <w:rPr>
                <w:sz w:val="20"/>
                <w:szCs w:val="20"/>
                <w:color w:val="auto"/>
              </w:rPr>
            </w:pPr>
          </w:p>
        </w:tc>
        <w:tc>
          <w:tcPr>
            <w:tcW w:w="960" w:type="dxa"/>
            <w:vAlign w:val="bottom"/>
            <w:tcBorders>
              <w:bottom w:val="single" w:sz="8" w:color="C0C0C0"/>
            </w:tcBorders>
          </w:tcPr>
          <w:p>
            <w:pPr>
              <w:spacing w:after="0"/>
              <w:rPr>
                <w:sz w:val="20"/>
                <w:szCs w:val="20"/>
                <w:color w:val="auto"/>
              </w:rPr>
            </w:pPr>
          </w:p>
        </w:tc>
        <w:tc>
          <w:tcPr>
            <w:tcW w:w="2860" w:type="dxa"/>
            <w:vAlign w:val="bottom"/>
            <w:tcBorders>
              <w:bottom w:val="single" w:sz="8" w:color="C0C0C0"/>
            </w:tcBorders>
          </w:tcPr>
          <w:p>
            <w:pPr>
              <w:spacing w:after="0"/>
              <w:rPr>
                <w:sz w:val="20"/>
                <w:szCs w:val="20"/>
                <w:color w:val="auto"/>
              </w:rPr>
            </w:pPr>
          </w:p>
        </w:tc>
        <w:tc>
          <w:tcPr>
            <w:tcW w:w="6560" w:type="dxa"/>
            <w:vAlign w:val="bottom"/>
            <w:tcBorders>
              <w:bottom w:val="single" w:sz="8" w:color="C0C0C0"/>
            </w:tcBorders>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420"/>
      </w:cols>
      <w:pgMar w:left="240" w:top="40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3D089"/>
    <w:multiLevelType w:val="hybridMultilevel"/>
    <w:lvl w:ilvl="0">
      <w:lvlJc w:val="left"/>
      <w:lvlText w:val="*"/>
      <w:numFmt w:val="bullet"/>
      <w:start w:val="1"/>
    </w:lvl>
  </w:abstractNum>
  <w:abstractNum w:abstractNumId="1">
    <w:nsid w:val="4F3A06D4"/>
    <w:multiLevelType w:val="hybridMultilevel"/>
    <w:lvl w:ilvl="0">
      <w:lvlJc w:val="left"/>
      <w:lvlText w:val="•"/>
      <w:numFmt w:val="bullet"/>
      <w:start w:val="1"/>
    </w:lvl>
  </w:abstractNum>
  <w:abstractNum w:abstractNumId="2">
    <w:nsid w:val="59A377B6"/>
    <w:multiLevelType w:val="hybridMultilevel"/>
    <w:lvl w:ilvl="0">
      <w:lvlJc w:val="left"/>
      <w:lvlText w:val="(%1)"/>
      <w:numFmt w:val="decimal"/>
      <w:start w:val="1"/>
    </w:lvl>
  </w:abstractNum>
  <w:abstractNum w:abstractNumId="3">
    <w:nsid w:val="48AEB063"/>
    <w:multiLevelType w:val="hybridMultilevel"/>
    <w:lvl w:ilvl="0">
      <w:lvlJc w:val="left"/>
      <w:lvlText w:val="(%1)"/>
      <w:numFmt w:val="decimal"/>
      <w:start w:val="3"/>
    </w:lvl>
  </w:abstractNum>
  <w:abstractNum w:abstractNumId="4">
    <w:nsid w:val="24E135"/>
    <w:multiLevelType w:val="hybridMultilevel"/>
    <w:lvl w:ilvl="0">
      <w:lvlJc w:val="left"/>
      <w:lvlText w:val="(%1)"/>
      <w:numFmt w:val="decimal"/>
      <w:start w:val="1"/>
    </w:lvl>
  </w:abstractNum>
  <w:abstractNum w:abstractNumId="5">
    <w:nsid w:val="BB13C1"/>
    <w:multiLevelType w:val="hybridMultilevel"/>
    <w:lvl w:ilvl="0">
      <w:lvlJc w:val="left"/>
      <w:lvlText w:val="(%1)"/>
      <w:numFmt w:val="decimal"/>
      <w:start w:val="1"/>
    </w:lvl>
  </w:abstractNum>
  <w:abstractNum w:abstractNumId="6">
    <w:nsid w:val="271210C7"/>
    <w:multiLevelType w:val="hybridMultilevel"/>
    <w:lvl w:ilvl="0">
      <w:lvlJc w:val="left"/>
      <w:lvlText w:val="+"/>
      <w:numFmt w:val="bullet"/>
      <w:start w:val="1"/>
    </w:lvl>
  </w:abstractNum>
  <w:abstractNum w:abstractNumId="7">
    <w:nsid w:val="217B22E4"/>
    <w:multiLevelType w:val="hybridMultilevel"/>
    <w:lvl w:ilvl="0">
      <w:lvlJc w:val="left"/>
      <w:lvlText w:val="·"/>
      <w:numFmt w:val="bullet"/>
      <w:start w:val="1"/>
    </w:lvl>
  </w:abstractNum>
  <w:abstractNum w:abstractNumId="8">
    <w:nsid w:val="53E31A24"/>
    <w:multiLevelType w:val="hybridMultilevel"/>
    <w:lvl w:ilvl="0">
      <w:lvlJc w:val="left"/>
      <w:lvlText w:val="·"/>
      <w:numFmt w:val="bullet"/>
      <w:start w:val="1"/>
    </w:lvl>
  </w:abstractNum>
  <w:abstractNum w:abstractNumId="9">
    <w:nsid w:val="6DC45E83"/>
    <w:multiLevelType w:val="hybridMultilevel"/>
    <w:lvl w:ilvl="0">
      <w:lvlJc w:val="left"/>
      <w:lvlText w:val="·"/>
      <w:numFmt w:val="bullet"/>
      <w:start w:val="1"/>
    </w:lvl>
  </w:abstractNum>
  <w:abstractNum w:abstractNumId="10">
    <w:nsid w:val="17304A67"/>
    <w:multiLevelType w:val="hybridMultilevel"/>
    <w:lvl w:ilvl="0">
      <w:lvlJc w:val="left"/>
      <w:lvlText w:val="(%1)"/>
      <w:numFmt w:val="decimal"/>
      <w:start w:val="1"/>
    </w:lvl>
  </w:abstractNum>
  <w:abstractNum w:abstractNumId="11">
    <w:nsid w:val="2BB180D8"/>
    <w:multiLevelType w:val="hybridMultilevel"/>
    <w:lvl w:ilvl="0">
      <w:lvlJc w:val="left"/>
      <w:lvlText w:val="(%1)"/>
      <w:numFmt w:val="decimal"/>
      <w:start w:val="4"/>
    </w:lvl>
  </w:abstractNum>
  <w:abstractNum w:abstractNumId="12">
    <w:nsid w:val="556B69ED"/>
    <w:multiLevelType w:val="hybridMultilevel"/>
    <w:lvl w:ilvl="0">
      <w:lvlJc w:val="left"/>
      <w:lvlText w:val="·"/>
      <w:numFmt w:val="bullet"/>
      <w:start w:val="1"/>
    </w:lvl>
  </w:abstractNum>
  <w:abstractNum w:abstractNumId="13">
    <w:nsid w:val="70836196"/>
    <w:multiLevelType w:val="hybridMultilevel"/>
    <w:lvl w:ilvl="0">
      <w:lvlJc w:val="left"/>
      <w:lvlText w:val="·"/>
      <w:numFmt w:val="bullet"/>
      <w:start w:val="1"/>
    </w:lvl>
  </w:abstractNum>
  <w:abstractNum w:abstractNumId="14">
    <w:nsid w:val="539F7F12"/>
    <w:multiLevelType w:val="hybridMultilevel"/>
    <w:lvl w:ilvl="0">
      <w:lvlJc w:val="left"/>
      <w:lvlText w:val="·"/>
      <w:numFmt w:val="bullet"/>
      <w:start w:val="1"/>
    </w:lvl>
  </w:abstractNum>
  <w:abstractNum w:abstractNumId="15">
    <w:nsid w:val="2817E7EC"/>
    <w:multiLevelType w:val="hybridMultilevel"/>
    <w:lvl w:ilvl="0">
      <w:lvlJc w:val="left"/>
      <w:lvlText w:val="(%1)"/>
      <w:numFmt w:val="decimal"/>
      <w:start w:val="1"/>
    </w:lvl>
  </w:abstractNum>
  <w:abstractNum w:abstractNumId="16">
    <w:nsid w:val="71482545"/>
    <w:multiLevelType w:val="hybridMultilevel"/>
    <w:lvl w:ilvl="0">
      <w:lvlJc w:val="left"/>
      <w:lvlText w:val="(%1)"/>
      <w:numFmt w:val="decimal"/>
      <w:start w:val="1"/>
    </w:lvl>
  </w:abstractNum>
  <w:abstractNum w:abstractNumId="17">
    <w:nsid w:val="17D78639"/>
    <w:multiLevelType w:val="hybridMultilevel"/>
    <w:lvl w:ilvl="0">
      <w:lvlJc w:val="left"/>
      <w:lvlText w:val="·"/>
      <w:numFmt w:val="bullet"/>
      <w:start w:val="1"/>
    </w:lvl>
    <w:lvl w:ilvl="1">
      <w:lvlJc w:val="left"/>
      <w:lvlText w:val="(%2)"/>
      <w:numFmt w:val="lowerRoman"/>
      <w:start w:val="1"/>
    </w:lvl>
  </w:abstractNum>
  <w:abstractNum w:abstractNumId="18">
    <w:nsid w:val="141D2302"/>
    <w:multiLevelType w:val="hybridMultilevel"/>
    <w:lvl w:ilvl="0">
      <w:lvlJc w:val="left"/>
      <w:lvlText w:val="(%1)"/>
      <w:numFmt w:val="lowerRoman"/>
      <w:start w:val="1"/>
    </w:lvl>
  </w:abstractNum>
  <w:abstractNum w:abstractNumId="19">
    <w:nsid w:val="407168D8"/>
    <w:multiLevelType w:val="hybridMultilevel"/>
    <w:lvl w:ilvl="0">
      <w:lvlJc w:val="left"/>
      <w:lvlText w:val="(%1)"/>
      <w:numFmt w:val="lowerRoman"/>
      <w:start w:val="5"/>
    </w:lvl>
  </w:abstractNum>
  <w:abstractNum w:abstractNumId="20">
    <w:nsid w:val="6A1B45E5"/>
    <w:multiLevelType w:val="hybridMultilevel"/>
    <w:lvl w:ilvl="0">
      <w:lvlJc w:val="left"/>
      <w:lvlText w:val="(%1)"/>
      <w:numFmt w:val="lowerRoman"/>
      <w:start w:val="1"/>
    </w:lvl>
  </w:abstractNum>
  <w:abstractNum w:abstractNumId="21">
    <w:nsid w:val="567BD50A"/>
    <w:multiLevelType w:val="hybridMultilevel"/>
    <w:lvl w:ilvl="0">
      <w:lvlJc w:val="left"/>
      <w:lvlText w:val="·"/>
      <w:numFmt w:val="bullet"/>
      <w:start w:val="1"/>
    </w:lvl>
  </w:abstractNum>
  <w:abstractNum w:abstractNumId="22">
    <w:nsid w:val="73BBD7F8"/>
    <w:multiLevelType w:val="hybridMultilevel"/>
    <w:lvl w:ilvl="0">
      <w:lvlJc w:val="left"/>
      <w:lvlText w:val="(%1)"/>
      <w:numFmt w:val="lowerRoman"/>
      <w:start w:val="1"/>
    </w:lvl>
  </w:abstractNum>
  <w:abstractNum w:abstractNumId="23">
    <w:nsid w:val="1876589D"/>
    <w:multiLevelType w:val="hybridMultilevel"/>
    <w:lvl w:ilvl="0">
      <w:lvlJc w:val="left"/>
      <w:lvlText w:val="(%1)"/>
      <w:numFmt w:val="lowerRoman"/>
      <w:start w:val="3"/>
    </w:lvl>
  </w:abstractNum>
  <w:abstractNum w:abstractNumId="24">
    <w:nsid w:val="327FAC77"/>
    <w:multiLevelType w:val="hybridMultilevel"/>
    <w:lvl w:ilvl="0">
      <w:lvlJc w:val="left"/>
      <w:lvlText w:val="(%1)"/>
      <w:numFmt w:val="lowerLetter"/>
      <w:start w:val="3"/>
    </w:lvl>
  </w:abstractNum>
  <w:abstractNum w:abstractNumId="25">
    <w:nsid w:val="5A606509"/>
    <w:multiLevelType w:val="hybridMultilevel"/>
    <w:lvl w:ilvl="0">
      <w:lvlJc w:val="left"/>
      <w:lvlText w:val="(%1)"/>
      <w:numFmt w:val="lowerLetter"/>
      <w:start w:val="4"/>
    </w:lvl>
  </w:abstractNum>
  <w:abstractNum w:abstractNumId="26">
    <w:nsid w:val="6F38E6D1"/>
    <w:multiLevelType w:val="hybridMultilevel"/>
    <w:lvl w:ilvl="0">
      <w:lvlJc w:val="left"/>
      <w:lvlText w:val="(%1)"/>
      <w:numFmt w:val="decimal"/>
      <w:start w:val="1"/>
    </w:lvl>
  </w:abstractNum>
  <w:abstractNum w:abstractNumId="27">
    <w:nsid w:val="46111BA5"/>
    <w:multiLevelType w:val="hybridMultilevel"/>
    <w:lvl w:ilvl="0">
      <w:lvlJc w:val="left"/>
      <w:lvlText w:val="(%1)"/>
      <w:numFmt w:val="decimal"/>
      <w:start w:val="1"/>
    </w:lvl>
  </w:abstractNum>
  <w:abstractNum w:abstractNumId="28">
    <w:nsid w:val="5E963896"/>
    <w:multiLevelType w:val="hybridMultilevel"/>
    <w:lvl w:ilvl="0">
      <w:lvlJc w:val="left"/>
      <w:lvlText w:val="(%1)"/>
      <w:numFmt w:val="decimal"/>
      <w:start w:val="1"/>
    </w:lvl>
  </w:abstractNum>
  <w:abstractNum w:abstractNumId="29">
    <w:nsid w:val="775BA7C1"/>
    <w:multiLevelType w:val="hybridMultilevel"/>
    <w:lvl w:ilvl="0">
      <w:lvlJc w:val="left"/>
      <w:lvlText w:val="1"/>
      <w:numFmt w:val="bullet"/>
      <w:start w:val="1"/>
    </w:lvl>
  </w:abstractNum>
  <w:abstractNum w:abstractNumId="30">
    <w:nsid w:val="1DD6D6F4"/>
    <w:multiLevelType w:val="hybridMultilevel"/>
    <w:lvl w:ilvl="0">
      <w:lvlJc w:val="left"/>
      <w:lvlText w:val="(%1)"/>
      <w:numFmt w:val="lowerLetter"/>
      <w:start w:val="1"/>
    </w:lvl>
  </w:abstractNum>
  <w:abstractNum w:abstractNumId="31">
    <w:nsid w:val="769A091F"/>
    <w:multiLevelType w:val="hybridMultilevel"/>
    <w:lvl w:ilvl="0">
      <w:lvlJc w:val="left"/>
      <w:lvlText w:val="(%1)"/>
      <w:numFmt w:val="lowerLetter"/>
      <w:start w:val="1"/>
    </w:lvl>
  </w:abstractNum>
  <w:abstractNum w:abstractNumId="32">
    <w:nsid w:val="4695AE95"/>
    <w:multiLevelType w:val="hybridMultilevel"/>
    <w:lvl w:ilvl="0">
      <w:lvlJc w:val="left"/>
      <w:lvlText w:val="(%1)"/>
      <w:numFmt w:val="lowerLetter"/>
      <w:start w:val="1"/>
    </w:lvl>
  </w:abstractNum>
  <w:abstractNum w:abstractNumId="33">
    <w:nsid w:val="777A4EAA"/>
    <w:multiLevelType w:val="hybridMultilevel"/>
    <w:lvl w:ilvl="0">
      <w:lvlJc w:val="left"/>
      <w:lvlText w:val="(%1)"/>
      <w:numFmt w:val="lowerLetter"/>
      <w:start w:val="1"/>
    </w:lvl>
  </w:abstractNum>
  <w:abstractNum w:abstractNumId="34">
    <w:nsid w:val="3F48B982"/>
    <w:multiLevelType w:val="hybridMultilevel"/>
    <w:lvl w:ilvl="0">
      <w:lvlJc w:val="left"/>
      <w:lvlText w:val="(%1)"/>
      <w:numFmt w:val="lowerLetter"/>
      <w:start w:val="2"/>
    </w:lvl>
  </w:abstractNum>
  <w:abstractNum w:abstractNumId="35">
    <w:nsid w:val="46BA8FCA"/>
    <w:multiLevelType w:val="hybridMultilevel"/>
    <w:lvl w:ilvl="0">
      <w:lvlJc w:val="left"/>
      <w:lvlText w:val="(%1)"/>
      <w:numFmt w:val="lowerLetter"/>
      <w:start w:val="1"/>
    </w:lvl>
  </w:abstractNum>
  <w:abstractNum w:abstractNumId="36">
    <w:nsid w:val="7835626C"/>
    <w:multiLevelType w:val="hybridMultilevel"/>
    <w:lvl w:ilvl="0">
      <w:lvlJc w:val="left"/>
      <w:lvlText w:val="(%1)"/>
      <w:numFmt w:val="lowerLetter"/>
      <w:start w:val="1"/>
    </w:lvl>
  </w:abstractNum>
  <w:abstractNum w:abstractNumId="37">
    <w:nsid w:val="665ACA49"/>
    <w:multiLevelType w:val="hybridMultilevel"/>
    <w:lvl w:ilvl="0">
      <w:lvlJc w:val="left"/>
      <w:lvlText w:val="(%1)"/>
      <w:numFmt w:val="lowerRoman"/>
      <w:start w:val="1"/>
    </w:lvl>
  </w:abstractNum>
  <w:abstractNum w:abstractNumId="38">
    <w:nsid w:val="6835B2AE"/>
    <w:multiLevelType w:val="hybridMultilevel"/>
    <w:lvl w:ilvl="0">
      <w:lvlJc w:val="left"/>
      <w:lvlText w:val="(%1)"/>
      <w:numFmt w:val="lowerLetter"/>
      <w:start w:val="1"/>
    </w:lvl>
  </w:abstractNum>
  <w:abstractNum w:abstractNumId="39">
    <w:nsid w:val="4C187C90"/>
    <w:multiLevelType w:val="hybridMultilevel"/>
    <w:lvl w:ilvl="0">
      <w:lvlJc w:val="left"/>
      <w:lvlText w:val="(%1)"/>
      <w:numFmt w:val="lowerLetter"/>
      <w:start w:val="1"/>
    </w:lvl>
  </w:abstractNum>
  <w:abstractNum w:abstractNumId="40">
    <w:nsid w:val="541F28CD"/>
    <w:multiLevelType w:val="hybridMultilevel"/>
    <w:lvl w:ilvl="0">
      <w:lvlJc w:val="left"/>
      <w:lvlText w:val="(%1)"/>
      <w:numFmt w:val="lowerRoman"/>
      <w:start w:val="1"/>
    </w:lvl>
    <w:lvl w:ilvl="1">
      <w:lvlJc w:val="left"/>
      <w:lvlText w:val="(%2)"/>
      <w:numFmt w:val="upperLetter"/>
      <w:start w:val="1"/>
    </w:lvl>
  </w:abstractNum>
  <w:abstractNum w:abstractNumId="41">
    <w:nsid w:val="7F65FD16"/>
    <w:multiLevelType w:val="hybridMultilevel"/>
    <w:lvl w:ilvl="0">
      <w:lvlJc w:val="left"/>
      <w:lvlText w:val="(%1)"/>
      <w:numFmt w:val="lowerRoman"/>
      <w:start w:val="2"/>
    </w:lvl>
  </w:abstractNum>
  <w:abstractNum w:abstractNumId="42">
    <w:nsid w:val="77C9FD68"/>
    <w:multiLevelType w:val="hybridMultilevel"/>
    <w:lvl w:ilvl="0">
      <w:lvlJc w:val="left"/>
      <w:lvlText w:val="(%1)"/>
      <w:numFmt w:val="lowerLetter"/>
      <w:start w:val="1"/>
    </w:lvl>
  </w:abstractNum>
  <w:abstractNum w:abstractNumId="43">
    <w:nsid w:val="298A92BA"/>
    <w:multiLevelType w:val="hybridMultilevel"/>
    <w:lvl w:ilvl="0">
      <w:lvlJc w:val="left"/>
      <w:lvlText w:val="(%1)"/>
      <w:numFmt w:val="lowerLetter"/>
      <w:start w:val="1"/>
    </w:lvl>
  </w:abstractNum>
  <w:abstractNum w:abstractNumId="44">
    <w:nsid w:val="6FE95EAC"/>
    <w:multiLevelType w:val="hybridMultilevel"/>
    <w:lvl w:ilvl="0">
      <w:lvlJc w:val="left"/>
      <w:lvlText w:val="(%1)"/>
      <w:numFmt w:val="lowerLetter"/>
      <w:start w:val="1"/>
    </w:lvl>
  </w:abstractNum>
  <w:abstractNum w:abstractNumId="45">
    <w:nsid w:val="4B697C7A"/>
    <w:multiLevelType w:val="hybridMultilevel"/>
    <w:lvl w:ilvl="0">
      <w:lvlJc w:val="left"/>
      <w:lvlText w:val="(%1)"/>
      <w:numFmt w:val="lowerLetter"/>
      <w:start w:val="1"/>
    </w:lvl>
    <w:lvl w:ilvl="1">
      <w:lvlJc w:val="left"/>
      <w:lvlText w:val="(%2)"/>
      <w:numFmt w:val="lowerLetter"/>
      <w:start w:val="2"/>
    </w:lvl>
  </w:abstractNum>
  <w:abstractNum w:abstractNumId="46">
    <w:nsid w:val="51A27AA6"/>
    <w:multiLevelType w:val="hybridMultilevel"/>
    <w:lvl w:ilvl="0">
      <w:lvlJc w:val="left"/>
      <w:lvlText w:val="(%1)"/>
      <w:numFmt w:val="lowerLetter"/>
      <w:start w:val="1"/>
    </w:lvl>
  </w:abstractNum>
  <w:abstractNum w:abstractNumId="47">
    <w:nsid w:val="613183F2"/>
    <w:multiLevelType w:val="hybridMultilevel"/>
    <w:lvl w:ilvl="0">
      <w:lvlJc w:val="left"/>
      <w:lvlText w:val="(%1)"/>
      <w:numFmt w:val="lowerLetter"/>
      <w:start w:val="1"/>
    </w:lvl>
  </w:abstractNum>
  <w:abstractNum w:abstractNumId="48">
    <w:nsid w:val="634102B4"/>
    <w:multiLevelType w:val="hybridMultilevel"/>
    <w:lvl w:ilvl="0">
      <w:lvlJc w:val="left"/>
      <w:lvlText w:val="(%1)"/>
      <w:numFmt w:val="lowerLetter"/>
      <w:start w:val="2"/>
    </w:lvl>
  </w:abstractNum>
  <w:abstractNum w:abstractNumId="49">
    <w:nsid w:val="65BF9DA8"/>
    <w:multiLevelType w:val="hybridMultilevel"/>
    <w:lvl w:ilvl="0">
      <w:lvlJc w:val="left"/>
      <w:lvlText w:val="(%1)"/>
      <w:numFmt w:val="lowerLetter"/>
      <w:start w:val="1"/>
    </w:lvl>
  </w:abstractNum>
  <w:abstractNum w:abstractNumId="50">
    <w:nsid w:val="21A2ECCA"/>
    <w:multiLevelType w:val="hybridMultilevel"/>
    <w:lvl w:ilvl="0">
      <w:lvlJc w:val="left"/>
      <w:lvlText w:val="(%1)"/>
      <w:numFmt w:val="lowerLetter"/>
      <w:start w:val="1"/>
    </w:lvl>
  </w:abstractNum>
  <w:abstractNum w:abstractNumId="51">
    <w:nsid w:val="4D5C4899"/>
    <w:multiLevelType w:val="hybridMultilevel"/>
    <w:lvl w:ilvl="0">
      <w:lvlJc w:val="left"/>
      <w:lvlText w:val="(%1)"/>
      <w:numFmt w:val="lowerLetter"/>
      <w:start w:val="7"/>
    </w:lvl>
  </w:abstractNum>
  <w:abstractNum w:abstractNumId="52">
    <w:nsid w:val="3C3B72B2"/>
    <w:multiLevelType w:val="hybridMultilevel"/>
    <w:lvl w:ilvl="0">
      <w:lvlJc w:val="left"/>
      <w:lvlText w:val="(%1)"/>
      <w:numFmt w:val="lowerLetter"/>
      <w:start w:val="1"/>
    </w:lvl>
  </w:abstractNum>
  <w:abstractNum w:abstractNumId="53">
    <w:nsid w:val="155EC4C2"/>
    <w:multiLevelType w:val="hybridMultilevel"/>
    <w:lvl w:ilvl="0">
      <w:lvlJc w:val="left"/>
      <w:lvlText w:val="(%1)"/>
      <w:numFmt w:val="lowerRoman"/>
      <w:start w:val="1"/>
    </w:lvl>
    <w:lvl w:ilvl="1">
      <w:lvlJc w:val="left"/>
      <w:lvlText w:val="(%2)"/>
      <w:numFmt w:val="upperLetter"/>
      <w:start w:val="1"/>
    </w:lvl>
  </w:abstractNum>
  <w:abstractNum w:abstractNumId="54">
    <w:nsid w:val="65D2A137"/>
    <w:multiLevelType w:val="hybridMultilevel"/>
    <w:lvl w:ilvl="0">
      <w:lvlJc w:val="left"/>
      <w:lvlText w:val="(%1)"/>
      <w:numFmt w:val="lowerRoman"/>
      <w:start w:val="2"/>
    </w:lvl>
  </w:abstractNum>
  <w:abstractNum w:abstractNumId="55">
    <w:nsid w:val="6EBB1F2A"/>
    <w:multiLevelType w:val="hybridMultilevel"/>
    <w:lvl w:ilvl="0">
      <w:lvlJc w:val="left"/>
      <w:lvlText w:val="(%1)"/>
      <w:numFmt w:val="lowerLetter"/>
      <w:start w:val="1"/>
    </w:lvl>
  </w:abstractNum>
  <w:abstractNum w:abstractNumId="56">
    <w:nsid w:val="6FBF29CB"/>
    <w:multiLevelType w:val="hybridMultilevel"/>
    <w:lvl w:ilvl="0">
      <w:lvlJc w:val="left"/>
      <w:lvlText w:val="(%1)"/>
      <w:numFmt w:val="lowerLetter"/>
      <w:start w:val="1"/>
    </w:lvl>
  </w:abstractNum>
  <w:abstractNum w:abstractNumId="57">
    <w:nsid w:val="550B8808"/>
    <w:multiLevelType w:val="hybridMultilevel"/>
    <w:lvl w:ilvl="0">
      <w:lvlJc w:val="left"/>
      <w:lvlText w:val="(%1)"/>
      <w:numFmt w:val="lowerLetter"/>
      <w:start w:val="5"/>
    </w:lvl>
    <w:lvl w:ilvl="1">
      <w:lvlJc w:val="left"/>
      <w:lvlText w:val="(%2)"/>
      <w:numFmt w:val="lowerRoman"/>
      <w:start w:val="1"/>
    </w:lvl>
  </w:abstractNum>
  <w:abstractNum w:abstractNumId="58">
    <w:nsid w:val="34CC3ACF"/>
    <w:multiLevelType w:val="hybridMultilevel"/>
    <w:lvl w:ilvl="0">
      <w:lvlJc w:val="left"/>
      <w:lvlText w:val="(%1)"/>
      <w:numFmt w:val="lowerLetter"/>
      <w:start w:val="1"/>
    </w:lvl>
  </w:abstractNum>
  <w:abstractNum w:abstractNumId="59">
    <w:nsid w:val="4E556261"/>
    <w:multiLevelType w:val="hybridMultilevel"/>
    <w:lvl w:ilvl="0">
      <w:lvlJc w:val="left"/>
      <w:lvlText w:val="(%1)"/>
      <w:numFmt w:val="lowerLetter"/>
      <w:start w:val="1"/>
    </w:lvl>
  </w:abstractNum>
  <w:abstractNum w:abstractNumId="60">
    <w:nsid w:val="4C672FC9"/>
    <w:multiLevelType w:val="hybridMultilevel"/>
    <w:lvl w:ilvl="0">
      <w:lvlJc w:val="left"/>
      <w:lvlText w:val="%1"/>
      <w:numFmt w:val="lowerLetter"/>
      <w:start w:val="1"/>
    </w:lvl>
    <w:lvl w:ilvl="1">
      <w:lvlJc w:val="left"/>
      <w:lvlText w:val="(%2)"/>
      <w:numFmt w:val="lowerLetter"/>
      <w:start w:val="1"/>
    </w:lvl>
  </w:abstractNum>
  <w:abstractNum w:abstractNumId="61">
    <w:nsid w:val="52A311C3"/>
    <w:multiLevelType w:val="hybridMultilevel"/>
    <w:lvl w:ilvl="0">
      <w:lvlJc w:val="left"/>
      <w:lvlText w:val="(%1)"/>
      <w:numFmt w:val="lowerLetter"/>
      <w:start w:val="2"/>
    </w:lvl>
    <w:lvl w:ilvl="1">
      <w:lvlJc w:val="left"/>
      <w:lvlText w:val="%2"/>
      <w:numFmt w:val="lowerLetter"/>
      <w:start w:val="1"/>
    </w:lvl>
  </w:abstractNum>
  <w:abstractNum w:abstractNumId="62">
    <w:nsid w:val="44EF6B80"/>
    <w:multiLevelType w:val="hybridMultilevel"/>
    <w:lvl w:ilvl="0">
      <w:lvlJc w:val="left"/>
      <w:lvlText w:val="(%1)"/>
      <w:numFmt w:val="lowerLetter"/>
      <w:start w:val="1"/>
    </w:lvl>
  </w:abstractNum>
  <w:abstractNum w:abstractNumId="63">
    <w:nsid w:val="12FCDE5E"/>
    <w:multiLevelType w:val="hybridMultilevel"/>
    <w:lvl w:ilvl="0">
      <w:lvlJc w:val="left"/>
      <w:lvlText w:val="(%1)"/>
      <w:numFmt w:val="lowerLetter"/>
      <w:start w:val="1"/>
    </w:lvl>
  </w:abstractNum>
  <w:abstractNum w:abstractNumId="64">
    <w:nsid w:val="4A1D606E"/>
    <w:multiLevelType w:val="hybridMultilevel"/>
    <w:lvl w:ilvl="0">
      <w:lvlJc w:val="left"/>
      <w:lvlText w:val="(%1)"/>
      <w:numFmt w:val="lowerLetter"/>
      <w:start w:val="1"/>
    </w:lvl>
  </w:abstractNum>
  <w:abstractNum w:abstractNumId="65">
    <w:nsid w:val="4382503"/>
    <w:multiLevelType w:val="hybridMultilevel"/>
    <w:lvl w:ilvl="0">
      <w:lvlJc w:val="left"/>
      <w:lvlText w:val="(%1)"/>
      <w:numFmt w:val="lowerLetter"/>
      <w:start w:val="2"/>
    </w:lvl>
  </w:abstractNum>
  <w:abstractNum w:abstractNumId="66">
    <w:nsid w:val="59B76E28"/>
    <w:multiLevelType w:val="hybridMultilevel"/>
    <w:lvl w:ilvl="0">
      <w:lvlJc w:val="left"/>
      <w:lvlText w:val="(%1)"/>
      <w:numFmt w:val="lowerLetter"/>
      <w:start w:val="1"/>
    </w:lvl>
  </w:abstractNum>
  <w:abstractNum w:abstractNumId="67">
    <w:nsid w:val="4252C2DA"/>
    <w:multiLevelType w:val="hybridMultilevel"/>
    <w:lvl w:ilvl="0">
      <w:lvlJc w:val="left"/>
      <w:lvlText w:val="(%1)"/>
      <w:numFmt w:val="lowerLetter"/>
      <w:start w:val="1"/>
    </w:lvl>
  </w:abstractNum>
  <w:abstractNum w:abstractNumId="68">
    <w:nsid w:val="6A92EF4C"/>
    <w:multiLevelType w:val="hybridMultilevel"/>
    <w:lvl w:ilvl="0">
      <w:lvlJc w:val="left"/>
      <w:lvlText w:val="(%1)"/>
      <w:numFmt w:val="lowerLetter"/>
      <w:start w:val="1"/>
    </w:lvl>
  </w:abstractNum>
  <w:abstractNum w:abstractNumId="69">
    <w:nsid w:val="41ED20D7"/>
    <w:multiLevelType w:val="hybridMultilevel"/>
    <w:lvl w:ilvl="0">
      <w:lvlJc w:val="left"/>
      <w:lvlText w:val="(%1)"/>
      <w:numFmt w:val="lowerLetter"/>
      <w:start w:val="1"/>
    </w:lvl>
  </w:abstractNum>
  <w:abstractNum w:abstractNumId="70">
    <w:nsid w:val="E6B3F6A"/>
    <w:multiLevelType w:val="hybridMultilevel"/>
    <w:lvl w:ilvl="0">
      <w:lvlJc w:val="left"/>
      <w:lvlText w:val="(%1)"/>
      <w:numFmt w:val="lowerLetter"/>
      <w:start w:val="1"/>
    </w:lvl>
    <w:lvl w:ilvl="1">
      <w:lvlJc w:val="left"/>
      <w:lvlText w:val="(%2)"/>
      <w:numFmt w:val="lowerRoman"/>
      <w:start w:val="1"/>
    </w:lvl>
  </w:abstractNum>
  <w:abstractNum w:abstractNumId="71">
    <w:nsid w:val="3EB21819"/>
    <w:multiLevelType w:val="hybridMultilevel"/>
    <w:lvl w:ilvl="0">
      <w:lvlJc w:val="left"/>
      <w:lvlText w:val="(%1)"/>
      <w:numFmt w:val="lowerLetter"/>
      <w:start w:val="1"/>
    </w:lvl>
  </w:abstractNum>
  <w:abstractNum w:abstractNumId="72">
    <w:nsid w:val="41531DED"/>
    <w:multiLevelType w:val="hybridMultilevel"/>
    <w:lvl w:ilvl="0">
      <w:lvlJc w:val="left"/>
      <w:lvlText w:val="(%1)"/>
      <w:numFmt w:val="lowerLetter"/>
      <w:start w:val="1"/>
    </w:lvl>
  </w:abstractNum>
  <w:abstractNum w:abstractNumId="73">
    <w:nsid w:val="6353CD2"/>
    <w:multiLevelType w:val="hybridMultilevel"/>
    <w:lvl w:ilvl="0">
      <w:lvlJc w:val="left"/>
      <w:lvlText w:val="(%1)"/>
      <w:numFmt w:val="lowerLetter"/>
      <w:start w:val="5"/>
    </w:lvl>
  </w:abstractNum>
  <w:abstractNum w:abstractNumId="74">
    <w:nsid w:val="683CAAD3"/>
    <w:multiLevelType w:val="hybridMultilevel"/>
    <w:lvl w:ilvl="0">
      <w:lvlJc w:val="left"/>
      <w:lvlText w:val="(%1)"/>
      <w:numFmt w:val="lowerLetter"/>
      <w:start w:val="1"/>
    </w:lvl>
  </w:abstractNum>
  <w:abstractNum w:abstractNumId="75">
    <w:nsid w:val="313C7C99"/>
    <w:multiLevelType w:val="hybridMultilevel"/>
    <w:lvl w:ilvl="0">
      <w:lvlJc w:val="left"/>
      <w:lvlText w:val="(%1)"/>
      <w:numFmt w:val="lowerLetter"/>
      <w:start w:val="1"/>
    </w:lvl>
  </w:abstractNum>
  <w:abstractNum w:abstractNumId="76">
    <w:nsid w:val="519EB94C"/>
    <w:multiLevelType w:val="hybridMultilevel"/>
    <w:lvl w:ilvl="0">
      <w:lvlJc w:val="left"/>
      <w:lvlText w:val="(%1)"/>
      <w:numFmt w:val="lowerLetter"/>
      <w:start w:val="1"/>
    </w:lvl>
  </w:abstractNum>
  <w:abstractNum w:abstractNumId="77">
    <w:nsid w:val="39DF2579"/>
    <w:multiLevelType w:val="hybridMultilevel"/>
    <w:lvl w:ilvl="0">
      <w:lvlJc w:val="left"/>
      <w:lvlText w:val="(%1)"/>
      <w:numFmt w:val="lowerLetter"/>
      <w:start w:val="1"/>
    </w:lvl>
  </w:abstractNum>
  <w:abstractNum w:abstractNumId="78">
    <w:nsid w:val="126E008B"/>
    <w:multiLevelType w:val="hybridMultilevel"/>
    <w:lvl w:ilvl="0">
      <w:lvlJc w:val="left"/>
      <w:lvlText w:val="(%1)"/>
      <w:numFmt w:val="lowerLetter"/>
      <w:start w:val="1"/>
    </w:lvl>
  </w:abstractNum>
  <w:abstractNum w:abstractNumId="79">
    <w:nsid w:val="34DFBC00"/>
    <w:multiLevelType w:val="hybridMultilevel"/>
    <w:lvl w:ilvl="0">
      <w:lvlJc w:val="left"/>
      <w:lvlText w:val="(%1)"/>
      <w:numFmt w:val="lowerLetter"/>
      <w:start w:val="1"/>
    </w:lvl>
  </w:abstractNum>
  <w:abstractNum w:abstractNumId="80">
    <w:nsid w:val="1F9EC322"/>
    <w:multiLevelType w:val="hybridMultilevel"/>
    <w:lvl w:ilvl="0">
      <w:lvlJc w:val="left"/>
      <w:lvlText w:val="(%1)"/>
      <w:numFmt w:val="lowerLetter"/>
      <w:start w:val="2"/>
    </w:lvl>
  </w:abstractNum>
  <w:abstractNum w:abstractNumId="81">
    <w:nsid w:val="3410ED56"/>
    <w:multiLevelType w:val="hybridMultilevel"/>
    <w:lvl w:ilvl="0">
      <w:lvlJc w:val="left"/>
      <w:lvlText w:val="(%1)"/>
      <w:numFmt w:val="lowerLetter"/>
      <w:start w:val="1"/>
    </w:lvl>
  </w:abstractNum>
  <w:abstractNum w:abstractNumId="82">
    <w:nsid w:val="23C049A"/>
    <w:multiLevelType w:val="hybridMultilevel"/>
    <w:lvl w:ilvl="0">
      <w:lvlJc w:val="left"/>
      <w:lvlText w:val="(%1)"/>
      <w:numFmt w:val="lowerLetter"/>
      <w:start w:val="2"/>
    </w:lvl>
  </w:abstractNum>
  <w:abstractNum w:abstractNumId="83">
    <w:nsid w:val="5BDA35D4"/>
    <w:multiLevelType w:val="hybridMultilevel"/>
    <w:lvl w:ilvl="0">
      <w:lvlJc w:val="left"/>
      <w:lvlText w:val="(%1)"/>
      <w:numFmt w:val="lowerLetter"/>
      <w:start w:val="1"/>
    </w:lvl>
  </w:abstractNum>
  <w:abstractNum w:abstractNumId="84">
    <w:nsid w:val="496FB218"/>
    <w:multiLevelType w:val="hybridMultilevel"/>
    <w:lvl w:ilvl="0">
      <w:lvlJc w:val="left"/>
      <w:lvlText w:val="(%1)"/>
      <w:numFmt w:val="lowerLetter"/>
      <w:start w:val="1"/>
    </w:lvl>
  </w:abstractNum>
  <w:abstractNum w:abstractNumId="85">
    <w:nsid w:val="680EA5D1"/>
    <w:multiLevelType w:val="hybridMultilevel"/>
    <w:lvl w:ilvl="0">
      <w:lvlJc w:val="left"/>
      <w:lvlText w:val="(%1)"/>
      <w:numFmt w:val="lowerLetter"/>
      <w:start w:val="1"/>
    </w:lvl>
  </w:abstractNum>
  <w:abstractNum w:abstractNumId="86">
    <w:nsid w:val="4A9554FE"/>
    <w:multiLevelType w:val="hybridMultilevel"/>
    <w:lvl w:ilvl="0">
      <w:lvlJc w:val="left"/>
      <w:lvlText w:val="(%1)"/>
      <w:numFmt w:val="lowerLetter"/>
      <w:start w:val="1"/>
    </w:lvl>
  </w:abstractNum>
  <w:abstractNum w:abstractNumId="87">
    <w:nsid w:val="392EDBE4"/>
    <w:multiLevelType w:val="hybridMultilevel"/>
    <w:lvl w:ilvl="0">
      <w:lvlJc w:val="left"/>
      <w:lvlText w:val="(%1)"/>
      <w:numFmt w:val="lowerLetter"/>
      <w:start w:val="8"/>
    </w:lvl>
  </w:abstractNum>
  <w:abstractNum w:abstractNumId="88">
    <w:nsid w:val="3D1A2DD9"/>
    <w:multiLevelType w:val="hybridMultilevel"/>
    <w:lvl w:ilvl="0">
      <w:lvlJc w:val="left"/>
      <w:lvlText w:val="(%1)"/>
      <w:numFmt w:val="lowerLetter"/>
      <w:start w:val="1"/>
    </w:lvl>
  </w:abstractNum>
  <w:abstractNum w:abstractNumId="89">
    <w:nsid w:val="7F618FCD"/>
    <w:multiLevelType w:val="hybridMultilevel"/>
    <w:lvl w:ilvl="0">
      <w:lvlJc w:val="left"/>
      <w:lvlText w:val="(%1)"/>
      <w:numFmt w:val="lowerLetter"/>
      <w:start w:val="1"/>
    </w:lvl>
    <w:lvl w:ilvl="1">
      <w:lvlJc w:val="left"/>
      <w:lvlText w:val="(%2)"/>
      <w:numFmt w:val="lowerRoman"/>
      <w:start w:val="1"/>
    </w:lvl>
  </w:abstractNum>
  <w:abstractNum w:abstractNumId="90">
    <w:nsid w:val="7843E45"/>
    <w:multiLevelType w:val="hybridMultilevel"/>
    <w:lvl w:ilvl="0">
      <w:lvlJc w:val="left"/>
      <w:lvlText w:val="(%1)"/>
      <w:numFmt w:val="lowerLetter"/>
      <w:start w:val="1"/>
    </w:lvl>
  </w:abstractNum>
  <w:abstractNum w:abstractNumId="91">
    <w:nsid w:val="9815DA3"/>
    <w:multiLevelType w:val="hybridMultilevel"/>
    <w:lvl w:ilvl="0">
      <w:lvlJc w:val="left"/>
      <w:lvlText w:val="(%1)"/>
      <w:numFmt w:val="lowerLetter"/>
      <w:start w:val="1"/>
    </w:lvl>
  </w:abstractNum>
  <w:abstractNum w:abstractNumId="92">
    <w:nsid w:val="5204A191"/>
    <w:multiLevelType w:val="hybridMultilevel"/>
    <w:lvl w:ilvl="0">
      <w:lvlJc w:val="left"/>
      <w:lvlText w:val="(%1)"/>
      <w:numFmt w:val="lowerLetter"/>
      <w:start w:val="1"/>
    </w:lvl>
  </w:abstractNum>
  <w:abstractNum w:abstractNumId="93">
    <w:nsid w:val="4C73A9C6"/>
    <w:multiLevelType w:val="hybridMultilevel"/>
    <w:lvl w:ilvl="0">
      <w:lvlJc w:val="left"/>
      <w:lvlText w:val="(%1)"/>
      <w:numFmt w:val="lowerLetter"/>
      <w:start w:val="1"/>
    </w:lvl>
  </w:abstractNum>
  <w:abstractNum w:abstractNumId="94">
    <w:nsid w:val="1C7E3C01"/>
    <w:multiLevelType w:val="hybridMultilevel"/>
    <w:lvl w:ilvl="0">
      <w:lvlJc w:val="left"/>
      <w:lvlText w:val="(%1)"/>
      <w:numFmt w:val="lowerLetter"/>
      <w:start w:val="1"/>
    </w:lvl>
  </w:abstractNum>
  <w:abstractNum w:abstractNumId="95">
    <w:nsid w:val="1C2201F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6">
    <w:nsid w:val="50ABCEC9"/>
    <w:multiLevelType w:val="hybridMultilevel"/>
    <w:lvl w:ilvl="0">
      <w:lvlJc w:val="left"/>
      <w:lvlText w:val="(%1)"/>
      <w:numFmt w:val="lowerRoman"/>
      <w:start w:val="13"/>
    </w:lvl>
    <w:lvl w:ilvl="1">
      <w:lvlJc w:val="left"/>
      <w:lvlText w:val="(%2)"/>
      <w:numFmt w:val="upperLetter"/>
      <w:start w:val="1"/>
    </w:lvl>
    <w:lvl w:ilvl="2">
      <w:lvlJc w:val="left"/>
      <w:lvlText w:val="(%3)"/>
      <w:numFmt w:val="decimal"/>
      <w:start w:val="1"/>
    </w:lvl>
  </w:abstractNum>
  <w:abstractNum w:abstractNumId="97">
    <w:nsid w:val="7635AA2A"/>
    <w:multiLevelType w:val="hybridMultilevel"/>
    <w:lvl w:ilvl="0">
      <w:lvlJc w:val="left"/>
      <w:lvlText w:val="(%1)"/>
      <w:numFmt w:val="lowerRoman"/>
      <w:start w:val="14"/>
    </w:lvl>
  </w:abstractNum>
  <w:abstractNum w:abstractNumId="98">
    <w:nsid w:val="5E74C4D9"/>
    <w:multiLevelType w:val="hybridMultilevel"/>
    <w:lvl w:ilvl="0">
      <w:lvlJc w:val="left"/>
      <w:lvlText w:val="(%1)"/>
      <w:numFmt w:val="lowerRoman"/>
      <w:start w:val="21"/>
    </w:lvl>
    <w:lvl w:ilvl="1">
      <w:lvlJc w:val="left"/>
      <w:lvlText w:val="(%2)"/>
      <w:numFmt w:val="upperLetter"/>
      <w:start w:val="1"/>
    </w:lvl>
  </w:abstractNum>
  <w:abstractNum w:abstractNumId="99">
    <w:nsid w:val="3B3EBE15"/>
    <w:multiLevelType w:val="hybridMultilevel"/>
    <w:lvl w:ilvl="0">
      <w:lvlJc w:val="left"/>
      <w:lvlText w:val="(%1)"/>
      <w:numFmt w:val="lowerRoman"/>
      <w:start w:val="22"/>
    </w:lvl>
  </w:abstractNum>
  <w:abstractNum w:abstractNumId="100">
    <w:nsid w:val="3822CB01"/>
    <w:multiLevelType w:val="hybridMultilevel"/>
    <w:lvl w:ilvl="0">
      <w:lvlJc w:val="left"/>
      <w:lvlText w:val="(%1)"/>
      <w:numFmt w:val="lowerLetter"/>
      <w:start w:val="2"/>
    </w:lvl>
  </w:abstractNum>
  <w:abstractNum w:abstractNumId="101">
    <w:nsid w:val="6CE00443"/>
    <w:multiLevelType w:val="hybridMultilevel"/>
    <w:lvl w:ilvl="0">
      <w:lvlJc w:val="left"/>
      <w:lvlText w:val="(%1)"/>
      <w:numFmt w:val="lowerLetter"/>
      <w:start w:val="3"/>
    </w:lvl>
  </w:abstractNum>
  <w:abstractNum w:abstractNumId="102">
    <w:nsid w:val="79F0D62F"/>
    <w:multiLevelType w:val="hybridMultilevel"/>
    <w:lvl w:ilvl="0">
      <w:lvlJc w:val="left"/>
      <w:lvlText w:val="(%1)"/>
      <w:numFmt w:val="lowerLetter"/>
      <w:start w:val="1"/>
    </w:lvl>
  </w:abstractNum>
  <w:abstractNum w:abstractNumId="103">
    <w:nsid w:val="7975E8EE"/>
    <w:multiLevelType w:val="hybridMultilevel"/>
    <w:lvl w:ilvl="0">
      <w:lvlJc w:val="left"/>
      <w:lvlText w:val="2"/>
      <w:numFmt w:val="bullet"/>
      <w:start w:val="1"/>
    </w:lvl>
  </w:abstractNum>
  <w:abstractNum w:abstractNumId="104">
    <w:nsid w:val="73154115"/>
    <w:multiLevelType w:val="hybridMultilevel"/>
    <w:lvl w:ilvl="0">
      <w:lvlJc w:val="left"/>
      <w:lvlText w:val="(%1)"/>
      <w:numFmt w:val="lowerLetter"/>
      <w:start w:val="1"/>
    </w:lvl>
  </w:abstractNum>
  <w:abstractNum w:abstractNumId="105">
    <w:nsid w:val="622D8102"/>
    <w:multiLevelType w:val="hybridMultilevel"/>
    <w:lvl w:ilvl="0">
      <w:lvlJc w:val="left"/>
      <w:lvlText w:val="(%1)"/>
      <w:numFmt w:val="lowerLetter"/>
      <w:start w:val="1"/>
    </w:lvl>
    <w:lvl w:ilvl="1">
      <w:lvlJc w:val="left"/>
      <w:lvlText w:val="(%2)"/>
      <w:numFmt w:val="lowerRoman"/>
      <w:start w:val="1"/>
    </w:lvl>
  </w:abstractNum>
  <w:abstractNum w:abstractNumId="106">
    <w:nsid w:val="2AB26587"/>
    <w:multiLevelType w:val="hybridMultilevel"/>
    <w:lvl w:ilvl="0">
      <w:lvlJc w:val="left"/>
      <w:lvlText w:val="%1"/>
      <w:numFmt w:val="lowerLetter"/>
      <w:start w:val="1"/>
    </w:lvl>
    <w:lvl w:ilvl="1">
      <w:lvlJc w:val="left"/>
      <w:lvlText w:val="(%2)"/>
      <w:numFmt w:val="lowerRoman"/>
      <w:start w:val="1"/>
    </w:lvl>
  </w:abstractNum>
  <w:abstractNum w:abstractNumId="107">
    <w:nsid w:val="44B3FA61"/>
    <w:multiLevelType w:val="hybridMultilevel"/>
    <w:lvl w:ilvl="0">
      <w:lvlJc w:val="left"/>
      <w:lvlText w:val="(%1)"/>
      <w:numFmt w:val="lowerLetter"/>
      <w:start w:val="6"/>
    </w:lvl>
    <w:lvl w:ilvl="1">
      <w:lvlJc w:val="left"/>
      <w:lvlText w:val="(%2)"/>
      <w:numFmt w:val="lowerRoman"/>
      <w:start w:val="1"/>
    </w:lvl>
  </w:abstractNum>
  <w:abstractNum w:abstractNumId="108">
    <w:nsid w:val="1C0CA67C"/>
    <w:multiLevelType w:val="hybridMultilevel"/>
    <w:lvl w:ilvl="0">
      <w:lvlJc w:val="left"/>
      <w:lvlText w:val="(%1)"/>
      <w:numFmt w:val="lowerRoman"/>
      <w:start w:val="4"/>
    </w:lvl>
  </w:abstractNum>
  <w:abstractNum w:abstractNumId="109">
    <w:nsid w:val="3D206613"/>
    <w:multiLevelType w:val="hybridMultilevel"/>
    <w:lvl w:ilvl="0">
      <w:lvlJc w:val="left"/>
      <w:lvlText w:val="3"/>
      <w:numFmt w:val="bullet"/>
      <w:start w:val="1"/>
    </w:lvl>
  </w:abstractNum>
  <w:abstractNum w:abstractNumId="110">
    <w:nsid w:val="7993B662"/>
    <w:multiLevelType w:val="hybridMultilevel"/>
    <w:lvl w:ilvl="0">
      <w:lvlJc w:val="left"/>
      <w:lvlText w:val="(%1)"/>
      <w:numFmt w:val="lowerLetter"/>
      <w:start w:val="1"/>
    </w:lvl>
  </w:abstractNum>
  <w:abstractNum w:abstractNumId="111">
    <w:nsid w:val="3BAB699E"/>
    <w:multiLevelType w:val="hybridMultilevel"/>
    <w:lvl w:ilvl="0">
      <w:lvlJc w:val="left"/>
      <w:lvlText w:val="4"/>
      <w:numFmt w:val="bullet"/>
      <w:start w:val="1"/>
    </w:lvl>
  </w:abstractNum>
  <w:abstractNum w:abstractNumId="112">
    <w:nsid w:val="71315369"/>
    <w:multiLevelType w:val="hybridMultilevel"/>
    <w:lvl w:ilvl="0">
      <w:lvlJc w:val="left"/>
      <w:lvlText w:val="(%1)"/>
      <w:numFmt w:val="lowerLetter"/>
      <w:start w:val="1"/>
    </w:lvl>
    <w:lvl w:ilvl="1">
      <w:lvlJc w:val="left"/>
      <w:lvlText w:val="(%2)"/>
      <w:numFmt w:val="lowerRoman"/>
      <w:start w:val="1"/>
    </w:lvl>
  </w:abstractNum>
  <w:abstractNum w:abstractNumId="113">
    <w:nsid w:val="7BCFBAFC"/>
    <w:multiLevelType w:val="hybridMultilevel"/>
    <w:lvl w:ilvl="0">
      <w:lvlJc w:val="left"/>
      <w:lvlText w:val="5"/>
      <w:numFmt w:val="bullet"/>
      <w:start w:val="1"/>
    </w:lvl>
  </w:abstractNum>
  <w:abstractNum w:abstractNumId="114">
    <w:nsid w:val="17859F72"/>
    <w:multiLevelType w:val="hybridMultilevel"/>
    <w:lvl w:ilvl="0">
      <w:lvlJc w:val="left"/>
      <w:lvlText w:val="(%1)"/>
      <w:numFmt w:val="lowerLetter"/>
      <w:start w:val="1"/>
    </w:lvl>
    <w:lvl w:ilvl="1">
      <w:lvlJc w:val="left"/>
      <w:lvlText w:val="(%2)"/>
      <w:numFmt w:val="lowerRoman"/>
      <w:start w:val="1"/>
    </w:lvl>
  </w:abstractNum>
  <w:abstractNum w:abstractNumId="115">
    <w:nsid w:val="3AA10581"/>
    <w:multiLevelType w:val="hybridMultilevel"/>
    <w:lvl w:ilvl="0">
      <w:lvlJc w:val="left"/>
      <w:lvlText w:val="(%1)"/>
      <w:numFmt w:val="lowerLetter"/>
      <w:start w:val="1"/>
    </w:lvl>
    <w:lvl w:ilvl="1">
      <w:lvlJc w:val="left"/>
      <w:lvlText w:val="(%2)"/>
      <w:numFmt w:val="lowerRoman"/>
      <w:start w:val="1"/>
    </w:lvl>
  </w:abstractNum>
  <w:abstractNum w:abstractNumId="116">
    <w:nsid w:val="63DE60CD"/>
    <w:multiLevelType w:val="hybridMultilevel"/>
    <w:lvl w:ilvl="0">
      <w:lvlJc w:val="left"/>
      <w:lvlText w:val="%1"/>
      <w:numFmt w:val="lowerLetter"/>
      <w:start w:val="1"/>
    </w:lvl>
    <w:lvl w:ilvl="1">
      <w:lvlJc w:val="left"/>
      <w:lvlText w:val="(%2)"/>
      <w:numFmt w:val="lowerRoman"/>
      <w:start w:val="2"/>
    </w:lvl>
  </w:abstractNum>
  <w:abstractNum w:abstractNumId="117">
    <w:nsid w:val="621AF471"/>
    <w:multiLevelType w:val="hybridMultilevel"/>
    <w:lvl w:ilvl="0">
      <w:lvlJc w:val="left"/>
      <w:lvlText w:val="(%1)"/>
      <w:numFmt w:val="lowerLetter"/>
      <w:start w:val="7"/>
    </w:lvl>
    <w:lvl w:ilvl="1">
      <w:lvlJc w:val="left"/>
      <w:lvlText w:val="(%2)"/>
      <w:numFmt w:val="lowerRoman"/>
      <w:start w:val="1"/>
    </w:lvl>
  </w:abstractNum>
  <w:abstractNum w:abstractNumId="118">
    <w:nsid w:val="73CFE165"/>
    <w:multiLevelType w:val="hybridMultilevel"/>
    <w:lvl w:ilvl="0">
      <w:lvlJc w:val="left"/>
      <w:lvlText w:val="(%1)"/>
      <w:numFmt w:val="lowerRoman"/>
      <w:start w:val="4"/>
    </w:lvl>
  </w:abstractNum>
  <w:abstractNum w:abstractNumId="119">
    <w:nsid w:val="20F88EA6"/>
    <w:multiLevelType w:val="hybridMultilevel"/>
    <w:lvl w:ilvl="0">
      <w:lvlJc w:val="left"/>
      <w:lvlText w:val="(%1)"/>
      <w:numFmt w:val="lowerLetter"/>
      <w:start w:val="1"/>
    </w:lvl>
  </w:abstractNum>
  <w:abstractNum w:abstractNumId="120">
    <w:nsid w:val="617C843E"/>
    <w:multiLevelType w:val="hybridMultilevel"/>
    <w:lvl w:ilvl="0">
      <w:lvlJc w:val="left"/>
      <w:lvlText w:val="6"/>
      <w:numFmt w:val="bullet"/>
      <w:start w:val="1"/>
    </w:lvl>
  </w:abstractNum>
  <w:abstractNum w:abstractNumId="121">
    <w:nsid w:val="7B541FAB"/>
    <w:multiLevelType w:val="hybridMultilevel"/>
    <w:lvl w:ilvl="0">
      <w:lvlJc w:val="left"/>
      <w:lvlText w:val="(%1)"/>
      <w:numFmt w:val="lowerLetter"/>
      <w:start w:val="1"/>
    </w:lvl>
  </w:abstractNum>
  <w:abstractNum w:abstractNumId="122">
    <w:nsid w:val="2A79EC49"/>
    <w:multiLevelType w:val="hybridMultilevel"/>
    <w:lvl w:ilvl="0">
      <w:lvlJc w:val="left"/>
      <w:lvlText w:val="(%1)"/>
      <w:numFmt w:val="lowerRoman"/>
      <w:start w:val="1"/>
    </w:lvl>
  </w:abstractNum>
  <w:abstractNum w:abstractNumId="123">
    <w:nsid w:val="338125CF"/>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124">
    <w:nsid w:val="47C7C971"/>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25">
    <w:nsid w:val="46F8284B"/>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126">
    <w:nsid w:val="4FA327CE"/>
    <w:multiLevelType w:val="hybridMultilevel"/>
    <w:lvl w:ilvl="0">
      <w:lvlJc w:val="left"/>
      <w:lvlText w:val="(%1)"/>
      <w:numFmt w:val="lowerLetter"/>
      <w:start w:val="1"/>
    </w:lvl>
  </w:abstractNum>
  <w:abstractNum w:abstractNumId="127">
    <w:nsid w:val="1873983A"/>
    <w:multiLevelType w:val="hybridMultilevel"/>
    <w:lvl w:ilvl="0">
      <w:lvlJc w:val="left"/>
      <w:lvlText w:val="7"/>
      <w:numFmt w:val="bullet"/>
      <w:start w:val="1"/>
    </w:lvl>
  </w:abstractNum>
  <w:abstractNum w:abstractNumId="128">
    <w:nsid w:val="3D2DD275"/>
    <w:multiLevelType w:val="hybridMultilevel"/>
    <w:lvl w:ilvl="0">
      <w:lvlJc w:val="left"/>
      <w:lvlText w:val="(%1)"/>
      <w:numFmt w:val="lowerLetter"/>
      <w:start w:val="1"/>
    </w:lvl>
  </w:abstractNum>
  <w:abstractNum w:abstractNumId="129">
    <w:nsid w:val="2E17ECA7"/>
    <w:multiLevelType w:val="hybridMultilevel"/>
    <w:lvl w:ilvl="0">
      <w:lvlJc w:val="left"/>
      <w:lvlText w:val="(%1)"/>
      <w:numFmt w:val="lowerLetter"/>
      <w:start w:val="1"/>
    </w:lvl>
    <w:lvl w:ilvl="1">
      <w:lvlJc w:val="left"/>
      <w:lvlText w:val="(%2)"/>
      <w:numFmt w:val="lowerRoman"/>
      <w:start w:val="1"/>
    </w:lvl>
  </w:abstractNum>
  <w:abstractNum w:abstractNumId="130">
    <w:nsid w:val="53B2564F"/>
    <w:multiLevelType w:val="hybridMultilevel"/>
    <w:lvl w:ilvl="0">
      <w:lvlJc w:val="left"/>
      <w:lvlText w:val="(%1)"/>
      <w:numFmt w:val="lowerLetter"/>
      <w:start w:val="1"/>
    </w:lvl>
  </w:abstractNum>
  <w:abstractNum w:abstractNumId="131">
    <w:nsid w:val="75509D76"/>
    <w:multiLevelType w:val="hybridMultilevel"/>
    <w:lvl w:ilvl="0">
      <w:lvlJc w:val="left"/>
      <w:lvlText w:val="(%1)"/>
      <w:numFmt w:val="lowerLetter"/>
      <w:start w:val="2"/>
    </w:lvl>
  </w:abstractNum>
  <w:abstractNum w:abstractNumId="132">
    <w:nsid w:val="1AF7F0EA"/>
    <w:multiLevelType w:val="hybridMultilevel"/>
    <w:lvl w:ilvl="0">
      <w:lvlJc w:val="left"/>
      <w:lvlText w:val="(%1)"/>
      <w:numFmt w:val="lowerLetter"/>
      <w:start w:val="1"/>
    </w:lvl>
    <w:lvl w:ilvl="1">
      <w:lvlJc w:val="left"/>
      <w:lvlText w:val="(%2)"/>
      <w:numFmt w:val="lowerRoman"/>
      <w:start w:val="1"/>
    </w:lvl>
  </w:abstractNum>
  <w:abstractNum w:abstractNumId="133">
    <w:nsid w:val="4DA32C7E"/>
    <w:multiLevelType w:val="hybridMultilevel"/>
    <w:lvl w:ilvl="0">
      <w:lvlJc w:val="left"/>
      <w:lvlText w:val="(%1)"/>
      <w:numFmt w:val="lowerLetter"/>
      <w:start w:val="2"/>
    </w:lvl>
  </w:abstractNum>
  <w:abstractNum w:abstractNumId="134">
    <w:nsid w:val="6EC68664"/>
    <w:multiLevelType w:val="hybridMultilevel"/>
    <w:lvl w:ilvl="0">
      <w:lvlJc w:val="left"/>
      <w:lvlText w:val="%1"/>
      <w:numFmt w:val="lowerLetter"/>
      <w:start w:val="1"/>
    </w:lvl>
    <w:lvl w:ilvl="1">
      <w:lvlJc w:val="left"/>
      <w:lvlText w:val="(%2)"/>
      <w:numFmt w:val="lowerRoman"/>
      <w:start w:val="1"/>
    </w:lvl>
  </w:abstractNum>
  <w:abstractNum w:abstractNumId="135">
    <w:nsid w:val="E0D31FF"/>
    <w:multiLevelType w:val="hybridMultilevel"/>
    <w:lvl w:ilvl="0">
      <w:lvlJc w:val="left"/>
      <w:lvlText w:val="(%1)"/>
      <w:numFmt w:val="lowerLetter"/>
      <w:start w:val="5"/>
    </w:lvl>
    <w:lvl w:ilvl="1">
      <w:lvlJc w:val="left"/>
      <w:lvlText w:val="(%2)"/>
      <w:numFmt w:val="lowerRoman"/>
      <w:start w:val="1"/>
    </w:lvl>
  </w:abstractNum>
  <w:abstractNum w:abstractNumId="136">
    <w:nsid w:val="2FD0AD81"/>
    <w:multiLevelType w:val="hybridMultilevel"/>
    <w:lvl w:ilvl="0">
      <w:lvlJc w:val="left"/>
      <w:lvlText w:val="(%1)"/>
      <w:numFmt w:val="lowerLetter"/>
      <w:start w:val="1"/>
    </w:lvl>
  </w:abstractNum>
  <w:abstractNum w:abstractNumId="137">
    <w:nsid w:val="1978EBEB"/>
    <w:multiLevelType w:val="hybridMultilevel"/>
    <w:lvl w:ilvl="0">
      <w:lvlJc w:val="left"/>
      <w:lvlText w:val="(%1)"/>
      <w:numFmt w:val="lowerLetter"/>
      <w:start w:val="1"/>
    </w:lvl>
  </w:abstractNum>
  <w:abstractNum w:abstractNumId="138">
    <w:nsid w:val="52C12C61"/>
    <w:multiLevelType w:val="hybridMultilevel"/>
    <w:lvl w:ilvl="0">
      <w:lvlJc w:val="left"/>
      <w:lvlText w:val="(%1)"/>
      <w:numFmt w:val="lowerLetter"/>
      <w:start w:val="11"/>
    </w:lvl>
  </w:abstractNum>
  <w:abstractNum w:abstractNumId="139">
    <w:nsid w:val="4BDD53FD"/>
    <w:multiLevelType w:val="hybridMultilevel"/>
    <w:lvl w:ilvl="0">
      <w:lvlJc w:val="left"/>
      <w:lvlText w:val="(%1)"/>
      <w:numFmt w:val="lowerLetter"/>
      <w:start w:val="1"/>
    </w:lvl>
  </w:abstractNum>
  <w:abstractNum w:abstractNumId="140">
    <w:nsid w:val="569951FE"/>
    <w:multiLevelType w:val="hybridMultilevel"/>
    <w:lvl w:ilvl="0">
      <w:lvlJc w:val="left"/>
      <w:lvlText w:val="8"/>
      <w:numFmt w:val="bullet"/>
      <w:start w:val="1"/>
    </w:lvl>
  </w:abstractNum>
  <w:abstractNum w:abstractNumId="141">
    <w:nsid w:val="4C54E2C3"/>
    <w:multiLevelType w:val="hybridMultilevel"/>
    <w:lvl w:ilvl="0">
      <w:lvlJc w:val="left"/>
      <w:lvlText w:val="(%1)"/>
      <w:numFmt w:val="lowerLetter"/>
      <w:start w:val="1"/>
    </w:lvl>
  </w:abstractNum>
  <w:abstractNum w:abstractNumId="142">
    <w:nsid w:val="788BD9B"/>
    <w:multiLevelType w:val="hybridMultilevel"/>
    <w:lvl w:ilvl="0">
      <w:lvlJc w:val="left"/>
      <w:lvlText w:val="(%1)"/>
      <w:numFmt w:val="lowerLetter"/>
      <w:start w:val="1"/>
    </w:lvl>
  </w:abstractNum>
  <w:abstractNum w:abstractNumId="143">
    <w:nsid w:val="47CAA567"/>
    <w:multiLevelType w:val="hybridMultilevel"/>
    <w:lvl w:ilvl="0">
      <w:lvlJc w:val="left"/>
      <w:lvlText w:val="(%1)"/>
      <w:numFmt w:val="lowerLetter"/>
      <w:start w:val="2"/>
    </w:lvl>
    <w:lvl w:ilvl="1">
      <w:lvlJc w:val="left"/>
      <w:lvlText w:val="(%2)"/>
      <w:numFmt w:val="lowerRoman"/>
      <w:start w:val="1"/>
    </w:lvl>
  </w:abstractNum>
  <w:abstractNum w:abstractNumId="144">
    <w:nsid w:val="48249DBF"/>
    <w:multiLevelType w:val="hybridMultilevel"/>
    <w:lvl w:ilvl="0">
      <w:lvlJc w:val="left"/>
      <w:lvlText w:val="9"/>
      <w:numFmt w:val="bullet"/>
      <w:start w:val="1"/>
    </w:lvl>
  </w:abstractNum>
  <w:abstractNum w:abstractNumId="145">
    <w:nsid w:val="1F0E5D0D"/>
    <w:multiLevelType w:val="hybridMultilevel"/>
    <w:lvl w:ilvl="0">
      <w:lvlJc w:val="left"/>
      <w:lvlText w:val="(%1)"/>
      <w:numFmt w:val="lowerLetter"/>
      <w:start w:val="1"/>
    </w:lvl>
  </w:abstractNum>
  <w:abstractNum w:abstractNumId="146">
    <w:nsid w:val="26BAAE9"/>
    <w:multiLevelType w:val="hybridMultilevel"/>
    <w:lvl w:ilvl="0">
      <w:lvlJc w:val="left"/>
      <w:lvlText w:val="(%1)"/>
      <w:numFmt w:val="lowerLetter"/>
      <w:start w:val="1"/>
    </w:lvl>
    <w:lvl w:ilvl="1">
      <w:lvlJc w:val="left"/>
      <w:lvlText w:val="(%2)"/>
      <w:numFmt w:val="lowerRoman"/>
      <w:start w:val="1"/>
    </w:lvl>
  </w:abstractNum>
  <w:abstractNum w:abstractNumId="147">
    <w:nsid w:val="2C02FE8C"/>
    <w:multiLevelType w:val="hybridMultilevel"/>
    <w:lvl w:ilvl="0">
      <w:lvlJc w:val="left"/>
      <w:lvlText w:val="(%1)"/>
      <w:numFmt w:val="lowerLetter"/>
      <w:start w:val="1"/>
    </w:lvl>
  </w:abstractNum>
  <w:abstractNum w:abstractNumId="148">
    <w:nsid w:val="129517E"/>
    <w:multiLevelType w:val="hybridMultilevel"/>
    <w:lvl w:ilvl="0">
      <w:lvlJc w:val="left"/>
      <w:lvlText w:val="(%1)"/>
      <w:numFmt w:val="lowerLetter"/>
      <w:start w:val="1"/>
    </w:lvl>
  </w:abstractNum>
  <w:abstractNum w:abstractNumId="149">
    <w:nsid w:val="763B8C4E"/>
    <w:multiLevelType w:val="hybridMultilevel"/>
    <w:lvl w:ilvl="0">
      <w:lvlJc w:val="left"/>
      <w:lvlText w:val="(%1)"/>
      <w:numFmt w:val="lowerLetter"/>
      <w:start w:val="2"/>
    </w:lvl>
  </w:abstractNum>
  <w:abstractNum w:abstractNumId="150">
    <w:nsid w:val="4CFB8D32"/>
    <w:multiLevelType w:val="hybridMultilevel"/>
    <w:lvl w:ilvl="0">
      <w:lvlJc w:val="left"/>
      <w:lvlText w:val="(%1)"/>
      <w:numFmt w:val="lowerLetter"/>
      <w:start w:val="1"/>
    </w:lvl>
  </w:abstractNum>
  <w:abstractNum w:abstractNumId="151">
    <w:nsid w:val="62A5D5BD"/>
    <w:multiLevelType w:val="hybridMultilevel"/>
    <w:lvl w:ilvl="0">
      <w:lvlJc w:val="left"/>
      <w:lvlText w:val="(%1)"/>
      <w:numFmt w:val="lowerLetter"/>
      <w:start w:val="1"/>
    </w:lvl>
  </w:abstractNum>
  <w:abstractNum w:abstractNumId="152">
    <w:nsid w:val="718FABF9"/>
    <w:multiLevelType w:val="hybridMultilevel"/>
    <w:lvl w:ilvl="0">
      <w:lvlJc w:val="left"/>
      <w:lvlText w:val="(%1)"/>
      <w:numFmt w:val="lowerLetter"/>
      <w:start w:val="1"/>
    </w:lvl>
  </w:abstractNum>
  <w:abstractNum w:abstractNumId="153">
    <w:nsid w:val="7775797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4">
    <w:nsid w:val="1626FB8C"/>
    <w:multiLevelType w:val="hybridMultilevel"/>
    <w:lvl w:ilvl="0">
      <w:lvlJc w:val="left"/>
      <w:lvlText w:val="(%1)"/>
      <w:numFmt w:val="lowerRoman"/>
      <w:start w:val="2"/>
    </w:lvl>
  </w:abstractNum>
  <w:abstractNum w:abstractNumId="155">
    <w:nsid w:val="3957756A"/>
    <w:multiLevelType w:val="hybridMultilevel"/>
    <w:lvl w:ilvl="0">
      <w:lvlJc w:val="left"/>
      <w:lvlText w:val="(%1)"/>
      <w:numFmt w:val="lowerLetter"/>
      <w:start w:val="3"/>
    </w:lvl>
  </w:abstractNum>
  <w:abstractNum w:abstractNumId="156">
    <w:nsid w:val="3E6DA1C7"/>
    <w:multiLevelType w:val="hybridMultilevel"/>
    <w:lvl w:ilvl="0">
      <w:lvlJc w:val="left"/>
      <w:lvlText w:val="(%1)"/>
      <w:numFmt w:val="lowerLetter"/>
      <w:start w:val="1"/>
    </w:lvl>
  </w:abstractNum>
  <w:abstractNum w:abstractNumId="157">
    <w:nsid w:val="65CA235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8">
    <w:nsid w:val="51CB0DA4"/>
    <w:multiLevelType w:val="hybridMultilevel"/>
    <w:lvl w:ilvl="0">
      <w:lvlJc w:val="left"/>
      <w:lvlText w:val="(%1)"/>
      <w:numFmt w:val="lowerLetter"/>
      <w:start w:val="4"/>
    </w:lvl>
    <w:lvl w:ilvl="1">
      <w:lvlJc w:val="left"/>
      <w:lvlText w:val="(%2)"/>
      <w:numFmt w:val="lowerRoman"/>
      <w:start w:val="1"/>
    </w:lvl>
  </w:abstractNum>
  <w:abstractNum w:abstractNumId="159">
    <w:nsid w:val="7B9B743C"/>
    <w:multiLevelType w:val="hybridMultilevel"/>
    <w:lvl w:ilvl="0">
      <w:lvlJc w:val="left"/>
      <w:lvlText w:val="%1"/>
      <w:numFmt w:val="lowerLetter"/>
      <w:start w:val="1"/>
    </w:lvl>
    <w:lvl w:ilvl="1">
      <w:lvlJc w:val="left"/>
      <w:lvlText w:val="(%2)"/>
      <w:numFmt w:val="upperLetter"/>
      <w:start w:val="1"/>
    </w:lvl>
  </w:abstractNum>
  <w:abstractNum w:abstractNumId="160">
    <w:nsid w:val="13E21002"/>
    <w:multiLevelType w:val="hybridMultilevel"/>
    <w:lvl w:ilvl="0">
      <w:lvlJc w:val="left"/>
      <w:lvlText w:val="(%1)"/>
      <w:numFmt w:val="lowerLetter"/>
      <w:start w:val="6"/>
    </w:lvl>
    <w:lvl w:ilvl="1">
      <w:lvlJc w:val="left"/>
      <w:lvlText w:val="%2"/>
      <w:numFmt w:val="upperLetter"/>
      <w:start w:val="1"/>
    </w:lvl>
  </w:abstractNum>
  <w:abstractNum w:abstractNumId="161">
    <w:nsid w:val="257D63F4"/>
    <w:multiLevelType w:val="hybridMultilevel"/>
    <w:lvl w:ilvl="0">
      <w:lvlJc w:val="left"/>
      <w:lvlText w:val="(%1)"/>
      <w:numFmt w:val="lowerLetter"/>
      <w:start w:val="1"/>
    </w:lvl>
  </w:abstractNum>
  <w:abstractNum w:abstractNumId="162">
    <w:nsid w:val="70EC11B2"/>
    <w:multiLevelType w:val="hybridMultilevel"/>
    <w:lvl w:ilvl="0">
      <w:lvlJc w:val="left"/>
      <w:lvlText w:val="(%1)"/>
      <w:numFmt w:val="lowerLetter"/>
      <w:start w:val="1"/>
    </w:lvl>
    <w:lvl w:ilvl="1">
      <w:lvlJc w:val="left"/>
      <w:lvlText w:val="(%2)"/>
      <w:numFmt w:val="lowerRoman"/>
      <w:start w:val="1"/>
    </w:lvl>
  </w:abstractNum>
  <w:abstractNum w:abstractNumId="163">
    <w:nsid w:val="2EDA00ED"/>
    <w:multiLevelType w:val="hybridMultilevel"/>
    <w:lvl w:ilvl="0">
      <w:lvlJc w:val="left"/>
      <w:lvlText w:val="(%1)"/>
      <w:numFmt w:val="lowerLetter"/>
      <w:start w:val="1"/>
    </w:lvl>
  </w:abstractNum>
  <w:abstractNum w:abstractNumId="164">
    <w:nsid w:val="73209072"/>
    <w:multiLevelType w:val="hybridMultilevel"/>
    <w:lvl w:ilvl="0">
      <w:lvlJc w:val="left"/>
      <w:lvlText w:val="(%1)"/>
      <w:numFmt w:val="lowerLetter"/>
      <w:start w:val="1"/>
    </w:lvl>
    <w:lvl w:ilvl="1">
      <w:lvlJc w:val="left"/>
      <w:lvlText w:val="(%2)"/>
      <w:numFmt w:val="lowerRoman"/>
      <w:start w:val="1"/>
    </w:lvl>
  </w:abstractNum>
  <w:abstractNum w:abstractNumId="165">
    <w:nsid w:val="5FB29816"/>
    <w:multiLevelType w:val="hybridMultilevel"/>
    <w:lvl w:ilvl="0">
      <w:lvlJc w:val="left"/>
      <w:lvlText w:val="(%1)"/>
      <w:numFmt w:val="lowerLetter"/>
      <w:start w:val="1"/>
    </w:lvl>
  </w:abstractNum>
  <w:abstractNum w:abstractNumId="166">
    <w:nsid w:val="3CE732EC"/>
    <w:multiLevelType w:val="hybridMultilevel"/>
    <w:lvl w:ilvl="0">
      <w:lvlJc w:val="left"/>
      <w:lvlText w:val="(%1)"/>
      <w:numFmt w:val="lowerLetter"/>
      <w:start w:val="1"/>
    </w:lvl>
    <w:lvl w:ilvl="1">
      <w:lvlJc w:val="left"/>
      <w:lvlText w:val="(%2)"/>
      <w:numFmt w:val="lowerRoman"/>
      <w:start w:val="1"/>
    </w:lvl>
  </w:abstractNum>
  <w:abstractNum w:abstractNumId="167">
    <w:nsid w:val="22F13DF3"/>
    <w:multiLevelType w:val="hybridMultilevel"/>
    <w:lvl w:ilvl="0">
      <w:lvlJc w:val="left"/>
      <w:lvlText w:val="(%1)"/>
      <w:numFmt w:val="lowerLetter"/>
      <w:start w:val="1"/>
    </w:lvl>
    <w:lvl w:ilvl="1">
      <w:lvlJc w:val="left"/>
      <w:lvlText w:val="(%2)"/>
      <w:numFmt w:val="lowerRoman"/>
      <w:start w:val="1"/>
    </w:lvl>
  </w:abstractNum>
  <w:abstractNum w:abstractNumId="168">
    <w:nsid w:val="792B8401"/>
    <w:multiLevelType w:val="hybridMultilevel"/>
    <w:lvl w:ilvl="0">
      <w:lvlJc w:val="left"/>
      <w:lvlText w:val="(%1)"/>
      <w:numFmt w:val="lowerLetter"/>
      <w:start w:val="2"/>
    </w:lvl>
  </w:abstractNum>
  <w:abstractNum w:abstractNumId="169">
    <w:nsid w:val="FA85F4D"/>
    <w:multiLevelType w:val="hybridMultilevel"/>
    <w:lvl w:ilvl="0">
      <w:lvlJc w:val="left"/>
      <w:lvlText w:val="(%1)"/>
      <w:numFmt w:val="lowerLetter"/>
      <w:start w:val="1"/>
    </w:lvl>
    <w:lvl w:ilvl="1">
      <w:lvlJc w:val="left"/>
      <w:lvlText w:val="(%2)"/>
      <w:numFmt w:val="lowerRoman"/>
      <w:start w:val="1"/>
    </w:lvl>
  </w:abstractNum>
  <w:abstractNum w:abstractNumId="170">
    <w:nsid w:val="6ECE91F0"/>
    <w:multiLevelType w:val="hybridMultilevel"/>
    <w:lvl w:ilvl="0">
      <w:lvlJc w:val="left"/>
      <w:lvlText w:val="%1"/>
      <w:numFmt w:val="lowerLetter"/>
      <w:start w:val="1"/>
    </w:lvl>
    <w:lvl w:ilvl="1">
      <w:lvlJc w:val="left"/>
      <w:lvlText w:val="(%2)"/>
      <w:numFmt w:val="lowerRoman"/>
      <w:start w:val="4"/>
    </w:lvl>
  </w:abstractNum>
  <w:abstractNum w:abstractNumId="171">
    <w:nsid w:val="4FC4D600"/>
    <w:multiLevelType w:val="hybridMultilevel"/>
    <w:lvl w:ilvl="0">
      <w:lvlJc w:val="left"/>
      <w:lvlText w:val="(%1)"/>
      <w:numFmt w:val="lowerLetter"/>
      <w:start w:val="2"/>
    </w:lvl>
    <w:lvl w:ilvl="1">
      <w:lvlJc w:val="left"/>
      <w:lvlText w:val="%2"/>
      <w:numFmt w:val="lowerRoman"/>
      <w:start w:val="1"/>
    </w:lvl>
  </w:abstractNum>
  <w:abstractNum w:abstractNumId="172">
    <w:nsid w:val="5BFD4210"/>
    <w:multiLevelType w:val="hybridMultilevel"/>
    <w:lvl w:ilvl="0">
      <w:lvlJc w:val="left"/>
      <w:lvlText w:val="(%1)"/>
      <w:numFmt w:val="lowerLetter"/>
      <w:start w:val="1"/>
    </w:lvl>
    <w:lvl w:ilvl="1">
      <w:lvlJc w:val="left"/>
      <w:lvlText w:val="(%2)"/>
      <w:numFmt w:val="lowerRoman"/>
      <w:start w:val="1"/>
    </w:lvl>
  </w:abstractNum>
  <w:abstractNum w:abstractNumId="173">
    <w:nsid w:val="76574F8B"/>
    <w:multiLevelType w:val="hybridMultilevel"/>
    <w:lvl w:ilvl="0">
      <w:lvlJc w:val="left"/>
      <w:lvlText w:val="(%1)"/>
      <w:numFmt w:val="lowerLetter"/>
      <w:start w:val="1"/>
    </w:lvl>
    <w:lvl w:ilvl="1">
      <w:lvlJc w:val="left"/>
      <w:lvlText w:val="(%2)"/>
      <w:numFmt w:val="lowerRoman"/>
      <w:start w:val="1"/>
    </w:lvl>
  </w:abstractNum>
  <w:abstractNum w:abstractNumId="174">
    <w:nsid w:val="178F7B67"/>
    <w:multiLevelType w:val="hybridMultilevel"/>
    <w:lvl w:ilvl="0">
      <w:lvlJc w:val="left"/>
      <w:lvlText w:val="(%1)"/>
      <w:numFmt w:val="lowerLetter"/>
      <w:start w:val="1"/>
    </w:lvl>
  </w:abstractNum>
  <w:abstractNum w:abstractNumId="175">
    <w:nsid w:val="2421DFCF"/>
    <w:multiLevelType w:val="hybridMultilevel"/>
    <w:lvl w:ilvl="0">
      <w:lvlJc w:val="left"/>
      <w:lvlText w:val="(%1)"/>
      <w:numFmt w:val="lowerLetter"/>
      <w:start w:val="1"/>
    </w:lvl>
  </w:abstractNum>
  <w:abstractNum w:abstractNumId="176">
    <w:nsid w:val="1565AC99"/>
    <w:multiLevelType w:val="hybridMultilevel"/>
    <w:lvl w:ilvl="0">
      <w:lvlJc w:val="left"/>
      <w:lvlText w:val="(%1)"/>
      <w:numFmt w:val="lowerLetter"/>
      <w:start w:val="1"/>
    </w:lvl>
  </w:abstractNum>
  <w:abstractNum w:abstractNumId="177">
    <w:nsid w:val="19FB2650"/>
    <w:multiLevelType w:val="hybridMultilevel"/>
    <w:lvl w:ilvl="0">
      <w:lvlJc w:val="left"/>
      <w:lvlText w:val="(%1)"/>
      <w:numFmt w:val="lowerLetter"/>
      <w:start w:val="2"/>
    </w:lvl>
  </w:abstractNum>
  <w:abstractNum w:abstractNumId="178">
    <w:nsid w:val="5024DE5B"/>
    <w:multiLevelType w:val="hybridMultilevel"/>
    <w:lvl w:ilvl="0">
      <w:lvlJc w:val="left"/>
      <w:lvlText w:val="(%1)"/>
      <w:numFmt w:val="lowerLetter"/>
      <w:start w:val="1"/>
    </w:lvl>
  </w:abstractNum>
  <w:abstractNum w:abstractNumId="179">
    <w:nsid w:val="168EFE17"/>
    <w:multiLevelType w:val="hybridMultilevel"/>
    <w:lvl w:ilvl="0">
      <w:lvlJc w:val="left"/>
      <w:lvlText w:val="(%1)"/>
      <w:numFmt w:val="lowerLetter"/>
      <w:start w:val="1"/>
    </w:lvl>
  </w:abstractNum>
  <w:abstractNum w:abstractNumId="180">
    <w:nsid w:val="1036B29F"/>
    <w:multiLevelType w:val="hybridMultilevel"/>
    <w:lvl w:ilvl="0">
      <w:lvlJc w:val="left"/>
      <w:lvlText w:val="(%1)"/>
      <w:numFmt w:val="lowerRoman"/>
      <w:start w:val="1"/>
    </w:lvl>
  </w:abstractNum>
  <w:abstractNum w:abstractNumId="181">
    <w:nsid w:val="1D206B8E"/>
    <w:multiLevelType w:val="hybridMultilevel"/>
    <w:lvl w:ilvl="0">
      <w:lvlJc w:val="left"/>
      <w:lvlText w:val="(%1)"/>
      <w:numFmt w:val="upperLetter"/>
      <w:start w:val="2"/>
    </w:lvl>
  </w:abstractNum>
  <w:abstractNum w:abstractNumId="182">
    <w:nsid w:val="7934D3D4"/>
    <w:multiLevelType w:val="hybridMultilevel"/>
    <w:lvl w:ilvl="0">
      <w:lvlJc w:val="left"/>
      <w:lvlText w:val="(%1)"/>
      <w:numFmt w:val="lowerRoman"/>
      <w:start w:val="2"/>
    </w:lvl>
    <w:lvl w:ilvl="1">
      <w:lvlJc w:val="left"/>
      <w:lvlText w:val="(%2)"/>
      <w:numFmt w:val="decimal"/>
      <w:start w:val="1"/>
    </w:lvl>
  </w:abstractNum>
  <w:abstractNum w:abstractNumId="183">
    <w:nsid w:val="1C65E98"/>
    <w:multiLevelType w:val="hybridMultilevel"/>
    <w:lvl w:ilvl="0">
      <w:lvlJc w:val="left"/>
      <w:lvlText w:val="(%1)"/>
      <w:numFmt w:val="lowerLetter"/>
      <w:start w:val="1"/>
    </w:lvl>
  </w:abstractNum>
  <w:abstractNum w:abstractNumId="184">
    <w:nsid w:val="1495E50A"/>
    <w:multiLevelType w:val="hybridMultilevel"/>
    <w:lvl w:ilvl="0">
      <w:lvlJc w:val="left"/>
      <w:lvlText w:val="(%1)"/>
      <w:numFmt w:val="lowerRoman"/>
      <w:start w:val="1"/>
    </w:lvl>
  </w:abstractNum>
  <w:abstractNum w:abstractNumId="185">
    <w:nsid w:val="F5BCF61"/>
    <w:multiLevelType w:val="hybridMultilevel"/>
    <w:lvl w:ilvl="0">
      <w:lvlJc w:val="left"/>
      <w:lvlText w:val="(%1)"/>
      <w:numFmt w:val="lowerLetter"/>
      <w:start w:val="1"/>
    </w:lvl>
  </w:abstractNum>
  <w:abstractNum w:abstractNumId="186">
    <w:nsid w:val="3B1DD403"/>
    <w:multiLevelType w:val="hybridMultilevel"/>
    <w:lvl w:ilvl="0">
      <w:lvlJc w:val="left"/>
      <w:lvlText w:val="(%1)"/>
      <w:numFmt w:val="lowerLetter"/>
      <w:start w:val="1"/>
    </w:lvl>
  </w:abstractNum>
  <w:abstractNum w:abstractNumId="187">
    <w:nsid w:val="530386D1"/>
    <w:multiLevelType w:val="hybridMultilevel"/>
    <w:lvl w:ilvl="0">
      <w:lvlJc w:val="left"/>
      <w:lvlText w:val="(%1)"/>
      <w:numFmt w:val="lowerLetter"/>
      <w:start w:val="1"/>
    </w:lvl>
  </w:abstractNum>
  <w:abstractNum w:abstractNumId="188">
    <w:nsid w:val="7525F2BC"/>
    <w:multiLevelType w:val="hybridMultilevel"/>
    <w:lvl w:ilvl="0">
      <w:lvlJc w:val="left"/>
      <w:lvlText w:val="(%1)"/>
      <w:numFmt w:val="lowerLetter"/>
      <w:start w:val="2"/>
    </w:lvl>
    <w:lvl w:ilvl="1">
      <w:lvlJc w:val="left"/>
      <w:lvlText w:val="(%2)"/>
      <w:numFmt w:val="lowerRoman"/>
      <w:start w:val="1"/>
    </w:lvl>
  </w:abstractNum>
  <w:abstractNum w:abstractNumId="189">
    <w:nsid w:val="CE8E1A7"/>
    <w:multiLevelType w:val="hybridMultilevel"/>
    <w:lvl w:ilvl="0">
      <w:lvlJc w:val="left"/>
      <w:lvlText w:val="(%1)"/>
      <w:numFmt w:val="lowerLetter"/>
      <w:start w:val="1"/>
    </w:lvl>
    <w:lvl w:ilvl="1">
      <w:lvlJc w:val="left"/>
      <w:lvlText w:val="(%2)"/>
      <w:numFmt w:val="lowerRoman"/>
      <w:start w:val="1"/>
    </w:lvl>
  </w:abstractNum>
  <w:abstractNum w:abstractNumId="190">
    <w:nsid w:val="4E9EFB0D"/>
    <w:multiLevelType w:val="hybridMultilevel"/>
    <w:lvl w:ilvl="0">
      <w:lvlJc w:val="left"/>
      <w:lvlText w:val="(%1)"/>
      <w:numFmt w:val="lowerLetter"/>
      <w:start w:val="1"/>
    </w:lvl>
  </w:abstractNum>
  <w:abstractNum w:abstractNumId="191">
    <w:nsid w:val="90802BE"/>
    <w:multiLevelType w:val="hybridMultilevel"/>
    <w:lvl w:ilvl="0">
      <w:lvlJc w:val="left"/>
      <w:lvlText w:val="(%1)"/>
      <w:numFmt w:val="lowerLetter"/>
      <w:start w:val="1"/>
    </w:lvl>
  </w:abstractNum>
  <w:abstractNum w:abstractNumId="192">
    <w:nsid w:val="3266459B"/>
    <w:multiLevelType w:val="hybridMultilevel"/>
    <w:lvl w:ilvl="0">
      <w:lvlJc w:val="left"/>
      <w:lvlText w:val="(%1)"/>
      <w:numFmt w:val="lowerLetter"/>
      <w:start w:val="1"/>
    </w:lvl>
  </w:abstractNum>
  <w:abstractNum w:abstractNumId="193">
    <w:nsid w:val="3F8B0CBF"/>
    <w:multiLevelType w:val="hybridMultilevel"/>
    <w:lvl w:ilvl="0">
      <w:lvlJc w:val="left"/>
      <w:lvlText w:val="(%1)"/>
      <w:numFmt w:val="lowerLetter"/>
      <w:start w:val="1"/>
    </w:lvl>
    <w:lvl w:ilvl="1">
      <w:lvlJc w:val="left"/>
      <w:lvlText w:val="(%2)"/>
      <w:numFmt w:val="lowerRoman"/>
      <w:start w:val="1"/>
    </w:lvl>
  </w:abstractNum>
  <w:abstractNum w:abstractNumId="194">
    <w:nsid w:val="37E203AB"/>
    <w:multiLevelType w:val="hybridMultilevel"/>
    <w:lvl w:ilvl="0">
      <w:lvlJc w:val="left"/>
      <w:lvlText w:val="(%1)"/>
      <w:numFmt w:val="lowerLetter"/>
      <w:start w:val="2"/>
    </w:lvl>
  </w:abstractNum>
  <w:abstractNum w:abstractNumId="195">
    <w:nsid w:val="2586D60E"/>
    <w:multiLevelType w:val="hybridMultilevel"/>
    <w:lvl w:ilvl="0">
      <w:lvlJc w:val="left"/>
      <w:lvlText w:val="(%1)"/>
      <w:numFmt w:val="lowerLetter"/>
      <w:start w:val="1"/>
    </w:lvl>
  </w:abstractNum>
  <w:abstractNum w:abstractNumId="196">
    <w:nsid w:val="1F3DA4D5"/>
    <w:multiLevelType w:val="hybridMultilevel"/>
    <w:lvl w:ilvl="0">
      <w:lvlJc w:val="left"/>
      <w:lvlText w:val="(%1)"/>
      <w:numFmt w:val="lowerLetter"/>
      <w:start w:val="1"/>
    </w:lvl>
  </w:abstractNum>
  <w:abstractNum w:abstractNumId="197">
    <w:nsid w:val="74C93698"/>
    <w:multiLevelType w:val="hybridMultilevel"/>
    <w:lvl w:ilvl="0">
      <w:lvlJc w:val="left"/>
      <w:lvlText w:val="(%1)"/>
      <w:numFmt w:val="lowerLetter"/>
      <w:start w:val="1"/>
    </w:lvl>
  </w:abstractNum>
  <w:abstractNum w:abstractNumId="198">
    <w:nsid w:val="48781401"/>
    <w:multiLevelType w:val="hybridMultilevel"/>
    <w:lvl w:ilvl="0">
      <w:lvlJc w:val="left"/>
      <w:lvlText w:val="(%1)"/>
      <w:numFmt w:val="lowerLetter"/>
      <w:start w:val="2"/>
    </w:lvl>
  </w:abstractNum>
  <w:abstractNum w:abstractNumId="199">
    <w:nsid w:val="186928D6"/>
    <w:multiLevelType w:val="hybridMultilevel"/>
    <w:lvl w:ilvl="0">
      <w:lvlJc w:val="left"/>
      <w:lvlText w:val="(%1)"/>
      <w:numFmt w:val="lowerLetter"/>
      <w:start w:val="1"/>
    </w:lvl>
  </w:abstractNum>
  <w:abstractNum w:abstractNumId="200">
    <w:nsid w:val="47195E5"/>
    <w:multiLevelType w:val="hybridMultilevel"/>
    <w:lvl w:ilvl="0">
      <w:lvlJc w:val="left"/>
      <w:lvlText w:val="(%1)"/>
      <w:numFmt w:val="lowerLetter"/>
      <w:start w:val="2"/>
    </w:lvl>
  </w:abstractNum>
  <w:abstractNum w:abstractNumId="201">
    <w:nsid w:val="3746A5F2"/>
    <w:multiLevelType w:val="hybridMultilevel"/>
    <w:lvl w:ilvl="0">
      <w:lvlJc w:val="left"/>
      <w:lvlText w:val="(%1)"/>
      <w:numFmt w:val="lowerLetter"/>
      <w:start w:val="1"/>
    </w:lvl>
  </w:abstractNum>
  <w:abstractNum w:abstractNumId="202">
    <w:nsid w:val="682DFED6"/>
    <w:multiLevelType w:val="hybridMultilevel"/>
    <w:lvl w:ilvl="0">
      <w:lvlJc w:val="left"/>
      <w:lvlText w:val="(%1)"/>
      <w:numFmt w:val="lowerLetter"/>
      <w:start w:val="1"/>
    </w:lvl>
  </w:abstractNum>
  <w:abstractNum w:abstractNumId="203">
    <w:nsid w:val="606ED7F6"/>
    <w:multiLevelType w:val="hybridMultilevel"/>
    <w:lvl w:ilvl="0">
      <w:lvlJc w:val="left"/>
      <w:lvlText w:val="(%1)"/>
      <w:numFmt w:val="lowerLetter"/>
      <w:start w:val="1"/>
    </w:lvl>
  </w:abstractNum>
  <w:abstractNum w:abstractNumId="204">
    <w:nsid w:val="2D9DF57D"/>
    <w:multiLevelType w:val="hybridMultilevel"/>
    <w:lvl w:ilvl="0">
      <w:lvlJc w:val="left"/>
      <w:lvlText w:val="(%1)"/>
      <w:numFmt w:val="lowerLetter"/>
      <w:start w:val="1"/>
    </w:lvl>
  </w:abstractNum>
  <w:abstractNum w:abstractNumId="205">
    <w:nsid w:val="7FBD7A3E"/>
    <w:multiLevelType w:val="hybridMultilevel"/>
    <w:lvl w:ilvl="0">
      <w:lvlJc w:val="left"/>
      <w:lvlText w:val="(%1)"/>
      <w:numFmt w:val="lowerLetter"/>
      <w:start w:val="1"/>
    </w:lvl>
    <w:lvl w:ilvl="1">
      <w:lvlJc w:val="left"/>
      <w:lvlText w:val="(%2)"/>
      <w:numFmt w:val="lowerRoman"/>
      <w:start w:val="1"/>
    </w:lvl>
  </w:abstractNum>
  <w:abstractNum w:abstractNumId="206">
    <w:nsid w:val="490B7C5"/>
    <w:multiLevelType w:val="hybridMultilevel"/>
    <w:lvl w:ilvl="0">
      <w:lvlJc w:val="left"/>
      <w:lvlText w:val="(%1)"/>
      <w:numFmt w:val="lowerLetter"/>
      <w:start w:val="1"/>
    </w:lvl>
    <w:lvl w:ilvl="1">
      <w:lvlJc w:val="left"/>
      <w:lvlText w:val="(%2)"/>
      <w:numFmt w:val="lowerRoman"/>
      <w:start w:val="1"/>
    </w:lvl>
  </w:abstractNum>
  <w:abstractNum w:abstractNumId="207">
    <w:nsid w:val="4303A216"/>
    <w:multiLevelType w:val="hybridMultilevel"/>
    <w:lvl w:ilvl="0">
      <w:lvlJc w:val="left"/>
      <w:lvlText w:val="(%1)"/>
      <w:numFmt w:val="lowerLetter"/>
      <w:start w:val="2"/>
    </w:lvl>
  </w:abstractNum>
  <w:abstractNum w:abstractNumId="208">
    <w:nsid w:val="19B8A08E"/>
    <w:multiLevelType w:val="hybridMultilevel"/>
    <w:lvl w:ilvl="0">
      <w:lvlJc w:val="left"/>
      <w:lvlText w:val="(%1)"/>
      <w:numFmt w:val="lowerLetter"/>
      <w:start w:val="1"/>
    </w:lvl>
  </w:abstractNum>
  <w:abstractNum w:abstractNumId="209">
    <w:nsid w:val="54B59621"/>
    <w:multiLevelType w:val="hybridMultilevel"/>
    <w:lvl w:ilvl="0">
      <w:lvlJc w:val="left"/>
      <w:lvlText w:val="(%1)"/>
      <w:numFmt w:val="lowerLetter"/>
      <w:start w:val="1"/>
    </w:lvl>
  </w:abstractNum>
  <w:abstractNum w:abstractNumId="210">
    <w:nsid w:val="5992A02E"/>
    <w:multiLevelType w:val="hybridMultilevel"/>
    <w:lvl w:ilvl="0">
      <w:lvlJc w:val="left"/>
      <w:lvlText w:val="(%1)"/>
      <w:numFmt w:val="lowerLetter"/>
      <w:start w:val="1"/>
    </w:lvl>
    <w:lvl w:ilvl="1">
      <w:lvlJc w:val="left"/>
      <w:lvlText w:val="(%2)"/>
      <w:numFmt w:val="lowerRoman"/>
      <w:start w:val="1"/>
    </w:lvl>
  </w:abstractNum>
  <w:abstractNum w:abstractNumId="211">
    <w:nsid w:val="29EF532D"/>
    <w:multiLevelType w:val="hybridMultilevel"/>
    <w:lvl w:ilvl="0">
      <w:lvlJc w:val="left"/>
      <w:lvlText w:val="(%1)"/>
      <w:numFmt w:val="lowerLetter"/>
      <w:start w:val="1"/>
    </w:lvl>
  </w:abstractNum>
  <w:abstractNum w:abstractNumId="212">
    <w:nsid w:val="71D601AF"/>
    <w:multiLevelType w:val="hybridMultilevel"/>
    <w:lvl w:ilvl="0">
      <w:lvlJc w:val="left"/>
      <w:lvlText w:val="%1"/>
      <w:numFmt w:val="decimal"/>
      <w:start w:val="19"/>
    </w:lvl>
  </w:abstractNum>
  <w:abstractNum w:abstractNumId="213">
    <w:nsid w:val="52C77402"/>
    <w:multiLevelType w:val="hybridMultilevel"/>
    <w:lvl w:ilvl="0">
      <w:lvlJc w:val="left"/>
      <w:lvlText w:val="(%1)"/>
      <w:numFmt w:val="lowerLetter"/>
      <w:start w:val="1"/>
    </w:lvl>
    <w:lvl w:ilvl="1">
      <w:lvlJc w:val="left"/>
      <w:lvlText w:val="(%2)"/>
      <w:numFmt w:val="lowerRoman"/>
      <w:start w:val="1"/>
    </w:lvl>
  </w:abstractNum>
  <w:abstractNum w:abstractNumId="214">
    <w:nsid w:val="2BB5B1C6"/>
    <w:multiLevelType w:val="hybridMultilevel"/>
    <w:lvl w:ilvl="0">
      <w:lvlJc w:val="left"/>
      <w:lvlText w:val="(%1)"/>
      <w:numFmt w:val="lowerLetter"/>
      <w:start w:val="1"/>
    </w:lvl>
    <w:lvl w:ilvl="1">
      <w:lvlJc w:val="left"/>
      <w:lvlText w:val="(%2)"/>
      <w:numFmt w:val="lowerRoman"/>
      <w:start w:val="1"/>
    </w:lvl>
  </w:abstractNum>
  <w:abstractNum w:abstractNumId="215">
    <w:nsid w:val="66BE6B9"/>
    <w:multiLevelType w:val="hybridMultilevel"/>
    <w:lvl w:ilvl="0">
      <w:lvlJc w:val="left"/>
      <w:lvlText w:val="(%1)"/>
      <w:numFmt w:val="lowerLetter"/>
      <w:start w:val="1"/>
    </w:lvl>
    <w:lvl w:ilvl="1">
      <w:lvlJc w:val="left"/>
      <w:lvlText w:val="(%2)"/>
      <w:numFmt w:val="lowerRoman"/>
      <w:start w:val="1"/>
    </w:lvl>
  </w:abstractNum>
  <w:abstractNum w:abstractNumId="216">
    <w:nsid w:val="62234363"/>
    <w:multiLevelType w:val="hybridMultilevel"/>
    <w:lvl w:ilvl="0">
      <w:lvlJc w:val="left"/>
      <w:lvlText w:val="%1"/>
      <w:numFmt w:val="lowerLetter"/>
      <w:start w:val="1"/>
    </w:lvl>
    <w:lvl w:ilvl="1">
      <w:lvlJc w:val="left"/>
      <w:lvlText w:val="(%2)"/>
      <w:numFmt w:val="lowerLetter"/>
      <w:start w:val="61"/>
    </w:lvl>
  </w:abstractNum>
  <w:abstractNum w:abstractNumId="217">
    <w:nsid w:val="66D385C9"/>
    <w:multiLevelType w:val="hybridMultilevel"/>
    <w:lvl w:ilvl="0">
      <w:lvlJc w:val="left"/>
      <w:lvlText w:val="(%1)"/>
      <w:numFmt w:val="lowerLetter"/>
      <w:start w:val="3"/>
    </w:lvl>
    <w:lvl w:ilvl="1">
      <w:lvlJc w:val="left"/>
      <w:lvlText w:val="(%2)"/>
      <w:numFmt w:val="lowerLetter"/>
      <w:start w:val="9"/>
    </w:lvl>
  </w:abstractNum>
  <w:abstractNum w:abstractNumId="218">
    <w:nsid w:val="596F6D8A"/>
    <w:multiLevelType w:val="hybridMultilevel"/>
    <w:lvl w:ilvl="0">
      <w:lvlJc w:val="left"/>
      <w:lvlText w:val="(%1)"/>
      <w:numFmt w:val="lowerRoman"/>
      <w:start w:val="2"/>
    </w:lvl>
  </w:abstractNum>
  <w:abstractNum w:abstractNumId="219">
    <w:nsid w:val="5749361F"/>
    <w:multiLevelType w:val="hybridMultilevel"/>
    <w:lvl w:ilvl="0">
      <w:lvlJc w:val="left"/>
      <w:lvlText w:val="(%1)"/>
      <w:numFmt w:val="lowerLetter"/>
      <w:start w:val="1"/>
    </w:lvl>
  </w:abstractNum>
  <w:abstractNum w:abstractNumId="220">
    <w:nsid w:val="73BC6770"/>
    <w:multiLevelType w:val="hybridMultilevel"/>
    <w:lvl w:ilvl="0">
      <w:lvlJc w:val="left"/>
      <w:lvlText w:val="(%1)"/>
      <w:numFmt w:val="lowerLetter"/>
      <w:start w:val="1"/>
    </w:lvl>
  </w:abstractNum>
  <w:abstractNum w:abstractNumId="221">
    <w:nsid w:val="280E6897"/>
    <w:multiLevelType w:val="hybridMultilevel"/>
    <w:lvl w:ilvl="0">
      <w:lvlJc w:val="left"/>
      <w:lvlText w:val="(%1)"/>
      <w:numFmt w:val="lowerLetter"/>
      <w:start w:val="1"/>
    </w:lvl>
    <w:lvl w:ilvl="1">
      <w:lvlJc w:val="left"/>
      <w:lvlText w:val="(%2)"/>
      <w:numFmt w:val="lowerRoman"/>
      <w:start w:val="1"/>
    </w:lvl>
  </w:abstractNum>
  <w:abstractNum w:abstractNumId="222">
    <w:nsid w:val="605138DE"/>
    <w:multiLevelType w:val="hybridMultilevel"/>
    <w:lvl w:ilvl="0">
      <w:lvlJc w:val="left"/>
      <w:lvlText w:val="(%1)"/>
      <w:numFmt w:val="lowerLetter"/>
      <w:start w:val="2"/>
    </w:lvl>
    <w:lvl w:ilvl="1">
      <w:lvlJc w:val="left"/>
      <w:lvlText w:val="(%2)"/>
      <w:numFmt w:val="lowerRoman"/>
      <w:start w:val="1"/>
    </w:lvl>
  </w:abstractNum>
  <w:abstractNum w:abstractNumId="223">
    <w:nsid w:val="2622AD0C"/>
    <w:multiLevelType w:val="hybridMultilevel"/>
    <w:lvl w:ilvl="0">
      <w:lvlJc w:val="left"/>
      <w:lvlText w:val="(%1)"/>
      <w:numFmt w:val="lowerLetter"/>
      <w:start w:val="4"/>
    </w:lvl>
  </w:abstractNum>
  <w:abstractNum w:abstractNumId="224">
    <w:nsid w:val="67997556"/>
    <w:multiLevelType w:val="hybridMultilevel"/>
    <w:lvl w:ilvl="0">
      <w:lvlJc w:val="left"/>
      <w:lvlText w:val="(%1)"/>
      <w:numFmt w:val="lowerLetter"/>
      <w:start w:val="1"/>
    </w:lvl>
    <w:lvl w:ilvl="1">
      <w:lvlJc w:val="left"/>
      <w:lvlText w:val="(%2)"/>
      <w:numFmt w:val="lowerRoman"/>
      <w:start w:val="1"/>
    </w:lvl>
  </w:abstractNum>
  <w:abstractNum w:abstractNumId="225">
    <w:nsid w:val="18333C89"/>
    <w:multiLevelType w:val="hybridMultilevel"/>
    <w:lvl w:ilvl="0">
      <w:lvlJc w:val="left"/>
      <w:lvlText w:val="(%1)"/>
      <w:numFmt w:val="lowerLetter"/>
      <w:start w:val="2"/>
    </w:lvl>
  </w:abstractNum>
  <w:abstractNum w:abstractNumId="226">
    <w:nsid w:val="4BA9831A"/>
    <w:multiLevelType w:val="hybridMultilevel"/>
    <w:lvl w:ilvl="0">
      <w:lvlJc w:val="left"/>
      <w:lvlText w:val="(%1)"/>
      <w:numFmt w:val="lowerLetter"/>
      <w:start w:val="1"/>
    </w:lvl>
  </w:abstractNum>
  <w:abstractNum w:abstractNumId="227">
    <w:nsid w:val="6D71A2B"/>
    <w:multiLevelType w:val="hybridMultilevel"/>
    <w:lvl w:ilvl="0">
      <w:lvlJc w:val="left"/>
      <w:lvlText w:val="(%1)"/>
      <w:numFmt w:val="lowerLetter"/>
      <w:start w:val="1"/>
    </w:lvl>
  </w:abstractNum>
  <w:abstractNum w:abstractNumId="228">
    <w:nsid w:val="CFC7321"/>
    <w:multiLevelType w:val="hybridMultilevel"/>
    <w:lvl w:ilvl="0">
      <w:lvlJc w:val="left"/>
      <w:lvlText w:val="(%1)"/>
      <w:numFmt w:val="lowerLetter"/>
      <w:start w:val="1"/>
    </w:lvl>
  </w:abstractNum>
  <w:abstractNum w:abstractNumId="229">
    <w:nsid w:val="1421971B"/>
    <w:multiLevelType w:val="hybridMultilevel"/>
    <w:lvl w:ilvl="0">
      <w:lvlJc w:val="left"/>
      <w:lvlText w:val="(%1)"/>
      <w:numFmt w:val="lowerLetter"/>
      <w:start w:val="1"/>
    </w:lvl>
  </w:abstractNum>
  <w:abstractNum w:abstractNumId="230">
    <w:nsid w:val="1F404301"/>
    <w:multiLevelType w:val="hybridMultilevel"/>
    <w:lvl w:ilvl="0">
      <w:lvlJc w:val="left"/>
      <w:lvlText w:val="(%1)"/>
      <w:numFmt w:val="lowerLetter"/>
      <w:start w:val="1"/>
    </w:lvl>
  </w:abstractNum>
  <w:abstractNum w:abstractNumId="231">
    <w:nsid w:val="116E0907"/>
    <w:multiLevelType w:val="hybridMultilevel"/>
    <w:lvl w:ilvl="0">
      <w:lvlJc w:val="left"/>
      <w:lvlText w:val="(%1)"/>
      <w:numFmt w:val="lowerLetter"/>
      <w:start w:val="1"/>
    </w:lvl>
  </w:abstractNum>
  <w:abstractNum w:abstractNumId="232">
    <w:nsid w:val="4B683D0D"/>
    <w:multiLevelType w:val="hybridMultilevel"/>
    <w:lvl w:ilvl="0">
      <w:lvlJc w:val="left"/>
      <w:lvlText w:val="(%1)"/>
      <w:numFmt w:val="lowerLetter"/>
      <w:start w:val="1"/>
    </w:lvl>
  </w:abstractNum>
  <w:abstractNum w:abstractNumId="233">
    <w:nsid w:val="76E41D8"/>
    <w:multiLevelType w:val="hybridMultilevel"/>
    <w:lvl w:ilvl="0">
      <w:lvlJc w:val="left"/>
      <w:lvlText w:val="(%1)"/>
      <w:numFmt w:val="lowerRoman"/>
      <w:start w:val="1"/>
    </w:lvl>
  </w:abstractNum>
  <w:abstractNum w:abstractNumId="234">
    <w:nsid w:val="71DCE0FD"/>
    <w:multiLevelType w:val="hybridMultilevel"/>
    <w:lvl w:ilvl="0">
      <w:lvlJc w:val="left"/>
      <w:lvlText w:val="(%1)"/>
      <w:numFmt w:val="lowerLetter"/>
      <w:start w:val="1"/>
    </w:lvl>
    <w:lvl w:ilvl="1">
      <w:lvlJc w:val="left"/>
      <w:lvlText w:val="(%2)"/>
      <w:numFmt w:val="lowerRoman"/>
      <w:start w:val="1"/>
    </w:lvl>
  </w:abstractNum>
  <w:abstractNum w:abstractNumId="235">
    <w:nsid w:val="7906328B"/>
    <w:multiLevelType w:val="hybridMultilevel"/>
    <w:lvl w:ilvl="0">
      <w:lvlJc w:val="left"/>
      <w:lvlText w:val="(%1)"/>
      <w:numFmt w:val="lowerLetter"/>
      <w:start w:val="1"/>
    </w:lvl>
    <w:lvl w:ilvl="1">
      <w:lvlJc w:val="left"/>
      <w:lvlText w:val="(%2)"/>
      <w:numFmt w:val="lowerRoman"/>
      <w:start w:val="1"/>
    </w:lvl>
  </w:abstractNum>
  <w:abstractNum w:abstractNumId="236">
    <w:nsid w:val="72BBC16"/>
    <w:multiLevelType w:val="hybridMultilevel"/>
    <w:lvl w:ilvl="0">
      <w:lvlJc w:val="left"/>
      <w:lvlText w:val="%1"/>
      <w:numFmt w:val="lowerLetter"/>
      <w:start w:val="1"/>
    </w:lvl>
    <w:lvl w:ilvl="1">
      <w:lvlJc w:val="left"/>
      <w:lvlText w:val="(%2)"/>
      <w:numFmt w:val="lowerRoman"/>
      <w:start w:val="2"/>
    </w:lvl>
  </w:abstractNum>
  <w:abstractNum w:abstractNumId="237">
    <w:nsid w:val="766D98C2"/>
    <w:multiLevelType w:val="hybridMultilevel"/>
    <w:lvl w:ilvl="0">
      <w:lvlJc w:val="left"/>
      <w:lvlText w:val="(%1)"/>
      <w:numFmt w:val="lowerLetter"/>
      <w:start w:val="2"/>
    </w:lvl>
    <w:lvl w:ilvl="1">
      <w:lvlJc w:val="left"/>
      <w:lvlText w:val="%2"/>
      <w:numFmt w:val="lowerRoman"/>
      <w:start w:val="1"/>
    </w:lvl>
  </w:abstractNum>
  <w:abstractNum w:abstractNumId="238">
    <w:nsid w:val="3C09D4A1"/>
    <w:multiLevelType w:val="hybridMultilevel"/>
    <w:lvl w:ilvl="0">
      <w:lvlJc w:val="left"/>
      <w:lvlText w:val="(%1)"/>
      <w:numFmt w:val="lowerLetter"/>
      <w:start w:val="1"/>
    </w:lvl>
  </w:abstractNum>
  <w:abstractNum w:abstractNumId="239">
    <w:nsid w:val="20E45CA4"/>
    <w:multiLevelType w:val="hybridMultilevel"/>
    <w:lvl w:ilvl="0">
      <w:lvlJc w:val="left"/>
      <w:lvlText w:val="(%1)"/>
      <w:numFmt w:val="lowerLetter"/>
      <w:start w:val="1"/>
    </w:lvl>
  </w:abstractNum>
  <w:abstractNum w:abstractNumId="240">
    <w:nsid w:val="4B232EE3"/>
    <w:multiLevelType w:val="hybridMultilevel"/>
    <w:lvl w:ilvl="0">
      <w:lvlJc w:val="left"/>
      <w:lvlText w:val="(%1)"/>
      <w:numFmt w:val="lowerLetter"/>
      <w:start w:val="1"/>
    </w:lvl>
  </w:abstractNum>
  <w:abstractNum w:abstractNumId="241">
    <w:nsid w:val="159C74CF"/>
    <w:multiLevelType w:val="hybridMultilevel"/>
    <w:lvl w:ilvl="0">
      <w:lvlJc w:val="left"/>
      <w:lvlText w:val="(%1)"/>
      <w:numFmt w:val="lowerLetter"/>
      <w:start w:val="2"/>
    </w:lvl>
    <w:lvl w:ilvl="1">
      <w:lvlJc w:val="left"/>
      <w:lvlText w:val="(%2)"/>
      <w:numFmt w:val="lowerRoman"/>
      <w:start w:val="1"/>
    </w:lvl>
  </w:abstractNum>
  <w:abstractNum w:abstractNumId="242">
    <w:nsid w:val="4AD3AFD2"/>
    <w:multiLevelType w:val="hybridMultilevel"/>
    <w:lvl w:ilvl="0">
      <w:lvlJc w:val="left"/>
      <w:lvlText w:val="(%1)"/>
      <w:numFmt w:val="lowerLetter"/>
      <w:start w:val="1"/>
    </w:lvl>
  </w:abstractNum>
  <w:abstractNum w:abstractNumId="243">
    <w:nsid w:val="3CF93092"/>
    <w:multiLevelType w:val="hybridMultilevel"/>
    <w:lvl w:ilvl="0">
      <w:lvlJc w:val="left"/>
      <w:lvlText w:val="(%1)"/>
      <w:numFmt w:val="lowerLetter"/>
      <w:start w:val="4"/>
    </w:lvl>
  </w:abstractNum>
  <w:abstractNum w:abstractNumId="244">
    <w:nsid w:val="6863E8D2"/>
    <w:multiLevelType w:val="hybridMultilevel"/>
    <w:lvl w:ilvl="0">
      <w:lvlJc w:val="left"/>
      <w:lvlText w:val="(%1)"/>
      <w:numFmt w:val="lowerLetter"/>
      <w:start w:val="1"/>
    </w:lvl>
  </w:abstractNum>
  <w:abstractNum w:abstractNumId="245">
    <w:nsid w:val="76896198"/>
    <w:multiLevelType w:val="hybridMultilevel"/>
    <w:lvl w:ilvl="0">
      <w:lvlJc w:val="left"/>
      <w:lvlText w:val="(%1)"/>
      <w:numFmt w:val="lowerLetter"/>
      <w:start w:val="1"/>
    </w:lvl>
    <w:lvl w:ilvl="1">
      <w:lvlJc w:val="left"/>
      <w:lvlText w:val="(%2)"/>
      <w:numFmt w:val="lowerRoman"/>
      <w:start w:val="1"/>
    </w:lvl>
  </w:abstractNum>
  <w:abstractNum w:abstractNumId="246">
    <w:nsid w:val="4365174B"/>
    <w:multiLevelType w:val="hybridMultilevel"/>
    <w:lvl w:ilvl="0">
      <w:lvlJc w:val="left"/>
      <w:lvlText w:val="(%1)"/>
      <w:numFmt w:val="lowerLetter"/>
      <w:start w:val="1"/>
    </w:lvl>
  </w:abstractNum>
  <w:abstractNum w:abstractNumId="247">
    <w:nsid w:val="4A872C35"/>
    <w:multiLevelType w:val="hybridMultilevel"/>
    <w:lvl w:ilvl="0">
      <w:lvlJc w:val="left"/>
      <w:lvlText w:val="%1"/>
      <w:numFmt w:val="decimal"/>
      <w:start w:val="22"/>
    </w:lvl>
  </w:abstractNum>
  <w:abstractNum w:abstractNumId="248">
    <w:nsid w:val="5D5CE761"/>
    <w:multiLevelType w:val="hybridMultilevel"/>
    <w:lvl w:ilvl="0">
      <w:lvlJc w:val="left"/>
      <w:lvlText w:val="(%1)"/>
      <w:numFmt w:val="lowerLetter"/>
      <w:start w:val="1"/>
    </w:lvl>
  </w:abstractNum>
  <w:abstractNum w:abstractNumId="249">
    <w:nsid w:val="1CD484D5"/>
    <w:multiLevelType w:val="hybridMultilevel"/>
    <w:lvl w:ilvl="0">
      <w:lvlJc w:val="left"/>
      <w:lvlText w:val="(%1)"/>
      <w:numFmt w:val="lowerLetter"/>
      <w:start w:val="1"/>
    </w:lvl>
  </w:abstractNum>
  <w:abstractNum w:abstractNumId="250">
    <w:nsid w:val="21D06255"/>
    <w:multiLevelType w:val="hybridMultilevel"/>
    <w:lvl w:ilvl="0">
      <w:lvlJc w:val="left"/>
      <w:lvlText w:val="(%1)"/>
      <w:numFmt w:val="lowerLetter"/>
      <w:start w:val="1"/>
    </w:lvl>
    <w:lvl w:ilvl="1">
      <w:lvlJc w:val="left"/>
      <w:lvlText w:val="(%2)"/>
      <w:numFmt w:val="lowerRoman"/>
      <w:start w:val="1"/>
    </w:lvl>
  </w:abstractNum>
  <w:abstractNum w:abstractNumId="251">
    <w:nsid w:val="51194ED1"/>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252">
    <w:nsid w:val="44E2ED6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53">
    <w:nsid w:val="2219B33"/>
    <w:multiLevelType w:val="hybridMultilevel"/>
    <w:lvl w:ilvl="0">
      <w:lvlJc w:val="left"/>
      <w:lvlText w:val="(%1)"/>
      <w:numFmt w:val="lowerLetter"/>
      <w:start w:val="1"/>
    </w:lvl>
  </w:abstractNum>
  <w:abstractNum w:abstractNumId="254">
    <w:nsid w:val="773BFBDD"/>
    <w:multiLevelType w:val="hybridMultilevel"/>
    <w:lvl w:ilvl="0">
      <w:lvlJc w:val="left"/>
      <w:lvlText w:val="%1"/>
      <w:numFmt w:val="decimal"/>
      <w:start w:val="23"/>
    </w:lvl>
  </w:abstractNum>
  <w:abstractNum w:abstractNumId="255">
    <w:nsid w:val="2C7C62C2"/>
    <w:multiLevelType w:val="hybridMultilevel"/>
    <w:lvl w:ilvl="0">
      <w:lvlJc w:val="left"/>
      <w:lvlText w:val="(%1)"/>
      <w:numFmt w:val="lowerLetter"/>
      <w:start w:val="1"/>
    </w:lvl>
  </w:abstractNum>
  <w:abstractNum w:abstractNumId="256">
    <w:nsid w:val="1A54D7BC"/>
    <w:multiLevelType w:val="hybridMultilevel"/>
    <w:lvl w:ilvl="0">
      <w:lvlJc w:val="left"/>
      <w:lvlText w:val="(%1)"/>
      <w:numFmt w:val="lowerLetter"/>
      <w:start w:val="7"/>
    </w:lvl>
  </w:abstractNum>
  <w:abstractNum w:abstractNumId="257">
    <w:nsid w:val="42E57EF7"/>
    <w:multiLevelType w:val="hybridMultilevel"/>
    <w:lvl w:ilvl="0">
      <w:lvlJc w:val="left"/>
      <w:lvlText w:val="(%1)"/>
      <w:numFmt w:val="lowerLetter"/>
      <w:start w:val="1"/>
    </w:lvl>
  </w:abstractNum>
  <w:abstractNum w:abstractNumId="258">
    <w:nsid w:val="33537CED"/>
    <w:multiLevelType w:val="hybridMultilevel"/>
    <w:lvl w:ilvl="0">
      <w:lvlJc w:val="left"/>
      <w:lvlText w:val="(%1)"/>
      <w:numFmt w:val="lowerLetter"/>
      <w:start w:val="1"/>
    </w:lvl>
  </w:abstractNum>
  <w:abstractNum w:abstractNumId="259">
    <w:nsid w:val="27514ADE"/>
    <w:multiLevelType w:val="hybridMultilevel"/>
    <w:lvl w:ilvl="0">
      <w:lvlJc w:val="left"/>
      <w:lvlText w:val="(%1)"/>
      <w:numFmt w:val="lowerLetter"/>
      <w:start w:val="4"/>
    </w:lvl>
  </w:abstractNum>
  <w:abstractNum w:abstractNumId="260">
    <w:nsid w:val="57071613"/>
    <w:multiLevelType w:val="hybridMultilevel"/>
    <w:lvl w:ilvl="0">
      <w:lvlJc w:val="left"/>
      <w:lvlText w:val="%1"/>
      <w:numFmt w:val="decimal"/>
      <w:start w:val="24"/>
    </w:lvl>
  </w:abstractNum>
  <w:abstractNum w:abstractNumId="261">
    <w:nsid w:val="5293BFEF"/>
    <w:multiLevelType w:val="hybridMultilevel"/>
    <w:lvl w:ilvl="0">
      <w:lvlJc w:val="left"/>
      <w:lvlText w:val="(%1)"/>
      <w:numFmt w:val="lowerLetter"/>
      <w:start w:val="1"/>
    </w:lvl>
  </w:abstractNum>
  <w:abstractNum w:abstractNumId="262">
    <w:nsid w:val="38BF53E5"/>
    <w:multiLevelType w:val="hybridMultilevel"/>
    <w:lvl w:ilvl="0">
      <w:lvlJc w:val="left"/>
      <w:lvlText w:val="(%1)"/>
      <w:numFmt w:val="lowerLetter"/>
      <w:start w:val="2"/>
    </w:lvl>
  </w:abstractNum>
  <w:abstractNum w:abstractNumId="263">
    <w:nsid w:val="226F5320"/>
    <w:multiLevelType w:val="hybridMultilevel"/>
    <w:lvl w:ilvl="0">
      <w:lvlJc w:val="left"/>
      <w:lvlText w:val="(%1)"/>
      <w:numFmt w:val="lowerLetter"/>
      <w:start w:val="1"/>
    </w:lvl>
  </w:abstractNum>
  <w:abstractNum w:abstractNumId="264">
    <w:nsid w:val="5A0201C7"/>
    <w:multiLevelType w:val="hybridMultilevel"/>
    <w:lvl w:ilvl="0">
      <w:lvlJc w:val="left"/>
      <w:lvlText w:val="(%1)"/>
      <w:numFmt w:val="lowerLetter"/>
      <w:start w:val="1"/>
    </w:lvl>
  </w:abstractNum>
  <w:abstractNum w:abstractNumId="265">
    <w:nsid w:val="2A9C34E2"/>
    <w:multiLevelType w:val="hybridMultilevel"/>
    <w:lvl w:ilvl="0">
      <w:lvlJc w:val="left"/>
      <w:lvlText w:val="(%1)"/>
      <w:numFmt w:val="lowerLetter"/>
      <w:start w:val="1"/>
    </w:lvl>
  </w:abstractNum>
  <w:abstractNum w:abstractNumId="266">
    <w:nsid w:val="1B7585AB"/>
    <w:multiLevelType w:val="hybridMultilevel"/>
    <w:lvl w:ilvl="0">
      <w:lvlJc w:val="left"/>
      <w:lvlText w:val="%1."/>
      <w:numFmt w:val="decimal"/>
      <w:start w:val="25"/>
    </w:lvl>
  </w:abstractNum>
  <w:abstractNum w:abstractNumId="267">
    <w:nsid w:val="612DBDDD"/>
    <w:multiLevelType w:val="hybridMultilevel"/>
    <w:lvl w:ilvl="0">
      <w:lvlJc w:val="left"/>
      <w:lvlText w:val="(%1)"/>
      <w:numFmt w:val="lowerLetter"/>
      <w:start w:val="1"/>
    </w:lvl>
  </w:abstractNum>
  <w:abstractNum w:abstractNumId="268">
    <w:nsid w:val="2109CDA4"/>
    <w:multiLevelType w:val="hybridMultilevel"/>
    <w:lvl w:ilvl="0">
      <w:lvlJc w:val="left"/>
      <w:lvlText w:val="(%1)"/>
      <w:numFmt w:val="lowerLetter"/>
      <w:start w:val="1"/>
    </w:lvl>
  </w:abstractNum>
  <w:abstractNum w:abstractNumId="269">
    <w:nsid w:val="577F5A4D"/>
    <w:multiLevelType w:val="hybridMultilevel"/>
    <w:lvl w:ilvl="0">
      <w:lvlJc w:val="left"/>
      <w:lvlText w:val="(%1)"/>
      <w:numFmt w:val="lowerLetter"/>
      <w:start w:val="1"/>
    </w:lvl>
  </w:abstractNum>
  <w:abstractNum w:abstractNumId="270">
    <w:nsid w:val="2121A81"/>
    <w:multiLevelType w:val="hybridMultilevel"/>
    <w:lvl w:ilvl="0">
      <w:lvlJc w:val="left"/>
      <w:lvlText w:val="(%1)"/>
      <w:numFmt w:val="lowerLetter"/>
      <w:start w:val="1"/>
    </w:lvl>
  </w:abstractNum>
  <w:abstractNum w:abstractNumId="271">
    <w:nsid w:val="6C2CFC88"/>
    <w:multiLevelType w:val="hybridMultilevel"/>
    <w:lvl w:ilvl="0">
      <w:lvlJc w:val="left"/>
      <w:lvlText w:val="(%1)"/>
      <w:numFmt w:val="lowerRoman"/>
      <w:start w:val="1"/>
    </w:lvl>
  </w:abstractNum>
  <w:abstractNum w:abstractNumId="272">
    <w:nsid w:val="6D1BCF1C"/>
    <w:multiLevelType w:val="hybridMultilevel"/>
    <w:lvl w:ilvl="0">
      <w:lvlJc w:val="left"/>
      <w:lvlText w:val="(%1)"/>
      <w:numFmt w:val="lowerLetter"/>
      <w:start w:val="2"/>
    </w:lvl>
  </w:abstractNum>
  <w:abstractNum w:abstractNumId="273">
    <w:nsid w:val="4CE5CA53"/>
    <w:multiLevelType w:val="hybridMultilevel"/>
    <w:lvl w:ilvl="0">
      <w:lvlJc w:val="left"/>
      <w:lvlText w:val="(%1)"/>
      <w:numFmt w:val="lowerLetter"/>
      <w:start w:val="1"/>
    </w:lvl>
  </w:abstractNum>
  <w:abstractNum w:abstractNumId="274">
    <w:nsid w:val="29262D1A"/>
    <w:multiLevelType w:val="hybridMultilevel"/>
    <w:lvl w:ilvl="0">
      <w:lvlJc w:val="left"/>
      <w:lvlText w:val="(%1)"/>
      <w:numFmt w:val="lowerLetter"/>
      <w:start w:val="1"/>
    </w:lvl>
  </w:abstractNum>
  <w:abstractNum w:abstractNumId="275">
    <w:nsid w:val="557FB7EE"/>
    <w:multiLevelType w:val="hybridMultilevel"/>
    <w:lvl w:ilvl="0">
      <w:lvlJc w:val="left"/>
      <w:lvlText w:val="(%1)"/>
      <w:numFmt w:val="lowerLetter"/>
      <w:start w:val="2"/>
    </w:lvl>
  </w:abstractNum>
  <w:abstractNum w:abstractNumId="276">
    <w:nsid w:val="436F2BEB"/>
    <w:multiLevelType w:val="hybridMultilevel"/>
    <w:lvl w:ilvl="0">
      <w:lvlJc w:val="left"/>
      <w:lvlText w:val="(%1)"/>
      <w:numFmt w:val="lowerLetter"/>
      <w:start w:val="1"/>
    </w:lvl>
  </w:abstractNum>
  <w:abstractNum w:abstractNumId="277">
    <w:nsid w:val="6C8B4466"/>
    <w:multiLevelType w:val="hybridMultilevel"/>
    <w:lvl w:ilvl="0">
      <w:lvlJc w:val="left"/>
      <w:lvlText w:val="(%1)"/>
      <w:numFmt w:val="lowerLetter"/>
      <w:start w:val="1"/>
    </w:lvl>
    <w:lvl w:ilvl="1">
      <w:lvlJc w:val="left"/>
      <w:lvlText w:val="(%2)"/>
      <w:numFmt w:val="lowerRoman"/>
      <w:start w:val="1"/>
    </w:lvl>
  </w:abstractNum>
  <w:abstractNum w:abstractNumId="278">
    <w:nsid w:val="2006E424"/>
    <w:multiLevelType w:val="hybridMultilevel"/>
    <w:lvl w:ilvl="0">
      <w:lvlJc w:val="left"/>
      <w:lvlText w:val="%1"/>
      <w:numFmt w:val="lowerLetter"/>
      <w:start w:val="1"/>
    </w:lvl>
    <w:lvl w:ilvl="1">
      <w:lvlJc w:val="left"/>
      <w:lvlText w:val="(%2)"/>
      <w:numFmt w:val="lowerLetter"/>
      <w:start w:val="22"/>
    </w:lvl>
  </w:abstractNum>
  <w:abstractNum w:abstractNumId="279">
    <w:nsid w:val="20CC134C"/>
    <w:multiLevelType w:val="hybridMultilevel"/>
    <w:lvl w:ilvl="0">
      <w:lvlJc w:val="left"/>
      <w:lvlText w:val="(%1)"/>
      <w:numFmt w:val="lowerLetter"/>
      <w:start w:val="2"/>
    </w:lvl>
    <w:lvl w:ilvl="1">
      <w:lvlJc w:val="left"/>
      <w:lvlText w:val="%2"/>
      <w:numFmt w:val="lowerLetter"/>
      <w:start w:val="1"/>
    </w:lvl>
  </w:abstractNum>
  <w:abstractNum w:abstractNumId="280">
    <w:nsid w:val="95FC93B"/>
    <w:multiLevelType w:val="hybridMultilevel"/>
    <w:lvl w:ilvl="0">
      <w:lvlJc w:val="left"/>
      <w:lvlText w:val="(%1)"/>
      <w:numFmt w:val="lowerLetter"/>
      <w:start w:val="1"/>
    </w:lvl>
    <w:lvl w:ilvl="1">
      <w:lvlJc w:val="left"/>
      <w:lvlText w:val="(%2)"/>
      <w:numFmt w:val="lowerRoman"/>
      <w:start w:val="1"/>
    </w:lvl>
  </w:abstractNum>
  <w:abstractNum w:abstractNumId="281">
    <w:nsid w:val="41D74679"/>
    <w:multiLevelType w:val="hybridMultilevel"/>
    <w:lvl w:ilvl="0">
      <w:lvlJc w:val="left"/>
      <w:lvlText w:val="(%1)"/>
      <w:numFmt w:val="lowerLetter"/>
      <w:start w:val="4"/>
    </w:lvl>
    <w:lvl w:ilvl="1">
      <w:lvlJc w:val="left"/>
      <w:lvlText w:val="(%2)"/>
      <w:numFmt w:val="lowerRoman"/>
      <w:start w:val="1"/>
    </w:lvl>
  </w:abstractNum>
  <w:abstractNum w:abstractNumId="282">
    <w:nsid w:val="71E5621E"/>
    <w:multiLevelType w:val="hybridMultilevel"/>
    <w:lvl w:ilvl="0">
      <w:lvlJc w:val="left"/>
      <w:lvlText w:val="(%1)"/>
      <w:numFmt w:val="lowerLetter"/>
      <w:start w:val="1"/>
    </w:lvl>
  </w:abstractNum>
  <w:abstractNum w:abstractNumId="283">
    <w:nsid w:val="4E42B6A8"/>
    <w:multiLevelType w:val="hybridMultilevel"/>
    <w:lvl w:ilvl="0">
      <w:lvlJc w:val="left"/>
      <w:lvlText w:val="(%1)"/>
      <w:numFmt w:val="lowerLetter"/>
      <w:start w:val="1"/>
    </w:lvl>
  </w:abstractNum>
  <w:abstractNum w:abstractNumId="284">
    <w:nsid w:val="43F8E1AC"/>
    <w:multiLevelType w:val="hybridMultilevel"/>
    <w:lvl w:ilvl="0">
      <w:lvlJc w:val="left"/>
      <w:lvlText w:val="(%1)"/>
      <w:numFmt w:val="lowerLetter"/>
      <w:start w:val="1"/>
    </w:lvl>
  </w:abstractNum>
  <w:abstractNum w:abstractNumId="285">
    <w:nsid w:val="69215DFB"/>
    <w:multiLevelType w:val="hybridMultilevel"/>
    <w:lvl w:ilvl="0">
      <w:lvlJc w:val="left"/>
      <w:lvlText w:val="(%1)"/>
      <w:numFmt w:val="lowerLetter"/>
      <w:start w:val="1"/>
    </w:lvl>
  </w:abstractNum>
  <w:abstractNum w:abstractNumId="286">
    <w:nsid w:val="7ABF196A"/>
    <w:multiLevelType w:val="hybridMultilevel"/>
    <w:lvl w:ilvl="0">
      <w:lvlJc w:val="left"/>
      <w:lvlText w:val="(%1)"/>
      <w:numFmt w:val="lowerLetter"/>
      <w:start w:val="2"/>
    </w:lvl>
  </w:abstractNum>
  <w:abstractNum w:abstractNumId="287">
    <w:nsid w:val="5E4DB968"/>
    <w:multiLevelType w:val="hybridMultilevel"/>
    <w:lvl w:ilvl="0">
      <w:lvlJc w:val="left"/>
      <w:lvlText w:val="(%1)"/>
      <w:numFmt w:val="lowerLetter"/>
      <w:start w:val="1"/>
    </w:lvl>
  </w:abstractNum>
  <w:abstractNum w:abstractNumId="288">
    <w:nsid w:val="2C06DCF3"/>
    <w:multiLevelType w:val="hybridMultilevel"/>
    <w:lvl w:ilvl="0">
      <w:lvlJc w:val="left"/>
      <w:lvlText w:val="(%1)"/>
      <w:numFmt w:val="lowerLetter"/>
      <w:start w:val="1"/>
    </w:lvl>
  </w:abstractNum>
  <w:abstractNum w:abstractNumId="289">
    <w:nsid w:val="2E129658"/>
    <w:multiLevelType w:val="hybridMultilevel"/>
    <w:lvl w:ilvl="0">
      <w:lvlJc w:val="left"/>
      <w:lvlText w:val="(%1)"/>
      <w:numFmt w:val="lowerLetter"/>
      <w:start w:val="1"/>
    </w:lvl>
  </w:abstractNum>
  <w:abstractNum w:abstractNumId="290">
    <w:nsid w:val="59F0446"/>
    <w:multiLevelType w:val="hybridMultilevel"/>
    <w:lvl w:ilvl="0">
      <w:lvlJc w:val="left"/>
      <w:lvlText w:val="(%1)"/>
      <w:numFmt w:val="lowerRoman"/>
      <w:start w:val="1"/>
    </w:lvl>
  </w:abstractNum>
  <w:abstractNum w:abstractNumId="291">
    <w:nsid w:val="30DF306"/>
    <w:multiLevelType w:val="hybridMultilevel"/>
    <w:lvl w:ilvl="0">
      <w:lvlJc w:val="left"/>
      <w:lvlText w:val="%1"/>
      <w:numFmt w:val="decimal"/>
      <w:start w:val="29"/>
    </w:lvl>
  </w:abstractNum>
  <w:abstractNum w:abstractNumId="292">
    <w:nsid w:val="A65647"/>
    <w:multiLevelType w:val="hybridMultilevel"/>
    <w:lvl w:ilvl="0">
      <w:lvlJc w:val="left"/>
      <w:lvlText w:val="(%1)"/>
      <w:numFmt w:val="lowerLetter"/>
      <w:start w:val="1"/>
    </w:lvl>
  </w:abstractNum>
  <w:abstractNum w:abstractNumId="293">
    <w:nsid w:val="3E5E582B"/>
    <w:multiLevelType w:val="hybridMultilevel"/>
    <w:lvl w:ilvl="0">
      <w:lvlJc w:val="left"/>
      <w:lvlText w:val="(%1)"/>
      <w:numFmt w:val="lowerLetter"/>
      <w:start w:val="1"/>
    </w:lvl>
  </w:abstractNum>
  <w:abstractNum w:abstractNumId="294">
    <w:nsid w:val="257D4626"/>
    <w:multiLevelType w:val="hybridMultilevel"/>
    <w:lvl w:ilvl="0">
      <w:lvlJc w:val="left"/>
      <w:lvlText w:val="(%1)"/>
      <w:numFmt w:val="lowerLetter"/>
      <w:start w:val="2"/>
    </w:lvl>
    <w:lvl w:ilvl="1">
      <w:lvlJc w:val="left"/>
      <w:lvlText w:val="(%2)"/>
      <w:numFmt w:val="lowerRoman"/>
      <w:start w:val="1"/>
    </w:lvl>
  </w:abstractNum>
  <w:abstractNum w:abstractNumId="295">
    <w:nsid w:val="5AA8580E"/>
    <w:multiLevelType w:val="hybridMultilevel"/>
    <w:lvl w:ilvl="0">
      <w:lvlJc w:val="left"/>
      <w:lvlText w:val="(%1)"/>
      <w:numFmt w:val="lowerLetter"/>
      <w:start w:val="1"/>
    </w:lvl>
    <w:lvl w:ilvl="1">
      <w:lvlJc w:val="left"/>
      <w:lvlText w:val="(%2)"/>
      <w:numFmt w:val="lowerRoman"/>
      <w:start w:val="1"/>
    </w:lvl>
  </w:abstractNum>
  <w:abstractNum w:abstractNumId="296">
    <w:nsid w:val="68FA8D0D"/>
    <w:multiLevelType w:val="hybridMultilevel"/>
    <w:lvl w:ilvl="0">
      <w:lvlJc w:val="left"/>
      <w:lvlText w:val="(%1)"/>
      <w:numFmt w:val="lowerLetter"/>
      <w:start w:val="1"/>
    </w:lvl>
  </w:abstractNum>
  <w:abstractNum w:abstractNumId="297">
    <w:nsid w:val="40F2CBD2"/>
    <w:multiLevelType w:val="hybridMultilevel"/>
    <w:lvl w:ilvl="0">
      <w:lvlJc w:val="left"/>
      <w:lvlText w:val="(%1)"/>
      <w:numFmt w:val="lowerLetter"/>
      <w:start w:val="6"/>
    </w:lvl>
    <w:lvl w:ilvl="1">
      <w:lvlJc w:val="left"/>
      <w:lvlText w:val="(%2)"/>
      <w:numFmt w:val="lowerRoman"/>
      <w:start w:val="1"/>
    </w:lvl>
  </w:abstractNum>
  <w:abstractNum w:abstractNumId="298">
    <w:nsid w:val="3BD615EB"/>
    <w:multiLevelType w:val="hybridMultilevel"/>
    <w:lvl w:ilvl="0">
      <w:lvlJc w:val="left"/>
      <w:lvlText w:val="(%1)"/>
      <w:numFmt w:val="lowerLetter"/>
      <w:start w:val="1"/>
    </w:lvl>
  </w:abstractNum>
  <w:abstractNum w:abstractNumId="299">
    <w:nsid w:val="A045AB2"/>
    <w:multiLevelType w:val="hybridMultilevel"/>
    <w:lvl w:ilvl="0">
      <w:lvlJc w:val="left"/>
      <w:lvlText w:val="(%1)"/>
      <w:numFmt w:val="lowerLetter"/>
      <w:start w:val="1"/>
    </w:lvl>
    <w:lvl w:ilvl="1">
      <w:lvlJc w:val="left"/>
      <w:lvlText w:val="(%2)"/>
      <w:numFmt w:val="lowerRoman"/>
      <w:start w:val="1"/>
    </w:lvl>
  </w:abstractNum>
  <w:abstractNum w:abstractNumId="300">
    <w:nsid w:val="1872261F"/>
    <w:multiLevelType w:val="hybridMultilevel"/>
    <w:lvl w:ilvl="0">
      <w:lvlJc w:val="left"/>
      <w:lvlText w:val="(%1)"/>
      <w:numFmt w:val="lowerLetter"/>
      <w:start w:val="2"/>
    </w:lvl>
  </w:abstractNum>
  <w:abstractNum w:abstractNumId="301">
    <w:nsid w:val="3DE8306C"/>
    <w:multiLevelType w:val="hybridMultilevel"/>
    <w:lvl w:ilvl="0">
      <w:lvlJc w:val="left"/>
      <w:lvlText w:val="(%1)"/>
      <w:numFmt w:val="lowerLetter"/>
      <w:start w:val="1"/>
    </w:lvl>
  </w:abstractNum>
  <w:abstractNum w:abstractNumId="302">
    <w:nsid w:val="7631573A"/>
    <w:multiLevelType w:val="hybridMultilevel"/>
    <w:lvl w:ilvl="0">
      <w:lvlJc w:val="left"/>
      <w:lvlText w:val="(%1)"/>
      <w:numFmt w:val="lowerLetter"/>
      <w:start w:val="1"/>
    </w:lvl>
  </w:abstractNum>
  <w:abstractNum w:abstractNumId="303">
    <w:nsid w:val="58DF53B"/>
    <w:multiLevelType w:val="hybridMultilevel"/>
    <w:lvl w:ilvl="0">
      <w:lvlJc w:val="left"/>
      <w:lvlText w:val="(%1)"/>
      <w:numFmt w:val="lowerLetter"/>
      <w:start w:val="1"/>
    </w:lvl>
    <w:lvl w:ilvl="1">
      <w:lvlJc w:val="left"/>
      <w:lvlText w:val="(%2)"/>
      <w:numFmt w:val="lowerRoman"/>
      <w:start w:val="1"/>
    </w:lvl>
  </w:abstractNum>
  <w:abstractNum w:abstractNumId="304">
    <w:nsid w:val="ACDFAC0"/>
    <w:multiLevelType w:val="hybridMultilevel"/>
    <w:lvl w:ilvl="0">
      <w:lvlJc w:val="left"/>
      <w:lvlText w:val="(%1)"/>
      <w:numFmt w:val="lowerRoman"/>
      <w:start w:val="4"/>
    </w:lvl>
  </w:abstractNum>
  <w:abstractNum w:abstractNumId="305">
    <w:nsid w:val="1F578454"/>
    <w:multiLevelType w:val="hybridMultilevel"/>
    <w:lvl w:ilvl="0">
      <w:lvlJc w:val="left"/>
      <w:lvlText w:val="(%1)"/>
      <w:numFmt w:val="lowerLetter"/>
      <w:start w:val="1"/>
    </w:lvl>
  </w:abstractNum>
  <w:abstractNum w:abstractNumId="306">
    <w:nsid w:val="5B0DAD2A"/>
    <w:multiLevelType w:val="hybridMultilevel"/>
    <w:lvl w:ilvl="0">
      <w:lvlJc w:val="left"/>
      <w:lvlText w:val="(%1)"/>
      <w:numFmt w:val="lowerLetter"/>
      <w:start w:val="1"/>
    </w:lvl>
  </w:abstractNum>
  <w:abstractNum w:abstractNumId="307">
    <w:nsid w:val="4E3D26AB"/>
    <w:multiLevelType w:val="hybridMultilevel"/>
    <w:lvl w:ilvl="0">
      <w:lvlJc w:val="left"/>
      <w:lvlText w:val="(%1)"/>
      <w:numFmt w:val="lowerLetter"/>
      <w:start w:val="1"/>
    </w:lvl>
    <w:lvl w:ilvl="1">
      <w:lvlJc w:val="left"/>
      <w:lvlText w:val="(%2)"/>
      <w:numFmt w:val="lowerRoman"/>
      <w:start w:val="1"/>
    </w:lvl>
  </w:abstractNum>
  <w:abstractNum w:abstractNumId="308">
    <w:nsid w:val="BE2C8BA"/>
    <w:multiLevelType w:val="hybridMultilevel"/>
    <w:lvl w:ilvl="0">
      <w:lvlJc w:val="left"/>
      <w:lvlText w:val="(%1)"/>
      <w:numFmt w:val="lowerLetter"/>
      <w:start w:val="5"/>
    </w:lvl>
    <w:lvl w:ilvl="1">
      <w:lvlJc w:val="left"/>
      <w:lvlText w:val="(%2)"/>
      <w:numFmt w:val="lowerRoman"/>
      <w:start w:val="1"/>
    </w:lvl>
  </w:abstractNum>
  <w:abstractNum w:abstractNumId="309">
    <w:nsid w:val="7B14914E"/>
    <w:multiLevelType w:val="hybridMultilevel"/>
    <w:lvl w:ilvl="0">
      <w:lvlJc w:val="left"/>
      <w:lvlText w:val="(%1)"/>
      <w:numFmt w:val="lowerLetter"/>
      <w:start w:val="1"/>
    </w:lvl>
    <w:lvl w:ilvl="1">
      <w:lvlJc w:val="left"/>
      <w:lvlText w:val="(%2)"/>
      <w:numFmt w:val="lowerRoman"/>
      <w:start w:val="1"/>
    </w:lvl>
  </w:abstractNum>
  <w:abstractNum w:abstractNumId="310">
    <w:nsid w:val="6F0939F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11">
    <w:nsid w:val="154291F6"/>
    <w:multiLevelType w:val="hybridMultilevel"/>
    <w:lvl w:ilvl="0">
      <w:lvlJc w:val="left"/>
      <w:lvlText w:val="%1"/>
      <w:numFmt w:val="lowerLetter"/>
      <w:start w:val="1"/>
    </w:lvl>
    <w:lvl w:ilvl="1">
      <w:lvlJc w:val="left"/>
      <w:lvlText w:val="(%2)"/>
      <w:numFmt w:val="lowerRoman"/>
      <w:start w:val="2"/>
    </w:lvl>
  </w:abstractNum>
  <w:abstractNum w:abstractNumId="312">
    <w:nsid w:val="3CEBD7C7"/>
    <w:multiLevelType w:val="hybridMultilevel"/>
    <w:lvl w:ilvl="0">
      <w:lvlJc w:val="left"/>
      <w:lvlText w:val="(%1)"/>
      <w:numFmt w:val="lowerLetter"/>
      <w:start w:val="3"/>
    </w:lvl>
    <w:lvl w:ilvl="1">
      <w:lvlJc w:val="left"/>
      <w:lvlText w:val="(%2)"/>
      <w:numFmt w:val="lowerRoman"/>
      <w:start w:val="1"/>
    </w:lvl>
  </w:abstractNum>
  <w:abstractNum w:abstractNumId="313">
    <w:nsid w:val="60EE9C16"/>
    <w:multiLevelType w:val="hybridMultilevel"/>
    <w:lvl w:ilvl="0">
      <w:lvlJc w:val="left"/>
      <w:lvlText w:val="(%1)"/>
      <w:numFmt w:val="lowerLetter"/>
      <w:start w:val="1"/>
    </w:lvl>
    <w:lvl w:ilvl="1">
      <w:lvlJc w:val="left"/>
      <w:lvlText w:val="(%2)"/>
      <w:numFmt w:val="lowerRoman"/>
      <w:start w:val="1"/>
    </w:lvl>
  </w:abstractNum>
  <w:abstractNum w:abstractNumId="314">
    <w:nsid w:val="6385489E"/>
    <w:multiLevelType w:val="hybridMultilevel"/>
    <w:lvl w:ilvl="0">
      <w:lvlJc w:val="left"/>
      <w:lvlText w:val="(%1)"/>
      <w:numFmt w:val="lowerLetter"/>
      <w:start w:val="1"/>
    </w:lvl>
  </w:abstractNum>
  <w:abstractNum w:abstractNumId="315">
    <w:nsid w:val="E4B973"/>
    <w:multiLevelType w:val="hybridMultilevel"/>
    <w:lvl w:ilvl="0">
      <w:lvlJc w:val="left"/>
      <w:lvlText w:val="(%1)"/>
      <w:numFmt w:val="lowerRoman"/>
      <w:start w:val="1"/>
    </w:lvl>
  </w:abstractNum>
  <w:abstractNum w:abstractNumId="316">
    <w:nsid w:val="4A0FFA11"/>
    <w:multiLevelType w:val="hybridMultilevel"/>
    <w:lvl w:ilvl="0">
      <w:lvlJc w:val="left"/>
      <w:lvlText w:val="(%1)"/>
      <w:numFmt w:val="lowerLetter"/>
      <w:start w:val="1"/>
    </w:lvl>
    <w:lvl w:ilvl="1">
      <w:lvlJc w:val="left"/>
      <w:lvlText w:val="(%2)"/>
      <w:numFmt w:val="lowerRoman"/>
      <w:start w:val="1"/>
    </w:lvl>
  </w:abstractNum>
  <w:abstractNum w:abstractNumId="317">
    <w:nsid w:val="5E446208"/>
    <w:multiLevelType w:val="hybridMultilevel"/>
    <w:lvl w:ilvl="0">
      <w:lvlJc w:val="left"/>
      <w:lvlText w:val="(%1)"/>
      <w:numFmt w:val="lowerLetter"/>
      <w:start w:val="1"/>
    </w:lvl>
    <w:lvl w:ilvl="1">
      <w:lvlJc w:val="left"/>
      <w:lvlText w:val="(%2)"/>
      <w:numFmt w:val="lowerRoman"/>
      <w:start w:val="1"/>
    </w:lvl>
  </w:abstractNum>
  <w:abstractNum w:abstractNumId="318">
    <w:nsid w:val="5F3272DB"/>
    <w:multiLevelType w:val="hybridMultilevel"/>
    <w:lvl w:ilvl="0">
      <w:lvlJc w:val="left"/>
      <w:lvlText w:val="(%1)"/>
      <w:numFmt w:val="lowerLetter"/>
      <w:start w:val="5"/>
    </w:lvl>
  </w:abstractNum>
  <w:abstractNum w:abstractNumId="319">
    <w:nsid w:val="7616D704"/>
    <w:multiLevelType w:val="hybridMultilevel"/>
    <w:lvl w:ilvl="0">
      <w:lvlJc w:val="left"/>
      <w:lvlText w:val="(%1)"/>
      <w:numFmt w:val="lowerRoman"/>
      <w:start w:val="1"/>
    </w:lvl>
  </w:abstractNum>
  <w:abstractNum w:abstractNumId="320">
    <w:nsid w:val="C56F860"/>
    <w:multiLevelType w:val="hybridMultilevel"/>
    <w:lvl w:ilvl="0">
      <w:lvlJc w:val="left"/>
      <w:lvlText w:val="(%1)"/>
      <w:numFmt w:val="lowerRoman"/>
      <w:start w:val="2"/>
    </w:lvl>
  </w:abstractNum>
  <w:abstractNum w:abstractNumId="321">
    <w:nsid w:val="64D17722"/>
    <w:multiLevelType w:val="hybridMultilevel"/>
    <w:lvl w:ilvl="0">
      <w:lvlJc w:val="left"/>
      <w:lvlText w:val="(%1)"/>
      <w:numFmt w:val="lowerLetter"/>
      <w:start w:val="1"/>
    </w:lvl>
    <w:lvl w:ilvl="1">
      <w:lvlJc w:val="left"/>
      <w:lvlText w:val="(%2)"/>
      <w:numFmt w:val="lowerRoman"/>
      <w:start w:val="1"/>
    </w:lvl>
  </w:abstractNum>
  <w:abstractNum w:abstractNumId="322">
    <w:nsid w:val="7924CA0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23">
    <w:nsid w:val="CFD4EA7"/>
    <w:multiLevelType w:val="hybridMultilevel"/>
    <w:lvl w:ilvl="0">
      <w:lvlJc w:val="left"/>
      <w:lvlText w:val="(%1)"/>
      <w:numFmt w:val="lowerLetter"/>
      <w:start w:val="3"/>
    </w:lvl>
  </w:abstractNum>
  <w:abstractNum w:abstractNumId="324">
    <w:nsid w:val="232FCF4D"/>
    <w:multiLevelType w:val="hybridMultilevel"/>
    <w:lvl w:ilvl="0">
      <w:lvlJc w:val="left"/>
      <w:lvlText w:val="(%1)"/>
      <w:numFmt w:val="lowerLetter"/>
      <w:start w:val="1"/>
    </w:lvl>
  </w:abstractNum>
  <w:abstractNum w:abstractNumId="325">
    <w:nsid w:val="1EA21031"/>
    <w:multiLevelType w:val="hybridMultilevel"/>
    <w:lvl w:ilvl="0">
      <w:lvlJc w:val="left"/>
      <w:lvlText w:val="(%1)"/>
      <w:numFmt w:val="lowerLetter"/>
      <w:start w:val="1"/>
    </w:lvl>
  </w:abstractNum>
  <w:abstractNum w:abstractNumId="326">
    <w:nsid w:val="67A5A6B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27">
    <w:nsid w:val="C2A5C5B"/>
    <w:multiLevelType w:val="hybridMultilevel"/>
    <w:lvl w:ilvl="0">
      <w:lvlJc w:val="left"/>
      <w:lvlText w:val="(%1)"/>
      <w:numFmt w:val="lowerLetter"/>
      <w:start w:val="2"/>
    </w:lvl>
    <w:lvl w:ilvl="1">
      <w:lvlJc w:val="left"/>
      <w:lvlText w:val="(%2)"/>
      <w:numFmt w:val="lowerRoman"/>
      <w:start w:val="1"/>
    </w:lvl>
  </w:abstractNum>
  <w:abstractNum w:abstractNumId="328">
    <w:nsid w:val="5F94DC03"/>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329">
    <w:nsid w:val="237BBCA0"/>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30">
    <w:nsid w:val="162EB70D"/>
    <w:multiLevelType w:val="hybridMultilevel"/>
    <w:lvl w:ilvl="0">
      <w:lvlJc w:val="left"/>
      <w:lvlText w:val="(%1)"/>
      <w:numFmt w:val="lowerLetter"/>
      <w:start w:val="1"/>
    </w:lvl>
  </w:abstractNum>
  <w:abstractNum w:abstractNumId="331">
    <w:nsid w:val="78070222"/>
    <w:multiLevelType w:val="hybridMultilevel"/>
    <w:lvl w:ilvl="0">
      <w:lvlJc w:val="left"/>
      <w:lvlText w:val="(%1)"/>
      <w:numFmt w:val="lowerLetter"/>
      <w:start w:val="15"/>
    </w:lvl>
  </w:abstractNum>
  <w:abstractNum w:abstractNumId="332">
    <w:nsid w:val="6163ED0D"/>
    <w:multiLevelType w:val="hybridMultilevel"/>
    <w:lvl w:ilvl="0">
      <w:lvlJc w:val="left"/>
      <w:lvlText w:val="(%1)"/>
      <w:numFmt w:val="lowerLetter"/>
      <w:start w:val="1"/>
    </w:lvl>
  </w:abstractNum>
  <w:abstractNum w:abstractNumId="333">
    <w:nsid w:val="C600E4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34">
    <w:nsid w:val="7D94F75D"/>
    <w:multiLevelType w:val="hybridMultilevel"/>
    <w:lvl w:ilvl="0">
      <w:lvlJc w:val="left"/>
      <w:lvlText w:val="(%1)"/>
      <w:numFmt w:val="lowerLetter"/>
      <w:start w:val="2"/>
    </w:lvl>
    <w:lvl w:ilvl="1">
      <w:lvlJc w:val="left"/>
      <w:lvlText w:val="(%2)"/>
      <w:numFmt w:val="lowerRoman"/>
      <w:start w:val="1"/>
    </w:lvl>
  </w:abstractNum>
  <w:abstractNum w:abstractNumId="335">
    <w:nsid w:val="6C31E7CD"/>
    <w:multiLevelType w:val="hybridMultilevel"/>
    <w:lvl w:ilvl="0">
      <w:lvlJc w:val="left"/>
      <w:lvlText w:val="(%1)"/>
      <w:numFmt w:val="lowerLetter"/>
      <w:start w:val="5"/>
    </w:lvl>
  </w:abstractNum>
  <w:abstractNum w:abstractNumId="336">
    <w:nsid w:val="2BB7929B"/>
    <w:multiLevelType w:val="hybridMultilevel"/>
    <w:lvl w:ilvl="0">
      <w:lvlJc w:val="left"/>
      <w:lvlText w:val="(%1)"/>
      <w:numFmt w:val="lowerLetter"/>
      <w:start w:val="1"/>
    </w:lvl>
    <w:lvl w:ilvl="1">
      <w:lvlJc w:val="left"/>
      <w:lvlText w:val="(%2)"/>
      <w:numFmt w:val="lowerRoman"/>
      <w:start w:val="1"/>
    </w:lvl>
  </w:abstractNum>
  <w:abstractNum w:abstractNumId="337">
    <w:nsid w:val="58A2A487"/>
    <w:multiLevelType w:val="hybridMultilevel"/>
    <w:lvl w:ilvl="0">
      <w:lvlJc w:val="left"/>
      <w:lvlText w:val="(%1)"/>
      <w:numFmt w:val="lowerLetter"/>
      <w:start w:val="2"/>
    </w:lvl>
  </w:abstractNum>
  <w:abstractNum w:abstractNumId="338">
    <w:nsid w:val="3A6F0E78"/>
    <w:multiLevelType w:val="hybridMultilevel"/>
    <w:lvl w:ilvl="0">
      <w:lvlJc w:val="left"/>
      <w:lvlText w:val="(%1)"/>
      <w:numFmt w:val="lowerLetter"/>
      <w:start w:val="1"/>
    </w:lvl>
    <w:lvl w:ilvl="1">
      <w:lvlJc w:val="left"/>
      <w:lvlText w:val="(%2)"/>
      <w:numFmt w:val="lowerRoman"/>
      <w:start w:val="1"/>
    </w:lvl>
  </w:abstractNum>
  <w:abstractNum w:abstractNumId="339">
    <w:nsid w:val="379A5B56"/>
    <w:multiLevelType w:val="hybridMultilevel"/>
    <w:lvl w:ilvl="0">
      <w:lvlJc w:val="left"/>
      <w:lvlText w:val="(%1)"/>
      <w:numFmt w:val="lowerRoman"/>
      <w:start w:val="2"/>
    </w:lvl>
  </w:abstractNum>
  <w:abstractNum w:abstractNumId="340">
    <w:nsid w:val="53B735D5"/>
    <w:multiLevelType w:val="hybridMultilevel"/>
    <w:lvl w:ilvl="0">
      <w:lvlJc w:val="left"/>
      <w:lvlText w:val="(%1)"/>
      <w:numFmt w:val="lowerLetter"/>
      <w:start w:val="1"/>
    </w:lvl>
  </w:abstractNum>
  <w:abstractNum w:abstractNumId="341">
    <w:nsid w:val="29784870"/>
    <w:multiLevelType w:val="hybridMultilevel"/>
    <w:lvl w:ilvl="0">
      <w:lvlJc w:val="left"/>
      <w:lvlText w:val="(%1)"/>
      <w:numFmt w:val="lowerLetter"/>
      <w:start w:val="1"/>
    </w:lvl>
  </w:abstractNum>
  <w:abstractNum w:abstractNumId="342">
    <w:nsid w:val="4CDCED4C"/>
    <w:multiLevelType w:val="hybridMultilevel"/>
    <w:lvl w:ilvl="0">
      <w:lvlJc w:val="left"/>
      <w:lvlText w:val="(%1)"/>
      <w:numFmt w:val="lowerLetter"/>
      <w:start w:val="1"/>
    </w:lvl>
  </w:abstractNum>
  <w:abstractNum w:abstractNumId="343">
    <w:nsid w:val="10A30D9C"/>
    <w:multiLevelType w:val="hybridMultilevel"/>
    <w:lvl w:ilvl="0">
      <w:lvlJc w:val="left"/>
      <w:lvlText w:val="(%1)"/>
      <w:numFmt w:val="lowerRoman"/>
      <w:start w:val="1"/>
    </w:lvl>
  </w:abstractNum>
  <w:abstractNum w:abstractNumId="344">
    <w:nsid w:val="A66E486"/>
    <w:multiLevelType w:val="hybridMultilevel"/>
    <w:lvl w:ilvl="0">
      <w:lvlJc w:val="left"/>
      <w:lvlText w:val="(%1)"/>
      <w:numFmt w:val="lowerRoman"/>
      <w:start w:val="2"/>
    </w:lvl>
  </w:abstractNum>
  <w:abstractNum w:abstractNumId="345">
    <w:nsid w:val="306235EA"/>
    <w:multiLevelType w:val="hybridMultilevel"/>
    <w:lvl w:ilvl="0">
      <w:lvlJc w:val="left"/>
      <w:lvlText w:val="(%1)"/>
      <w:numFmt w:val="lowerLetter"/>
      <w:start w:val="2"/>
    </w:lvl>
  </w:abstractNum>
  <w:abstractNum w:abstractNumId="346">
    <w:nsid w:val="1187C70F"/>
    <w:multiLevelType w:val="hybridMultilevel"/>
    <w:lvl w:ilvl="0">
      <w:lvlJc w:val="left"/>
      <w:lvlText w:val="(%1)"/>
      <w:numFmt w:val="lowerLetter"/>
      <w:start w:val="1"/>
    </w:lvl>
  </w:abstractNum>
  <w:abstractNum w:abstractNumId="347">
    <w:nsid w:val="5476DE98"/>
    <w:multiLevelType w:val="hybridMultilevel"/>
    <w:lvl w:ilvl="0">
      <w:lvlJc w:val="left"/>
      <w:lvlText w:val="(%1)"/>
      <w:numFmt w:val="lowerLetter"/>
      <w:start w:val="6"/>
    </w:lvl>
  </w:abstractNum>
  <w:abstractNum w:abstractNumId="348">
    <w:nsid w:val="EA697F2"/>
    <w:multiLevelType w:val="hybridMultilevel"/>
    <w:lvl w:ilvl="0">
      <w:lvlJc w:val="left"/>
      <w:lvlText w:val="(%1)"/>
      <w:numFmt w:val="lowerLetter"/>
      <w:start w:val="1"/>
    </w:lvl>
    <w:lvl w:ilvl="1">
      <w:lvlJc w:val="left"/>
      <w:lvlText w:val="(%2)"/>
      <w:numFmt w:val="lowerRoman"/>
      <w:start w:val="1"/>
    </w:lvl>
  </w:abstractNum>
  <w:abstractNum w:abstractNumId="349">
    <w:nsid w:val="70BA39EB"/>
    <w:multiLevelType w:val="hybridMultilevel"/>
    <w:lvl w:ilvl="0">
      <w:lvlJc w:val="left"/>
      <w:lvlText w:val="(%1)"/>
      <w:numFmt w:val="lowerLetter"/>
      <w:start w:val="3"/>
    </w:lvl>
  </w:abstractNum>
  <w:abstractNum w:abstractNumId="350">
    <w:nsid w:val="4A8DB59C"/>
    <w:multiLevelType w:val="hybridMultilevel"/>
    <w:lvl w:ilvl="0">
      <w:lvlJc w:val="left"/>
      <w:lvlText w:val="(%1)"/>
      <w:numFmt w:val="lowerLetter"/>
      <w:start w:val="1"/>
    </w:lvl>
    <w:lvl w:ilvl="1">
      <w:lvlJc w:val="left"/>
      <w:lvlText w:val="(%2)"/>
      <w:numFmt w:val="lowerRoman"/>
      <w:start w:val="1"/>
    </w:lvl>
  </w:abstractNum>
  <w:abstractNum w:abstractNumId="351">
    <w:nsid w:val="1AFD9053"/>
    <w:multiLevelType w:val="hybridMultilevel"/>
    <w:lvl w:ilvl="0">
      <w:lvlJc w:val="left"/>
      <w:lvlText w:val="(%1)"/>
      <w:numFmt w:val="lowerLetter"/>
      <w:start w:val="1"/>
    </w:lvl>
  </w:abstractNum>
  <w:abstractNum w:abstractNumId="352">
    <w:nsid w:val="558BB10D"/>
    <w:multiLevelType w:val="hybridMultilevel"/>
    <w:lvl w:ilvl="0">
      <w:lvlJc w:val="left"/>
      <w:lvlText w:val="(%1)"/>
      <w:numFmt w:val="lowerLetter"/>
      <w:start w:val="4"/>
    </w:lvl>
  </w:abstractNum>
  <w:abstractNum w:abstractNumId="353">
    <w:nsid w:val="43B27FA7"/>
    <w:multiLevelType w:val="hybridMultilevel"/>
    <w:lvl w:ilvl="0">
      <w:lvlJc w:val="left"/>
      <w:lvlText w:val="(%1)"/>
      <w:numFmt w:val="lowerLetter"/>
      <w:start w:val="5"/>
    </w:lvl>
  </w:abstractNum>
  <w:abstractNum w:abstractNumId="354">
    <w:nsid w:val="27FADEFA"/>
    <w:multiLevelType w:val="hybridMultilevel"/>
    <w:lvl w:ilvl="0">
      <w:lvlJc w:val="left"/>
      <w:lvlText w:val="(%1)"/>
      <w:numFmt w:val="lowerLetter"/>
      <w:start w:val="1"/>
    </w:lvl>
    <w:lvl w:ilvl="1">
      <w:lvlJc w:val="left"/>
      <w:lvlText w:val="(%2)"/>
      <w:numFmt w:val="lowerRoman"/>
      <w:start w:val="1"/>
    </w:lvl>
  </w:abstractNum>
  <w:abstractNum w:abstractNumId="355">
    <w:nsid w:val="78BB805A"/>
    <w:multiLevelType w:val="hybridMultilevel"/>
    <w:lvl w:ilvl="0">
      <w:lvlJc w:val="left"/>
      <w:lvlText w:val="(%1)"/>
      <w:numFmt w:val="lowerLetter"/>
      <w:start w:val="5"/>
    </w:lvl>
  </w:abstractNum>
  <w:abstractNum w:abstractNumId="356">
    <w:nsid w:val="62548FD8"/>
    <w:multiLevelType w:val="hybridMultilevel"/>
    <w:lvl w:ilvl="0">
      <w:lvlJc w:val="left"/>
      <w:lvlText w:val="(%1)"/>
      <w:numFmt w:val="lowerLetter"/>
      <w:start w:val="1"/>
    </w:lvl>
    <w:lvl w:ilvl="1">
      <w:lvlJc w:val="left"/>
      <w:lvlText w:val="(%2)"/>
      <w:numFmt w:val="lowerRoman"/>
      <w:start w:val="1"/>
    </w:lvl>
  </w:abstractNum>
  <w:abstractNum w:abstractNumId="357">
    <w:nsid w:val="FA085B0"/>
    <w:multiLevelType w:val="hybridMultilevel"/>
    <w:lvl w:ilvl="0">
      <w:lvlJc w:val="left"/>
      <w:lvlText w:val="%1"/>
      <w:numFmt w:val="lowerLetter"/>
      <w:start w:val="1"/>
    </w:lvl>
    <w:lvl w:ilvl="1">
      <w:lvlJc w:val="left"/>
      <w:lvlText w:val="(%2)"/>
      <w:numFmt w:val="lowerRoman"/>
      <w:start w:val="3"/>
    </w:lvl>
  </w:abstractNum>
  <w:abstractNum w:abstractNumId="358">
    <w:nsid w:val="4E5DCB5"/>
    <w:multiLevelType w:val="hybridMultilevel"/>
    <w:lvl w:ilvl="0">
      <w:lvlJc w:val="left"/>
      <w:lvlText w:val="(%1)"/>
      <w:numFmt w:val="lowerLetter"/>
      <w:start w:val="2"/>
    </w:lvl>
    <w:lvl w:ilvl="1">
      <w:lvlJc w:val="left"/>
      <w:lvlText w:val="%2"/>
      <w:numFmt w:val="lowerRoman"/>
      <w:start w:val="1"/>
    </w:lvl>
  </w:abstractNum>
  <w:abstractNum w:abstractNumId="359">
    <w:nsid w:val="41E96BDB"/>
    <w:multiLevelType w:val="hybridMultilevel"/>
    <w:lvl w:ilvl="0">
      <w:lvlJc w:val="left"/>
      <w:lvlText w:val="(%1)"/>
      <w:numFmt w:val="lowerLetter"/>
      <w:start w:val="1"/>
    </w:lvl>
  </w:abstractNum>
  <w:abstractNum w:abstractNumId="360">
    <w:nsid w:val="331C4250"/>
    <w:multiLevelType w:val="hybridMultilevel"/>
    <w:lvl w:ilvl="0">
      <w:lvlJc w:val="left"/>
      <w:lvlText w:val="(%1)"/>
      <w:numFmt w:val="lowerLetter"/>
      <w:start w:val="4"/>
    </w:lvl>
  </w:abstractNum>
  <w:abstractNum w:abstractNumId="361">
    <w:nsid w:val="1B1493C2"/>
    <w:multiLevelType w:val="hybridMultilevel"/>
    <w:lvl w:ilvl="0">
      <w:lvlJc w:val="left"/>
      <w:lvlText w:val="(%1)"/>
      <w:numFmt w:val="lowerLetter"/>
      <w:start w:val="1"/>
    </w:lvl>
  </w:abstractNum>
  <w:abstractNum w:abstractNumId="362">
    <w:nsid w:val="39F06DFD"/>
    <w:multiLevelType w:val="hybridMultilevel"/>
    <w:lvl w:ilvl="0">
      <w:lvlJc w:val="left"/>
      <w:lvlText w:val="(%1)"/>
      <w:numFmt w:val="lowerLetter"/>
      <w:start w:val="1"/>
    </w:lvl>
    <w:lvl w:ilvl="1">
      <w:lvlJc w:val="left"/>
      <w:lvlText w:val="(%2)"/>
      <w:numFmt w:val="lowerRoman"/>
      <w:start w:val="1"/>
    </w:lvl>
  </w:abstractNum>
  <w:abstractNum w:abstractNumId="363">
    <w:nsid w:val="14802F5D"/>
    <w:multiLevelType w:val="hybridMultilevel"/>
    <w:lvl w:ilvl="0">
      <w:lvlJc w:val="left"/>
      <w:lvlText w:val="(%1)"/>
      <w:numFmt w:val="lowerLetter"/>
      <w:start w:val="1"/>
    </w:lvl>
  </w:abstractNum>
  <w:abstractNum w:abstractNumId="364">
    <w:nsid w:val="2774A209"/>
    <w:multiLevelType w:val="hybridMultilevel"/>
    <w:lvl w:ilvl="0">
      <w:lvlJc w:val="left"/>
      <w:lvlText w:val="%1"/>
      <w:numFmt w:val="lowerLetter"/>
      <w:start w:val="1"/>
    </w:lvl>
    <w:lvl w:ilvl="1">
      <w:lvlJc w:val="left"/>
      <w:lvlText w:val="(%2)"/>
      <w:numFmt w:val="lowerLetter"/>
      <w:start w:val="2"/>
    </w:lvl>
  </w:abstractNum>
  <w:abstractNum w:abstractNumId="365">
    <w:nsid w:val="3785655A"/>
    <w:multiLevelType w:val="hybridMultilevel"/>
    <w:lvl w:ilvl="0">
      <w:lvlJc w:val="left"/>
      <w:lvlText w:val="(%1)"/>
      <w:numFmt w:val="lowerLetter"/>
      <w:start w:val="4"/>
    </w:lvl>
    <w:lvl w:ilvl="1">
      <w:lvlJc w:val="left"/>
      <w:lvlText w:val="(%2)"/>
      <w:numFmt w:val="lowerLetter"/>
      <w:start w:val="5"/>
    </w:lvl>
  </w:abstractNum>
  <w:abstractNum w:abstractNumId="366">
    <w:nsid w:val="B2172A"/>
    <w:multiLevelType w:val="hybridMultilevel"/>
    <w:lvl w:ilvl="0">
      <w:lvlJc w:val="left"/>
      <w:lvlText w:val="(%1)"/>
      <w:numFmt w:val="lowerLetter"/>
      <w:start w:val="1"/>
    </w:lvl>
  </w:abstractNum>
  <w:abstractNum w:abstractNumId="367">
    <w:nsid w:val="532C34A5"/>
    <w:multiLevelType w:val="hybridMultilevel"/>
    <w:lvl w:ilvl="0">
      <w:lvlJc w:val="left"/>
      <w:lvlText w:val="(%1)"/>
      <w:numFmt w:val="lowerLetter"/>
      <w:start w:val="1"/>
    </w:lvl>
  </w:abstractNum>
  <w:abstractNum w:abstractNumId="368">
    <w:nsid w:val="102809E2"/>
    <w:multiLevelType w:val="hybridMultilevel"/>
    <w:lvl w:ilvl="0">
      <w:lvlJc w:val="left"/>
      <w:lvlText w:val="(%1)"/>
      <w:numFmt w:val="lowerLetter"/>
      <w:start w:val="1"/>
    </w:lvl>
    <w:lvl w:ilvl="1">
      <w:lvlJc w:val="left"/>
      <w:lvlText w:val="(%2)"/>
      <w:numFmt w:val="lowerLetter"/>
      <w:start w:val="9"/>
    </w:lvl>
  </w:abstractNum>
  <w:abstractNum w:abstractNumId="369">
    <w:nsid w:val="3B2125A3"/>
    <w:multiLevelType w:val="hybridMultilevel"/>
    <w:lvl w:ilvl="0">
      <w:lvlJc w:val="left"/>
      <w:lvlText w:val="(%1)"/>
      <w:numFmt w:val="lowerRoman"/>
      <w:start w:val="2"/>
    </w:lvl>
  </w:abstractNum>
  <w:abstractNum w:abstractNumId="370">
    <w:nsid w:val="AC68FFB"/>
    <w:multiLevelType w:val="hybridMultilevel"/>
    <w:lvl w:ilvl="0">
      <w:lvlJc w:val="left"/>
      <w:lvlText w:val="%1"/>
      <w:numFmt w:val="decimal"/>
      <w:start w:val="33"/>
    </w:lvl>
    <w:lvl w:ilvl="1">
      <w:lvlJc w:val="left"/>
      <w:lvlText w:val="(%2)"/>
      <w:numFmt w:val="lowerLetter"/>
      <w:start w:val="1"/>
    </w:lvl>
  </w:abstractNum>
  <w:abstractNum w:abstractNumId="371">
    <w:nsid w:val="63DF3FB7"/>
    <w:multiLevelType w:val="hybridMultilevel"/>
    <w:lvl w:ilvl="0">
      <w:lvlJc w:val="left"/>
      <w:lvlText w:val="%1"/>
      <w:numFmt w:val="lowerLetter"/>
      <w:start w:val="1"/>
    </w:lvl>
    <w:lvl w:ilvl="1">
      <w:lvlJc w:val="left"/>
      <w:lvlText w:val="(%2)"/>
      <w:numFmt w:val="lowerLetter"/>
      <w:start w:val="1"/>
    </w:lvl>
  </w:abstractNum>
  <w:abstractNum w:abstractNumId="372">
    <w:nsid w:val="64996E13"/>
    <w:multiLevelType w:val="hybridMultilevel"/>
    <w:lvl w:ilvl="0">
      <w:lvlJc w:val="left"/>
      <w:lvlText w:val="(%1)"/>
      <w:numFmt w:val="lowerLetter"/>
      <w:start w:val="3"/>
    </w:lvl>
    <w:lvl w:ilvl="1">
      <w:lvlJc w:val="left"/>
      <w:lvlText w:val="%2"/>
      <w:numFmt w:val="lowerLetter"/>
      <w:start w:val="1"/>
    </w:lvl>
  </w:abstractNum>
  <w:abstractNum w:abstractNumId="373">
    <w:nsid w:val="57A37D47"/>
    <w:multiLevelType w:val="hybridMultilevel"/>
    <w:lvl w:ilvl="0">
      <w:lvlJc w:val="left"/>
      <w:lvlText w:val="%1"/>
      <w:numFmt w:val="decimal"/>
      <w:start w:val="34"/>
    </w:lvl>
  </w:abstractNum>
  <w:abstractNum w:abstractNumId="374">
    <w:nsid w:val="74824D54"/>
    <w:multiLevelType w:val="hybridMultilevel"/>
    <w:lvl w:ilvl="0">
      <w:lvlJc w:val="left"/>
      <w:lvlText w:val="(%1)"/>
      <w:numFmt w:val="lowerLetter"/>
      <w:start w:val="1"/>
    </w:lvl>
  </w:abstractNum>
  <w:abstractNum w:abstractNumId="375">
    <w:nsid w:val="6F00529A"/>
    <w:multiLevelType w:val="hybridMultilevel"/>
    <w:lvl w:ilvl="0">
      <w:lvlJc w:val="left"/>
      <w:lvlText w:val="(%1)"/>
      <w:numFmt w:val="lowerLetter"/>
      <w:start w:val="1"/>
    </w:lvl>
  </w:abstractNum>
  <w:abstractNum w:abstractNumId="376">
    <w:nsid w:val="805B331"/>
    <w:multiLevelType w:val="hybridMultilevel"/>
    <w:lvl w:ilvl="0">
      <w:lvlJc w:val="left"/>
      <w:lvlText w:val="(%1)"/>
      <w:numFmt w:val="lowerLetter"/>
      <w:start w:val="1"/>
    </w:lvl>
    <w:lvl w:ilvl="1">
      <w:lvlJc w:val="left"/>
      <w:lvlText w:val="(%2)"/>
      <w:numFmt w:val="lowerRoman"/>
      <w:start w:val="1"/>
    </w:lvl>
  </w:abstractNum>
  <w:abstractNum w:abstractNumId="377">
    <w:nsid w:val="60A1463"/>
    <w:multiLevelType w:val="hybridMultilevel"/>
    <w:lvl w:ilvl="0">
      <w:lvlJc w:val="left"/>
      <w:lvlText w:val="%1"/>
      <w:numFmt w:val="decimal"/>
      <w:start w:val="35"/>
    </w:lvl>
    <w:lvl w:ilvl="1">
      <w:lvlJc w:val="left"/>
      <w:lvlText w:val="(%2)"/>
      <w:numFmt w:val="lowerLetter"/>
      <w:start w:val="1"/>
    </w:lvl>
  </w:abstractNum>
  <w:abstractNum w:abstractNumId="378">
    <w:nsid w:val="43773132"/>
    <w:multiLevelType w:val="hybridMultilevel"/>
    <w:lvl w:ilvl="0">
      <w:lvlJc w:val="left"/>
      <w:lvlText w:val="(%1)"/>
      <w:numFmt w:val="lowerLetter"/>
      <w:start w:val="2"/>
    </w:lvl>
  </w:abstractNum>
  <w:abstractNum w:abstractNumId="379">
    <w:nsid w:val="16AC4B23"/>
    <w:multiLevelType w:val="hybridMultilevel"/>
    <w:lvl w:ilvl="0">
      <w:lvlJc w:val="left"/>
      <w:lvlText w:val="(%1)"/>
      <w:numFmt w:val="lowerLetter"/>
      <w:start w:val="1"/>
    </w:lvl>
    <w:lvl w:ilvl="1">
      <w:lvlJc w:val="left"/>
      <w:lvlText w:val="(%2)"/>
      <w:numFmt w:val="lowerRoman"/>
      <w:start w:val="1"/>
    </w:lvl>
  </w:abstractNum>
  <w:abstractNum w:abstractNumId="380">
    <w:nsid w:val="76C44E4E"/>
    <w:multiLevelType w:val="hybridMultilevel"/>
    <w:lvl w:ilvl="0">
      <w:lvlJc w:val="left"/>
      <w:lvlText w:val="(%1)"/>
      <w:numFmt w:val="lowerLetter"/>
      <w:start w:val="1"/>
    </w:lvl>
  </w:abstractNum>
  <w:abstractNum w:abstractNumId="381">
    <w:nsid w:val="E04E6CE"/>
    <w:multiLevelType w:val="hybridMultilevel"/>
    <w:lvl w:ilvl="0">
      <w:lvlJc w:val="left"/>
      <w:lvlText w:val="(%1)"/>
      <w:numFmt w:val="lowerRoman"/>
      <w:start w:val="1"/>
    </w:lvl>
  </w:abstractNum>
  <w:abstractNum w:abstractNumId="382">
    <w:nsid w:val="31A9DB76"/>
    <w:multiLevelType w:val="hybridMultilevel"/>
    <w:lvl w:ilvl="0">
      <w:lvlJc w:val="left"/>
      <w:lvlText w:val="%1"/>
      <w:numFmt w:val="lowerLetter"/>
      <w:start w:val="1"/>
    </w:lvl>
    <w:lvl w:ilvl="1">
      <w:lvlJc w:val="left"/>
      <w:lvlText w:val="(%2)"/>
      <w:numFmt w:val="lowerRoman"/>
      <w:start w:val="2"/>
    </w:lvl>
  </w:abstractNum>
  <w:abstractNum w:abstractNumId="383">
    <w:nsid w:val="4C4FFF5B"/>
    <w:multiLevelType w:val="hybridMultilevel"/>
    <w:lvl w:ilvl="0">
      <w:lvlJc w:val="left"/>
      <w:lvlText w:val="(%1)"/>
      <w:numFmt w:val="lowerLetter"/>
      <w:start w:val="2"/>
    </w:lvl>
    <w:lvl w:ilvl="1">
      <w:lvlJc w:val="left"/>
      <w:lvlText w:val="%2"/>
      <w:numFmt w:val="lowerRoman"/>
      <w:start w:val="1"/>
    </w:lvl>
  </w:abstractNum>
  <w:abstractNum w:abstractNumId="384">
    <w:nsid w:val="51B76675"/>
    <w:multiLevelType w:val="hybridMultilevel"/>
    <w:lvl w:ilvl="0">
      <w:lvlJc w:val="left"/>
      <w:lvlText w:val="(%1)"/>
      <w:numFmt w:val="lowerLetter"/>
      <w:start w:val="1"/>
    </w:lvl>
  </w:abstractNum>
  <w:abstractNum w:abstractNumId="385">
    <w:nsid w:val="59A4BA71"/>
    <w:multiLevelType w:val="hybridMultilevel"/>
    <w:lvl w:ilvl="0">
      <w:lvlJc w:val="left"/>
      <w:lvlText w:val="(%1)"/>
      <w:numFmt w:val="lowerLetter"/>
      <w:start w:val="1"/>
    </w:lvl>
  </w:abstractNum>
  <w:abstractNum w:abstractNumId="386">
    <w:nsid w:val="450B7FB6"/>
    <w:multiLevelType w:val="hybridMultilevel"/>
    <w:lvl w:ilvl="0">
      <w:lvlJc w:val="left"/>
      <w:lvlText w:val="(%1)"/>
      <w:numFmt w:val="lowerLetter"/>
      <w:start w:val="1"/>
    </w:lvl>
    <w:lvl w:ilvl="1">
      <w:lvlJc w:val="left"/>
      <w:lvlText w:val="(%2)"/>
      <w:numFmt w:val="lowerRoman"/>
      <w:start w:val="1"/>
    </w:lvl>
  </w:abstractNum>
  <w:abstractNum w:abstractNumId="387">
    <w:nsid w:val="340BF64D"/>
    <w:multiLevelType w:val="hybridMultilevel"/>
    <w:lvl w:ilvl="0">
      <w:lvlJc w:val="left"/>
      <w:lvlText w:val="%1"/>
      <w:numFmt w:val="lowerLetter"/>
      <w:start w:val="1"/>
    </w:lvl>
    <w:lvl w:ilvl="1">
      <w:lvlJc w:val="left"/>
      <w:lvlText w:val="(%2)"/>
      <w:numFmt w:val="lowerLetter"/>
      <w:start w:val="1"/>
    </w:lvl>
  </w:abstractNum>
  <w:abstractNum w:abstractNumId="388">
    <w:nsid w:val="69454021"/>
    <w:multiLevelType w:val="hybridMultilevel"/>
    <w:lvl w:ilvl="0">
      <w:lvlJc w:val="left"/>
      <w:lvlText w:val="(%1)"/>
      <w:numFmt w:val="lowerLetter"/>
      <w:start w:val="5"/>
    </w:lvl>
    <w:lvl w:ilvl="1">
      <w:lvlJc w:val="left"/>
      <w:lvlText w:val="%2"/>
      <w:numFmt w:val="lowerLetter"/>
      <w:start w:val="1"/>
    </w:lvl>
  </w:abstractNum>
  <w:abstractNum w:abstractNumId="389">
    <w:nsid w:val="49F15C6B"/>
    <w:multiLevelType w:val="hybridMultilevel"/>
    <w:lvl w:ilvl="0">
      <w:lvlJc w:val="left"/>
      <w:lvlText w:val="(%1)"/>
      <w:numFmt w:val="lowerLetter"/>
      <w:start w:val="1"/>
    </w:lvl>
  </w:abstractNum>
  <w:abstractNum w:abstractNumId="390">
    <w:nsid w:val="75F56228"/>
    <w:multiLevelType w:val="hybridMultilevel"/>
    <w:lvl w:ilvl="0">
      <w:lvlJc w:val="left"/>
      <w:lvlText w:val="(%1)"/>
      <w:numFmt w:val="lowerLetter"/>
      <w:start w:val="2"/>
    </w:lvl>
  </w:abstractNum>
  <w:abstractNum w:abstractNumId="391">
    <w:nsid w:val="1C61827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92">
    <w:nsid w:val="6505F02E"/>
    <w:multiLevelType w:val="hybridMultilevel"/>
    <w:lvl w:ilvl="0">
      <w:lvlJc w:val="left"/>
      <w:lvlText w:val="(%1)"/>
      <w:numFmt w:val="lowerLetter"/>
      <w:start w:val="1"/>
    </w:lvl>
  </w:abstractNum>
  <w:abstractNum w:abstractNumId="393">
    <w:nsid w:val="2FE5D025"/>
    <w:multiLevelType w:val="hybridMultilevel"/>
    <w:lvl w:ilvl="0">
      <w:lvlJc w:val="left"/>
      <w:lvlText w:val="(%1)"/>
      <w:numFmt w:val="lowerLetter"/>
      <w:start w:val="1"/>
    </w:lvl>
    <w:lvl w:ilvl="1">
      <w:lvlJc w:val="left"/>
      <w:lvlText w:val="(%2)"/>
      <w:numFmt w:val="lowerRoman"/>
      <w:start w:val="1"/>
    </w:lvl>
  </w:abstractNum>
  <w:abstractNum w:abstractNumId="394">
    <w:nsid w:val="30E1B1CF"/>
    <w:multiLevelType w:val="hybridMultilevel"/>
    <w:lvl w:ilvl="0">
      <w:lvlJc w:val="left"/>
      <w:lvlText w:val="%1"/>
      <w:numFmt w:val="decimal"/>
      <w:start w:val="36"/>
    </w:lvl>
  </w:abstractNum>
  <w:abstractNum w:abstractNumId="395">
    <w:nsid w:val="C7A9237"/>
    <w:multiLevelType w:val="hybridMultilevel"/>
    <w:lvl w:ilvl="0">
      <w:lvlJc w:val="left"/>
      <w:lvlText w:val="(%1)"/>
      <w:numFmt w:val="lowerRoman"/>
      <w:start w:val="1"/>
    </w:lvl>
  </w:abstractNum>
  <w:abstractNum w:abstractNumId="396">
    <w:nsid w:val="676B3580"/>
    <w:multiLevelType w:val="hybridMultilevel"/>
    <w:lvl w:ilvl="0">
      <w:lvlJc w:val="left"/>
      <w:lvlText w:val="(%1)"/>
      <w:numFmt w:val="lowerRoman"/>
      <w:start w:val="2"/>
    </w:lvl>
  </w:abstractNum>
  <w:abstractNum w:abstractNumId="397">
    <w:nsid w:val="3193C8F9"/>
    <w:multiLevelType w:val="hybridMultilevel"/>
    <w:lvl w:ilvl="0">
      <w:lvlJc w:val="left"/>
      <w:lvlText w:val="(%1)"/>
      <w:numFmt w:val="lowerLetter"/>
      <w:start w:val="1"/>
    </w:lvl>
    <w:lvl w:ilvl="1">
      <w:lvlJc w:val="left"/>
      <w:lvlText w:val="(%2)"/>
      <w:numFmt w:val="lowerRoman"/>
      <w:start w:val="1"/>
    </w:lvl>
  </w:abstractNum>
  <w:abstractNum w:abstractNumId="398">
    <w:nsid w:val="5FA6C6DC"/>
    <w:multiLevelType w:val="hybridMultilevel"/>
    <w:lvl w:ilvl="0">
      <w:lvlJc w:val="left"/>
      <w:lvlText w:val="(%1)"/>
      <w:numFmt w:val="lowerLetter"/>
      <w:start w:val="2"/>
    </w:lvl>
  </w:abstractNum>
  <w:abstractNum w:abstractNumId="399">
    <w:nsid w:val="77933F62"/>
    <w:multiLevelType w:val="hybridMultilevel"/>
    <w:lvl w:ilvl="0">
      <w:lvlJc w:val="left"/>
      <w:lvlText w:val="(%1)"/>
      <w:numFmt w:val="lowerLetter"/>
      <w:start w:val="1"/>
    </w:lvl>
  </w:abstractNum>
  <w:abstractNum w:abstractNumId="400">
    <w:nsid w:val="6CB4EE9C"/>
    <w:multiLevelType w:val="hybridMultilevel"/>
    <w:lvl w:ilvl="0">
      <w:lvlJc w:val="left"/>
      <w:lvlText w:val="(%1)"/>
      <w:numFmt w:val="lowerRoman"/>
      <w:start w:val="1"/>
    </w:lvl>
  </w:abstractNum>
  <w:abstractNum w:abstractNumId="401">
    <w:nsid w:val="6A6D56D7"/>
    <w:multiLevelType w:val="hybridMultilevel"/>
    <w:lvl w:ilvl="0">
      <w:lvlJc w:val="left"/>
      <w:lvlText w:val="%1"/>
      <w:numFmt w:val="lowerLetter"/>
      <w:start w:val="1"/>
    </w:lvl>
    <w:lvl w:ilvl="1">
      <w:lvlJc w:val="left"/>
      <w:lvlText w:val="(%2)"/>
      <w:numFmt w:val="lowerLetter"/>
      <w:start w:val="35"/>
    </w:lvl>
  </w:abstractNum>
  <w:abstractNum w:abstractNumId="402">
    <w:nsid w:val="5B727F19"/>
    <w:multiLevelType w:val="hybridMultilevel"/>
    <w:lvl w:ilvl="0">
      <w:lvlJc w:val="left"/>
      <w:lvlText w:val="(%1)"/>
      <w:numFmt w:val="lowerLetter"/>
      <w:start w:val="2"/>
    </w:lvl>
    <w:lvl w:ilvl="1">
      <w:lvlJc w:val="left"/>
      <w:lvlText w:val="(%2)"/>
      <w:numFmt w:val="lowerLetter"/>
      <w:start w:val="9"/>
    </w:lvl>
  </w:abstractNum>
  <w:abstractNum w:abstractNumId="403">
    <w:nsid w:val="514E5CB0"/>
    <w:multiLevelType w:val="hybridMultilevel"/>
    <w:lvl w:ilvl="0">
      <w:lvlJc w:val="left"/>
      <w:lvlText w:val="(%1)"/>
      <w:numFmt w:val="lowerRoman"/>
      <w:start w:val="2"/>
    </w:lvl>
  </w:abstractNum>
  <w:abstractNum w:abstractNumId="404">
    <w:nsid w:val="4210D41E"/>
    <w:multiLevelType w:val="hybridMultilevel"/>
    <w:lvl w:ilvl="0">
      <w:lvlJc w:val="left"/>
      <w:lvlText w:val="(%1)"/>
      <w:numFmt w:val="lowerLetter"/>
      <w:start w:val="5"/>
    </w:lvl>
  </w:abstractNum>
  <w:abstractNum w:abstractNumId="405">
    <w:nsid w:val="4FF4CC6D"/>
    <w:multiLevelType w:val="hybridMultilevel"/>
    <w:lvl w:ilvl="0">
      <w:lvlJc w:val="left"/>
      <w:lvlText w:val="(%1)"/>
      <w:numFmt w:val="lowerLetter"/>
      <w:start w:val="1"/>
    </w:lvl>
    <w:lvl w:ilvl="1">
      <w:lvlJc w:val="left"/>
      <w:lvlText w:val="(%2)"/>
      <w:numFmt w:val="lowerRoman"/>
      <w:start w:val="1"/>
    </w:lvl>
  </w:abstractNum>
  <w:abstractNum w:abstractNumId="406">
    <w:nsid w:val="404EAF4A"/>
    <w:multiLevelType w:val="hybridMultilevel"/>
    <w:lvl w:ilvl="0">
      <w:lvlJc w:val="left"/>
      <w:lvlText w:val="%1"/>
      <w:numFmt w:val="decimal"/>
      <w:start w:val="38"/>
    </w:lvl>
  </w:abstractNum>
  <w:abstractNum w:abstractNumId="407">
    <w:nsid w:val="4A16874F"/>
    <w:multiLevelType w:val="hybridMultilevel"/>
    <w:lvl w:ilvl="0">
      <w:lvlJc w:val="left"/>
      <w:lvlText w:val="%1"/>
      <w:numFmt w:val="decimal"/>
      <w:start w:val="39"/>
    </w:lvl>
  </w:abstractNum>
  <w:abstractNum w:abstractNumId="408">
    <w:nsid w:val="55FEE0D1"/>
    <w:multiLevelType w:val="hybridMultilevel"/>
    <w:lvl w:ilvl="0">
      <w:lvlJc w:val="left"/>
      <w:lvlText w:val="(%1)"/>
      <w:numFmt w:val="lowerLetter"/>
      <w:start w:val="1"/>
    </w:lvl>
  </w:abstractNum>
  <w:abstractNum w:abstractNumId="409">
    <w:nsid w:val="3C5E07C"/>
    <w:multiLevelType w:val="hybridMultilevel"/>
    <w:lvl w:ilvl="0">
      <w:lvlJc w:val="left"/>
      <w:lvlText w:val="(%1)"/>
      <w:numFmt w:val="lowerLetter"/>
      <w:start w:val="3"/>
    </w:lvl>
  </w:abstractNum>
  <w:abstractNum w:abstractNumId="410">
    <w:nsid w:val="60C2D273"/>
    <w:multiLevelType w:val="hybridMultilevel"/>
    <w:lvl w:ilvl="0">
      <w:lvlJc w:val="left"/>
      <w:lvlText w:val="(%1)"/>
      <w:numFmt w:val="lowerLetter"/>
      <w:start w:val="1"/>
    </w:lvl>
    <w:lvl w:ilvl="1">
      <w:lvlJc w:val="left"/>
      <w:lvlText w:val="(%2)"/>
      <w:numFmt w:val="lowerRoman"/>
      <w:start w:val="1"/>
    </w:lvl>
  </w:abstractNum>
  <w:abstractNum w:abstractNumId="411">
    <w:nsid w:val="4CC32F1F"/>
    <w:multiLevelType w:val="hybridMultilevel"/>
    <w:lvl w:ilvl="0">
      <w:lvlJc w:val="left"/>
      <w:lvlText w:val="(%1)"/>
      <w:numFmt w:val="lowerLetter"/>
      <w:start w:val="1"/>
    </w:lvl>
  </w:abstractNum>
  <w:abstractNum w:abstractNumId="412">
    <w:nsid w:val="11CAC74A"/>
    <w:multiLevelType w:val="hybridMultilevel"/>
    <w:lvl w:ilvl="0">
      <w:lvlJc w:val="left"/>
      <w:lvlText w:val="(%1)"/>
      <w:numFmt w:val="lowerLetter"/>
      <w:start w:val="1"/>
    </w:lvl>
    <w:lvl w:ilvl="1">
      <w:lvlJc w:val="left"/>
      <w:lvlText w:val="(%2)"/>
      <w:numFmt w:val="lowerRoman"/>
      <w:start w:val="1"/>
    </w:lvl>
  </w:abstractNum>
  <w:abstractNum w:abstractNumId="413">
    <w:nsid w:val="126CADE9"/>
    <w:multiLevelType w:val="hybridMultilevel"/>
    <w:lvl w:ilvl="0">
      <w:lvlJc w:val="left"/>
      <w:lvlText w:val="(%1)"/>
      <w:numFmt w:val="lowerLetter"/>
      <w:start w:val="1"/>
    </w:lvl>
  </w:abstractNum>
  <w:abstractNum w:abstractNumId="414">
    <w:nsid w:val="19132E7B"/>
    <w:multiLevelType w:val="hybridMultilevel"/>
    <w:lvl w:ilvl="0">
      <w:lvlJc w:val="left"/>
      <w:lvlText w:val="(%1)"/>
      <w:numFmt w:val="lowerLetter"/>
      <w:start w:val="2"/>
    </w:lvl>
    <w:lvl w:ilvl="1">
      <w:lvlJc w:val="left"/>
      <w:lvlText w:val="(%2)"/>
      <w:numFmt w:val="lowerRoman"/>
      <w:start w:val="1"/>
    </w:lvl>
  </w:abstractNum>
  <w:abstractNum w:abstractNumId="415">
    <w:nsid w:val="63822DC0"/>
    <w:multiLevelType w:val="hybridMultilevel"/>
    <w:lvl w:ilvl="0">
      <w:lvlJc w:val="left"/>
      <w:lvlText w:val="(%1)"/>
      <w:numFmt w:val="lowerLetter"/>
      <w:start w:val="1"/>
    </w:lvl>
  </w:abstractNum>
  <w:abstractNum w:abstractNumId="416">
    <w:nsid w:val="6C11685A"/>
    <w:multiLevelType w:val="hybridMultilevel"/>
    <w:lvl w:ilvl="0">
      <w:lvlJc w:val="left"/>
      <w:lvlText w:val="(%1)"/>
      <w:numFmt w:val="lowerLetter"/>
      <w:start w:val="1"/>
    </w:lvl>
  </w:abstractNum>
  <w:abstractNum w:abstractNumId="417">
    <w:nsid w:val="5E1EAE31"/>
    <w:multiLevelType w:val="hybridMultilevel"/>
    <w:lvl w:ilvl="0">
      <w:lvlJc w:val="left"/>
      <w:lvlText w:val="%1"/>
      <w:numFmt w:val="decimal"/>
      <w:start w:val="42"/>
    </w:lvl>
  </w:abstractNum>
  <w:abstractNum w:abstractNumId="418">
    <w:nsid w:val="178E240D"/>
    <w:multiLevelType w:val="hybridMultilevel"/>
    <w:lvl w:ilvl="0">
      <w:lvlJc w:val="left"/>
      <w:lvlText w:val="(%1)"/>
      <w:numFmt w:val="lowerLetter"/>
      <w:start w:val="1"/>
    </w:lvl>
  </w:abstractNum>
  <w:abstractNum w:abstractNumId="419">
    <w:nsid w:val="5556A87B"/>
    <w:multiLevelType w:val="hybridMultilevel"/>
    <w:lvl w:ilvl="0">
      <w:lvlJc w:val="left"/>
      <w:lvlText w:val="(%1)"/>
      <w:numFmt w:val="lowerLetter"/>
      <w:start w:val="1"/>
    </w:lvl>
    <w:lvl w:ilvl="1">
      <w:lvlJc w:val="left"/>
      <w:lvlText w:val="(%2)"/>
      <w:numFmt w:val="lowerRoman"/>
      <w:start w:val="1"/>
    </w:lvl>
  </w:abstractNum>
  <w:abstractNum w:abstractNumId="420">
    <w:nsid w:val="28100A9C"/>
    <w:multiLevelType w:val="hybridMultilevel"/>
    <w:lvl w:ilvl="0">
      <w:lvlJc w:val="left"/>
      <w:lvlText w:val="(%1)"/>
      <w:numFmt w:val="lowerRoman"/>
      <w:start w:val="6"/>
    </w:lvl>
  </w:abstractNum>
  <w:abstractNum w:abstractNumId="421">
    <w:nsid w:val="D838636"/>
    <w:multiLevelType w:val="hybridMultilevel"/>
    <w:lvl w:ilvl="0">
      <w:lvlJc w:val="left"/>
      <w:lvlText w:val="(%1)"/>
      <w:numFmt w:val="lowerLetter"/>
      <w:start w:val="2"/>
    </w:lvl>
    <w:lvl w:ilvl="1">
      <w:lvlJc w:val="left"/>
      <w:lvlText w:val="(%2)"/>
      <w:numFmt w:val="lowerRoman"/>
      <w:start w:val="1"/>
    </w:lvl>
  </w:abstractNum>
  <w:abstractNum w:abstractNumId="422">
    <w:nsid w:val="71B82AED"/>
    <w:multiLevelType w:val="hybridMultilevel"/>
    <w:lvl w:ilvl="0">
      <w:lvlJc w:val="left"/>
      <w:lvlText w:val="(%1)"/>
      <w:numFmt w:val="lowerLetter"/>
      <w:start w:val="1"/>
    </w:lvl>
  </w:abstractNum>
  <w:abstractNum w:abstractNumId="423">
    <w:nsid w:val="D15FACA"/>
    <w:multiLevelType w:val="hybridMultilevel"/>
    <w:lvl w:ilvl="0">
      <w:lvlJc w:val="left"/>
      <w:lvlText w:val="(%1)"/>
      <w:numFmt w:val="lowerLetter"/>
      <w:start w:val="2"/>
    </w:lvl>
  </w:abstractNum>
  <w:abstractNum w:abstractNumId="424">
    <w:nsid w:val="3D69565B"/>
    <w:multiLevelType w:val="hybridMultilevel"/>
    <w:lvl w:ilvl="0">
      <w:lvlJc w:val="left"/>
      <w:lvlText w:val="(%1)"/>
      <w:numFmt w:val="lowerLetter"/>
      <w:start w:val="1"/>
    </w:lvl>
  </w:abstractNum>
  <w:abstractNum w:abstractNumId="425">
    <w:nsid w:val="2299DCBC"/>
    <w:multiLevelType w:val="hybridMultilevel"/>
    <w:lvl w:ilvl="0">
      <w:lvlJc w:val="left"/>
      <w:lvlText w:val="%1"/>
      <w:numFmt w:val="decimal"/>
      <w:start w:val="44"/>
    </w:lvl>
  </w:abstractNum>
  <w:abstractNum w:abstractNumId="426">
    <w:nsid w:val="19908D02"/>
    <w:multiLevelType w:val="hybridMultilevel"/>
    <w:lvl w:ilvl="0">
      <w:lvlJc w:val="left"/>
      <w:lvlText w:val="(%1)"/>
      <w:numFmt w:val="lowerLetter"/>
      <w:start w:val="1"/>
    </w:lvl>
  </w:abstractNum>
  <w:abstractNum w:abstractNumId="427">
    <w:nsid w:val="24D48BDB"/>
    <w:multiLevelType w:val="hybridMultilevel"/>
    <w:lvl w:ilvl="0">
      <w:lvlJc w:val="left"/>
      <w:lvlText w:val="(%1)"/>
      <w:numFmt w:val="lowerLetter"/>
      <w:start w:val="1"/>
    </w:lvl>
  </w:abstractNum>
  <w:abstractNum w:abstractNumId="428">
    <w:nsid w:val="542DA5B5"/>
    <w:multiLevelType w:val="hybridMultilevel"/>
    <w:lvl w:ilvl="0">
      <w:lvlJc w:val="left"/>
      <w:lvlText w:val="1"/>
      <w:numFmt w:val="bullet"/>
      <w:start w:val="1"/>
    </w:lvl>
    <w:lvl w:ilvl="1">
      <w:lvlJc w:val="left"/>
      <w:lvlText w:val="(%2)"/>
      <w:numFmt w:val="lowerLetter"/>
      <w:start w:val="1"/>
    </w:lvl>
    <w:lvl w:ilvl="2">
      <w:lvlJc w:val="left"/>
      <w:lvlText w:val="(%3)"/>
      <w:numFmt w:val="lowerRoman"/>
      <w:start w:val="1"/>
    </w:lvl>
  </w:abstractNum>
  <w:abstractNum w:abstractNumId="429">
    <w:nsid w:val="793753DE"/>
    <w:multiLevelType w:val="hybridMultilevel"/>
    <w:lvl w:ilvl="0">
      <w:lvlJc w:val="left"/>
      <w:lvlText w:val="2"/>
      <w:numFmt w:val="bullet"/>
      <w:start w:val="1"/>
    </w:lvl>
  </w:abstractNum>
  <w:abstractNum w:abstractNumId="430">
    <w:nsid w:val="1C67CB3D"/>
    <w:multiLevelType w:val="hybridMultilevel"/>
    <w:lvl w:ilvl="0">
      <w:lvlJc w:val="left"/>
      <w:lvlText w:val="(%1)"/>
      <w:numFmt w:val="lowerLetter"/>
      <w:start w:val="1"/>
    </w:lvl>
  </w:abstractNum>
  <w:abstractNum w:abstractNumId="431">
    <w:nsid w:val="40E29452"/>
    <w:multiLevelType w:val="hybridMultilevel"/>
    <w:lvl w:ilvl="0">
      <w:lvlJc w:val="left"/>
      <w:lvlText w:val="(%1)"/>
      <w:numFmt w:val="lowerLetter"/>
      <w:start w:val="2"/>
    </w:lvl>
  </w:abstractNum>
  <w:abstractNum w:abstractNumId="432">
    <w:nsid w:val="63A4AAB6"/>
    <w:multiLevelType w:val="hybridMultilevel"/>
    <w:lvl w:ilvl="0">
      <w:lvlJc w:val="left"/>
      <w:lvlText w:val="3"/>
      <w:numFmt w:val="bullet"/>
      <w:start w:val="1"/>
    </w:lvl>
  </w:abstractNum>
  <w:abstractNum w:abstractNumId="433">
    <w:nsid w:val="77DA4A57"/>
    <w:multiLevelType w:val="hybridMultilevel"/>
    <w:lvl w:ilvl="0">
      <w:lvlJc w:val="left"/>
      <w:lvlText w:val="4"/>
      <w:numFmt w:val="bullet"/>
      <w:start w:val="1"/>
    </w:lvl>
    <w:lvl w:ilvl="1">
      <w:lvlJc w:val="left"/>
      <w:lvlText w:val="(%2)"/>
      <w:numFmt w:val="lowerLetter"/>
      <w:start w:val="1"/>
    </w:lvl>
  </w:abstractNum>
  <w:abstractNum w:abstractNumId="434">
    <w:nsid w:val="1230F102"/>
    <w:multiLevelType w:val="hybridMultilevel"/>
    <w:lvl w:ilvl="0">
      <w:lvlJc w:val="left"/>
      <w:lvlText w:val="5"/>
      <w:numFmt w:val="bullet"/>
      <w:start w:val="1"/>
    </w:lvl>
    <w:lvl w:ilvl="1">
      <w:lvlJc w:val="left"/>
      <w:lvlText w:val="(%2)"/>
      <w:numFmt w:val="lowerLetter"/>
      <w:start w:val="1"/>
    </w:lvl>
  </w:abstractNum>
  <w:abstractNum w:abstractNumId="435">
    <w:nsid w:val="25B57ED4"/>
    <w:multiLevelType w:val="hybridMultilevel"/>
    <w:lvl w:ilvl="0">
      <w:lvlJc w:val="left"/>
      <w:lvlText w:val="6"/>
      <w:numFmt w:val="bullet"/>
      <w:start w:val="1"/>
    </w:lvl>
  </w:abstractNum>
  <w:abstractNum w:abstractNumId="436">
    <w:nsid w:val="47CF16C4"/>
    <w:multiLevelType w:val="hybridMultilevel"/>
    <w:lvl w:ilvl="0">
      <w:lvlJc w:val="left"/>
      <w:lvlText w:val="7"/>
      <w:numFmt w:val="bullet"/>
      <w:start w:val="1"/>
    </w:lvl>
  </w:abstractNum>
  <w:abstractNum w:abstractNumId="437">
    <w:nsid w:val="527FA04C"/>
    <w:multiLevelType w:val="hybridMultilevel"/>
    <w:lvl w:ilvl="0">
      <w:lvlJc w:val="left"/>
      <w:lvlText w:val="8"/>
      <w:numFmt w:val="bullet"/>
      <w:start w:val="1"/>
    </w:lvl>
  </w:abstractNum>
  <w:abstractNum w:abstractNumId="438">
    <w:nsid w:val="6FCC0624"/>
    <w:multiLevelType w:val="hybridMultilevel"/>
    <w:lvl w:ilvl="0">
      <w:lvlJc w:val="left"/>
      <w:lvlText w:val="1"/>
      <w:numFmt w:val="bullet"/>
      <w:start w:val="1"/>
    </w:lvl>
    <w:lvl w:ilvl="1">
      <w:lvlJc w:val="left"/>
      <w:lvlText w:val="(%2)"/>
      <w:numFmt w:val="lowerLetter"/>
      <w:start w:val="1"/>
    </w:lvl>
  </w:abstractNum>
  <w:abstractNum w:abstractNumId="439">
    <w:nsid w:val="1DCDF795"/>
    <w:multiLevelType w:val="hybridMultilevel"/>
    <w:lvl w:ilvl="0">
      <w:lvlJc w:val="left"/>
      <w:lvlText w:val="2"/>
      <w:numFmt w:val="bullet"/>
      <w:start w:val="1"/>
    </w:lvl>
    <w:lvl w:ilvl="1">
      <w:lvlJc w:val="left"/>
      <w:lvlText w:val="(%2)"/>
      <w:numFmt w:val="lowerLetter"/>
      <w:start w:val="1"/>
    </w:lvl>
  </w:abstractNum>
  <w:abstractNum w:abstractNumId="440">
    <w:nsid w:val="564580C8"/>
    <w:multiLevelType w:val="hybridMultilevel"/>
    <w:lvl w:ilvl="0">
      <w:lvlJc w:val="left"/>
      <w:lvlText w:val="3"/>
      <w:numFmt w:val="bullet"/>
      <w:start w:val="1"/>
    </w:lvl>
    <w:lvl w:ilvl="1">
      <w:lvlJc w:val="left"/>
      <w:lvlText w:val="(%2)"/>
      <w:numFmt w:val="lowerLetter"/>
      <w:start w:val="1"/>
    </w:lvl>
  </w:abstractNum>
  <w:abstractNum w:abstractNumId="441">
    <w:nsid w:val="508ED897"/>
    <w:multiLevelType w:val="hybridMultilevel"/>
    <w:lvl w:ilvl="0">
      <w:lvlJc w:val="left"/>
      <w:lvlText w:val="(%1)"/>
      <w:numFmt w:val="lowerLetter"/>
      <w:start w:val="3"/>
    </w:lvl>
  </w:abstractNum>
  <w:abstractNum w:abstractNumId="442">
    <w:nsid w:val="6A9126B5"/>
    <w:multiLevelType w:val="hybridMultilevel"/>
    <w:lvl w:ilvl="0">
      <w:lvlJc w:val="left"/>
      <w:lvlText w:val="4"/>
      <w:numFmt w:val="bullet"/>
      <w:start w:val="1"/>
    </w:lvl>
  </w:abstractNum>
  <w:abstractNum w:abstractNumId="443">
    <w:nsid w:val="68104812"/>
    <w:multiLevelType w:val="hybridMultilevel"/>
    <w:lvl w:ilvl="0">
      <w:lvlJc w:val="left"/>
      <w:lvlText w:val="5"/>
      <w:numFmt w:val="bullet"/>
      <w:start w:val="1"/>
    </w:lvl>
    <w:lvl w:ilvl="1">
      <w:lvlJc w:val="left"/>
      <w:lvlText w:val="(%2)"/>
      <w:numFmt w:val="lowerLetter"/>
      <w:start w:val="1"/>
    </w:lvl>
  </w:abstractNum>
  <w:abstractNum w:abstractNumId="444">
    <w:nsid w:val="62FB8680"/>
    <w:multiLevelType w:val="hybridMultilevel"/>
    <w:lvl w:ilvl="0">
      <w:lvlJc w:val="left"/>
      <w:lvlText w:val="6"/>
      <w:numFmt w:val="bullet"/>
      <w:start w:val="1"/>
    </w:lvl>
    <w:lvl w:ilvl="1">
      <w:lvlJc w:val="left"/>
      <w:lvlText w:val="(%2)"/>
      <w:numFmt w:val="lowerLetter"/>
      <w:start w:val="1"/>
    </w:lvl>
  </w:abstractNum>
  <w:abstractNum w:abstractNumId="445">
    <w:nsid w:val="3A45530"/>
    <w:multiLevelType w:val="hybridMultilevel"/>
    <w:lvl w:ilvl="0">
      <w:lvlJc w:val="left"/>
      <w:lvlText w:val="7"/>
      <w:numFmt w:val="bullet"/>
      <w:start w:val="1"/>
    </w:lvl>
    <w:lvl w:ilvl="1">
      <w:lvlJc w:val="left"/>
      <w:lvlText w:val="(%2)"/>
      <w:numFmt w:val="lowerLetter"/>
      <w:start w:val="1"/>
    </w:lvl>
  </w:abstractNum>
  <w:abstractNum w:abstractNumId="446">
    <w:nsid w:val="4B9275D2"/>
    <w:multiLevelType w:val="hybridMultilevel"/>
    <w:lvl w:ilvl="0">
      <w:lvlJc w:val="left"/>
      <w:lvlText w:val="8"/>
      <w:numFmt w:val="bullet"/>
      <w:start w:val="1"/>
    </w:lvl>
  </w:abstractNum>
  <w:abstractNum w:abstractNumId="447">
    <w:nsid w:val="4F0CEEDB"/>
    <w:multiLevelType w:val="hybridMultilevel"/>
    <w:lvl w:ilvl="0">
      <w:lvlJc w:val="left"/>
      <w:lvlText w:val="9"/>
      <w:numFmt w:val="bullet"/>
      <w:start w:val="1"/>
    </w:lvl>
    <w:lvl w:ilvl="1">
      <w:lvlJc w:val="left"/>
      <w:lvlText w:val="(%2)"/>
      <w:numFmt w:val="lowerLetter"/>
      <w:start w:val="1"/>
    </w:lvl>
  </w:abstractNum>
  <w:abstractNum w:abstractNumId="448">
    <w:nsid w:val="61C30361"/>
    <w:multiLevelType w:val="hybridMultilevel"/>
    <w:lvl w:ilvl="0">
      <w:lvlJc w:val="left"/>
      <w:lvlText w:val="%1"/>
      <w:numFmt w:val="decimal"/>
      <w:start w:val="10"/>
    </w:lvl>
  </w:abstractNum>
  <w:abstractNum w:abstractNumId="449">
    <w:nsid w:val="632099E0"/>
    <w:multiLevelType w:val="hybridMultilevel"/>
    <w:lvl w:ilvl="0">
      <w:lvlJc w:val="left"/>
      <w:lvlText w:val="%1"/>
      <w:numFmt w:val="decimal"/>
      <w:start w:val="17"/>
    </w:lvl>
  </w:abstractNum>
  <w:abstractNum w:abstractNumId="450">
    <w:nsid w:val="24639756"/>
    <w:multiLevelType w:val="hybridMultilevel"/>
    <w:lvl w:ilvl="0">
      <w:lvlJc w:val="left"/>
      <w:lvlText w:val="1"/>
      <w:numFmt w:val="bullet"/>
      <w:start w:val="1"/>
    </w:lvl>
  </w:abstractNum>
  <w:abstractNum w:abstractNumId="451">
    <w:nsid w:val="9D30DFD"/>
    <w:multiLevelType w:val="hybridMultilevel"/>
    <w:lvl w:ilvl="0">
      <w:lvlJc w:val="left"/>
      <w:lvlText w:val="2"/>
      <w:numFmt w:val="bullet"/>
      <w:start w:val="1"/>
    </w:lvl>
  </w:abstractNum>
  <w:abstractNum w:abstractNumId="452">
    <w:nsid w:val="70A42016"/>
    <w:multiLevelType w:val="hybridMultilevel"/>
    <w:lvl w:ilvl="0">
      <w:lvlJc w:val="left"/>
      <w:lvlText w:val="3"/>
      <w:numFmt w:val="bullet"/>
      <w:start w:val="1"/>
    </w:lvl>
  </w:abstractNum>
  <w:abstractNum w:abstractNumId="453">
    <w:nsid w:val="161BC243"/>
    <w:multiLevelType w:val="hybridMultilevel"/>
    <w:lvl w:ilvl="0">
      <w:lvlJc w:val="left"/>
      <w:lvlText w:val="4"/>
      <w:numFmt w:val="bullet"/>
      <w:start w:val="1"/>
    </w:lvl>
  </w:abstractNum>
  <w:abstractNum w:abstractNumId="454">
    <w:nsid w:val="16E908C8"/>
    <w:multiLevelType w:val="hybridMultilevel"/>
    <w:lvl w:ilvl="0">
      <w:lvlJc w:val="left"/>
      <w:lvlText w:val="5"/>
      <w:numFmt w:val="bullet"/>
      <w:start w:val="1"/>
    </w:lvl>
  </w:abstractNum>
  <w:abstractNum w:abstractNumId="455">
    <w:nsid w:val="2E0D7671"/>
    <w:multiLevelType w:val="hybridMultilevel"/>
    <w:lvl w:ilvl="0">
      <w:lvlJc w:val="left"/>
      <w:lvlText w:val="6"/>
      <w:numFmt w:val="bullet"/>
      <w:start w:val="1"/>
    </w:lvl>
  </w:abstractNum>
  <w:abstractNum w:abstractNumId="456">
    <w:nsid w:val="38B59EFF"/>
    <w:multiLevelType w:val="hybridMultilevel"/>
    <w:lvl w:ilvl="0">
      <w:lvlJc w:val="left"/>
      <w:lvlText w:val="7"/>
      <w:numFmt w:val="bullet"/>
      <w:start w:val="1"/>
    </w:lvl>
  </w:abstractNum>
  <w:abstractNum w:abstractNumId="457">
    <w:nsid w:val="307995CA"/>
    <w:multiLevelType w:val="hybridMultilevel"/>
    <w:lvl w:ilvl="0">
      <w:lvlJc w:val="left"/>
      <w:lvlText w:val="8"/>
      <w:numFmt w:val="bullet"/>
      <w:start w:val="1"/>
    </w:lvl>
  </w:abstractNum>
  <w:abstractNum w:abstractNumId="458">
    <w:nsid w:val="52E2024D"/>
    <w:multiLevelType w:val="hybridMultilevel"/>
    <w:lvl w:ilvl="0">
      <w:lvlJc w:val="left"/>
      <w:lvlText w:val="9"/>
      <w:numFmt w:val="bullet"/>
      <w:start w:val="1"/>
    </w:lvl>
  </w:abstractNum>
  <w:abstractNum w:abstractNumId="459">
    <w:nsid w:val="CE344B5"/>
    <w:multiLevelType w:val="hybridMultilevel"/>
    <w:lvl w:ilvl="0">
      <w:lvlJc w:val="left"/>
      <w:lvlText w:val="1"/>
      <w:numFmt w:val="bullet"/>
      <w:start w:val="1"/>
    </w:lvl>
  </w:abstractNum>
  <w:abstractNum w:abstractNumId="460">
    <w:nsid w:val="29B0E9A8"/>
    <w:multiLevelType w:val="hybridMultilevel"/>
    <w:lvl w:ilvl="0">
      <w:lvlJc w:val="left"/>
      <w:lvlText w:val="2"/>
      <w:numFmt w:val="bullet"/>
      <w:start w:val="1"/>
    </w:lvl>
  </w:abstractNum>
  <w:abstractNum w:abstractNumId="461">
    <w:nsid w:val="6F49CD8A"/>
    <w:multiLevelType w:val="hybridMultilevel"/>
    <w:lvl w:ilvl="0">
      <w:lvlJc w:val="left"/>
      <w:lvlText w:val="3"/>
      <w:numFmt w:val="bullet"/>
      <w:start w:val="1"/>
    </w:lvl>
  </w:abstractNum>
  <w:abstractNum w:abstractNumId="462">
    <w:nsid w:val="4DC5D907"/>
    <w:multiLevelType w:val="hybridMultilevel"/>
    <w:lvl w:ilvl="0">
      <w:lvlJc w:val="left"/>
      <w:lvlText w:val="1"/>
      <w:numFmt w:val="bullet"/>
      <w:start w:val="1"/>
    </w:lvl>
  </w:abstractNum>
  <w:abstractNum w:abstractNumId="463">
    <w:nsid w:val="D55945E"/>
    <w:multiLevelType w:val="hybridMultilevel"/>
    <w:lvl w:ilvl="0">
      <w:lvlJc w:val="left"/>
      <w:lvlText w:val="2"/>
      <w:numFmt w:val="bullet"/>
      <w:start w:val="1"/>
    </w:lvl>
    <w:lvl w:ilvl="1">
      <w:lvlJc w:val="left"/>
      <w:lvlText w:val="(%2)"/>
      <w:numFmt w:val="lowerLetter"/>
      <w:start w:val="1"/>
    </w:lvl>
  </w:abstractNum>
  <w:abstractNum w:abstractNumId="464">
    <w:nsid w:val="672417E1"/>
    <w:multiLevelType w:val="hybridMultilevel"/>
    <w:lvl w:ilvl="0">
      <w:lvlJc w:val="left"/>
      <w:lvlText w:val="3"/>
      <w:numFmt w:val="bullet"/>
      <w:start w:val="1"/>
    </w:lvl>
  </w:abstractNum>
  <w:abstractNum w:abstractNumId="465">
    <w:nsid w:val="5FF6CA09"/>
    <w:multiLevelType w:val="hybridMultilevel"/>
    <w:lvl w:ilvl="0">
      <w:lvlJc w:val="left"/>
      <w:lvlText w:val="4"/>
      <w:numFmt w:val="bullet"/>
      <w:start w:val="1"/>
    </w:lvl>
  </w:abstractNum>
  <w:abstractNum w:abstractNumId="466">
    <w:nsid w:val="330B1333"/>
    <w:multiLevelType w:val="hybridMultilevel"/>
    <w:lvl w:ilvl="0">
      <w:lvlJc w:val="left"/>
      <w:lvlText w:val="1"/>
      <w:numFmt w:val="bullet"/>
      <w:start w:val="1"/>
    </w:lvl>
  </w:abstractNum>
  <w:abstractNum w:abstractNumId="467">
    <w:nsid w:val="2EF32EA6"/>
    <w:multiLevelType w:val="hybridMultilevel"/>
    <w:lvl w:ilvl="0">
      <w:lvlJc w:val="left"/>
      <w:lvlText w:val="2"/>
      <w:numFmt w:val="bullet"/>
      <w:start w:val="1"/>
    </w:lvl>
    <w:lvl w:ilvl="1">
      <w:lvlJc w:val="left"/>
      <w:lvlText w:val="(%2)"/>
      <w:numFmt w:val="lowerLetter"/>
      <w:start w:val="1"/>
    </w:lvl>
  </w:abstractNum>
  <w:abstractNum w:abstractNumId="468">
    <w:nsid w:val="32766A55"/>
    <w:multiLevelType w:val="hybridMultilevel"/>
    <w:lvl w:ilvl="0">
      <w:lvlJc w:val="left"/>
      <w:lvlText w:val="3"/>
      <w:numFmt w:val="bullet"/>
      <w:start w:val="1"/>
    </w:lvl>
  </w:abstractNum>
  <w:abstractNum w:abstractNumId="469">
    <w:nsid w:val="22D71957"/>
    <w:multiLevelType w:val="hybridMultilevel"/>
    <w:lvl w:ilvl="0">
      <w:lvlJc w:val="left"/>
      <w:lvlText w:val="4"/>
      <w:numFmt w:val="bullet"/>
      <w:start w:val="1"/>
    </w:lvl>
  </w:abstractNum>
  <w:abstractNum w:abstractNumId="470">
    <w:nsid w:val="4CC1263B"/>
    <w:multiLevelType w:val="hybridMultilevel"/>
    <w:lvl w:ilvl="0">
      <w:lvlJc w:val="left"/>
      <w:lvlText w:val="5"/>
      <w:numFmt w:val="bullet"/>
      <w:start w:val="1"/>
    </w:lvl>
  </w:abstractNum>
  <w:abstractNum w:abstractNumId="471">
    <w:nsid w:val="8BBEB1D"/>
    <w:multiLevelType w:val="hybridMultilevel"/>
    <w:lvl w:ilvl="0">
      <w:lvlJc w:val="left"/>
      <w:lvlText w:val="6"/>
      <w:numFmt w:val="bullet"/>
      <w:start w:val="1"/>
    </w:lvl>
  </w:abstractNum>
  <w:abstractNum w:abstractNumId="472">
    <w:nsid w:val="7365F1EE"/>
    <w:multiLevelType w:val="hybridMultilevel"/>
    <w:lvl w:ilvl="0">
      <w:lvlJc w:val="left"/>
      <w:lvlText w:val="7"/>
      <w:numFmt w:val="bullet"/>
      <w:start w:val="1"/>
    </w:lvl>
  </w:abstractNum>
  <w:abstractNum w:abstractNumId="473">
    <w:nsid w:val="37524CF0"/>
    <w:multiLevelType w:val="hybridMultilevel"/>
    <w:lvl w:ilvl="0">
      <w:lvlJc w:val="left"/>
      <w:lvlText w:val="8"/>
      <w:numFmt w:val="bullet"/>
      <w:start w:val="1"/>
    </w:lvl>
  </w:abstractNum>
  <w:abstractNum w:abstractNumId="474">
    <w:nsid w:val="70CC332F"/>
    <w:multiLevelType w:val="hybridMultilevel"/>
    <w:lvl w:ilvl="0">
      <w:lvlJc w:val="left"/>
      <w:lvlText w:val="1"/>
      <w:numFmt w:val="bullet"/>
      <w:start w:val="1"/>
    </w:lvl>
  </w:abstractNum>
  <w:abstractNum w:abstractNumId="475">
    <w:nsid w:val="5661786E"/>
    <w:multiLevelType w:val="hybridMultilevel"/>
    <w:lvl w:ilvl="0">
      <w:lvlJc w:val="left"/>
      <w:lvlText w:val="2"/>
      <w:numFmt w:val="bullet"/>
      <w:start w:val="1"/>
    </w:lvl>
  </w:abstractNum>
  <w:abstractNum w:abstractNumId="476">
    <w:nsid w:val="3AF6A220"/>
    <w:multiLevelType w:val="hybridMultilevel"/>
    <w:lvl w:ilvl="0">
      <w:lvlJc w:val="left"/>
      <w:lvlText w:val="3"/>
      <w:numFmt w:val="bullet"/>
      <w:start w:val="1"/>
    </w:lvl>
  </w:abstractNum>
  <w:abstractNum w:abstractNumId="477">
    <w:nsid w:val="3C5EA902"/>
    <w:multiLevelType w:val="hybridMultilevel"/>
    <w:lvl w:ilvl="0">
      <w:lvlJc w:val="left"/>
      <w:lvlText w:val="1"/>
      <w:numFmt w:val="bullet"/>
      <w:start w:val="1"/>
    </w:lvl>
  </w:abstractNum>
  <w:abstractNum w:abstractNumId="478">
    <w:nsid w:val="256E6749"/>
    <w:multiLevelType w:val="hybridMultilevel"/>
    <w:lvl w:ilvl="0">
      <w:lvlJc w:val="left"/>
      <w:lvlText w:val="2"/>
      <w:numFmt w:val="bullet"/>
      <w:start w:val="1"/>
    </w:lvl>
  </w:abstractNum>
  <w:abstractNum w:abstractNumId="479">
    <w:nsid w:val="1CB9A581"/>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2019-12-08T21:49:30Z</dcterms:created>
  <dcterms:modified xsi:type="dcterms:W3CDTF">2019-12-08T21:49:30Z</dcterms:modified>
</cp:coreProperties>
</file>