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For the month of August 2017</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40" w:type="dxa"/>
            <w:vAlign w:val="bottom"/>
          </w:tcPr>
          <w:p>
            <w:pPr>
              <w:spacing w:after="0"/>
              <w:rPr>
                <w:sz w:val="24"/>
                <w:szCs w:val="24"/>
                <w:color w:val="auto"/>
              </w:rPr>
            </w:pPr>
          </w:p>
        </w:tc>
      </w:tr>
      <w:tr>
        <w:trPr>
          <w:trHeight w:val="418"/>
        </w:trPr>
        <w:tc>
          <w:tcPr>
            <w:tcW w:w="1008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GasLog Ltd.</w:t>
            </w:r>
          </w:p>
        </w:tc>
        <w:tc>
          <w:tcPr>
            <w:tcW w:w="1340" w:type="dxa"/>
            <w:vAlign w:val="bottom"/>
          </w:tcPr>
          <w:p>
            <w:pPr>
              <w:spacing w:after="0"/>
              <w:rPr>
                <w:sz w:val="24"/>
                <w:szCs w:val="24"/>
                <w:color w:val="auto"/>
              </w:rPr>
            </w:pPr>
          </w:p>
        </w:tc>
      </w:tr>
      <w:tr>
        <w:trPr>
          <w:trHeight w:val="230"/>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1"/>
              </w:rPr>
              <w:t>(Translation of registrant’s name into English)</w:t>
            </w:r>
          </w:p>
        </w:tc>
        <w:tc>
          <w:tcPr>
            <w:tcW w:w="1340" w:type="dxa"/>
            <w:vAlign w:val="bottom"/>
          </w:tcPr>
          <w:p>
            <w:pPr>
              <w:spacing w:after="0"/>
              <w:rPr>
                <w:sz w:val="20"/>
                <w:szCs w:val="20"/>
                <w:color w:val="auto"/>
              </w:rPr>
            </w:pPr>
          </w:p>
        </w:tc>
      </w:tr>
      <w:tr>
        <w:trPr>
          <w:trHeight w:val="418"/>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2"/>
              </w:rPr>
              <w:t>c/o GasLog Monaco S.A.M.</w:t>
            </w:r>
          </w:p>
        </w:tc>
        <w:tc>
          <w:tcPr>
            <w:tcW w:w="1340" w:type="dxa"/>
            <w:vAlign w:val="bottom"/>
          </w:tcPr>
          <w:p>
            <w:pPr>
              <w:spacing w:after="0"/>
              <w:rPr>
                <w:sz w:val="24"/>
                <w:szCs w:val="24"/>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Gildo Pastor Center</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7 Rue du Gabian</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MC 98000, Monaco</w:t>
            </w:r>
          </w:p>
        </w:tc>
        <w:tc>
          <w:tcPr>
            <w:tcW w:w="1340" w:type="dxa"/>
            <w:vAlign w:val="bottom"/>
          </w:tcPr>
          <w:p>
            <w:pPr>
              <w:spacing w:after="0"/>
              <w:rPr>
                <w:sz w:val="18"/>
                <w:szCs w:val="18"/>
                <w:color w:val="auto"/>
              </w:rPr>
            </w:pPr>
          </w:p>
        </w:tc>
      </w:tr>
      <w:tr>
        <w:trPr>
          <w:trHeight w:val="230"/>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40" w:type="dxa"/>
            <w:vAlign w:val="bottom"/>
          </w:tcPr>
          <w:p>
            <w:pPr>
              <w:spacing w:after="0"/>
              <w:rPr>
                <w:sz w:val="24"/>
                <w:szCs w:val="24"/>
                <w:color w:val="auto"/>
              </w:rPr>
            </w:pPr>
          </w:p>
        </w:tc>
      </w:tr>
      <w:tr>
        <w:trPr>
          <w:trHeight w:val="452"/>
        </w:trPr>
        <w:tc>
          <w:tcPr>
            <w:tcW w:w="100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40" w:type="dxa"/>
            <w:vAlign w:val="bottom"/>
          </w:tcPr>
          <w:p>
            <w:pPr>
              <w:spacing w:after="0"/>
              <w:rPr>
                <w:sz w:val="24"/>
                <w:szCs w:val="24"/>
                <w:color w:val="auto"/>
              </w:rPr>
            </w:pPr>
          </w:p>
        </w:tc>
      </w:tr>
      <w:tr>
        <w:trPr>
          <w:trHeight w:val="41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277"/>
        </w:trPr>
        <w:tc>
          <w:tcPr>
            <w:tcW w:w="10080" w:type="dxa"/>
            <w:vAlign w:val="bottom"/>
            <w:tcBorders>
              <w:bottom w:val="single" w:sz="8" w:color="C0C0C0"/>
            </w:tcBorders>
          </w:tcPr>
          <w:p>
            <w:pPr>
              <w:spacing w:after="0"/>
              <w:rPr>
                <w:sz w:val="24"/>
                <w:szCs w:val="24"/>
                <w:color w:val="auto"/>
              </w:rPr>
            </w:pPr>
          </w:p>
        </w:tc>
        <w:tc>
          <w:tcPr>
            <w:tcW w:w="13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460" w:firstLine="356"/>
        <w:spacing w:after="0" w:line="277" w:lineRule="auto"/>
        <w:rPr>
          <w:sz w:val="20"/>
          <w:szCs w:val="20"/>
          <w:color w:val="auto"/>
        </w:rPr>
      </w:pPr>
      <w:r>
        <w:rPr>
          <w:rFonts w:ascii="Arial" w:cs="Arial" w:eastAsia="Arial" w:hAnsi="Arial"/>
          <w:sz w:val="18"/>
          <w:szCs w:val="18"/>
          <w:color w:val="auto"/>
        </w:rPr>
        <w:t>The press release issued by GasLog Ltd. on August 3, 2017 relating to its results for the second quarter of 2017 and the related financial report are attached hereto as Exhibits 99.1 and 99.2,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62"/>
        <w:spacing w:after="0" w:line="257" w:lineRule="auto"/>
        <w:rPr>
          <w:sz w:val="20"/>
          <w:szCs w:val="20"/>
          <w:color w:val="auto"/>
        </w:rPr>
      </w:pPr>
      <w:r>
        <w:rPr>
          <w:rFonts w:ascii="Arial" w:cs="Arial" w:eastAsia="Arial" w:hAnsi="Arial"/>
          <w:sz w:val="18"/>
          <w:szCs w:val="18"/>
          <w:color w:val="auto"/>
        </w:rPr>
        <w:t>Exhibit 99.2 to this Report on Form 6-K shall be incorporated by reference into our registration statements on Form F-3 (File Nos. 333-194894 and 333-210169), initially filed with the Securities and Exchange Commission (the “SEC”) on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6580" w:type="dxa"/>
            <w:vAlign w:val="bottom"/>
          </w:tcPr>
          <w:p>
            <w:pPr>
              <w:ind w:left="4400"/>
              <w:spacing w:after="0"/>
              <w:rPr>
                <w:sz w:val="20"/>
                <w:szCs w:val="20"/>
                <w:color w:val="auto"/>
              </w:rPr>
            </w:pPr>
            <w:r>
              <w:rPr>
                <w:rFonts w:ascii="Arial" w:cs="Arial" w:eastAsia="Arial" w:hAnsi="Arial"/>
                <w:sz w:val="18"/>
                <w:szCs w:val="18"/>
                <w:color w:val="auto"/>
              </w:rPr>
              <w:t>EXHIBIT LIST</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Exhibit</w:t>
            </w:r>
          </w:p>
        </w:tc>
        <w:tc>
          <w:tcPr>
            <w:tcW w:w="6580" w:type="dxa"/>
            <w:vAlign w:val="bottom"/>
          </w:tcPr>
          <w:p>
            <w:pPr>
              <w:ind w:left="180"/>
              <w:spacing w:after="0"/>
              <w:rPr>
                <w:sz w:val="20"/>
                <w:szCs w:val="20"/>
                <w:color w:val="auto"/>
              </w:rPr>
            </w:pPr>
            <w:r>
              <w:rPr>
                <w:rFonts w:ascii="Arial" w:cs="Arial" w:eastAsia="Arial" w:hAnsi="Arial"/>
                <w:sz w:val="18"/>
                <w:szCs w:val="18"/>
                <w:color w:val="auto"/>
              </w:rPr>
              <w:t>Description</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6580" w:type="dxa"/>
            <w:vAlign w:val="bottom"/>
          </w:tcPr>
          <w:p>
            <w:pPr>
              <w:ind w:left="180"/>
              <w:spacing w:after="0"/>
              <w:rPr>
                <w:sz w:val="20"/>
                <w:szCs w:val="20"/>
                <w:color w:val="auto"/>
              </w:rPr>
            </w:pPr>
            <w:r>
              <w:rPr>
                <w:rFonts w:ascii="Arial" w:cs="Arial" w:eastAsia="Arial" w:hAnsi="Arial"/>
                <w:sz w:val="18"/>
                <w:szCs w:val="18"/>
                <w:color w:val="auto"/>
              </w:rPr>
              <w:t>Press Release dated August 3, 2017</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99.2</w:t>
            </w:r>
          </w:p>
        </w:tc>
        <w:tc>
          <w:tcPr>
            <w:tcW w:w="6580" w:type="dxa"/>
            <w:vAlign w:val="bottom"/>
          </w:tcPr>
          <w:p>
            <w:pPr>
              <w:ind w:left="180"/>
              <w:spacing w:after="0"/>
              <w:rPr>
                <w:sz w:val="20"/>
                <w:szCs w:val="20"/>
                <w:color w:val="auto"/>
              </w:rPr>
            </w:pPr>
            <w:r>
              <w:rPr>
                <w:rFonts w:ascii="Arial" w:cs="Arial" w:eastAsia="Arial" w:hAnsi="Arial"/>
                <w:sz w:val="18"/>
                <w:szCs w:val="18"/>
                <w:color w:val="auto"/>
              </w:rPr>
              <w:t>Financial Report for the Three and Six Months Ended June 30, 2017</w:t>
            </w:r>
          </w:p>
        </w:tc>
      </w:tr>
      <w:tr>
        <w:trPr>
          <w:trHeight w:val="432"/>
        </w:trPr>
        <w:tc>
          <w:tcPr>
            <w:tcW w:w="740" w:type="dxa"/>
            <w:vAlign w:val="bottom"/>
          </w:tcPr>
          <w:p>
            <w:pPr>
              <w:spacing w:after="0"/>
              <w:rPr>
                <w:sz w:val="24"/>
                <w:szCs w:val="24"/>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1"/>
              </w:rPr>
              <w:t>Management’s Discussion and Analysis of Financial Condition and Results of Operation</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Unaudited Condensed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0"/>
          </w:cols>
          <w:pgMar w:left="240" w:top="409"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Ended June 30, 2017</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Monaco, August 3, 2017, GasLog Ltd. and its subsidiaries (“GasLog” or “Group” or “Company”) (NYSE: GLOG)</w:t>
      </w:r>
      <w:r>
        <w:rPr>
          <w:rFonts w:ascii="Arial" w:cs="Arial" w:eastAsia="Arial" w:hAnsi="Arial"/>
          <w:sz w:val="18"/>
          <w:szCs w:val="18"/>
          <w:color w:val="auto"/>
        </w:rPr>
        <w:t>, an international owner, operator</w:t>
      </w:r>
      <w:r>
        <w:rPr>
          <w:rFonts w:ascii="Arial" w:cs="Arial" w:eastAsia="Arial" w:hAnsi="Arial"/>
          <w:sz w:val="18"/>
          <w:szCs w:val="18"/>
          <w:b w:val="1"/>
          <w:bCs w:val="1"/>
          <w:color w:val="auto"/>
        </w:rPr>
        <w:t xml:space="preserve"> </w:t>
      </w:r>
      <w:r>
        <w:rPr>
          <w:rFonts w:ascii="Arial" w:cs="Arial" w:eastAsia="Arial" w:hAnsi="Arial"/>
          <w:sz w:val="18"/>
          <w:szCs w:val="18"/>
          <w:color w:val="auto"/>
        </w:rPr>
        <w:t>and manager of liquefied natural gas (“LNG”) carriers, today reported its financial results for the quarter ended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700" w:right="42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dropdown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to GasLog Partners LP (“GasLog Partners” or the “Partnership”) for $219.0 million on May 3, 2017.</w:t>
      </w:r>
    </w:p>
    <w:p>
      <w:pPr>
        <w:spacing w:after="0" w:line="170" w:lineRule="exact"/>
        <w:rPr>
          <w:rFonts w:ascii="Arial" w:cs="Arial" w:eastAsia="Arial" w:hAnsi="Arial"/>
          <w:sz w:val="18"/>
          <w:szCs w:val="18"/>
          <w:color w:val="auto"/>
        </w:rPr>
      </w:pPr>
    </w:p>
    <w:p>
      <w:pPr>
        <w:ind w:left="70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and, post the quarter end, closed the dropdown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to GasLog Partners for $211.0 million. In May 2017, GasLog Partners successfully completed an equity offering of 5,750,000 preference units raising net proceeds of $138.8 million, which were partially used to fund the dropdown of the </w:t>
      </w:r>
      <w:r>
        <w:rPr>
          <w:rFonts w:ascii="Arial" w:cs="Arial" w:eastAsia="Arial" w:hAnsi="Arial"/>
          <w:sz w:val="18"/>
          <w:szCs w:val="18"/>
          <w:i w:val="1"/>
          <w:iCs w:val="1"/>
          <w:color w:val="auto"/>
        </w:rPr>
        <w:t>GasLog Geneva.</w:t>
      </w:r>
    </w:p>
    <w:p>
      <w:pPr>
        <w:spacing w:after="0" w:line="181" w:lineRule="exact"/>
        <w:rPr>
          <w:rFonts w:ascii="Arial" w:cs="Arial" w:eastAsia="Arial" w:hAnsi="Arial"/>
          <w:sz w:val="18"/>
          <w:szCs w:val="18"/>
          <w:color w:val="auto"/>
        </w:rPr>
      </w:pPr>
    </w:p>
    <w:p>
      <w:pPr>
        <w:ind w:left="700" w:right="940" w:hanging="692"/>
        <w:spacing w:after="0" w:line="308" w:lineRule="auto"/>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Successfully completed the repurchase of the outstanding NOK bonds maturing in April 2018 at a price of 103.0% of par value for total consideration of NOK 424.4 million ($70.8 million at the swapped rate under the associated cross currency swaps (“CCS”)).</w:t>
      </w:r>
    </w:p>
    <w:p>
      <w:pPr>
        <w:spacing w:after="0" w:line="146" w:lineRule="exact"/>
        <w:rPr>
          <w:rFonts w:ascii="Arial" w:cs="Arial" w:eastAsia="Arial" w:hAnsi="Arial"/>
          <w:sz w:val="17"/>
          <w:szCs w:val="17"/>
          <w:color w:val="auto"/>
        </w:rPr>
      </w:pPr>
    </w:p>
    <w:p>
      <w:pPr>
        <w:ind w:left="700" w:right="26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$150.0 million of the junior tranche of the credit agreement entered into in February 18, 2016 (the “Five Vessel Refinancing”), originally due in April 2018.</w:t>
      </w:r>
    </w:p>
    <w:p>
      <w:pPr>
        <w:spacing w:after="0" w:line="170" w:lineRule="exact"/>
        <w:rPr>
          <w:rFonts w:ascii="Arial" w:cs="Arial" w:eastAsia="Arial" w:hAnsi="Arial"/>
          <w:sz w:val="18"/>
          <w:szCs w:val="18"/>
          <w:color w:val="auto"/>
        </w:rPr>
      </w:pPr>
    </w:p>
    <w:p>
      <w:pPr>
        <w:ind w:left="700" w:right="16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Front-End Engineering and Design (“FEED”) study for the Alexandroupolis floating storage regasification unit (“FSRU”) project in Greece is underway and is expected to be completed in the third quarter.</w:t>
      </w:r>
    </w:p>
    <w:p>
      <w:pPr>
        <w:spacing w:after="0" w:line="174" w:lineRule="exact"/>
        <w:rPr>
          <w:rFonts w:ascii="Arial" w:cs="Arial" w:eastAsia="Arial" w:hAnsi="Arial"/>
          <w:sz w:val="18"/>
          <w:szCs w:val="18"/>
          <w:color w:val="auto"/>
        </w:rPr>
      </w:pPr>
    </w:p>
    <w:p>
      <w:pPr>
        <w:ind w:left="700" w:right="80" w:hanging="692"/>
        <w:spacing w:after="0" w:line="186" w:lineRule="auto"/>
        <w:tabs>
          <w:tab w:leader="none" w:pos="70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Revenues of $129.9 million (Q2 2016: $114.5 million), Profit of $6.9 million (Q2 2016: $3.3 million) and Loss per share of $0.12</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(Q2 2016: loss per share of $0.13), for the quarter ended June 30, 2017.</w:t>
      </w:r>
    </w:p>
    <w:p>
      <w:pPr>
        <w:spacing w:after="0" w:line="126" w:lineRule="exact"/>
        <w:rPr>
          <w:rFonts w:ascii="Arial" w:cs="Arial" w:eastAsia="Arial" w:hAnsi="Arial"/>
          <w:sz w:val="36"/>
          <w:szCs w:val="36"/>
          <w:color w:val="auto"/>
          <w:vertAlign w:val="superscript"/>
        </w:rPr>
      </w:pPr>
    </w:p>
    <w:p>
      <w:pPr>
        <w:ind w:left="700" w:hanging="692"/>
        <w:spacing w:after="0"/>
        <w:tabs>
          <w:tab w:leader="none" w:pos="70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$14.4 million (Q2 2016: $12.9 million),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$87.4 million (Q2 2016: $73.2 million), Adjusted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$87.4</w:t>
      </w:r>
    </w:p>
    <w:p>
      <w:pPr>
        <w:ind w:left="700" w:right="80"/>
        <w:spacing w:after="0" w:line="187" w:lineRule="auto"/>
        <w:rPr>
          <w:rFonts w:ascii="Arial" w:cs="Arial" w:eastAsia="Arial" w:hAnsi="Arial"/>
          <w:sz w:val="34"/>
          <w:szCs w:val="34"/>
          <w:color w:val="auto"/>
          <w:vertAlign w:val="superscript"/>
        </w:rPr>
      </w:pPr>
      <w:r>
        <w:rPr>
          <w:rFonts w:ascii="Arial" w:cs="Arial" w:eastAsia="Arial" w:hAnsi="Arial"/>
          <w:sz w:val="18"/>
          <w:szCs w:val="18"/>
          <w:color w:val="auto"/>
        </w:rPr>
        <w:t>million (Q2 2016: $73.7 million) and Adjusted Loss per share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$0.03</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(Q2 2016: Adjusted Loss per share of $0.01) for the quarter ended June 30, 2017.</w:t>
      </w:r>
    </w:p>
    <w:p>
      <w:pPr>
        <w:spacing w:after="0" w:line="202"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August 24, 2017.</w:t>
      </w:r>
    </w:p>
    <w:p>
      <w:pPr>
        <w:spacing w:after="0" w:line="221" w:lineRule="exact"/>
        <w:rPr>
          <w:sz w:val="20"/>
          <w:szCs w:val="20"/>
          <w:color w:val="auto"/>
        </w:rPr>
      </w:pPr>
    </w:p>
    <w:p>
      <w:pPr>
        <w:ind w:left="240" w:hanging="232"/>
        <w:spacing w:after="0" w:line="253"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Earnings/Loss per share (“EPS”) and Adjusted EPS are net of the profit attributable to the non-controlling interest of $14.4 million and the dividend on preferred stock of $2.5 million for the quarter ended June 30, 2017 ($11.2 million and $2.5 million, respectively, for the quarter ended June 30, 2016).</w:t>
      </w:r>
    </w:p>
    <w:p>
      <w:pPr>
        <w:spacing w:after="0" w:line="106" w:lineRule="exact"/>
        <w:rPr>
          <w:rFonts w:ascii="Arial" w:cs="Arial" w:eastAsia="Arial" w:hAnsi="Arial"/>
          <w:sz w:val="12"/>
          <w:szCs w:val="12"/>
          <w:color w:val="auto"/>
        </w:rPr>
      </w:pPr>
    </w:p>
    <w:p>
      <w:pPr>
        <w:jc w:val="both"/>
        <w:ind w:left="240" w:hanging="232"/>
        <w:spacing w:after="0" w:line="238"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Paul Wogan, Chief Executive Officer, stated: “GasLog had a stronger quarter with record revenues as a result of high uptime across our chartered fleet and improving earnings on our spot vessels.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Since the end of the first quarter, we have completed the dropdown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announced and completed the dropdown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to GasLog Partners. These two transactions show our continued ability to recycle liquidity from the Partnership to GasLog, which we can then use to repay debt and grow our business.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Towards the end of the quarter, we repurchased the outstanding 2018 Norwegian bond meaning that GasLog now has no material debt maturities until 2019. With the increased dropdown activity, improving spot rates, a growing fleet and largely amortising debt, we expect the Company’s leverage to continue to fall through 2017 and beyond.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make progress with our FSRU strategy where we are actively involved in a number of projects. In particular, the FEED study for the Alexandroupolis project in Greece, should be completed later in the third quarter. As a shareholder of Gastrade S.A. (“Gastrade”), we are advancing discussions with potential off-takers, with both the Greek and Bulgarian national energy companies expected to play a major role. We expect Gastrade to take a final investment decision in early 2018.</w:t>
      </w:r>
    </w:p>
    <w:p>
      <w:pPr>
        <w:spacing w:after="0" w:line="18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the short-term market, spot rates continue to be low. However, we are seeing a return to a more seasonal market pattern as well as round-trip economics on many spot charters, both of which suggest a tightening shipping market. With five vessels currently trading in the spot market through The Cool Pool Limited (the “Cool Pool”), we continue to have significant upside to an improvement in this market. We expect that increased LNG supply and demand, coupled with historically low new vessel orders, should lead to an upturn in the LNG shipping market, from which GasLog is very well positioned to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 xml:space="preserve">Amendment of the </w:t>
      </w:r>
      <w:r>
        <w:rPr>
          <w:rFonts w:ascii="Arial" w:cs="Arial" w:eastAsia="Arial" w:hAnsi="Arial"/>
          <w:sz w:val="18"/>
          <w:szCs w:val="18"/>
          <w:b w:val="1"/>
          <w:bCs w:val="1"/>
          <w:i w:val="1"/>
          <w:iCs w:val="1"/>
          <w:u w:val="single" w:color="auto"/>
          <w:color w:val="auto"/>
        </w:rPr>
        <w:t>GasLog Skagen</w:t>
      </w:r>
      <w:r>
        <w:rPr>
          <w:rFonts w:ascii="Arial" w:cs="Arial" w:eastAsia="Arial" w:hAnsi="Arial"/>
          <w:sz w:val="18"/>
          <w:szCs w:val="18"/>
          <w:b w:val="1"/>
          <w:bCs w:val="1"/>
          <w:u w:val="single" w:color="auto"/>
          <w:color w:val="auto"/>
        </w:rPr>
        <w:t xml:space="preserve"> Seasonal Charter Party Agreement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April 28, 2017, the Group signed an amendment to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seasonal time charter agreement, pursuant to which the seasonal charter of the vessel was replaced by a continuous time charter for a duration of 2.4 years ending in August 2019. The amended continuous charter will cover the same total number of fixed days as the previous seasonal charter and will eliminate redelivery risk at the beginning and end of each seasonal period. In addition, the amended charter will provide assurance of fixed revenues through August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Preference Units Equity Offering and Dropdown of the </w:t>
      </w:r>
      <w:r>
        <w:rPr>
          <w:rFonts w:ascii="Arial" w:cs="Arial" w:eastAsia="Arial" w:hAnsi="Arial"/>
          <w:sz w:val="18"/>
          <w:szCs w:val="18"/>
          <w:b w:val="1"/>
          <w:bCs w:val="1"/>
          <w:i w:val="1"/>
          <w:iCs w:val="1"/>
          <w:u w:val="single" w:color="auto"/>
          <w:color w:val="auto"/>
        </w:rPr>
        <w:t>GasLog Geneva</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May 15, 2017, GasLog Partners completed a public offering of 5,750,000 8.625% Series A Cumulative Redeemable Perpetual Fixed to Floating Rate Preference Units (the “Partnership’s Series A Preference Units”) (including 750,000 units issued upon the exercise in full by the underwriters of their option to purchase additional Partnership’s Series A Preference Units), liquidation preference $25.00 per unit, at a price to the public of $25.00 per preference unit. The gross proceeds of the offering were $143.8 million and the net proceeds after deducting underwriting discounts, commissions and other offering expenses were $138.8 million. The Series A Preference Units are listed on the New York Stock Exchange under the symbol “GLOP PR A”. The initial distribution on the Series A Preference Units will be payable on September 15, 2017. A portion of the proceeds from the public offering were used to partially finance the acquisition from GasLog of 100% of the ownership interest in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for an aggregate purchase price of $211.0 million, which includes $1.0 million for positive net working capital balances transferred with the vessel. The acquisition closed on July 3,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Commencement of GasLog Partners’ “At-The-Market” Common Equity Offering Programme (“ATM Programme”)</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issued and received payment for 410,877 common units at a weighted average price of $22.68 per common unit for total net proceeds of $8.8 million, after broker commissions of $0.2 million and other expenses of $0.3 million. In the period from July 1, 2017 through July 6, 2017, GasLog Partners issued and received payment for an additional 94,367 common units at a weighted average price of $22.91 per unit for net proceeds of $2.1 million, after broker commissions of $0.03 million. The issuance of these units fulfilled contractual commitments entered into on or before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Transactions</w:t>
      </w:r>
    </w:p>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On April 5, 2017, GasLog used $150.0 million of the proceeds from the offering of the 8.875% senior unsecured notes due in 2022 (the “8.875% Senior Notes”) issued in March 2017 to prepay partially borrowings outstanding under the junior tranche of the Five Vessel Refinancing, originally due in April 2018.</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27, 2017, GasLog completed the repurchase of the outstanding NOK bonds maturing in April 2018, at a price of 103.0% of par value for total consideration of NOK 424.4 million ($70.8 million at the swapped rate under the associated CCS).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3, 2017, GasLog repaid $41.6 million of the revolving credit facility of the credit agreement of up to $1.1 billion entered into on July 19, 2016 (the “Legacy Facility Refinancing”).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End of GasLog Partners’ Subordination Period</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May 16, 2017, the subordination period of the GasLog Partners’ subordinated units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May 4, 2017, the board of directors declared a dividend on the Series A Preference Shares of $0.546875 per share, or $2.5 million in aggregate, payable on July 3, 2017 to holders of record as of June 30, 2017. GasLog paid the declared dividend to the transfer agent on July 3, 2017.</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2, 2017, the board of directors declared a quarterly cash dividend of $0.14 per common share, or $11.3 million in aggregate, payable on August 24, 2017 to shareholders of record as of August 14,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Financial Summary</w:t>
            </w:r>
          </w:p>
        </w:tc>
        <w:tc>
          <w:tcPr>
            <w:tcW w:w="4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58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In thousands of U.S. dollars except per share data</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15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June 30, 2017</w:t>
            </w:r>
          </w:p>
        </w:tc>
      </w:tr>
      <w:tr>
        <w:trPr>
          <w:trHeight w:val="210"/>
        </w:trPr>
        <w:tc>
          <w:tcPr>
            <w:tcW w:w="58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20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114,474</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129,930</w:t>
            </w:r>
          </w:p>
        </w:tc>
        <w:tc>
          <w:tcPr>
            <w:tcW w:w="100" w:type="dxa"/>
            <w:vAlign w:val="bottom"/>
            <w:tcBorders>
              <w:top w:val="single" w:sz="8" w:color="E5FFFF"/>
            </w:tcBorders>
            <w:shd w:val="clear" w:color="auto" w:fill="E5FFFF"/>
          </w:tcPr>
          <w:p>
            <w:pPr>
              <w:spacing w:after="0"/>
              <w:rPr>
                <w:sz w:val="18"/>
                <w:szCs w:val="18"/>
                <w:color w:val="auto"/>
              </w:rPr>
            </w:pPr>
          </w:p>
        </w:tc>
      </w:tr>
      <w:tr>
        <w:trPr>
          <w:trHeight w:val="257"/>
        </w:trPr>
        <w:tc>
          <w:tcPr>
            <w:tcW w:w="58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73,228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87,409</w:t>
            </w:r>
          </w:p>
        </w:tc>
      </w:tr>
      <w:tr>
        <w:trPr>
          <w:trHeight w:val="257"/>
        </w:trPr>
        <w:tc>
          <w:tcPr>
            <w:tcW w:w="58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2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73,670</w:t>
            </w:r>
          </w:p>
        </w:tc>
        <w:tc>
          <w:tcPr>
            <w:tcW w:w="36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87,352</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2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3,346</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6,904</w:t>
            </w:r>
          </w:p>
        </w:tc>
      </w:tr>
      <w:tr>
        <w:trPr>
          <w:trHeight w:val="257"/>
        </w:trPr>
        <w:tc>
          <w:tcPr>
            <w:tcW w:w="58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2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12,923</w:t>
            </w:r>
          </w:p>
        </w:tc>
        <w:tc>
          <w:tcPr>
            <w:tcW w:w="36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14,419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Loss attributable to the owners of GasLog</w:t>
            </w:r>
          </w:p>
        </w:tc>
        <w:tc>
          <w:tcPr>
            <w:tcW w:w="2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(7,864)</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(7,515)</w:t>
            </w:r>
          </w:p>
        </w:tc>
      </w:tr>
      <w:tr>
        <w:trPr>
          <w:trHeight w:val="216"/>
        </w:trPr>
        <w:tc>
          <w:tcPr>
            <w:tcW w:w="5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 basic</w:t>
            </w:r>
          </w:p>
        </w:tc>
        <w:tc>
          <w:tcPr>
            <w:tcW w:w="22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(0.12)</w:t>
            </w:r>
          </w:p>
        </w:tc>
      </w:tr>
      <w:tr>
        <w:trPr>
          <w:trHeight w:val="390"/>
        </w:trPr>
        <w:tc>
          <w:tcPr>
            <w:tcW w:w="582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2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41" w:lineRule="exact"/>
        <w:rPr>
          <w:sz w:val="20"/>
          <w:szCs w:val="20"/>
          <w:color w:val="auto"/>
        </w:rPr>
      </w:pPr>
    </w:p>
    <w:p>
      <w:pPr>
        <w:sectPr>
          <w:pgSz w:w="11900" w:h="16838" w:orient="portrait"/>
          <w:cols w:equalWidth="0" w:num="1">
            <w:col w:w="11420"/>
          </w:cols>
          <w:pgMar w:left="240" w:top="405" w:right="239" w:bottom="813" w:gutter="0" w:footer="0" w:header="0"/>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813" w:gutter="0" w:footer="0" w:header="0"/>
          <w:type w:val="continuous"/>
        </w:sectPr>
      </w:pPr>
    </w:p>
    <w:bookmarkStart w:id="5" w:name="page6"/>
    <w:bookmarkEnd w:id="5"/>
    <w:p>
      <w:pPr>
        <w:jc w:val="both"/>
        <w:ind w:left="240" w:hanging="232"/>
        <w:spacing w:after="0" w:line="232" w:lineRule="auto"/>
        <w:tabs>
          <w:tab w:leader="none" w:pos="240" w:val="left"/>
        </w:tabs>
        <w:numPr>
          <w:ilvl w:val="0"/>
          <w:numId w:val="3"/>
        </w:numPr>
        <w:rPr>
          <w:rFonts w:ascii="Arial" w:cs="Arial" w:eastAsia="Arial" w:hAnsi="Arial"/>
          <w:sz w:val="15"/>
          <w:szCs w:val="15"/>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There were 2,081 operating days for the quarter ended June 30, 2017, as compared to 1,793 operating days for the quarter ended June 30, 2016. The increase in operating days resulted mainly from the deliveries of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on June 30, 2016, September 30, 2016 and October 31, 2016, respectively.</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Revenues were $129.9 million for the quarter ended June 30, 2017 ($114.5 million for the quarter ended June 30, 2016). The increase was mainly driven by the new deliveries in our fleet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increased revenues from vessels operating in the spot market in both periods and fewer off-hire days due to dry-docking (no dry-dockings in the second quarter of 2017 as opposed to one for the same period in 2016).</w:t>
      </w:r>
    </w:p>
    <w:p>
      <w:pPr>
        <w:spacing w:after="0" w:line="18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 xml:space="preserve">Vessel operating and supervision costs were $29.8 million for the quarter ended June 30, 2017 ($28.0 million for the quarter ended June 30, 2016). The increase was mainly driven by the new deliveries in our fleet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commissions were $2.8 million for the quarter ended June 30, 2017 ($3.3 million for the quarter ended June 30, 2016).</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Depreciation was $34.5 million for the quarter ended June 30, 2017 ($29.5 million for the quarter ended June 30, 2016). The increase resulted from the increase in the average number of vessels in our fleet.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General and administrative expenses were $10.2 million for the quarter ended June 30, 2017 ($10.4 million for the quarter ended June 30, 2016). The decrease is mainly attributable to a decrease in foreign exchange differences and employee costs partially offset by an increase in legal and professional fees.</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costs were $37.1 million for the quarter ended June 30, 2017 ($31.5 million for the quarter ended June 30, 2016). The increase is mainly attributable to the increased average debt outstanding as a result of the debt drawdowns for the new vessels delivered in 2016 and the increased weighted average interest rate. An analysis of financial costs is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gridSpan w:val="7"/>
          </w:tcPr>
          <w:p>
            <w:pPr>
              <w:ind w:left="48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6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11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Amortization and write-off of deferred loan/bond issuance costs and premium</w:t>
            </w:r>
          </w:p>
        </w:tc>
        <w:tc>
          <w:tcPr>
            <w:tcW w:w="1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5,330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c>
          <w:tcPr>
            <w:tcW w:w="80" w:type="dxa"/>
            <w:vAlign w:val="bottom"/>
          </w:tcPr>
          <w:p>
            <w:pPr>
              <w:spacing w:after="0"/>
              <w:rPr>
                <w:sz w:val="18"/>
                <w:szCs w:val="18"/>
                <w:color w:val="auto"/>
              </w:rPr>
            </w:pP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17,977</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21,099</w:t>
            </w:r>
          </w:p>
        </w:tc>
        <w:tc>
          <w:tcPr>
            <w:tcW w:w="80" w:type="dxa"/>
            <w:vAlign w:val="bottom"/>
            <w:shd w:val="clear" w:color="auto" w:fill="E5FF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Interest expense on senior unsecured notes and realized loss on CCS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2,831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8,451</w:t>
            </w:r>
          </w:p>
        </w:tc>
        <w:tc>
          <w:tcPr>
            <w:tcW w:w="80" w:type="dxa"/>
            <w:vAlign w:val="bottom"/>
          </w:tcPr>
          <w:p>
            <w:pPr>
              <w:spacing w:after="0"/>
              <w:rPr>
                <w:sz w:val="18"/>
                <w:szCs w:val="18"/>
                <w:color w:val="auto"/>
              </w:rPr>
            </w:pP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1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2,720</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E5FF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Loss arising on NOK bond repurchase at a premium</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r>
      <w:tr>
        <w:trPr>
          <w:trHeight w:val="230"/>
        </w:trPr>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1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505</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E5FFFF"/>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Loss on swaps was $9.7 million for the quarter ended June 30, 2017 ($9.0 million for the quarter ended June 30, 2016). An analysis of loss on swaps is set forth below. The increase in loss on swaps in the second quarter of 2017 as compared to the second quarter 2016 is mainly attributable to an increase of $2.1 million in loss from mark-to-market valuation of our derivative financial instruments carried at fair value through profit or loss, partially offset by the $1.6 million decrease in loss that was reclassified from equity to the statement of profit or loss. The $3.5 million loss from mark-to-market valuation of our derivative financial instruments in the second quarter 2017 derived from the fact that the London Interbank Offered Rate (“LIBOR”) yield curve, which was used to estimate the present value of the estimated future cash flows, was lower than the contracted fixed interest rates resulting in an increase in derivative liabilities from derivative financial instruments held for trading as compared to March 31, 2017.</w:t>
      </w:r>
    </w:p>
    <w:p>
      <w:pPr>
        <w:sectPr>
          <w:pgSz w:w="11900" w:h="16838" w:orient="portrait"/>
          <w:cols w:equalWidth="0" w:num="1">
            <w:col w:w="11420"/>
          </w:cols>
          <w:pgMar w:left="240" w:top="404" w:right="239" w:bottom="908"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Realized loss on derivative financial instruments held for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 on derivative financial instruments held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Recycled loss of cash flow hedges reclassified to profit or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2016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2017</w:t>
            </w:r>
          </w:p>
        </w:tc>
      </w:tr>
      <w:tr>
        <w:trPr>
          <w:trHeight w:val="411"/>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1,740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5,927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9,039</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9,720</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404" w:right="239" w:bottom="908" w:gutter="0" w:footer="0" w:header="0"/>
          <w:type w:val="continuous"/>
        </w:sectPr>
      </w:pP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was a profit of $6.9 million for the quarter ended June 30, 2017 ($3.3 million profit for the quarter ended June 30, 2016). This increase in profit is mainly attributable to the increased profit from operations mainly due to the higher number of operating days, partially offset by the increase in financial costs and loss on swaps.</w:t>
      </w:r>
    </w:p>
    <w:p>
      <w:pPr>
        <w:spacing w:after="0" w:line="185" w:lineRule="exact"/>
        <w:rPr>
          <w:sz w:val="20"/>
          <w:szCs w:val="20"/>
          <w:color w:val="auto"/>
        </w:rPr>
      </w:pPr>
    </w:p>
    <w:p>
      <w:pPr>
        <w:ind w:right="320"/>
        <w:spacing w:after="0" w:line="210" w:lineRule="auto"/>
        <w:rPr>
          <w:sz w:val="20"/>
          <w:szCs w:val="20"/>
          <w:color w:val="auto"/>
        </w:rPr>
      </w:pPr>
      <w:r>
        <w:rPr>
          <w:rFonts w:ascii="Arial" w:cs="Arial" w:eastAsia="Arial" w:hAnsi="Arial"/>
          <w:sz w:val="18"/>
          <w:szCs w:val="18"/>
          <w:color w:val="auto"/>
        </w:rPr>
        <w:t>Adjusted Profit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$14.4 million for the quarter ended June 30, 2017 ($12.9 million for the quarter ended June 30, 2016) adjusted for the effects of the non-cash loss on swaps, the write-off of unamortized bond fees and premium, as well as the net foreign exchange gains.</w:t>
      </w:r>
    </w:p>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Loss attributable to the owners of GasLog was $7.5 million ($7.9 million for the quarter ended June 30, 2016). The decrease in loss attributable to the owners of GasLog resulted mainly from the respective movements in profit mentioned above, which was partially offset by the increased amount allocated to third parties as a result of GasLog Partners’ equity offerings in August 2016, January 2017 and May 2017 and the associated dropdown of two vessels.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$87.4 million for the quarter ended June 30, 2017 ($73.2 million for the quarter ended June 30, 2016).</w:t>
      </w:r>
    </w:p>
    <w:p>
      <w:pPr>
        <w:sectPr>
          <w:pgSz w:w="11900" w:h="16838" w:orient="portrait"/>
          <w:cols w:equalWidth="0" w:num="1">
            <w:col w:w="11420"/>
          </w:cols>
          <w:pgMar w:left="240" w:top="404" w:right="239" w:bottom="908"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908"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$87.4 million for the quarter ended June 30, 2017 ($73.7 million for the quarter ended June 30,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Loss per share was $0.12 for the quarter ended June 30, 2017 (a loss of $0.13 for the quarter ended June 30,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Adjusted Loss per share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$0.03 for the quarter ended June 30, 2017 (a loss of $0.01 for the quarter ended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29"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 xml:space="preserve">GasLog’s contracted charter revenues are estimated to increase from $444.5 million for the fiscal year 2016 to $486.8 million for the fiscal year 2019, based on contracts in effect as of June 30, 2017, without including any extension options. As of June 30, 2017, the total future firm contracted revenue stood at $3.32 billion </w:t>
      </w:r>
      <w:r>
        <w:rPr>
          <w:rFonts w:ascii="Arial" w:cs="Arial" w:eastAsia="Arial" w:hAnsi="Arial"/>
          <w:sz w:val="26"/>
          <w:szCs w:val="26"/>
          <w:color w:val="auto"/>
          <w:vertAlign w:val="superscript"/>
        </w:rPr>
        <w:t>(1)</w:t>
      </w:r>
      <w:r>
        <w:rPr>
          <w:rFonts w:ascii="Arial" w:cs="Arial" w:eastAsia="Arial" w:hAnsi="Arial"/>
          <w:sz w:val="16"/>
          <w:szCs w:val="16"/>
          <w:color w:val="auto"/>
        </w:rPr>
        <w:t>, including the eleven vessels currently owned by GasLog Partners but excluding the vessels operating in the spot market.</w:t>
      </w:r>
    </w:p>
    <w:p>
      <w:pPr>
        <w:spacing w:after="0" w:line="54" w:lineRule="exact"/>
        <w:rPr>
          <w:sz w:val="20"/>
          <w:szCs w:val="20"/>
          <w:color w:val="auto"/>
        </w:rPr>
      </w:pPr>
    </w:p>
    <w:p>
      <w:pPr>
        <w:ind w:right="220" w:firstLine="8"/>
        <w:spacing w:after="0" w:line="230" w:lineRule="auto"/>
        <w:tabs>
          <w:tab w:leader="none" w:pos="17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June 30, 2017, GasLog had $414.3 million of cash and cash equivalents, of which $110.5 million was held in time deposits and the remaining balance in current accounts. In addition, as of June 30, 2017, GasLog had $10.0 million held in time deposits with an initial duration of more than three months but less than a year that have been classified as short-term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of June 30, 2017, GasLog had an aggregate of $2.66 billion of indebtedness outstanding under its credit facilities and bond agreements (net of unamortized deferred loan fees), of which $219.9 million was repayable within one year, and a $217.0 million finance lease liability related to the sale and leaseback of the </w:t>
      </w:r>
      <w:r>
        <w:rPr>
          <w:rFonts w:ascii="Arial" w:cs="Arial" w:eastAsia="Arial" w:hAnsi="Arial"/>
          <w:sz w:val="18"/>
          <w:szCs w:val="18"/>
          <w:i w:val="1"/>
          <w:iCs w:val="1"/>
          <w:color w:val="auto"/>
        </w:rPr>
        <w:t xml:space="preserve">Methane Julia Louise, </w:t>
      </w:r>
      <w:r>
        <w:rPr>
          <w:rFonts w:ascii="Arial" w:cs="Arial" w:eastAsia="Arial" w:hAnsi="Arial"/>
          <w:sz w:val="18"/>
          <w:szCs w:val="18"/>
          <w:color w:val="auto"/>
        </w:rPr>
        <w:t>of which $6.1 million was repayable within one year.</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On April 5, 2017, GasLog prepaid $150.0 million of borrowings outstanding under the junior tranche of the Five Vessel Refinancing that subsidiaries of GasLog and GasLog Partners entered into on February 18, 2016, using part of the proceeds from the offering of the 8.875% Senior Notes.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27, 2017, GasLog completed the repurchase of the outstanding NOK bonds maturing in April 2018, at a price of 103.0% of par value for total consideration of NOK 424.4 million ($70.8 million at the swapped rate under the associated CCS).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2017, there was undrawn available capacity of $58.4 million under the revolving credit facility of the Legacy Facility Refinancing. On July 3, 2017, GasLog repaid $41.6 million of the revolving credit facility of the Legacy Facility Refinancing increasing the undrawn available capacity to $100.0 million.</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June 30, 2017, GasLog’s principal commitments for capital expenditures are related to the five LNG carriers on order, which have a gross aggregate contract price of approximately $1.0 billion. As of June 30, 2017, the total remaining balance of the contract prices of the aforementioned newbuildings was $899.1 million that GasLog expects to be funded with the $664.0 million undrawn capacity under the financing agreement entered into on October 16, 2015, as well as cash balances, cash from operations, cash from future dropdowns, if any, and borrowings under new and existing debt agreements.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2017, GasLog’s current assets totalled $451.7 million while current liabilities totalled $335.6 million, resulting in a positive working capital position of $116.1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51.3% of its expected floating interest rate exposure on its outstanding debt (excluding the finance lease liability) as of June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GasLog has three newbuildings on order at Samsung Heavy Industries Co. Ltd. (“Samsung”) and two newbuildings on order at Hyundai Heavy Industries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Ltd. (“Hyundai”). Our vessels presently under construction are on schedule and within budget. The expected delivery dates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Hulls</w:t>
            </w: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Delivery date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Shipyard</w:t>
            </w:r>
          </w:p>
        </w:tc>
      </w:tr>
      <w:tr>
        <w:trPr>
          <w:trHeight w:val="210"/>
        </w:trPr>
        <w:tc>
          <w:tcPr>
            <w:tcW w:w="16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Hull No. 2130</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Q1 2018</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Hull No. 2800</w:t>
            </w: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Q1 2018</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080" w:type="dxa"/>
            <w:vAlign w:val="bottom"/>
            <w:gridSpan w:val="2"/>
            <w:shd w:val="clear" w:color="auto" w:fill="E5FFFF"/>
          </w:tcPr>
          <w:p>
            <w:pPr>
              <w:jc w:val="center"/>
              <w:ind w:right="460"/>
              <w:spacing w:after="0"/>
              <w:rPr>
                <w:sz w:val="20"/>
                <w:szCs w:val="20"/>
                <w:color w:val="auto"/>
              </w:rPr>
            </w:pPr>
            <w:r>
              <w:rPr>
                <w:rFonts w:ascii="Arial" w:cs="Arial" w:eastAsia="Arial" w:hAnsi="Arial"/>
                <w:sz w:val="18"/>
                <w:szCs w:val="18"/>
                <w:color w:val="auto"/>
                <w:w w:val="93"/>
              </w:rPr>
              <w:t>Hull No. 2801</w:t>
            </w:r>
          </w:p>
        </w:tc>
        <w:tc>
          <w:tcPr>
            <w:tcW w:w="2040" w:type="dxa"/>
            <w:vAlign w:val="bottom"/>
            <w:gridSpan w:val="2"/>
            <w:shd w:val="clear" w:color="auto" w:fill="E5FFFF"/>
          </w:tcPr>
          <w:p>
            <w:pPr>
              <w:jc w:val="center"/>
              <w:ind w:right="460"/>
              <w:spacing w:after="0"/>
              <w:rPr>
                <w:sz w:val="20"/>
                <w:szCs w:val="20"/>
                <w:color w:val="auto"/>
              </w:rPr>
            </w:pPr>
            <w:r>
              <w:rPr>
                <w:rFonts w:ascii="Arial" w:cs="Arial" w:eastAsia="Arial" w:hAnsi="Arial"/>
                <w:sz w:val="18"/>
                <w:szCs w:val="18"/>
                <w:color w:val="auto"/>
                <w:w w:val="89"/>
              </w:rPr>
              <w:t>Q1 2018</w:t>
            </w:r>
          </w:p>
        </w:tc>
        <w:tc>
          <w:tcPr>
            <w:tcW w:w="15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Hull No. 2131</w:t>
            </w: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Q1 2019</w:t>
            </w: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080" w:type="dxa"/>
            <w:vAlign w:val="bottom"/>
            <w:gridSpan w:val="2"/>
            <w:shd w:val="clear" w:color="auto" w:fill="E5FFFF"/>
          </w:tcPr>
          <w:p>
            <w:pPr>
              <w:jc w:val="center"/>
              <w:ind w:right="460"/>
              <w:spacing w:after="0"/>
              <w:rPr>
                <w:sz w:val="20"/>
                <w:szCs w:val="20"/>
                <w:color w:val="auto"/>
              </w:rPr>
            </w:pPr>
            <w:r>
              <w:rPr>
                <w:rFonts w:ascii="Arial" w:cs="Arial" w:eastAsia="Arial" w:hAnsi="Arial"/>
                <w:sz w:val="18"/>
                <w:szCs w:val="18"/>
                <w:color w:val="auto"/>
                <w:w w:val="93"/>
              </w:rPr>
              <w:t>Hull No. 2212</w:t>
            </w:r>
          </w:p>
        </w:tc>
        <w:tc>
          <w:tcPr>
            <w:tcW w:w="2040" w:type="dxa"/>
            <w:vAlign w:val="bottom"/>
            <w:gridSpan w:val="2"/>
            <w:shd w:val="clear" w:color="auto" w:fill="E5FFFF"/>
          </w:tcPr>
          <w:p>
            <w:pPr>
              <w:jc w:val="center"/>
              <w:ind w:right="460"/>
              <w:spacing w:after="0"/>
              <w:rPr>
                <w:sz w:val="20"/>
                <w:szCs w:val="20"/>
                <w:color w:val="auto"/>
              </w:rPr>
            </w:pPr>
            <w:r>
              <w:rPr>
                <w:rFonts w:ascii="Arial" w:cs="Arial" w:eastAsia="Arial" w:hAnsi="Arial"/>
                <w:sz w:val="18"/>
                <w:szCs w:val="18"/>
                <w:color w:val="auto"/>
                <w:w w:val="89"/>
              </w:rPr>
              <w:t>Q2 2019</w:t>
            </w:r>
          </w:p>
        </w:tc>
        <w:tc>
          <w:tcPr>
            <w:tcW w:w="15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GasLog wholly owned subsidiaries that will own the vessels upon delivery have contracted charters as set out below:</w:t>
      </w:r>
    </w:p>
    <w:p>
      <w:pPr>
        <w:spacing w:after="0" w:line="23" w:lineRule="exact"/>
        <w:rPr>
          <w:sz w:val="20"/>
          <w:szCs w:val="20"/>
          <w:color w:val="auto"/>
        </w:rPr>
      </w:pPr>
    </w:p>
    <w:p>
      <w:pPr>
        <w:ind w:left="660" w:right="5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9.5 year time charters for two vessels expected to be delivered in 2018 and one vessel expected to be delivered in 2019, each such time charter having been contracted by Methane Services Limited (“MSL”);</w:t>
      </w:r>
    </w:p>
    <w:p>
      <w:pPr>
        <w:ind w:left="660" w:right="4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seven-year time charter for the remaining vessel expected to be delivered in 2018, having been contracted in July 2016 by Total Gas &amp; Power Chartering Limited (“Total”), a wholly owned subsidiary of Total plc; and</w:t>
      </w:r>
    </w:p>
    <w:p>
      <w:pPr>
        <w:sectPr>
          <w:pgSz w:w="11900" w:h="16838" w:orient="portrait"/>
          <w:cols w:equalWidth="0" w:num="1">
            <w:col w:w="11420"/>
          </w:cols>
          <w:pgMar w:left="240" w:top="412" w:right="2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type w:val="continuous"/>
        </w:sectPr>
      </w:pPr>
    </w:p>
    <w:bookmarkStart w:id="7" w:name="page8"/>
    <w:bookmarkEnd w:id="7"/>
    <w:p>
      <w:pPr>
        <w:ind w:left="660" w:right="5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seven-year time charter in for the last vessel expected to be delivered in 2019, having been contracted in October 2016 by Pioneer Shipping Limited, a wholly owned subsidiary of Centrica plc. (“Centrica”).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time charters to commence at or around delivery of the relevant hull, with the exception of Hull No. 2800, whose charter is expected to commence in Q1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quarter, there was continued momentum in the start-up of new LNG liquefaction capacity with the fourth train at Sabine Pass commencing commercial production. Later this year, Wheatstone in Australia and Cove Point on the east coast of the U.S. are expected to start production. In total, Wood Mackenzie estimates that projects with approximately 28 million tonnes per annum (“mtpa”) of nameplate capacity will come online in 2017. In addition, Shell’s 3.2 mtpa floating liquefaction facility “Prelude” departed Samsung en route to the Browse Basin, offshore Australia.</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Sabine Pass shipped 48 cargoes in the second quarter of 2017, around four times as many as the same period in 2016, demonstrating the significant ramp-up of the facility as new trains have come online. Since start-up, the facility has shipped LNG to over 20 different countries, which include most recently Thailand, Pakistan, Taiwan, Poland and the UK. The diversity in cargo destinations has meant that the average distance travelled for U.S. cargoes has been 7,500 nautical miles, approximately double the global long-term average, which is positive for shipping demand.</w:t>
      </w:r>
    </w:p>
    <w:p>
      <w:pPr>
        <w:spacing w:after="0" w:line="17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Some off-takers from projects currently under development have yet to secure all of their shipping requirements, leading to increased tender activity in the medium and longer term charter markets. These tenders include requirements for both newbuilds and on-the-water vessels with the latter being positive in terms of absorbing the current oversupply in the spot market.</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Growing LNG supply has to date been met by increased demand in both new and existing markets. For example, Japan and South Korea, the two largest LNG importing nations, have increased their LNG imports in the first half of 2017 by 10% and 18%, respectively, versus the same period in 2016. The new South Korean President Moon Jae-in has committed to cease electricity production from some existing coal-fired power plants, to halt construction of new coal and nuclear power plants and not to extend the lifespan of ageing nuclear reactors, all of which are expected to drive future LNG demand in the country.</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Demand in the first half of 2017 in emerging LNG markets such as China (+35%) and Pakistan (+46%) has risen sharply over the same period last year. Pakistan’s Petroleum Minister said in July that the country could import over 30 mtpa by 2022 (compared to 4.5 mtpa currently). This, would make Pakistan the fifth-largest importer in the world based on current levels of consumption.</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Looking longer term, while final investment decisions (“FIDs”) for new liquefaction projects in the current environment continue to be very limited, there have been a number of encouraging recent developments: for example, ENI took FID on the 3.3 mtpa Coral South LNG project offshore Mozambique in June 2017, with BP having signed an agreement to purchase 100% of the LNG produced in late 2016. In addition, at the end of this quarter, the US Department of Energy authorized an additional 2.5 mtpa of exports from the Lake Charles project in Louisiana, bringing total authorized exports to 17.5 mtpa. In the same month, Energy Transfer, Korean Gas Corporation and Shell signed a memorandum of understanding to study joint participation in this project.</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Post quarter-end, Qatar Petroleum announced its intention to increase LNG production to 100 mtpa from 77 mtpa today by doubling the size of the new gas project in the southern sector of the North Field over the next 5-7 years.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number of markets that do not currently import gas are exploring LNG as an alternative to oil and coal or to replace declining domestic gas supply. Many countries with growing power demand, such as Ivory Coast, South Africa, Bangladesh and Myanmar, are looking at FSRUs as a quick-to-market, cost-effective solution to import LNG. Other countries with FSRUs already in place, such as Pakistan, are looking at expanding their use of FSRUs due to the successful commissioning and effective operations of the existing units. FSRUs continue to be the preferred route for most new import markets as a quicker to build, more flexible and lower cost alternative to an onshore facility. Many producers and marketers of LNG appear to be focusing their attention on FSRUs as a key enabler in creating new markets for their LNG.</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shorter term LNG shipping market, tri-fuel diesel electric (“TFDE”) headline rates have increased year on year, but remain below mid-cycle rates at around $35,000-$40,000 per day, according to Clarksons. Whilst a recovery in spot rates, to mid-cycle levels, is taking longer than originally anticipated, we continue to see a greater number of fixtures in 2017 compared to the same period in 2016 and increasing signs of seasonality, both of which point to a tightening market. Over time, this market tightening should be helped by the low level of new vessel orders, which stand at 7 for 2017 year to date including four vessels ordered for the Yamal project post quarter-end.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GasLog will host a conference call to discuss its results for the second quarter of 2017 at 8:30 a.m. EDT (1:30 p.m. BST) on Thursday, August 3, 2017. Paul Wogan, Chief Executive Officer and Alastair Maxwell,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+1 855 282 5963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ectPr>
          <w:pgSz w:w="11900" w:h="16838" w:orient="portrait"/>
          <w:cols w:equalWidth="0" w:num="1">
            <w:col w:w="11420"/>
          </w:cols>
          <w:pgMar w:left="240" w:top="409"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Conference ID: 51488833</w:t>
      </w:r>
    </w:p>
    <w:p>
      <w:pPr>
        <w:spacing w:after="0" w:line="225" w:lineRule="exact"/>
        <w:rPr>
          <w:sz w:val="20"/>
          <w:szCs w:val="20"/>
          <w:color w:val="auto"/>
        </w:rPr>
      </w:pPr>
    </w:p>
    <w:p>
      <w:pPr>
        <w:ind w:right="2900"/>
        <w:spacing w:after="0" w:line="277"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BST) on Thursday, August 3, 2017 until 11:59 p.m. EDT (4:59 a.m. BST) on Thursday, August 10,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51488833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replay will also be available via a webcast in the investor relations page of the Company’s website at </w:t>
      </w:r>
      <w:r>
        <w:rPr>
          <w:rFonts w:ascii="Arial" w:cs="Arial" w:eastAsia="Arial" w:hAnsi="Arial"/>
          <w:sz w:val="17"/>
          <w:szCs w:val="17"/>
          <w:u w:val="single" w:color="auto"/>
          <w:color w:val="auto"/>
        </w:rPr>
        <w:t>http://www.gaslogltd.com/investor-relations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27 LNG carriers (22 ships on the water and five on order). GasLog also has an additional LNG carrier which was sold to a subsidiary of Mitsui &amp; Co. Ltd. and leased back under a long-term bareboat charter. GasLog’s consolidated fleet includes eleven LNG carriers in operation owned by GasLog Partners.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r>
        <w:rPr>
          <w:rFonts w:ascii="Arial" w:cs="Arial" w:eastAsia="Arial" w:hAnsi="Arial"/>
          <w:sz w:val="14"/>
          <w:szCs w:val="14"/>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74"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88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301"/>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right="120" w:hanging="301"/>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640" w:hanging="328"/>
        <w:spacing w:after="0" w:line="261"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 2017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ectPr>
          <w:pgSz w:w="11900" w:h="16838" w:orient="portrait"/>
          <w:cols w:equalWidth="0" w:num="1">
            <w:col w:w="11400"/>
          </w:cols>
          <w:pgMar w:left="240" w:top="409" w:right="259" w:bottom="786"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786" w:gutter="0" w:footer="0" w:header="0"/>
          <w:type w:val="continuous"/>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As of December 31, 2016 and June 30, 2017</w:t>
            </w: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December 31, 2016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9,511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6,265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20,432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12,045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1,824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7,856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Tangible fixed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3,889,047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3,828,637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96,356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158,190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222,004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218,198</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28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4,244,908</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4,254,741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9,256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3,065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82</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Inventories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8,461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4,326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Short-term investments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18,000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42</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227,024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414,328</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228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270,256</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451,739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tcBorders>
              <w:bottom w:val="single" w:sz="8" w:color="E5FFFF"/>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440" w:type="dxa"/>
            <w:vAlign w:val="bottom"/>
            <w:tcBorders>
              <w:bottom w:val="single" w:sz="8" w:color="E5FF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4,706,480</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2280" w:type="dxa"/>
            <w:vAlign w:val="bottom"/>
            <w:shd w:val="clear" w:color="auto" w:fill="E5FFFF"/>
          </w:tcPr>
          <w:p>
            <w:pPr>
              <w:spacing w:after="0"/>
              <w:rPr>
                <w:sz w:val="17"/>
                <w:szCs w:val="17"/>
                <w:color w:val="auto"/>
              </w:rPr>
            </w:pPr>
          </w:p>
        </w:tc>
        <w:tc>
          <w:tcPr>
            <w:tcW w:w="17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 capital</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810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966,974</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939,377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Reserves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10,160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446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(10,861)</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Accumulated deficit</w:t>
            </w:r>
          </w:p>
        </w:tc>
        <w:tc>
          <w:tcPr>
            <w:tcW w:w="4460" w:type="dxa"/>
            <w:vAlign w:val="bottom"/>
            <w:gridSpan w:val="3"/>
          </w:tcPr>
          <w:p>
            <w:pPr>
              <w:jc w:val="right"/>
              <w:ind w:right="380"/>
              <w:spacing w:after="0"/>
              <w:rPr>
                <w:sz w:val="20"/>
                <w:szCs w:val="20"/>
                <w:color w:val="auto"/>
              </w:rPr>
            </w:pPr>
            <w:r>
              <w:rPr>
                <w:rFonts w:ascii="Arial" w:cs="Arial" w:eastAsia="Arial" w:hAnsi="Arial"/>
                <w:sz w:val="18"/>
                <w:szCs w:val="18"/>
                <w:color w:val="auto"/>
              </w:rPr>
              <w:t>(21,486)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28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926,286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564,039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790,936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228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1,509,682</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1,717,222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7,255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841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105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7,854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93,386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93,416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147,448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5,946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280" w:type="dxa"/>
            <w:vAlign w:val="bottom"/>
            <w:tcBorders>
              <w:bottom w:val="single" w:sz="8" w:color="E5FFFF"/>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335,590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2280" w:type="dxa"/>
            <w:vAlign w:val="bottom"/>
            <w:shd w:val="clear" w:color="auto" w:fill="E5FFFF"/>
          </w:tcPr>
          <w:p>
            <w:pPr>
              <w:spacing w:after="0"/>
              <w:rPr>
                <w:sz w:val="18"/>
                <w:szCs w:val="18"/>
                <w:color w:val="auto"/>
              </w:rPr>
            </w:pPr>
          </w:p>
        </w:tc>
        <w:tc>
          <w:tcPr>
            <w:tcW w:w="17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22,485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2,504,578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2,441,120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214,455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210,866</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1,129</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280" w:type="dxa"/>
            <w:vAlign w:val="bottom"/>
            <w:tcBorders>
              <w:bottom w:val="single" w:sz="8" w:color="E5FFFF"/>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2,653,668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2280" w:type="dxa"/>
            <w:vAlign w:val="bottom"/>
            <w:tcBorders>
              <w:bottom w:val="single" w:sz="8" w:color="E5FFFF"/>
            </w:tcBorders>
            <w:shd w:val="clear" w:color="auto" w:fill="E5FFFF"/>
          </w:tcPr>
          <w:p>
            <w:pPr>
              <w:spacing w:after="0"/>
              <w:rPr>
                <w:sz w:val="19"/>
                <w:szCs w:val="19"/>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4,515,164</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4,706,480</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80" w:type="dxa"/>
            <w:vAlign w:val="bottom"/>
            <w:vMerge w:val="restart"/>
          </w:tcPr>
          <w:p>
            <w:pPr>
              <w:jc w:val="right"/>
              <w:ind w:right="1810"/>
              <w:spacing w:after="0"/>
              <w:rPr>
                <w:sz w:val="20"/>
                <w:szCs w:val="20"/>
                <w:color w:val="auto"/>
              </w:rPr>
            </w:pPr>
            <w:r>
              <w:rPr>
                <w:rFonts w:ascii="Arial" w:cs="Arial" w:eastAsia="Arial" w:hAnsi="Arial"/>
                <w:sz w:val="18"/>
                <w:szCs w:val="18"/>
                <w:color w:val="auto"/>
              </w:rPr>
              <w:t>8</w:t>
            </w: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0C0C0"/>
            </w:tcBorders>
          </w:tcPr>
          <w:p>
            <w:pPr>
              <w:spacing w:after="0"/>
              <w:rPr>
                <w:sz w:val="21"/>
                <w:szCs w:val="21"/>
                <w:color w:val="auto"/>
              </w:rPr>
            </w:pPr>
          </w:p>
        </w:tc>
        <w:tc>
          <w:tcPr>
            <w:tcW w:w="2280" w:type="dxa"/>
            <w:vAlign w:val="bottom"/>
            <w:tcBorders>
              <w:bottom w:val="single" w:sz="8" w:color="C0C0C0"/>
            </w:tcBorders>
          </w:tcPr>
          <w:p>
            <w:pPr>
              <w:spacing w:after="0"/>
              <w:rPr>
                <w:sz w:val="21"/>
                <w:szCs w:val="21"/>
                <w:color w:val="auto"/>
              </w:rPr>
            </w:pPr>
          </w:p>
        </w:tc>
        <w:tc>
          <w:tcPr>
            <w:tcW w:w="17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4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For the three months ended</w:t>
            </w:r>
          </w:p>
        </w:tc>
        <w:tc>
          <w:tcPr>
            <w:tcW w:w="30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 2016</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2017</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114,474</w:t>
            </w: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129,930</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218,851</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258,215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(27,964)</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(29,833)</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(56,421)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(3,256)</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(2,827)</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(8,519)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(29,484)</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(34,451)</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(57,648)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(10,355)</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(10,246)</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(19,089)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43,415</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52,573</w:t>
            </w:r>
          </w:p>
        </w:tc>
        <w:tc>
          <w:tcPr>
            <w:tcW w:w="4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77,174</w:t>
            </w:r>
          </w:p>
        </w:tc>
        <w:tc>
          <w:tcPr>
            <w:tcW w:w="4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(31,483)</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(37,078)</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(60,662)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744</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(9,039)</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(9,720)</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(19,453)</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329</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663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(40,069</w:t>
            </w:r>
          </w:p>
        </w:tc>
        <w:tc>
          <w:tcPr>
            <w:tcW w:w="480" w:type="dxa"/>
            <w:vAlign w:val="bottom"/>
            <w:tcBorders>
              <w:top w:val="single" w:sz="8" w:color="E5FFFF"/>
            </w:tcBorders>
            <w:shd w:val="clear" w:color="auto" w:fill="E5FFFF"/>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(45,669</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(79,126</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(77,342</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48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w:t>
            </w:r>
          </w:p>
        </w:tc>
        <w:tc>
          <w:tcPr>
            <w:tcW w:w="44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12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Owners of the Group</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(7,864)</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(7,515)</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(23,762)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11,210</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14,419</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21,810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4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w:t>
            </w:r>
          </w:p>
        </w:tc>
        <w:tc>
          <w:tcPr>
            <w:tcW w:w="4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(0.13)</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(0.12)</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(0.36)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(1,952)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Depreciation</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57,648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(663)</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60,662</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69,602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Unrealized foreign exchange loss/(gain) on cash and cash equivalents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 on derivative financial instruments held for trading</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9,509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6,276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1,800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133,073</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173,312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25,681</w:t>
            </w:r>
          </w:p>
        </w:tc>
        <w:tc>
          <w:tcPr>
            <w:tcW w:w="4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158,754</w:t>
            </w:r>
          </w:p>
        </w:tc>
        <w:tc>
          <w:tcPr>
            <w:tcW w:w="4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167,968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(39,467</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(63,853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119,287</w:t>
            </w:r>
          </w:p>
        </w:tc>
        <w:tc>
          <w:tcPr>
            <w:tcW w:w="4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104,115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(390,202)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(63,010)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1,038</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Other investments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(382,697</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(66,726</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bank loans and bonds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991,284</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sale and finance leaseback</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217,000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Bank loans and bonds repayments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(988,562)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(276,158)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(21,186)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w w:val="99"/>
              </w:rPr>
              <w:t>Proceeds from GasLog Partners’ common unit offerings (net of underwriting discounts and commissions)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87,840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9"/>
              </w:rPr>
              <w:t>Proceeds from GasLog Partners’ preference unit offering (net of underwriting discounts and commissions)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139,222</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for NOK bond repurchase at a premium</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(2,120)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(31,986)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37,711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(48,285)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(53,019)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Payments for finance lease liability</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Proceeds from stock options’ exercise</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153,142</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149,377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(110,387</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187,304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4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192,601</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414,328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EBITDA is defined as earnings before depreciation, amortization, financial income and costs, gain/loss on swaps and taxes. Adjusted EBITDA is defined as EBITDA before foreign exchange gains/losses. Adjusted Profit represents earnings before write-off and accelerated amortization of unamortized loan fees/bond fees and premium, foreign exchange gains/losses and non-cash gain/loss on swaps that includes (if any) (a) unrealized gain/loss on derivative financial instruments held for trading and (b) recycled loss of cash flow hedges reclassified to profit or loss.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financial costs,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34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For the three months ended</w:t>
            </w:r>
          </w:p>
        </w:tc>
        <w:tc>
          <w:tcPr>
            <w:tcW w:w="30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4940" w:type="dxa"/>
            <w:vAlign w:val="bottom"/>
          </w:tcPr>
          <w:p>
            <w:pPr>
              <w:spacing w:after="0"/>
              <w:rPr>
                <w:sz w:val="20"/>
                <w:szCs w:val="20"/>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June 30, 2016</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2017</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June 30,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June 30, 2017</w:t>
            </w: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3,346</w:t>
            </w: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6,904</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(1,952)</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30,296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29,484</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34,451</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57,648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68,159</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31,483</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37,078</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60,662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69,602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(744)</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(326)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9,039</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9,720</w:t>
            </w:r>
          </w:p>
        </w:tc>
        <w:tc>
          <w:tcPr>
            <w:tcW w:w="44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19,453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9,722</w:t>
            </w: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73,228</w:t>
            </w: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87,409</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135,485</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100" w:type="dxa"/>
            <w:vAlign w:val="bottom"/>
            <w:tcBorders>
              <w:bottom w:val="single" w:sz="8" w:color="E5FFFF"/>
            </w:tcBorders>
          </w:tcPr>
          <w:p>
            <w:pPr>
              <w:spacing w:after="0"/>
              <w:rPr>
                <w:sz w:val="18"/>
                <w:szCs w:val="18"/>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losses/(gains), net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398</w:t>
            </w:r>
          </w:p>
        </w:tc>
        <w:tc>
          <w:tcPr>
            <w:tcW w:w="4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5FF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73,670</w:t>
            </w:r>
          </w:p>
        </w:tc>
        <w:tc>
          <w:tcPr>
            <w:tcW w:w="4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87,352</w:t>
            </w: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135,883</w:t>
            </w:r>
          </w:p>
        </w:tc>
        <w:tc>
          <w:tcPr>
            <w:tcW w:w="4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176,690</w:t>
            </w: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Reconciliation of Adjusted Profit to Profit: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(Amounts expressed in thousands of U.S. Dollars)</w:t>
      </w:r>
    </w:p>
    <w:p>
      <w:pPr>
        <w:sectPr>
          <w:pgSz w:w="11900" w:h="16838" w:orient="portrait"/>
          <w:cols w:equalWidth="0" w:num="1">
            <w:col w:w="11420"/>
          </w:cols>
          <w:pgMar w:left="240" w:top="4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Profit/(loss)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Non-cash loss on swaps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Write-off of unamortized loan/bond fees and premium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losses/(gains),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Profit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For the three months ended</w:t>
            </w:r>
          </w:p>
        </w:tc>
        <w:tc>
          <w:tcPr>
            <w:tcW w:w="2960" w:type="dxa"/>
            <w:vAlign w:val="bottom"/>
            <w:gridSpan w:val="4"/>
          </w:tcPr>
          <w:p>
            <w:pPr>
              <w:ind w:left="50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1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June 30, 2016</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June 30, 2017</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June 30, 2016</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June 30, 2017</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3,346</w:t>
            </w:r>
          </w:p>
        </w:tc>
        <w:tc>
          <w:tcPr>
            <w:tcW w:w="48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6,904</w:t>
            </w:r>
          </w:p>
        </w:tc>
        <w:tc>
          <w:tcPr>
            <w:tcW w:w="4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(1,952)</w:t>
            </w:r>
          </w:p>
        </w:tc>
        <w:tc>
          <w:tcPr>
            <w:tcW w:w="44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30,296</w:t>
            </w:r>
          </w:p>
        </w:tc>
        <w:tc>
          <w:tcPr>
            <w:tcW w:w="20" w:type="dxa"/>
            <w:vAlign w:val="bottom"/>
          </w:tcPr>
          <w:p>
            <w:pPr>
              <w:spacing w:after="0"/>
              <w:rPr>
                <w:sz w:val="16"/>
                <w:szCs w:val="16"/>
                <w:color w:val="auto"/>
              </w:rPr>
            </w:pPr>
          </w:p>
        </w:tc>
      </w:tr>
      <w:tr>
        <w:trPr>
          <w:trHeight w:val="216"/>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7,299</w:t>
            </w:r>
          </w:p>
        </w:tc>
        <w:tc>
          <w:tcPr>
            <w:tcW w:w="1260" w:type="dxa"/>
            <w:vAlign w:val="bottom"/>
          </w:tcPr>
          <w:p>
            <w:pPr>
              <w:jc w:val="right"/>
              <w:spacing w:after="0"/>
              <w:rPr>
                <w:sz w:val="20"/>
                <w:szCs w:val="20"/>
                <w:color w:val="auto"/>
              </w:rPr>
            </w:pPr>
            <w:r>
              <w:rPr>
                <w:rFonts w:ascii="Arial" w:cs="Arial" w:eastAsia="Arial" w:hAnsi="Arial"/>
                <w:sz w:val="18"/>
                <w:szCs w:val="18"/>
                <w:color w:val="auto"/>
              </w:rPr>
              <w:t>7,855</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15,785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r>
      <w:tr>
        <w:trPr>
          <w:trHeight w:val="216"/>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1,836</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4,882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r>
      <w:tr>
        <w:trPr>
          <w:trHeight w:val="244"/>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442</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398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12,923</w:t>
            </w:r>
          </w:p>
        </w:tc>
        <w:tc>
          <w:tcPr>
            <w:tcW w:w="4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14,419</w:t>
            </w:r>
          </w:p>
        </w:tc>
        <w:tc>
          <w:tcPr>
            <w:tcW w:w="4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19,113</w:t>
            </w:r>
          </w:p>
        </w:tc>
        <w:tc>
          <w:tcPr>
            <w:tcW w:w="44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36,175</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-745490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-462280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20" w:space="720"/>
            <w:col w:w="6480"/>
          </w:cols>
          <w:pgMar w:left="240" w:top="40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Reconciliation of Adjusted Loss Per Share to 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(Amounts expressed in thousands of U.S. Dollars, except shares and per share data)</w:t>
      </w:r>
    </w:p>
    <w:p>
      <w:pPr>
        <w:sectPr>
          <w:pgSz w:w="11900" w:h="16838" w:orient="portrait"/>
          <w:cols w:equalWidth="0" w:num="1">
            <w:col w:w="11420"/>
          </w:cols>
          <w:pgMar w:left="240" w:top="40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(Loss)/profit for the period attributable to owners of the Group 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Dividend on preference shares</w:t>
      </w:r>
    </w:p>
    <w:p>
      <w:pPr>
        <w:spacing w:after="0" w:line="9" w:lineRule="exact"/>
        <w:rPr>
          <w:sz w:val="20"/>
          <w:szCs w:val="20"/>
          <w:color w:val="auto"/>
        </w:rPr>
      </w:pPr>
    </w:p>
    <w:p>
      <w:pPr>
        <w:ind w:left="180" w:right="180" w:hanging="179"/>
        <w:spacing w:after="0" w:line="258" w:lineRule="auto"/>
        <w:rPr>
          <w:sz w:val="20"/>
          <w:szCs w:val="20"/>
          <w:color w:val="auto"/>
        </w:rPr>
      </w:pPr>
      <w:r>
        <w:rPr>
          <w:rFonts w:ascii="Arial" w:cs="Arial" w:eastAsia="Arial" w:hAnsi="Arial"/>
          <w:sz w:val="18"/>
          <w:szCs w:val="18"/>
          <w:color w:val="auto"/>
        </w:rPr>
        <w:t>Loss for the period available to owners of the Group used in EPS calculation</w:t>
      </w:r>
    </w:p>
    <w:p>
      <w:pPr>
        <w:spacing w:after="0" w:line="1" w:lineRule="exact"/>
        <w:rPr>
          <w:sz w:val="20"/>
          <w:szCs w:val="20"/>
          <w:color w:val="auto"/>
        </w:rPr>
      </w:pPr>
    </w:p>
    <w:p>
      <w:pPr>
        <w:ind w:right="600"/>
        <w:spacing w:after="0" w:line="281" w:lineRule="auto"/>
        <w:rPr>
          <w:sz w:val="20"/>
          <w:szCs w:val="20"/>
          <w:color w:val="auto"/>
        </w:rPr>
      </w:pPr>
      <w:r>
        <w:rPr>
          <w:rFonts w:ascii="Arial" w:cs="Arial" w:eastAsia="Arial" w:hAnsi="Arial"/>
          <w:sz w:val="18"/>
          <w:szCs w:val="18"/>
          <w:color w:val="auto"/>
        </w:rPr>
        <w:t xml:space="preserve">Weighted average number of shares outstanding, basic </w:t>
      </w:r>
      <w:r>
        <w:rPr>
          <w:rFonts w:ascii="Arial" w:cs="Arial" w:eastAsia="Arial" w:hAnsi="Arial"/>
          <w:sz w:val="18"/>
          <w:szCs w:val="18"/>
          <w:b w:val="1"/>
          <w:bCs w:val="1"/>
          <w:color w:val="auto"/>
        </w:rPr>
        <w:t>Loss per share</w:t>
      </w:r>
    </w:p>
    <w:p>
      <w:pPr>
        <w:spacing w:after="0" w:line="1" w:lineRule="exact"/>
        <w:rPr>
          <w:sz w:val="20"/>
          <w:szCs w:val="20"/>
          <w:color w:val="auto"/>
        </w:rPr>
      </w:pPr>
    </w:p>
    <w:p>
      <w:pPr>
        <w:ind w:left="180" w:right="180" w:hanging="179"/>
        <w:spacing w:after="0" w:line="258" w:lineRule="auto"/>
        <w:rPr>
          <w:sz w:val="20"/>
          <w:szCs w:val="20"/>
          <w:color w:val="auto"/>
        </w:rPr>
      </w:pPr>
      <w:r>
        <w:rPr>
          <w:rFonts w:ascii="Arial" w:cs="Arial" w:eastAsia="Arial" w:hAnsi="Arial"/>
          <w:sz w:val="18"/>
          <w:szCs w:val="18"/>
          <w:color w:val="auto"/>
        </w:rPr>
        <w:t>Loss for the period available to owners of the Group used in EPS calculation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loss on swaps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Write-off of unamortized bond fees and premium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losses/(gains), net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For the three months ended</w:t>
            </w:r>
          </w:p>
        </w:tc>
        <w:tc>
          <w:tcPr>
            <w:tcW w:w="30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17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 2016</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2017</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2016</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24"/>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(7,864)</w:t>
            </w:r>
          </w:p>
        </w:tc>
        <w:tc>
          <w:tcPr>
            <w:tcW w:w="4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4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(23,762)</w:t>
            </w:r>
          </w:p>
        </w:tc>
        <w:tc>
          <w:tcPr>
            <w:tcW w:w="44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(2,516)</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(2,516)</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(5,031)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(10,380)</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(10,031)</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(28,793)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80,535,156</w:t>
            </w: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80,624,124</w:t>
            </w: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80,515,828</w:t>
            </w: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80,592,912</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480" w:type="dxa"/>
            <w:vAlign w:val="bottom"/>
            <w:vMerge w:val="continue"/>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vMerge w:val="continue"/>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440" w:type="dxa"/>
            <w:vAlign w:val="bottom"/>
            <w:vMerge w:val="continue"/>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(0.05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(10,380)</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(10,031)</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(28,793)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418"/>
        </w:trPr>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7,299</w:t>
            </w:r>
          </w:p>
        </w:tc>
        <w:tc>
          <w:tcPr>
            <w:tcW w:w="1260" w:type="dxa"/>
            <w:vAlign w:val="bottom"/>
          </w:tcPr>
          <w:p>
            <w:pPr>
              <w:jc w:val="right"/>
              <w:spacing w:after="0"/>
              <w:rPr>
                <w:sz w:val="20"/>
                <w:szCs w:val="20"/>
                <w:color w:val="auto"/>
              </w:rPr>
            </w:pPr>
            <w:r>
              <w:rPr>
                <w:rFonts w:ascii="Arial" w:cs="Arial" w:eastAsia="Arial" w:hAnsi="Arial"/>
                <w:sz w:val="18"/>
                <w:szCs w:val="18"/>
                <w:color w:val="auto"/>
              </w:rPr>
              <w:t>7,855</w:t>
            </w:r>
          </w:p>
        </w:tc>
        <w:tc>
          <w:tcPr>
            <w:tcW w:w="44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15,785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1,836</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(283)</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4,882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442</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-1851660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-1568450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-1139825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-831215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-419735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-145415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20" w:space="420"/>
            <w:col w:w="6480"/>
          </w:cols>
          <w:pgMar w:left="240" w:top="40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Adjusted (loss)/earnings attributable to owners of the Group</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2,085</w:t>
            </w:r>
          </w:p>
        </w:tc>
        <w:tc>
          <w:tcPr>
            <w:tcW w:w="80" w:type="dxa"/>
            <w:vAlign w:val="bottom"/>
          </w:tcPr>
          <w:p>
            <w:pPr>
              <w:spacing w:after="0"/>
              <w:rPr>
                <w:sz w:val="18"/>
                <w:szCs w:val="18"/>
                <w:color w:val="auto"/>
              </w:rPr>
            </w:pP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80,535,156</w:t>
            </w: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80,624,124</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80,515,828</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80,592,912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Adjusted (loss)/earnings per share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49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and Six Months Ended June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20" w:firstLine="356"/>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 and six-month periods ended June 30, 2016 and June 30, 2017.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 2017.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400" w:hanging="328"/>
        <w:spacing w:after="0" w:line="256"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and technological advancements and opportunities for the profitable operation of LNG carriers;</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6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 including the risk that our vessels may no longer have the latest technology at such time;</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301"/>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right="140" w:hanging="301"/>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660" w:hanging="328"/>
        <w:spacing w:after="0" w:line="261"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 2017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0" w:firstLine="356"/>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56"/>
        <w:spacing w:after="0" w:line="270" w:lineRule="auto"/>
        <w:rPr>
          <w:sz w:val="20"/>
          <w:szCs w:val="20"/>
          <w:color w:val="auto"/>
        </w:rPr>
      </w:pPr>
      <w:r>
        <w:rPr>
          <w:rFonts w:ascii="Arial" w:cs="Arial" w:eastAsia="Arial" w:hAnsi="Arial"/>
          <w:sz w:val="17"/>
          <w:szCs w:val="17"/>
          <w:color w:val="auto"/>
        </w:rPr>
        <w:t>We are an international owner, operator and manager of LNG carriers. Our wholly owned fleet as of August 3, 2017 consists of 16 LNG carriers, including eleven ships in operation, three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eleven LNG carriers. In addition, GasLog has leased back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23 LNG carriers including 10 of our wholly owned ships in operation (one is managed by a subsidiary of Royal Dutch Shell plc (“Shell”)), the eleven ships contributed or sold to the Partnership, the bareboat vessel and one additional LNG carrier in which we have a 25% interest. We are also supervising the construction of our newbuildings.</w:t>
      </w:r>
    </w:p>
    <w:p>
      <w:pPr>
        <w:spacing w:after="0" w:line="182" w:lineRule="exact"/>
        <w:rPr>
          <w:sz w:val="20"/>
          <w:szCs w:val="20"/>
          <w:color w:val="auto"/>
        </w:rPr>
      </w:pPr>
    </w:p>
    <w:p>
      <w:pPr>
        <w:ind w:right="120" w:firstLine="383"/>
        <w:spacing w:after="0" w:line="270" w:lineRule="auto"/>
        <w:rPr>
          <w:sz w:val="20"/>
          <w:szCs w:val="20"/>
          <w:color w:val="auto"/>
        </w:rPr>
      </w:pPr>
      <w:r>
        <w:rPr>
          <w:rFonts w:ascii="Arial" w:cs="Arial" w:eastAsia="Arial" w:hAnsi="Arial"/>
          <w:sz w:val="17"/>
          <w:szCs w:val="17"/>
          <w:color w:val="auto"/>
        </w:rPr>
        <w:t>We have secured multi-year time charter contracts for six of our operating ships, the eleven ships owned by the Partnership, the bareboat vessel and our five newbuildings on order. As of June 30, 2017, these contracts are expected to provide total contracted revenue of approximately $3.32 billion during their initial terms which expire between 2018 and 2029. Contracted revenue calculations assume: (a) 365 revenue days per annum, with 30 off-hire days when the ship undergoes scheduled dry-docking, (b) all LNG carriers on order are delivered on schedule, and (c) no exercise of any option to extend the term of charters. Five of our ships are currently operating in the spot/short-term market. GasLog has entered into a pool agreement (the “Pool Agreement”) with Dynagas Ltd. (“Dynagas”) and Golar LNG Ltd. (“Golar”) establishing The Cool Pool Limited (the “Cool Pool”) to market our and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We also have a 25% interest in an additional ship,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owned by Egypt LNG Shipping Ltd. (“Egypt LNG”) and technically managed by us. It is currently operating under a 20-year time charter to a subsidiary of Shell.</w:t>
      </w:r>
    </w:p>
    <w:p>
      <w:pPr>
        <w:spacing w:after="0" w:line="170" w:lineRule="exact"/>
        <w:rPr>
          <w:sz w:val="20"/>
          <w:szCs w:val="20"/>
          <w:color w:val="auto"/>
        </w:rPr>
      </w:pPr>
    </w:p>
    <w:p>
      <w:pPr>
        <w:ind w:right="480" w:firstLine="356"/>
        <w:spacing w:after="0" w:line="264" w:lineRule="auto"/>
        <w:rPr>
          <w:sz w:val="20"/>
          <w:szCs w:val="20"/>
          <w:color w:val="auto"/>
        </w:rPr>
      </w:pPr>
      <w:r>
        <w:rPr>
          <w:rFonts w:ascii="Arial" w:cs="Arial" w:eastAsia="Arial" w:hAnsi="Arial"/>
          <w:sz w:val="18"/>
          <w:szCs w:val="18"/>
          <w:color w:val="auto"/>
        </w:rPr>
        <w:t>We generate revenues by chartering our ships to customers on multi-year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Amendment of the </w:t>
      </w:r>
      <w:r>
        <w:rPr>
          <w:rFonts w:ascii="Arial" w:cs="Arial" w:eastAsia="Arial" w:hAnsi="Arial"/>
          <w:sz w:val="18"/>
          <w:szCs w:val="18"/>
          <w:b w:val="1"/>
          <w:bCs w:val="1"/>
          <w:i w:val="1"/>
          <w:iCs w:val="1"/>
          <w:u w:val="single" w:color="auto"/>
          <w:color w:val="auto"/>
        </w:rPr>
        <w:t>GasLog Skagen</w:t>
      </w:r>
      <w:r>
        <w:rPr>
          <w:rFonts w:ascii="Arial" w:cs="Arial" w:eastAsia="Arial" w:hAnsi="Arial"/>
          <w:sz w:val="18"/>
          <w:szCs w:val="18"/>
          <w:b w:val="1"/>
          <w:bCs w:val="1"/>
          <w:u w:val="single" w:color="auto"/>
          <w:color w:val="auto"/>
        </w:rPr>
        <w:t xml:space="preserve"> Seasonal Charter Party Agreement</w:t>
      </w:r>
    </w:p>
    <w:p>
      <w:pPr>
        <w:spacing w:after="0" w:line="229" w:lineRule="exact"/>
        <w:rPr>
          <w:sz w:val="20"/>
          <w:szCs w:val="20"/>
          <w:color w:val="auto"/>
        </w:rPr>
      </w:pPr>
    </w:p>
    <w:p>
      <w:pPr>
        <w:ind w:right="20" w:firstLine="383"/>
        <w:spacing w:after="0" w:line="279" w:lineRule="auto"/>
        <w:rPr>
          <w:sz w:val="20"/>
          <w:szCs w:val="20"/>
          <w:color w:val="auto"/>
        </w:rPr>
      </w:pPr>
      <w:r>
        <w:rPr>
          <w:rFonts w:ascii="Arial" w:cs="Arial" w:eastAsia="Arial" w:hAnsi="Arial"/>
          <w:sz w:val="17"/>
          <w:szCs w:val="17"/>
          <w:color w:val="auto"/>
        </w:rPr>
        <w:t xml:space="preserve">On April 28, 2017, the Group signed an amendment to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seasonal time charter agreement, pursuant to which the seasonal charter of the vessel was replaced by a continuous time charter for a duration of 2.4 years ending in August 2019. The amended continuous charter will cover essentially the same total number of fixed days as the previous seasonal charter and will eliminate redelivery risk at the beginning and end of each seasonal period. In addition, the amended charter will provide assurance of fixed revenues through August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Preference Units Equity Offering and Dropdown of the </w:t>
      </w:r>
      <w:r>
        <w:rPr>
          <w:rFonts w:ascii="Arial" w:cs="Arial" w:eastAsia="Arial" w:hAnsi="Arial"/>
          <w:sz w:val="18"/>
          <w:szCs w:val="18"/>
          <w:b w:val="1"/>
          <w:bCs w:val="1"/>
          <w:i w:val="1"/>
          <w:iCs w:val="1"/>
          <w:u w:val="single" w:color="auto"/>
          <w:color w:val="auto"/>
        </w:rPr>
        <w:t>GasLog Geneva</w:t>
      </w:r>
    </w:p>
    <w:p>
      <w:pPr>
        <w:spacing w:after="0" w:line="229" w:lineRule="exact"/>
        <w:rPr>
          <w:sz w:val="20"/>
          <w:szCs w:val="20"/>
          <w:color w:val="auto"/>
        </w:rPr>
      </w:pPr>
    </w:p>
    <w:p>
      <w:pPr>
        <w:ind w:firstLine="383"/>
        <w:spacing w:after="0" w:line="290" w:lineRule="auto"/>
        <w:rPr>
          <w:sz w:val="20"/>
          <w:szCs w:val="20"/>
          <w:color w:val="auto"/>
        </w:rPr>
      </w:pPr>
      <w:r>
        <w:rPr>
          <w:rFonts w:ascii="Arial" w:cs="Arial" w:eastAsia="Arial" w:hAnsi="Arial"/>
          <w:sz w:val="16"/>
          <w:szCs w:val="16"/>
          <w:color w:val="auto"/>
        </w:rPr>
        <w:t xml:space="preserve">On May 15, 2017, GasLog Partners completed a public offering of 5,750,000 8.625% Series A Cumulative Redeemable Perpetual Fixed to Floating Rate Preference Units (the “Partnership’s Series A Preference Units”) (including 750,000 units issued upon the exercise in full by the underwriters of their option to purchase additional Partnership’s Series A Preference Units), liquidation preference $25.00 per unit, at a price to the public of $25.00 per preference unit. The gross proceeds of the offering were $143.8 million and the net proceeds after deducting underwriting discounts, commissions and other offering expenses were $138.8 million. The Series A Preference Units are listed on the New York Stock Exchange under the symbol “GLOP PR A”. The initial distribution on the Series A Preference Units will be payable on September 15, 2017. A portion of the proceeds from the public offering were used to partially finance the acquisition from GasLog of 100% of the ownership interest in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for an aggregate purchase price of $211.0 million, which includes $1.0 million for positive net working capital balances transferred with the vessel. The acquisition closed on July 3,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Commencement of GasLog Partners’ “At-The-Market” Common Equity Offering Programme (“ATM Programme”)</w:t>
      </w:r>
    </w:p>
    <w:p>
      <w:pPr>
        <w:spacing w:after="0" w:line="229" w:lineRule="exact"/>
        <w:rPr>
          <w:sz w:val="20"/>
          <w:szCs w:val="20"/>
          <w:color w:val="auto"/>
        </w:rPr>
      </w:pPr>
    </w:p>
    <w:p>
      <w:pPr>
        <w:ind w:right="20" w:firstLine="383"/>
        <w:spacing w:after="0" w:line="290"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issued and received payment for 410,877 common units at a weighted average price of $22.68 per common unit for total net proceeds of $8.8 million, after broker commissions of $0.2 million and other expenses of $0.3 million. In the period from July 1, 2017 through July 6, 2017, GasLog Partners issued and received payment for an additional 94,367 common units at a weighted average price of $22.91 per unit for net proceeds of $2.1 million, after broker commissions of $0.03 million. The issuance of these units fulfilled contractual commitments entered into on or before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Transactions</w:t>
      </w:r>
    </w:p>
    <w:p>
      <w:pPr>
        <w:spacing w:after="0" w:line="229" w:lineRule="exact"/>
        <w:rPr>
          <w:sz w:val="20"/>
          <w:szCs w:val="20"/>
          <w:color w:val="auto"/>
        </w:rPr>
      </w:pPr>
    </w:p>
    <w:p>
      <w:pPr>
        <w:ind w:right="80" w:firstLine="383"/>
        <w:spacing w:after="0" w:line="264" w:lineRule="auto"/>
        <w:rPr>
          <w:sz w:val="20"/>
          <w:szCs w:val="20"/>
          <w:color w:val="auto"/>
        </w:rPr>
      </w:pPr>
      <w:r>
        <w:rPr>
          <w:rFonts w:ascii="Arial" w:cs="Arial" w:eastAsia="Arial" w:hAnsi="Arial"/>
          <w:sz w:val="18"/>
          <w:szCs w:val="18"/>
          <w:color w:val="auto"/>
        </w:rPr>
        <w:t>On April 5, 2017, GasLog used $150.0 million of the proceeds from the offering of the 8.875% senior unsecured notes due in 2022 (the “8.875% Senior Notes”) issued in March 2017 to partially prepay borrowings outstanding under the junior tranche of the credit agreement entered into in February 18, 2016 (the “Five Vessel Refinancing”), originally due in April 2018.</w:t>
      </w:r>
    </w:p>
    <w:p>
      <w:pPr>
        <w:spacing w:after="0" w:line="181" w:lineRule="exact"/>
        <w:rPr>
          <w:sz w:val="20"/>
          <w:szCs w:val="20"/>
          <w:color w:val="auto"/>
        </w:rPr>
      </w:pPr>
    </w:p>
    <w:p>
      <w:pPr>
        <w:ind w:right="180" w:firstLine="383"/>
        <w:spacing w:after="0" w:line="277" w:lineRule="auto"/>
        <w:rPr>
          <w:sz w:val="20"/>
          <w:szCs w:val="20"/>
          <w:color w:val="auto"/>
        </w:rPr>
      </w:pPr>
      <w:r>
        <w:rPr>
          <w:rFonts w:ascii="Arial" w:cs="Arial" w:eastAsia="Arial" w:hAnsi="Arial"/>
          <w:sz w:val="18"/>
          <w:szCs w:val="18"/>
          <w:color w:val="auto"/>
        </w:rPr>
        <w:t>On June 27, 2017, GasLog completed the repurchase of the outstanding NOK bonds maturing in April 2018, at a price of 103.0% of par value for total consideration of NOK 424.4 million ($70.8 million at the swapped rate under the associated cross currency swaps (“CCS”).</w:t>
      </w:r>
    </w:p>
    <w:p>
      <w:pPr>
        <w:sectPr>
          <w:pgSz w:w="11900" w:h="16838" w:orient="portrait"/>
          <w:cols w:equalWidth="0" w:num="1">
            <w:col w:w="11420"/>
          </w:cols>
          <w:pgMar w:left="240" w:top="405" w:right="239" w:bottom="57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570" w:gutter="0" w:footer="0" w:header="0"/>
          <w:type w:val="continuous"/>
        </w:sectPr>
      </w:pPr>
    </w:p>
    <w:bookmarkStart w:id="17" w:name="page18"/>
    <w:bookmarkEnd w:id="17"/>
    <w:p>
      <w:pPr>
        <w:ind w:right="180" w:firstLine="383"/>
        <w:spacing w:after="0" w:line="277" w:lineRule="auto"/>
        <w:rPr>
          <w:sz w:val="20"/>
          <w:szCs w:val="20"/>
          <w:color w:val="auto"/>
        </w:rPr>
      </w:pPr>
      <w:r>
        <w:rPr>
          <w:rFonts w:ascii="Arial" w:cs="Arial" w:eastAsia="Arial" w:hAnsi="Arial"/>
          <w:sz w:val="18"/>
          <w:szCs w:val="18"/>
          <w:color w:val="auto"/>
        </w:rPr>
        <w:t>On July 3, 2017, GasLog repaid $41.6 million of the revolving credit facility of the credit agreement of up to $1.1 billion entered into on July 19, 2016 (the “Legacy Facility Refinancing”).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End of GasLog Partners’ Subordination Period</w:t>
      </w:r>
    </w:p>
    <w:p>
      <w:pPr>
        <w:spacing w:after="0" w:line="229"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On May 16, 2017, the subordination period of the GasLog Partners’ subordinated units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420" w:firstLine="383"/>
        <w:spacing w:after="0" w:line="342" w:lineRule="auto"/>
        <w:rPr>
          <w:sz w:val="20"/>
          <w:szCs w:val="20"/>
          <w:color w:val="auto"/>
        </w:rPr>
      </w:pPr>
      <w:r>
        <w:rPr>
          <w:rFonts w:ascii="Arial" w:cs="Arial" w:eastAsia="Arial" w:hAnsi="Arial"/>
          <w:sz w:val="16"/>
          <w:szCs w:val="16"/>
          <w:color w:val="auto"/>
        </w:rPr>
        <w:t>On May 4, 2017, the board of directors declared a dividend on the Series A Preference Shares of $0.546875 per share, or $2.5 million in aggregate, payable on July 3, 2017 to holders of record as of June 30, 2017. GasLog paid the declared dividend to the transfer agent on June 30, 2017.</w:t>
      </w:r>
    </w:p>
    <w:p>
      <w:pPr>
        <w:spacing w:after="0" w:line="124" w:lineRule="exact"/>
        <w:rPr>
          <w:sz w:val="20"/>
          <w:szCs w:val="20"/>
          <w:color w:val="auto"/>
        </w:rPr>
      </w:pPr>
    </w:p>
    <w:p>
      <w:pPr>
        <w:ind w:right="440" w:firstLine="383"/>
        <w:spacing w:after="0" w:line="277" w:lineRule="auto"/>
        <w:rPr>
          <w:sz w:val="20"/>
          <w:szCs w:val="20"/>
          <w:color w:val="auto"/>
        </w:rPr>
      </w:pPr>
      <w:r>
        <w:rPr>
          <w:rFonts w:ascii="Arial" w:cs="Arial" w:eastAsia="Arial" w:hAnsi="Arial"/>
          <w:sz w:val="18"/>
          <w:szCs w:val="18"/>
          <w:color w:val="auto"/>
        </w:rPr>
        <w:t>On August 2, 2017, the board of directors declared a quarterly cash dividend of $0.14 per common share, or $11.3 million in aggregate, payable on August 24, 2017 to shareholders of record as of August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2017, our wholly owned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8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3"/>
              </w:rPr>
              <w:t xml:space="preserve">Spot Market </w:t>
            </w:r>
            <w:r>
              <w:rPr>
                <w:rFonts w:ascii="Arial" w:cs="Arial" w:eastAsia="Arial" w:hAnsi="Arial"/>
                <w:sz w:val="28"/>
                <w:szCs w:val="28"/>
                <w:color w:val="auto"/>
                <w:w w:val="93"/>
                <w:vertAlign w:val="superscript"/>
              </w:rPr>
              <w:t>(3)</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8"/>
              </w:rPr>
              <w:t>August 2019</w:t>
            </w:r>
            <w:r>
              <w:rPr>
                <w:rFonts w:ascii="Arial" w:cs="Arial" w:eastAsia="Arial" w:hAnsi="Arial"/>
                <w:sz w:val="29"/>
                <w:szCs w:val="29"/>
                <w:color w:val="auto"/>
                <w:w w:val="88"/>
                <w:vertAlign w:val="superscript"/>
              </w:rPr>
              <w:t>(4)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153,600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tcPr>
          <w:p>
            <w:pPr>
              <w:ind w:left="1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October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2024</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2027-2029</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Glasgow</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2031</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3400" w:type="dxa"/>
            <w:vAlign w:val="bottom"/>
            <w:gridSpan w:val="2"/>
            <w:shd w:val="clear" w:color="auto" w:fill="E5FFFF"/>
          </w:tcPr>
          <w:p>
            <w:pPr>
              <w:ind w:left="80"/>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color w:val="auto"/>
                <w:vertAlign w:val="superscript"/>
              </w:rPr>
              <w:t>(5)</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September 2023</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2028-2031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Gibraltar</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2023</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2028-2031</w:t>
            </w:r>
          </w:p>
        </w:tc>
      </w:tr>
    </w:tbl>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2017, the Partnership’s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Cargo</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Capacity</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ind w:left="280"/>
              <w:spacing w:after="0"/>
              <w:rPr>
                <w:sz w:val="20"/>
                <w:szCs w:val="20"/>
                <w:color w:val="auto"/>
              </w:rPr>
            </w:pPr>
            <w:r>
              <w:rPr>
                <w:rFonts w:ascii="Arial" w:cs="Arial" w:eastAsia="Arial" w:hAnsi="Arial"/>
                <w:sz w:val="18"/>
                <w:szCs w:val="18"/>
                <w:b w:val="1"/>
                <w:bCs w:val="1"/>
                <w:color w:val="auto"/>
              </w:rPr>
              <w:t>Optional</w:t>
            </w:r>
          </w:p>
        </w:tc>
      </w:tr>
      <w:tr>
        <w:trPr>
          <w:trHeight w:val="271"/>
        </w:trPr>
        <w:tc>
          <w:tcPr>
            <w:tcW w:w="260" w:type="dxa"/>
            <w:vAlign w:val="bottom"/>
          </w:tcPr>
          <w:p>
            <w:pPr>
              <w:spacing w:after="0"/>
              <w:rPr>
                <w:sz w:val="23"/>
                <w:szCs w:val="23"/>
                <w:color w:val="auto"/>
              </w:rPr>
            </w:pPr>
          </w:p>
        </w:tc>
        <w:tc>
          <w:tcPr>
            <w:tcW w:w="3480" w:type="dxa"/>
            <w:vAlign w:val="bottom"/>
            <w:gridSpan w:val="4"/>
          </w:tcPr>
          <w:p>
            <w:pPr>
              <w:ind w:left="1000"/>
              <w:spacing w:after="0"/>
              <w:rPr>
                <w:sz w:val="20"/>
                <w:szCs w:val="20"/>
                <w:color w:val="auto"/>
              </w:rPr>
            </w:pPr>
            <w:r>
              <w:rPr>
                <w:rFonts w:ascii="Arial" w:cs="Arial" w:eastAsia="Arial" w:hAnsi="Arial"/>
                <w:sz w:val="18"/>
                <w:szCs w:val="18"/>
                <w:b w:val="1"/>
                <w:bCs w:val="1"/>
                <w:color w:val="auto"/>
              </w:rPr>
              <w:t>Vessel Name</w:t>
            </w:r>
          </w:p>
        </w:tc>
        <w:tc>
          <w:tcPr>
            <w:tcW w:w="680" w:type="dxa"/>
            <w:vAlign w:val="bottom"/>
            <w:gridSpan w:val="4"/>
          </w:tcPr>
          <w:p>
            <w:pPr>
              <w:ind w:left="100"/>
              <w:spacing w:after="0"/>
              <w:rPr>
                <w:sz w:val="20"/>
                <w:szCs w:val="20"/>
                <w:color w:val="auto"/>
              </w:rPr>
            </w:pPr>
            <w:r>
              <w:rPr>
                <w:rFonts w:ascii="Arial" w:cs="Arial" w:eastAsia="Arial" w:hAnsi="Arial"/>
                <w:sz w:val="18"/>
                <w:szCs w:val="18"/>
                <w:b w:val="1"/>
                <w:bCs w:val="1"/>
                <w:color w:val="auto"/>
              </w:rPr>
              <w:t>Built</w:t>
            </w: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(cbm)</w:t>
            </w: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Charterer</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Propulsion</w:t>
            </w:r>
          </w:p>
        </w:tc>
        <w:tc>
          <w:tcPr>
            <w:tcW w:w="2020" w:type="dxa"/>
            <w:vAlign w:val="bottom"/>
            <w:gridSpan w:val="2"/>
          </w:tcPr>
          <w:p>
            <w:pPr>
              <w:jc w:val="center"/>
              <w:ind w:right="120"/>
              <w:spacing w:after="0" w:line="271" w:lineRule="exact"/>
              <w:rPr>
                <w:sz w:val="20"/>
                <w:szCs w:val="20"/>
                <w:color w:val="auto"/>
              </w:rPr>
            </w:pPr>
            <w:r>
              <w:rPr>
                <w:rFonts w:ascii="Arial" w:cs="Arial" w:eastAsia="Arial" w:hAnsi="Arial"/>
                <w:sz w:val="18"/>
                <w:szCs w:val="18"/>
                <w:b w:val="1"/>
                <w:bCs w:val="1"/>
                <w:color w:val="auto"/>
                <w:w w:val="90"/>
              </w:rPr>
              <w:t>Expiration</w:t>
            </w:r>
            <w:r>
              <w:rPr>
                <w:rFonts w:ascii="Arial" w:cs="Arial" w:eastAsia="Arial" w:hAnsi="Arial"/>
                <w:sz w:val="30"/>
                <w:szCs w:val="30"/>
                <w:b w:val="1"/>
                <w:bCs w:val="1"/>
                <w:color w:val="auto"/>
                <w:w w:val="90"/>
                <w:vertAlign w:val="superscript"/>
              </w:rPr>
              <w:t>(1)</w:t>
            </w:r>
          </w:p>
        </w:tc>
        <w:tc>
          <w:tcPr>
            <w:tcW w:w="1240" w:type="dxa"/>
            <w:vAlign w:val="bottom"/>
          </w:tcPr>
          <w:p>
            <w:pPr>
              <w:ind w:left="280"/>
              <w:spacing w:after="0" w:line="271"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r>
      <w:tr>
        <w:trPr>
          <w:trHeight w:val="210"/>
        </w:trPr>
        <w:tc>
          <w:tcPr>
            <w:tcW w:w="2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200" w:type="dxa"/>
            <w:vAlign w:val="bottom"/>
            <w:tcBorders>
              <w:top w:val="single" w:sz="8" w:color="auto"/>
            </w:tcBorders>
            <w:shd w:val="clear" w:color="auto" w:fill="E5FFFF"/>
          </w:tcPr>
          <w:p>
            <w:pPr>
              <w:ind w:left="80"/>
              <w:spacing w:after="0"/>
              <w:rPr>
                <w:sz w:val="20"/>
                <w:szCs w:val="20"/>
                <w:color w:val="auto"/>
              </w:rPr>
            </w:pPr>
            <w:r>
              <w:rPr>
                <w:rFonts w:ascii="Arial" w:cs="Arial" w:eastAsia="Arial" w:hAnsi="Arial"/>
                <w:sz w:val="18"/>
                <w:szCs w:val="18"/>
                <w:i w:val="1"/>
                <w:iCs w:val="1"/>
                <w:color w:val="auto"/>
              </w:rPr>
              <w:t>GasLog Shanghai</w:t>
            </w:r>
          </w:p>
        </w:tc>
        <w:tc>
          <w:tcPr>
            <w:tcW w:w="1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8"/>
                <w:szCs w:val="18"/>
                <w:color w:val="auto"/>
                <w:w w:val="94"/>
              </w:rPr>
              <w:t>2013</w:t>
            </w:r>
          </w:p>
        </w:tc>
        <w:tc>
          <w:tcPr>
            <w:tcW w:w="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gridSpan w:val="2"/>
            <w:shd w:val="clear" w:color="auto" w:fill="E5FFFF"/>
          </w:tcPr>
          <w:p>
            <w:pPr>
              <w:jc w:val="center"/>
              <w:ind w:right="20"/>
              <w:spacing w:after="0"/>
              <w:rPr>
                <w:sz w:val="20"/>
                <w:szCs w:val="20"/>
                <w:color w:val="auto"/>
              </w:rPr>
            </w:pPr>
            <w:r>
              <w:rPr>
                <w:rFonts w:ascii="Arial" w:cs="Arial" w:eastAsia="Arial" w:hAnsi="Arial"/>
                <w:sz w:val="18"/>
                <w:szCs w:val="18"/>
                <w:color w:val="auto"/>
                <w:w w:val="94"/>
              </w:rPr>
              <w:t>Shell</w:t>
            </w:r>
          </w:p>
        </w:tc>
        <w:tc>
          <w:tcPr>
            <w:tcW w:w="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gridSpan w:val="2"/>
            <w:shd w:val="clear" w:color="auto" w:fill="E5FFFF"/>
          </w:tcPr>
          <w:p>
            <w:pPr>
              <w:jc w:val="center"/>
              <w:ind w:right="20"/>
              <w:spacing w:after="0"/>
              <w:rPr>
                <w:sz w:val="20"/>
                <w:szCs w:val="20"/>
                <w:color w:val="auto"/>
              </w:rPr>
            </w:pPr>
            <w:r>
              <w:rPr>
                <w:rFonts w:ascii="Arial" w:cs="Arial" w:eastAsia="Arial" w:hAnsi="Arial"/>
                <w:sz w:val="18"/>
                <w:szCs w:val="18"/>
                <w:color w:val="auto"/>
                <w:w w:val="97"/>
              </w:rPr>
              <w:t>TFDE</w:t>
            </w:r>
          </w:p>
        </w:tc>
        <w:tc>
          <w:tcPr>
            <w:tcW w:w="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May 2018</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80" w:type="dxa"/>
            <w:vAlign w:val="bottom"/>
            <w:gridSpan w:val="4"/>
          </w:tcPr>
          <w:p>
            <w:pPr>
              <w:ind w:left="80"/>
              <w:spacing w:after="0"/>
              <w:rPr>
                <w:sz w:val="20"/>
                <w:szCs w:val="20"/>
                <w:color w:val="auto"/>
              </w:rPr>
            </w:pPr>
            <w:r>
              <w:rPr>
                <w:rFonts w:ascii="Arial" w:cs="Arial" w:eastAsia="Arial" w:hAnsi="Arial"/>
                <w:sz w:val="18"/>
                <w:szCs w:val="18"/>
                <w:i w:val="1"/>
                <w:iCs w:val="1"/>
                <w:color w:val="auto"/>
              </w:rPr>
              <w:t>GasLog Santiago</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color w:val="auto"/>
                <w:w w:val="97"/>
              </w:rPr>
              <w:t>TFDE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80" w:type="dxa"/>
            <w:vAlign w:val="bottom"/>
            <w:gridSpan w:val="4"/>
            <w:shd w:val="clear" w:color="auto" w:fill="E5FFFF"/>
          </w:tcPr>
          <w:p>
            <w:pPr>
              <w:ind w:left="80"/>
              <w:spacing w:after="0"/>
              <w:rPr>
                <w:sz w:val="20"/>
                <w:szCs w:val="20"/>
                <w:color w:val="auto"/>
              </w:rPr>
            </w:pPr>
            <w:r>
              <w:rPr>
                <w:rFonts w:ascii="Arial" w:cs="Arial" w:eastAsia="Arial" w:hAnsi="Arial"/>
                <w:sz w:val="18"/>
                <w:szCs w:val="18"/>
                <w:i w:val="1"/>
                <w:iCs w:val="1"/>
                <w:color w:val="auto"/>
              </w:rPr>
              <w:t>GasLog Sydney</w:t>
            </w:r>
          </w:p>
        </w:tc>
        <w:tc>
          <w:tcPr>
            <w:tcW w:w="520" w:type="dxa"/>
            <w:vAlign w:val="bottom"/>
            <w:shd w:val="clear" w:color="auto" w:fill="E5FFFF"/>
          </w:tcPr>
          <w:p>
            <w:pPr>
              <w:ind w:left="120"/>
              <w:spacing w:after="0"/>
              <w:rPr>
                <w:sz w:val="20"/>
                <w:szCs w:val="20"/>
                <w:color w:val="auto"/>
              </w:rPr>
            </w:pPr>
            <w:r>
              <w:rPr>
                <w:rFonts w:ascii="Arial" w:cs="Arial" w:eastAsia="Arial" w:hAnsi="Arial"/>
                <w:sz w:val="18"/>
                <w:szCs w:val="18"/>
                <w:color w:val="auto"/>
                <w:w w:val="94"/>
              </w:rPr>
              <w:t>2013</w:t>
            </w:r>
          </w:p>
        </w:tc>
        <w:tc>
          <w:tcPr>
            <w:tcW w:w="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58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7"/>
              </w:rPr>
              <w:t>TFDE</w:t>
            </w:r>
          </w:p>
        </w:tc>
        <w:tc>
          <w:tcPr>
            <w:tcW w:w="20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8"/>
              </w:rPr>
              <w:t>September 2018</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80" w:type="dxa"/>
            <w:vAlign w:val="bottom"/>
            <w:gridSpan w:val="4"/>
          </w:tcPr>
          <w:p>
            <w:pPr>
              <w:ind w:left="80"/>
              <w:spacing w:after="0"/>
              <w:rPr>
                <w:sz w:val="20"/>
                <w:szCs w:val="20"/>
                <w:color w:val="auto"/>
              </w:rPr>
            </w:pPr>
            <w:r>
              <w:rPr>
                <w:rFonts w:ascii="Arial" w:cs="Arial" w:eastAsia="Arial" w:hAnsi="Arial"/>
                <w:sz w:val="18"/>
                <w:szCs w:val="18"/>
                <w:i w:val="1"/>
                <w:iCs w:val="1"/>
                <w:color w:val="auto"/>
              </w:rPr>
              <w:t>GasLog Seattle</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color w:val="auto"/>
                <w:w w:val="97"/>
              </w:rPr>
              <w:t>TFDE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2025-2030</w:t>
            </w:r>
          </w:p>
        </w:tc>
      </w:tr>
      <w:tr>
        <w:trPr>
          <w:trHeight w:val="257"/>
        </w:trPr>
        <w:tc>
          <w:tcPr>
            <w:tcW w:w="2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80" w:type="dxa"/>
            <w:vAlign w:val="bottom"/>
            <w:gridSpan w:val="4"/>
            <w:shd w:val="clear" w:color="auto" w:fill="E5FFFF"/>
          </w:tcPr>
          <w:p>
            <w:pPr>
              <w:ind w:left="80"/>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color w:val="auto"/>
                <w:vertAlign w:val="superscript"/>
              </w:rPr>
              <w:t>(6)</w:t>
            </w:r>
          </w:p>
        </w:tc>
        <w:tc>
          <w:tcPr>
            <w:tcW w:w="520" w:type="dxa"/>
            <w:vAlign w:val="bottom"/>
            <w:shd w:val="clear" w:color="auto" w:fill="E5FFFF"/>
          </w:tcPr>
          <w:p>
            <w:pPr>
              <w:ind w:left="120"/>
              <w:spacing w:after="0"/>
              <w:rPr>
                <w:sz w:val="20"/>
                <w:szCs w:val="20"/>
                <w:color w:val="auto"/>
              </w:rPr>
            </w:pPr>
            <w:r>
              <w:rPr>
                <w:rFonts w:ascii="Arial" w:cs="Arial" w:eastAsia="Arial" w:hAnsi="Arial"/>
                <w:sz w:val="18"/>
                <w:szCs w:val="18"/>
                <w:color w:val="auto"/>
                <w:w w:val="94"/>
              </w:rPr>
              <w:t>2016</w:t>
            </w:r>
          </w:p>
        </w:tc>
        <w:tc>
          <w:tcPr>
            <w:tcW w:w="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58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7"/>
              </w:rPr>
              <w:t>TFDE</w:t>
            </w:r>
          </w:p>
        </w:tc>
        <w:tc>
          <w:tcPr>
            <w:tcW w:w="20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r>
      <w:tr>
        <w:trPr>
          <w:trHeight w:val="216"/>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80" w:type="dxa"/>
            <w:vAlign w:val="bottom"/>
            <w:gridSpan w:val="4"/>
          </w:tcPr>
          <w:p>
            <w:pPr>
              <w:ind w:left="80"/>
              <w:spacing w:after="0"/>
              <w:rPr>
                <w:sz w:val="20"/>
                <w:szCs w:val="20"/>
                <w:color w:val="auto"/>
              </w:rPr>
            </w:pPr>
            <w:r>
              <w:rPr>
                <w:rFonts w:ascii="Arial" w:cs="Arial" w:eastAsia="Arial" w:hAnsi="Arial"/>
                <w:sz w:val="18"/>
                <w:szCs w:val="18"/>
                <w:i w:val="1"/>
                <w:iCs w:val="1"/>
                <w:color w:val="auto"/>
              </w:rPr>
              <w:t>Methane Rita Andrea</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Steam</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16"/>
        </w:trPr>
        <w:tc>
          <w:tcPr>
            <w:tcW w:w="2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80" w:type="dxa"/>
            <w:vAlign w:val="bottom"/>
            <w:gridSpan w:val="4"/>
            <w:shd w:val="clear" w:color="auto" w:fill="E5FFFF"/>
          </w:tcPr>
          <w:p>
            <w:pPr>
              <w:ind w:left="80"/>
              <w:spacing w:after="0"/>
              <w:rPr>
                <w:sz w:val="20"/>
                <w:szCs w:val="20"/>
                <w:color w:val="auto"/>
              </w:rPr>
            </w:pPr>
            <w:r>
              <w:rPr>
                <w:rFonts w:ascii="Arial" w:cs="Arial" w:eastAsia="Arial" w:hAnsi="Arial"/>
                <w:sz w:val="18"/>
                <w:szCs w:val="18"/>
                <w:i w:val="1"/>
                <w:iCs w:val="1"/>
                <w:color w:val="auto"/>
              </w:rPr>
              <w:t>Methane Jane Elizabeth</w:t>
            </w:r>
          </w:p>
        </w:tc>
        <w:tc>
          <w:tcPr>
            <w:tcW w:w="520" w:type="dxa"/>
            <w:vAlign w:val="bottom"/>
            <w:shd w:val="clear" w:color="auto" w:fill="E5FFFF"/>
          </w:tcPr>
          <w:p>
            <w:pPr>
              <w:ind w:left="120"/>
              <w:spacing w:after="0"/>
              <w:rPr>
                <w:sz w:val="20"/>
                <w:szCs w:val="20"/>
                <w:color w:val="auto"/>
              </w:rPr>
            </w:pPr>
            <w:r>
              <w:rPr>
                <w:rFonts w:ascii="Arial" w:cs="Arial" w:eastAsia="Arial" w:hAnsi="Arial"/>
                <w:sz w:val="18"/>
                <w:szCs w:val="18"/>
                <w:color w:val="auto"/>
                <w:w w:val="94"/>
              </w:rPr>
              <w:t>2006</w:t>
            </w:r>
          </w:p>
        </w:tc>
        <w:tc>
          <w:tcPr>
            <w:tcW w:w="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58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88"/>
              </w:rPr>
              <w:t>Steam</w:t>
            </w:r>
          </w:p>
        </w:tc>
        <w:tc>
          <w:tcPr>
            <w:tcW w:w="20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October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216"/>
        </w:trPr>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80" w:type="dxa"/>
            <w:vAlign w:val="bottom"/>
            <w:gridSpan w:val="4"/>
          </w:tcPr>
          <w:p>
            <w:pPr>
              <w:ind w:left="80"/>
              <w:spacing w:after="0"/>
              <w:rPr>
                <w:sz w:val="20"/>
                <w:szCs w:val="20"/>
                <w:color w:val="auto"/>
              </w:rPr>
            </w:pPr>
            <w:r>
              <w:rPr>
                <w:rFonts w:ascii="Arial" w:cs="Arial" w:eastAsia="Arial" w:hAnsi="Arial"/>
                <w:sz w:val="18"/>
                <w:szCs w:val="18"/>
                <w:i w:val="1"/>
                <w:iCs w:val="1"/>
                <w:color w:val="auto"/>
              </w:rPr>
              <w:t>Methane Alison Victoria</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Steam</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2022-2024</w:t>
            </w:r>
          </w:p>
        </w:tc>
      </w:tr>
      <w:tr>
        <w:trPr>
          <w:trHeight w:val="216"/>
        </w:trPr>
        <w:tc>
          <w:tcPr>
            <w:tcW w:w="2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480" w:type="dxa"/>
            <w:vAlign w:val="bottom"/>
            <w:gridSpan w:val="4"/>
            <w:shd w:val="clear" w:color="auto" w:fill="E5FFFF"/>
          </w:tcPr>
          <w:p>
            <w:pPr>
              <w:ind w:left="80"/>
              <w:spacing w:after="0"/>
              <w:rPr>
                <w:sz w:val="20"/>
                <w:szCs w:val="20"/>
                <w:color w:val="auto"/>
              </w:rPr>
            </w:pPr>
            <w:r>
              <w:rPr>
                <w:rFonts w:ascii="Arial" w:cs="Arial" w:eastAsia="Arial" w:hAnsi="Arial"/>
                <w:sz w:val="18"/>
                <w:szCs w:val="18"/>
                <w:i w:val="1"/>
                <w:iCs w:val="1"/>
                <w:color w:val="auto"/>
              </w:rPr>
              <w:t>Methane Shirley Elisabeth</w:t>
            </w:r>
          </w:p>
        </w:tc>
        <w:tc>
          <w:tcPr>
            <w:tcW w:w="520" w:type="dxa"/>
            <w:vAlign w:val="bottom"/>
            <w:shd w:val="clear" w:color="auto" w:fill="E5FFFF"/>
          </w:tcPr>
          <w:p>
            <w:pPr>
              <w:ind w:left="120"/>
              <w:spacing w:after="0"/>
              <w:rPr>
                <w:sz w:val="20"/>
                <w:szCs w:val="20"/>
                <w:color w:val="auto"/>
              </w:rPr>
            </w:pPr>
            <w:r>
              <w:rPr>
                <w:rFonts w:ascii="Arial" w:cs="Arial" w:eastAsia="Arial" w:hAnsi="Arial"/>
                <w:sz w:val="18"/>
                <w:szCs w:val="18"/>
                <w:color w:val="auto"/>
                <w:w w:val="94"/>
              </w:rPr>
              <w:t>2007</w:t>
            </w:r>
          </w:p>
        </w:tc>
        <w:tc>
          <w:tcPr>
            <w:tcW w:w="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58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shd w:val="clear" w:color="auto" w:fill="E5FFFF"/>
          </w:tcPr>
          <w:p>
            <w:pPr>
              <w:jc w:val="center"/>
              <w:ind w:right="120"/>
              <w:spacing w:after="0"/>
              <w:rPr>
                <w:sz w:val="20"/>
                <w:szCs w:val="20"/>
                <w:color w:val="auto"/>
              </w:rPr>
            </w:pPr>
            <w:r>
              <w:rPr>
                <w:rFonts w:ascii="Arial" w:cs="Arial" w:eastAsia="Arial" w:hAnsi="Arial"/>
                <w:sz w:val="18"/>
                <w:szCs w:val="18"/>
                <w:color w:val="auto"/>
                <w:w w:val="88"/>
              </w:rPr>
              <w:t>Steam</w:t>
            </w:r>
          </w:p>
        </w:tc>
        <w:tc>
          <w:tcPr>
            <w:tcW w:w="20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480" w:type="dxa"/>
            <w:vAlign w:val="bottom"/>
            <w:gridSpan w:val="4"/>
          </w:tcPr>
          <w:p>
            <w:pPr>
              <w:ind w:left="80"/>
              <w:spacing w:after="0"/>
              <w:rPr>
                <w:sz w:val="20"/>
                <w:szCs w:val="20"/>
                <w:color w:val="auto"/>
              </w:rPr>
            </w:pPr>
            <w:r>
              <w:rPr>
                <w:rFonts w:ascii="Arial" w:cs="Arial" w:eastAsia="Arial" w:hAnsi="Arial"/>
                <w:sz w:val="18"/>
                <w:szCs w:val="18"/>
                <w:i w:val="1"/>
                <w:iCs w:val="1"/>
                <w:color w:val="auto"/>
              </w:rPr>
              <w:t>Methane Heather Sally</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Shell</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Steam</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414"/>
        </w:trPr>
        <w:tc>
          <w:tcPr>
            <w:tcW w:w="37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Cargo</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2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ind w:left="6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Capacity</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ind w:left="280"/>
              <w:spacing w:after="0"/>
              <w:rPr>
                <w:sz w:val="20"/>
                <w:szCs w:val="20"/>
                <w:color w:val="auto"/>
              </w:rPr>
            </w:pPr>
            <w:r>
              <w:rPr>
                <w:rFonts w:ascii="Arial" w:cs="Arial" w:eastAsia="Arial" w:hAnsi="Arial"/>
                <w:sz w:val="18"/>
                <w:szCs w:val="18"/>
                <w:b w:val="1"/>
                <w:bCs w:val="1"/>
                <w:color w:val="auto"/>
              </w:rPr>
              <w:t>Optional</w:t>
            </w:r>
          </w:p>
        </w:tc>
      </w:tr>
      <w:tr>
        <w:trPr>
          <w:trHeight w:val="271"/>
        </w:trPr>
        <w:tc>
          <w:tcPr>
            <w:tcW w:w="26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ind w:left="280"/>
              <w:spacing w:after="0" w:line="271"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r>
      <w:tr>
        <w:trPr>
          <w:trHeight w:val="250"/>
        </w:trPr>
        <w:tc>
          <w:tcPr>
            <w:tcW w:w="2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300" w:type="dxa"/>
            <w:vAlign w:val="bottom"/>
            <w:gridSpan w:val="2"/>
            <w:shd w:val="clear" w:color="auto" w:fill="E5FFFF"/>
          </w:tcPr>
          <w:p>
            <w:pPr>
              <w:ind w:left="100"/>
              <w:spacing w:after="0" w:line="250" w:lineRule="exact"/>
              <w:rPr>
                <w:sz w:val="20"/>
                <w:szCs w:val="20"/>
                <w:color w:val="auto"/>
              </w:rPr>
            </w:pPr>
            <w:r>
              <w:rPr>
                <w:rFonts w:ascii="Arial" w:cs="Arial" w:eastAsia="Arial" w:hAnsi="Arial"/>
                <w:sz w:val="17"/>
                <w:szCs w:val="17"/>
                <w:i w:val="1"/>
                <w:iCs w:val="1"/>
                <w:color w:val="auto"/>
              </w:rPr>
              <w:t xml:space="preserve">Methane Julia Louise </w:t>
            </w:r>
            <w:r>
              <w:rPr>
                <w:rFonts w:ascii="Arial" w:cs="Arial" w:eastAsia="Arial" w:hAnsi="Arial"/>
                <w:sz w:val="28"/>
                <w:szCs w:val="28"/>
                <w:color w:val="auto"/>
                <w:vertAlign w:val="superscript"/>
              </w:rPr>
              <w:t>(7)</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20" w:type="dxa"/>
            <w:vAlign w:val="bottom"/>
            <w:shd w:val="clear" w:color="auto" w:fill="E5FFFF"/>
          </w:tcPr>
          <w:p>
            <w:pPr>
              <w:ind w:left="60"/>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580" w:type="dxa"/>
            <w:vAlign w:val="bottom"/>
            <w:gridSpan w:val="4"/>
            <w:shd w:val="clear" w:color="auto" w:fill="E5FFFF"/>
          </w:tcPr>
          <w:p>
            <w:pPr>
              <w:jc w:val="center"/>
              <w:ind w:right="140"/>
              <w:spacing w:after="0"/>
              <w:rPr>
                <w:sz w:val="20"/>
                <w:szCs w:val="20"/>
                <w:color w:val="auto"/>
              </w:rPr>
            </w:pPr>
            <w:r>
              <w:rPr>
                <w:rFonts w:ascii="Arial" w:cs="Arial" w:eastAsia="Arial" w:hAnsi="Arial"/>
                <w:sz w:val="18"/>
                <w:szCs w:val="18"/>
                <w:color w:val="auto"/>
                <w:w w:val="89"/>
              </w:rPr>
              <w:t>Shell</w:t>
            </w:r>
          </w:p>
        </w:tc>
        <w:tc>
          <w:tcPr>
            <w:tcW w:w="1140" w:type="dxa"/>
            <w:vAlign w:val="bottom"/>
            <w:gridSpan w:val="4"/>
            <w:shd w:val="clear" w:color="auto" w:fill="E5FFFF"/>
          </w:tcPr>
          <w:p>
            <w:pPr>
              <w:jc w:val="center"/>
              <w:ind w:right="140"/>
              <w:spacing w:after="0"/>
              <w:rPr>
                <w:sz w:val="20"/>
                <w:szCs w:val="20"/>
                <w:color w:val="auto"/>
              </w:rPr>
            </w:pPr>
            <w:r>
              <w:rPr>
                <w:rFonts w:ascii="Arial" w:cs="Arial" w:eastAsia="Arial" w:hAnsi="Arial"/>
                <w:sz w:val="18"/>
                <w:szCs w:val="18"/>
                <w:color w:val="auto"/>
                <w:w w:val="93"/>
              </w:rPr>
              <w:t>TFDE</w:t>
            </w:r>
          </w:p>
        </w:tc>
        <w:tc>
          <w:tcPr>
            <w:tcW w:w="2020" w:type="dxa"/>
            <w:vAlign w:val="bottom"/>
            <w:gridSpan w:val="2"/>
            <w:shd w:val="clear" w:color="auto" w:fill="E5FFFF"/>
          </w:tcPr>
          <w:p>
            <w:pPr>
              <w:jc w:val="center"/>
              <w:ind w:right="140"/>
              <w:spacing w:after="0"/>
              <w:rPr>
                <w:sz w:val="20"/>
                <w:szCs w:val="20"/>
                <w:color w:val="auto"/>
              </w:rPr>
            </w:pPr>
            <w:r>
              <w:rPr>
                <w:rFonts w:ascii="Arial" w:cs="Arial" w:eastAsia="Arial" w:hAnsi="Arial"/>
                <w:sz w:val="18"/>
                <w:szCs w:val="18"/>
                <w:color w:val="auto"/>
                <w:w w:val="92"/>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2029-2031</w:t>
            </w:r>
          </w:p>
        </w:tc>
      </w:tr>
    </w:tbl>
    <w:p>
      <w:pPr>
        <w:spacing w:after="0" w:line="197" w:lineRule="exact"/>
        <w:rPr>
          <w:sz w:val="20"/>
          <w:szCs w:val="20"/>
          <w:color w:val="auto"/>
        </w:rPr>
      </w:pPr>
    </w:p>
    <w:p>
      <w:pPr>
        <w:ind w:left="240" w:hanging="218"/>
        <w:spacing w:after="0"/>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3" w:lineRule="exact"/>
        <w:rPr>
          <w:rFonts w:ascii="Arial" w:cs="Arial" w:eastAsia="Arial" w:hAnsi="Arial"/>
          <w:sz w:val="12"/>
          <w:szCs w:val="12"/>
          <w:color w:val="auto"/>
        </w:rPr>
      </w:pPr>
    </w:p>
    <w:p>
      <w:pPr>
        <w:ind w:left="240" w:right="20" w:hanging="218"/>
        <w:spacing w:after="0" w:line="242" w:lineRule="auto"/>
        <w:tabs>
          <w:tab w:leader="none" w:pos="240" w:val="left"/>
        </w:tabs>
        <w:numPr>
          <w:ilvl w:val="0"/>
          <w:numId w:val="9"/>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unilateral options to extend the term of the time charter for periods ranging from five to ten years,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Methane Lydon Volney</w:t>
      </w:r>
      <w:r>
        <w:rPr>
          <w:rFonts w:ascii="Arial" w:cs="Arial" w:eastAsia="Arial" w:hAnsi="Arial"/>
          <w:sz w:val="13"/>
          <w:szCs w:val="13"/>
          <w:color w:val="auto"/>
        </w:rPr>
        <w:t xml:space="preserve"> has a unilateral option to extend the term for a period of either three or five years at its election. In addition, the charterer of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Heather Sally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Alison Victoria </w:t>
      </w:r>
      <w:r>
        <w:rPr>
          <w:rFonts w:ascii="Arial" w:cs="Arial" w:eastAsia="Arial" w:hAnsi="Arial"/>
          <w:sz w:val="13"/>
          <w:szCs w:val="13"/>
          <w:color w:val="auto"/>
        </w:rPr>
        <w:t>has a unilateral option to extend the term of two of the related time charters for a period of either three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five years at its election. The charterer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a unilateral option to extend the term of the time charters for a period of either three or five years at its election.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w:t>
      </w:r>
    </w:p>
    <w:p>
      <w:pPr>
        <w:sectPr>
          <w:pgSz w:w="11900" w:h="16838" w:orient="portrait"/>
          <w:cols w:equalWidth="0" w:num="1">
            <w:col w:w="11420"/>
          </w:cols>
          <w:pgMar w:left="240" w:top="409" w:right="239" w:bottom="57"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57" w:gutter="0" w:footer="0" w:header="0"/>
          <w:type w:val="continuous"/>
        </w:sectPr>
      </w:pPr>
    </w:p>
    <w:bookmarkStart w:id="18" w:name="page19"/>
    <w:bookmarkEnd w:id="18"/>
    <w:p>
      <w:pPr>
        <w:ind w:left="240" w:hanging="232"/>
        <w:spacing w:after="0"/>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Vessels operating in the spot market that participate in the Cool Pool.</w:t>
      </w:r>
    </w:p>
    <w:p>
      <w:pPr>
        <w:spacing w:after="0" w:line="13" w:lineRule="exact"/>
        <w:rPr>
          <w:rFonts w:ascii="Arial" w:cs="Arial" w:eastAsia="Arial" w:hAnsi="Arial"/>
          <w:sz w:val="12"/>
          <w:szCs w:val="12"/>
          <w:color w:val="auto"/>
        </w:rPr>
      </w:pPr>
    </w:p>
    <w:p>
      <w:pPr>
        <w:ind w:left="240" w:right="240" w:hanging="232"/>
        <w:spacing w:after="0" w:line="221"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On April 28, 2017, the Group signed an amendment to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seasonal time charter agreement, pursuant to which the seasonal charter of the vessel was replaced by a continuous time charter for a period of 2.4 years ending in August 2019.</w:t>
      </w:r>
    </w:p>
    <w:p>
      <w:pPr>
        <w:ind w:left="240" w:right="240" w:hanging="232"/>
        <w:spacing w:after="0" w:line="221"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On June 2, 2017, GasLog Partners signed an agreement to acquire 100% of the shares in the entity that owns and charters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from GasLog. The acquisition closed on July 3, 2017.</w:t>
      </w:r>
    </w:p>
    <w:p>
      <w:pPr>
        <w:ind w:left="240" w:hanging="232"/>
        <w:spacing w:after="0"/>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On May 3, 2017, GasLog Partners acquired 100% of the shares in the entity that owns and charters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from GasLog.</w:t>
      </w:r>
    </w:p>
    <w:p>
      <w:pPr>
        <w:spacing w:after="0" w:line="1" w:lineRule="exact"/>
        <w:rPr>
          <w:rFonts w:ascii="Arial" w:cs="Arial" w:eastAsia="Arial" w:hAnsi="Arial"/>
          <w:sz w:val="12"/>
          <w:szCs w:val="12"/>
          <w:color w:val="auto"/>
        </w:rPr>
      </w:pPr>
    </w:p>
    <w:p>
      <w:pPr>
        <w:ind w:left="240" w:hanging="232"/>
        <w:spacing w:after="0" w:line="229"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(“MSL”), a subsidiary of Shell.</w:t>
      </w:r>
    </w:p>
    <w:p>
      <w:pPr>
        <w:spacing w:after="0" w:line="121" w:lineRule="exact"/>
        <w:rPr>
          <w:sz w:val="20"/>
          <w:szCs w:val="20"/>
          <w:color w:val="auto"/>
        </w:rPr>
      </w:pPr>
    </w:p>
    <w:p>
      <w:pPr>
        <w:ind w:right="80" w:firstLine="383"/>
        <w:spacing w:after="0" w:line="272" w:lineRule="auto"/>
        <w:rPr>
          <w:sz w:val="20"/>
          <w:szCs w:val="20"/>
          <w:color w:val="auto"/>
        </w:rPr>
      </w:pPr>
      <w:r>
        <w:rPr>
          <w:rFonts w:ascii="Arial" w:cs="Arial" w:eastAsia="Arial" w:hAnsi="Arial"/>
          <w:sz w:val="17"/>
          <w:szCs w:val="17"/>
          <w:color w:val="auto"/>
        </w:rPr>
        <w:t xml:space="preserve">Under the omnibus agreement entered into with GasLog Partners and certain of its subsidiaries in connection with the Partnership’s initial public offering, as amended, GasLog Partners has the option to purchase from us: (i)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within 36 months after we notify the Partnership’s board of directors of the vessel’s acceptance by their charterers (ii)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within 36 months after the completion of its acquisition by GasLog on March 31, 2015 and (iii) GAS-twenty six Ltd. (with its long-term bareboat charter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and GasLog’s right to repurchase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from Lepta Shipping under the sale and lease back arrangements as described above, within 36 months after the completion of the acquisition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by GasLog on March 31, 2015. In each case, GasLog Partners’ option to purchase is at fair market value as determined pursuant to the omnibus agreement.</w:t>
      </w:r>
    </w:p>
    <w:p>
      <w:pPr>
        <w:spacing w:after="0" w:line="178" w:lineRule="exact"/>
        <w:rPr>
          <w:sz w:val="20"/>
          <w:szCs w:val="20"/>
          <w:color w:val="auto"/>
        </w:rPr>
      </w:pPr>
    </w:p>
    <w:p>
      <w:pPr>
        <w:ind w:right="40" w:firstLine="356"/>
        <w:spacing w:after="0" w:line="255" w:lineRule="auto"/>
        <w:rPr>
          <w:sz w:val="20"/>
          <w:szCs w:val="20"/>
          <w:color w:val="auto"/>
        </w:rPr>
      </w:pPr>
      <w:r>
        <w:rPr>
          <w:rFonts w:ascii="Arial" w:cs="Arial" w:eastAsia="Arial" w:hAnsi="Arial"/>
          <w:sz w:val="18"/>
          <w:szCs w:val="18"/>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break-up costs (in the case of a newly acquired Five-Year Vessel) or at their fair market value (in the case of a previously owned vessel that becomes a Five-Year Vessel). In addition, our five remaining newbuildings (Hull Nos. 2130, 2131, 2800, 2801 and 2212) will each qualify as a Five-Year Vessel upon commencement of their charters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Five-Year Vessel.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20" w:firstLine="383"/>
        <w:spacing w:after="0" w:line="268" w:lineRule="auto"/>
        <w:rPr>
          <w:sz w:val="20"/>
          <w:szCs w:val="20"/>
          <w:color w:val="auto"/>
        </w:rPr>
      </w:pPr>
      <w:r>
        <w:rPr>
          <w:rFonts w:ascii="Arial" w:cs="Arial" w:eastAsia="Arial" w:hAnsi="Arial"/>
          <w:sz w:val="17"/>
          <w:szCs w:val="17"/>
          <w:color w:val="auto"/>
        </w:rPr>
        <w:t xml:space="preserve">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began upon delivery of the ships in January 2013, March 2013 and May 2013, respectively, and were due to terminate in January 2018, March 2018 and May 2019, as applicable, with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were each extended by four months to May 2018 and July 2018, respectively, whilst the initial term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is due to come off charter in May 2018 plus or minus 30 days,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is due to come off charter in July 2018 plus or minus 30 days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is due to come off charter in September 2018 plus or minus 30 days. It is understood that GasLog Partners is continuing to consider several options for these vessels which include fixing new multi-year charters with third parties or trading such vessels on an interim basis in the spot market, and will likely pursue the most advantageous redeployment depending on evolving market conditions. However, it is noted that in accordance with the agreement entered into in April 2015 between GasLog and GasLog Partners, if GasLog Partners does not enter into a multi-year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w w:val="98"/>
              </w:rPr>
              <w:t>Three-month period ended June 30, 2016 compared to the three-month period ended June 30, 2017</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360" w:type="dxa"/>
            <w:vAlign w:val="bottom"/>
          </w:tcPr>
          <w:p>
            <w:pPr>
              <w:spacing w:after="0"/>
              <w:rPr>
                <w:sz w:val="24"/>
                <w:szCs w:val="24"/>
                <w:color w:val="auto"/>
              </w:rPr>
            </w:pPr>
          </w:p>
        </w:tc>
        <w:tc>
          <w:tcPr>
            <w:tcW w:w="30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114,474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(27,964)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(29,833)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(3,256)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(29,484)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(34,451)</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(10,355)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43,415</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52,573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Financial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(31,483)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124</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Loss on swaps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(9,039)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329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(40,069</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(45,669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3,346</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836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(11,210</w:t>
            </w:r>
          </w:p>
        </w:tc>
        <w:tc>
          <w:tcPr>
            <w:tcW w:w="44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(14,419</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 attributable to owners of the Group</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(7,864</w:t>
            </w:r>
          </w:p>
        </w:tc>
        <w:tc>
          <w:tcPr>
            <w:tcW w:w="440" w:type="dxa"/>
            <w:vAlign w:val="bottom"/>
            <w:tcBorders>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(7,515</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04"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type w:val="continuous"/>
        </w:sectPr>
      </w:pPr>
    </w:p>
    <w:bookmarkStart w:id="19" w:name="page20"/>
    <w:bookmarkEnd w:id="19"/>
    <w:p>
      <w:pPr>
        <w:ind w:right="80" w:firstLine="405"/>
        <w:spacing w:after="0" w:line="257" w:lineRule="auto"/>
        <w:rPr>
          <w:sz w:val="20"/>
          <w:szCs w:val="20"/>
          <w:color w:val="auto"/>
        </w:rPr>
      </w:pPr>
      <w:r>
        <w:rPr>
          <w:rFonts w:ascii="Arial" w:cs="Arial" w:eastAsia="Arial" w:hAnsi="Arial"/>
          <w:sz w:val="18"/>
          <w:szCs w:val="18"/>
          <w:color w:val="auto"/>
        </w:rPr>
        <w:t>During the three-month period ended June 30, 2016, we had an average of 20.0 ships operating in our owned and bareboat fleet (including ships owned by the Partnership), having 1,793 operating days and an average of 23.0 ships operating under our technical management (including our 19.0 owned and bareboat ships). During the three-month period ended June 30, 2017, we had an average of 23.0 ships operating in our owned and bareboat fleet (including ships owned by the Partnership), having 2,081 operating days and an average of 23.7 ships operating under our technical management (including 22.0 of our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Revenues increased by 13.4%, or $15.4 million, from $114.5 million during the three-month period ended June 30, 2016, to $129.9 million during the three-month period ended June 30, 2017. The increase is attributable to an increase in revenues by $22.4 million due to the deliveries of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on June 30, 2016, September 30, 2016 and October 31, 2016, respectively, resulting in an increase in operating days. There was also an increase of $1.4 million in earnings from our vessels operating in the spot market in both periods, an increase of $1.3 million mainly due to 19 off-hire days for scheduled dry-dockings in the second quarter of 2016 compared to nil in the second quarter of 2017 and an increase of $0.5 million in revenues from the remaining vessels. These increases in revenues were partially offset by a decrease of $10.0 million due to the expiration of two time charter party agreements during 2016 (with vessels operating in the spot market thereafter). The average daily hire rate decreased from $63,613 for the three-month period ended June 30, 2016 to $62,287 for the three-month period ended June 30, 2017, mainly affected by the termination of the two time charter party agreements in the second half of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100" w:firstLine="356"/>
        <w:spacing w:after="0" w:line="273" w:lineRule="auto"/>
        <w:rPr>
          <w:sz w:val="20"/>
          <w:szCs w:val="20"/>
          <w:color w:val="auto"/>
        </w:rPr>
      </w:pPr>
      <w:r>
        <w:rPr>
          <w:rFonts w:ascii="Arial" w:cs="Arial" w:eastAsia="Arial" w:hAnsi="Arial"/>
          <w:sz w:val="17"/>
          <w:szCs w:val="17"/>
          <w:color w:val="auto"/>
        </w:rPr>
        <w:t xml:space="preserve">Vessel operating and supervision costs increased by 6.4%, or $1.8 million, from $28.0 million during the three-month period ended June 30, 2016, to $29.8 million during the three-month period ended June 30, 2017. The increase is primarily attributable to the increase of $2.3 million in crew wages expenses, mainly driven by the deliveries of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on June 30, 2016, September 30, 2016 and October 31, 2016, respectively, partially offset by a decrease of $0.5 million in technical maintenance expenses mainly related to the scheduled dry-dockings and various planned repairs performed in 2016. Overall, the average daily operating cost per vessel decreased from $15,365 per day during the three-month period ended June 30, 2016 to $14,901 per day during the three-month period ended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firstLine="356"/>
        <w:spacing w:after="0" w:line="257" w:lineRule="auto"/>
        <w:rPr>
          <w:sz w:val="20"/>
          <w:szCs w:val="20"/>
          <w:color w:val="auto"/>
        </w:rPr>
      </w:pPr>
      <w:r>
        <w:rPr>
          <w:rFonts w:ascii="Arial" w:cs="Arial" w:eastAsia="Arial" w:hAnsi="Arial"/>
          <w:sz w:val="18"/>
          <w:szCs w:val="18"/>
          <w:color w:val="auto"/>
        </w:rPr>
        <w:t>Voyage expenses and commissions decreased by 15.2%, or $0.5 million, from $3.3 million during the three-month period ended June 30, 2016, to $2.8 million during the three-month period ended June 30, 2017. The decrease is mainly attributable to the movement in net allocation of the Cool Pool results of $1.7 million in the three-month period ended June 30, 2017 in accordance with the profit sharing terms specified in the Pool Agreement entered with Dynagas and Golar, partially offset by an increase of $0.9 million in bunkers consumption of the vessels operating in the spot market and an increase of $0.3 million in brokers’ commissions following the increase in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220" w:firstLine="356"/>
        <w:spacing w:after="0" w:line="264" w:lineRule="auto"/>
        <w:rPr>
          <w:sz w:val="20"/>
          <w:szCs w:val="20"/>
          <w:color w:val="auto"/>
        </w:rPr>
      </w:pPr>
      <w:r>
        <w:rPr>
          <w:rFonts w:ascii="Arial" w:cs="Arial" w:eastAsia="Arial" w:hAnsi="Arial"/>
          <w:sz w:val="18"/>
          <w:szCs w:val="18"/>
          <w:color w:val="auto"/>
        </w:rPr>
        <w:t>Depreciation increased by 16.9%, or $5.0 million, from $29.5 million during the three-month period ended June 30, 2016, to $34.5 million during the three-month period ended June 30, 2017. The increase in depreciation resulted mainly from the increase in the average number of vessels in our fleet in the three-month period ended June 30, 2017 compared to the same period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0" w:firstLine="356"/>
        <w:spacing w:after="0" w:line="279" w:lineRule="auto"/>
        <w:rPr>
          <w:sz w:val="20"/>
          <w:szCs w:val="20"/>
          <w:color w:val="auto"/>
        </w:rPr>
      </w:pPr>
      <w:r>
        <w:rPr>
          <w:rFonts w:ascii="Arial" w:cs="Arial" w:eastAsia="Arial" w:hAnsi="Arial"/>
          <w:sz w:val="17"/>
          <w:szCs w:val="17"/>
          <w:color w:val="auto"/>
        </w:rPr>
        <w:t>General and administrative expenses decreased by 1.9%, or $0.2 million, from $10.4 million during the three-month period ended June 30, 2016, to $10.2 million during the three-month period ended June 30, 2017. The decrease is mainly attributable to a decrease of $0.5 million due to the favorable movement of foreign exchange rates in 2017, and a decrease of $0.4 million in employee costs partially offset by an increase of $0.6 million in legal and professional fees, mainly due to professional services offered for business development projects.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Financial costs increased by 17.8%, or $5.6 million, from $31.5 million during the three-month period ended June 30, 2016, to $37.1 million during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three-month period ended June 30, 2017. The increase is attributable to an increase of $8.7 million in interest expense on loans, bonds and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due to the increased average debt outstanding and the increased weighted average interest rate in the three months ended June 30, 2017 compared to the same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period in 2016, partially offset by a decrease of $2.3 million in the amortization of deferred loan fees (mainly due to the decrease by $2.1 million in write-off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unamortized bond fees and premium as a result of the June 2016 and 2017 bond repurchases), a decrease of $0.7 million in loss arising upon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bonds at a premium and a $0.1 million decrease in other financial costs. During the three-month period ended June 30, 2017, we had an average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$2,793.2 million of outstanding indebtedness, with a weighted average interest rate of 4.2%, while during the three-month period ended June 30, 2016,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an average of $2,307.2 million of outstanding indebtedness, having an aggregate weighted average interest rate of 3.6%. These weighted average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 include interest expense on loans and cash flow hedges and interest expense on bonds and CCS.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right="40" w:firstLine="356"/>
        <w:spacing w:after="0" w:line="293" w:lineRule="auto"/>
        <w:rPr>
          <w:sz w:val="20"/>
          <w:szCs w:val="20"/>
          <w:color w:val="auto"/>
        </w:rPr>
      </w:pPr>
      <w:r>
        <w:rPr>
          <w:rFonts w:ascii="Arial" w:cs="Arial" w:eastAsia="Arial" w:hAnsi="Arial"/>
          <w:sz w:val="16"/>
          <w:szCs w:val="16"/>
          <w:color w:val="auto"/>
        </w:rPr>
        <w:t>Loss on swaps increased by 7.8%, or $0.7 million, from a loss of $9.0 million during the three-month period ended June 30, 2016, to $9.7 million during the three-month period ended June 30, 2017. The increase is mainly attributable to an increase of $2.2 million in loss from mark-to-market valuation of our derivative financial instruments carried at fair value through profit or loss, which reflected a loss of $3.5 million for the quarter ended June 30, 2017 as compared to a loss of $1.4 million for the quarter ended June 30, 2016, and an increase of $0.1 million in realized loss from derivative financial instruments held for trading. The above increases were partially offset by a decrease of $1.6 million in loss that was reclassified from equity to the statement of profit or loss ($1.2 million of which related to the decrease from the CCS agreements terminations/modification in June 2016 and June 2017).</w:t>
      </w:r>
    </w:p>
    <w:p>
      <w:pPr>
        <w:sectPr>
          <w:pgSz w:w="11900" w:h="16838" w:orient="portrait"/>
          <w:cols w:equalWidth="0" w:num="1">
            <w:col w:w="11400"/>
          </w:cols>
          <w:pgMar w:left="240" w:top="409" w:right="259" w:bottom="786"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786"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Profit for the Period:</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Profit for the period increased by $3.6 million, from a profit of $3.3 million for the three-month period ended June 30, 2016, to $6.9 million for the three-month period ended June 30, 2017,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Owners of the Group:</w:t>
      </w:r>
    </w:p>
    <w:p>
      <w:pPr>
        <w:spacing w:after="0" w:line="225" w:lineRule="exact"/>
        <w:rPr>
          <w:sz w:val="20"/>
          <w:szCs w:val="20"/>
          <w:color w:val="auto"/>
        </w:rPr>
      </w:pPr>
    </w:p>
    <w:p>
      <w:pPr>
        <w:ind w:right="40" w:firstLine="356"/>
        <w:spacing w:after="0" w:line="257" w:lineRule="auto"/>
        <w:rPr>
          <w:sz w:val="20"/>
          <w:szCs w:val="20"/>
          <w:color w:val="auto"/>
        </w:rPr>
      </w:pPr>
      <w:r>
        <w:rPr>
          <w:rFonts w:ascii="Arial" w:cs="Arial" w:eastAsia="Arial" w:hAnsi="Arial"/>
          <w:sz w:val="18"/>
          <w:szCs w:val="18"/>
          <w:color w:val="auto"/>
        </w:rPr>
        <w:t xml:space="preserve">Loss attributable to owners of the Group decreased by $0.4 million, from a loss of $7.9 million for the three-month period ended June 30, 2016, to $7.5 million for the three-month period ended June 30, 2017. The decrease in loss attributable to the owners of the Group resulted mainly from the increase in profit mentioned above, partially offset by the increase in profit attributable to non-controlling interest (non-controlling unitholders of GasLog Partners) as a result of GasLog Partners’ equity offerings in August 2016, January 2017 and May 2017 and the associated dropdowns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Greece </w:t>
      </w:r>
      <w:r>
        <w:rPr>
          <w:rFonts w:ascii="Arial" w:cs="Arial" w:eastAsia="Arial" w:hAnsi="Arial"/>
          <w:sz w:val="18"/>
          <w:szCs w:val="18"/>
          <w:color w:val="auto"/>
        </w:rPr>
        <w:t>on November 1, 2016 and May 3, 2017,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Six-month period ended June 30, 2016 compared to the six-month period ended June 30, 2017</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360" w:type="dxa"/>
            <w:vAlign w:val="bottom"/>
          </w:tcPr>
          <w:p>
            <w:pPr>
              <w:spacing w:after="0"/>
              <w:rPr>
                <w:sz w:val="24"/>
                <w:szCs w:val="24"/>
                <w:color w:val="auto"/>
              </w:rPr>
            </w:pPr>
          </w:p>
        </w:tc>
        <w:tc>
          <w:tcPr>
            <w:tcW w:w="30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218,851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258,215</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(56,421)</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(8,519)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(57,648)</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(19,089)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77,174</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107,638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Financial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(60,662)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326</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Loss on swaps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(19,453)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663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(79,126</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(77,342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for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(1,952</w:t>
            </w:r>
          </w:p>
        </w:tc>
        <w:tc>
          <w:tcPr>
            <w:tcW w:w="440" w:type="dxa"/>
            <w:vAlign w:val="bottom"/>
            <w:tcBorders>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836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(21,810</w:t>
            </w:r>
          </w:p>
        </w:tc>
        <w:tc>
          <w:tcPr>
            <w:tcW w:w="44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(29,059</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(23,762</w:t>
            </w:r>
          </w:p>
        </w:tc>
        <w:tc>
          <w:tcPr>
            <w:tcW w:w="440" w:type="dxa"/>
            <w:vAlign w:val="bottom"/>
            <w:tcBorders>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1,237</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six-month period ended June 30, 2016, we had an average of 19.5 ships operating in our owned and bareboat fleet (including ships owned by the Partnership), having 3,436 operating days and an average of 22.5 ships operating under our technical management (including our 18.5 owned and bareboat ships). During the six-month period ended June 30, 2017, we had an average of 23.0 ships operating in our owned and bareboat fleet (including ships owned by the Partnership), having 4,151 operating days and an average of 23.9 ships operating under our technical management (including 22.0 of our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Revenues increased by 18.0%, or $39.3 million, from $218.9 million during the six-month period ended June 30, 2016, to $258.2 million during the six-month period ended June 30, 2017. The increase is attributable to an increase in revenues of $44.5 million due to the deliveries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on June 30, 2016, September 30, 2016 and October 31, 2016, respectively and an increase of $7.4 million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full operation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(which was delivered on March 29, 2016) in the six-month period ended June 30, 2017. The abovementioned factors resulted in an increase in operating days. There was also an increase of $4.4 million in earnings from our vessels operating in the spot market in both periods and an increase of $2.8 million due to 43 off-hire days for scheduled dry-dockings in the six-month period ended June 30, 2016 compared to nil in the same period in 2017. These increases were partially offset by a decrease of $18.8 million due to the expiration of two time charter party agreements during 2016 (with vessels operating in the spot market thereafter) and a decrease of $0.7 million in revenues from remaining vessels. The average daily hire rate decreased from $63,441 for the six-month period ended June 30, 2016 to $62,075 for the six-month period ended June 30, 2017, mainly affected by the termination of the two time charter party agreements in the second half of 2016. Furthermore, there was a decrease of $0.3 million in revenues from technical management services mainly due to the decrease in the average number of the managed vessels owned by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40" w:firstLine="356"/>
        <w:spacing w:after="0" w:line="291" w:lineRule="auto"/>
        <w:rPr>
          <w:sz w:val="20"/>
          <w:szCs w:val="20"/>
          <w:color w:val="auto"/>
        </w:rPr>
      </w:pPr>
      <w:r>
        <w:rPr>
          <w:rFonts w:ascii="Arial" w:cs="Arial" w:eastAsia="Arial" w:hAnsi="Arial"/>
          <w:sz w:val="16"/>
          <w:szCs w:val="16"/>
          <w:color w:val="auto"/>
        </w:rPr>
        <w:t xml:space="preserve">Vessel operating and supervision costs increased by 1.6%, or $0.9 million, from $56.4 million during the six-month period ended June 30, 2016, to $57.3 million during the six-month period ended June 30, 2017. The increase is primarily attributable to an increase of $4.0 million in crew wages expenses, mainly driven by the deliveries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June 30, 2016, September 30, 2016 and October 31, 2016, respectively and the full operation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(which was delivered on March 29, 2016). The above increase was partially offset by a decrease of $3.1 million in technical maintenance expenses mainly related to scheduled dry-dockings and various planned repairs, as well as other regulatory periodical certifications performed in the first six months ended June 30, 2016. Overall, the average daily operating cost per vessel decreased from $15,889 per day for the six-month period ended June 30, 2016 to $14,395 per day for the six-month period ended June 30, 2017.</w:t>
      </w:r>
    </w:p>
    <w:p>
      <w:pPr>
        <w:sectPr>
          <w:pgSz w:w="11900" w:h="16838" w:orient="portrait"/>
          <w:cols w:equalWidth="0" w:num="1">
            <w:col w:w="11420"/>
          </w:cols>
          <w:pgMar w:left="240" w:top="409"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60" w:firstLine="356"/>
        <w:spacing w:after="0" w:line="257" w:lineRule="auto"/>
        <w:rPr>
          <w:sz w:val="20"/>
          <w:szCs w:val="20"/>
          <w:color w:val="auto"/>
        </w:rPr>
      </w:pPr>
      <w:r>
        <w:rPr>
          <w:rFonts w:ascii="Arial" w:cs="Arial" w:eastAsia="Arial" w:hAnsi="Arial"/>
          <w:sz w:val="18"/>
          <w:szCs w:val="18"/>
          <w:color w:val="auto"/>
        </w:rPr>
        <w:t>Voyage expenses and commissions decreased by 42.4%, or $3.6 million, from $8.5 million during the six-month period ended June 30, 2016, to $4.9 million during the six-month period ended June 30, 2017. The decrease is mainly attributable to the movement in net allocation of the Cool Pool results of $4.8 million in the six-month period ended June 30, 2017 in accordance with the profit sharing terms specified in the Pool Agreement entered with Dynagas and Golar, partially offset by an increase of $0.6 million in bunkers consumption of the vessels operating in the spot market and an increase of $0.6 million in brokers’ commissions following the increase in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40" w:firstLine="356"/>
        <w:spacing w:after="0" w:line="264" w:lineRule="auto"/>
        <w:rPr>
          <w:sz w:val="20"/>
          <w:szCs w:val="20"/>
          <w:color w:val="auto"/>
        </w:rPr>
      </w:pPr>
      <w:r>
        <w:rPr>
          <w:rFonts w:ascii="Arial" w:cs="Arial" w:eastAsia="Arial" w:hAnsi="Arial"/>
          <w:sz w:val="18"/>
          <w:szCs w:val="18"/>
          <w:color w:val="auto"/>
        </w:rPr>
        <w:t>Depreciation increased by 18.4%, or $10.6 million, from $57.6 million during the six-month period ended June 30, 2016, to $68.2 million during the six-month period ended June 30, 2017. The increase in depreciation resulted mainly from the increase in the average number of vessels in our fleet in the six-month period ended June 30, 2017 compared to the same period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56"/>
        <w:spacing w:after="0" w:line="257" w:lineRule="auto"/>
        <w:rPr>
          <w:sz w:val="20"/>
          <w:szCs w:val="20"/>
          <w:color w:val="auto"/>
        </w:rPr>
      </w:pPr>
      <w:r>
        <w:rPr>
          <w:rFonts w:ascii="Arial" w:cs="Arial" w:eastAsia="Arial" w:hAnsi="Arial"/>
          <w:sz w:val="18"/>
          <w:szCs w:val="18"/>
          <w:color w:val="auto"/>
        </w:rPr>
        <w:t>General and administrative expenses increased by 5.8%, or $1.1 million, from $19.1 million during the six-month period ended June 30, 2016, to $20.2 million during the six-month period ended June 30, 2017. The increase is mainly attributable to an increase of $0.8 million in legal fees and other professional fees, mainly related to professional services for business development projects, an increase of $0.4 million in non-cash share-based compensation expense and an increase of $0.4 million in employee costs, partially offset by $0.3 million in net foreign exchange differences, mainly due to the favorable movement of foreign exchange rates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20" w:firstLine="356"/>
        <w:spacing w:after="0" w:line="270" w:lineRule="auto"/>
        <w:rPr>
          <w:sz w:val="20"/>
          <w:szCs w:val="20"/>
          <w:color w:val="auto"/>
        </w:rPr>
      </w:pPr>
      <w:r>
        <w:rPr>
          <w:rFonts w:ascii="Arial" w:cs="Arial" w:eastAsia="Arial" w:hAnsi="Arial"/>
          <w:sz w:val="17"/>
          <w:szCs w:val="17"/>
          <w:color w:val="auto"/>
        </w:rPr>
        <w:t>Financial costs increased by 14.7%, or $8.9 million, from $60.7 million during the six-month period ended June 30, 2016, to $69.6 million during the six-month period ended June 30, 2017. The increase is attributable to an increase of $13.6 million in interest expense on loans, bonds and cash flow hedges due to the increased average debt outstanding and the increased weighted average interest rate in the six months ended June 30, 2017 compared to the same period in 2016 and an increase of $1.6 million in finance lease charges in 2017, partially offset by a decrease of $4.9 million in the amortization of deferred loan fees (which was mainly driven by a decrease of $4.6 million in write-off of unamortized bond fees and premium as a result of the June 2016 and 2017 bond repurchases), a decrease of $0.7 million in loss arising upon the repurchase of the existing bonds at a premium and a $0.7 million decrease in other financial costs. During the six-month period ended June 30, 2017, we had an average of $2,764.7 million of outstanding indebtedness, with a weighted average interest rate of 4.0%, while during the six-month period ended June 30, 2016, we had an average of $2,342.2 million of outstanding indebtedness, with a weighted average interest rate of 3.5%. These weighted average interest rates include interest expense on loans and cash flow hedges and interest expense on bonds and CCS.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right="20" w:firstLine="356"/>
        <w:spacing w:after="0" w:line="273" w:lineRule="auto"/>
        <w:rPr>
          <w:sz w:val="20"/>
          <w:szCs w:val="20"/>
          <w:color w:val="auto"/>
        </w:rPr>
      </w:pPr>
      <w:r>
        <w:rPr>
          <w:rFonts w:ascii="Arial" w:cs="Arial" w:eastAsia="Arial" w:hAnsi="Arial"/>
          <w:sz w:val="17"/>
          <w:szCs w:val="17"/>
          <w:color w:val="auto"/>
        </w:rPr>
        <w:t>Loss on swaps decreased by 50.3%, or $9.8 million, from $19.5 million during the six-month period ended June 30, 2016, to $9.7 million during the six-month period ended June 30, 2017. The decrease is mainly attributable to a decrease of $8.3 million in loss from mark-to-market valuation of our derivative financial instruments carried at fair value through profit or loss, which reflected a loss of $1.2 million for the six months ended June 30, 2017 as compared to a loss of $9.5 million for the six months ended June 30, 2016, and a decrease of $1.9 million in loss that was reclassified from equity to the statement of profit or loss ($1.2 million of which related to the decrease from the CCS agreements terminations/modification in June 2016 and June 2017). The above decreases were partially offset by a $0.4 million increase in realized loss from derivative financial instruments held for trading.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(Loss)/profit for the Period:</w:t>
      </w:r>
    </w:p>
    <w:p>
      <w:pPr>
        <w:spacing w:after="0" w:line="225" w:lineRule="exact"/>
        <w:rPr>
          <w:sz w:val="20"/>
          <w:szCs w:val="20"/>
          <w:color w:val="auto"/>
        </w:rPr>
      </w:pPr>
    </w:p>
    <w:p>
      <w:pPr>
        <w:ind w:right="60" w:firstLine="356"/>
        <w:spacing w:after="0" w:line="277" w:lineRule="auto"/>
        <w:rPr>
          <w:sz w:val="20"/>
          <w:szCs w:val="20"/>
          <w:color w:val="auto"/>
        </w:rPr>
      </w:pPr>
      <w:r>
        <w:rPr>
          <w:rFonts w:ascii="Arial" w:cs="Arial" w:eastAsia="Arial" w:hAnsi="Arial"/>
          <w:sz w:val="18"/>
          <w:szCs w:val="18"/>
          <w:color w:val="auto"/>
        </w:rPr>
        <w:t>Profit for the period increased by $32.3 million, from a loss of $2.0 million for the six-month period ended June 30, 2016, to a profit of $30.3 million for the six-month period ended June 30, 2017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(Loss)/profit Attributable to Owners of the Group:</w:t>
      </w:r>
    </w:p>
    <w:p>
      <w:pPr>
        <w:spacing w:after="0" w:line="225" w:lineRule="exact"/>
        <w:rPr>
          <w:sz w:val="20"/>
          <w:szCs w:val="20"/>
          <w:color w:val="auto"/>
        </w:rPr>
      </w:pPr>
    </w:p>
    <w:p>
      <w:pPr>
        <w:ind w:firstLine="356"/>
        <w:spacing w:after="0" w:line="257" w:lineRule="auto"/>
        <w:rPr>
          <w:sz w:val="20"/>
          <w:szCs w:val="20"/>
          <w:color w:val="auto"/>
        </w:rPr>
      </w:pPr>
      <w:r>
        <w:rPr>
          <w:rFonts w:ascii="Arial" w:cs="Arial" w:eastAsia="Arial" w:hAnsi="Arial"/>
          <w:sz w:val="18"/>
          <w:szCs w:val="18"/>
          <w:color w:val="auto"/>
        </w:rPr>
        <w:t xml:space="preserve">Profit attributable to owners of the Group increased by $25.0 million, from a loss of $23.8 million for the six-month period ended June 30, 2016, to a profit of $1.2 million for the six-month period ended June 30, 2017. The increase in profit attributable to the owners of GasLog resulted from the increase in profit mentioned above, partially offset by the increase in profit attributable to the non-controlling interest (non-controlling unitholders of GasLog Partners) as a result of GasLog Partners’ equity offerings in August 2016, January 2017 and May 2017 and the associated dropdowns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on November 1, 2016 and May 3,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356"/>
        <w:spacing w:after="0" w:line="259" w:lineRule="auto"/>
        <w:rPr>
          <w:sz w:val="20"/>
          <w:szCs w:val="20"/>
          <w:color w:val="auto"/>
        </w:rPr>
      </w:pPr>
      <w:r>
        <w:rPr>
          <w:rFonts w:ascii="Arial" w:cs="Arial" w:eastAsia="Arial" w:hAnsi="Arial"/>
          <w:sz w:val="18"/>
          <w:szCs w:val="18"/>
          <w:color w:val="auto"/>
        </w:rPr>
        <w:t>For the six-month period ended June 30, 2017, we received 93.8% of our revenues from Shell, 6.0% of our revenues from various charterers in the spot/short-term market and 0.2% of our revenues from Egypt LNG, an entity in which we have a 25% ownership interest. For the six-month period ended June 30, 2016, we received 94.99% of our revenues from Shell, 5.0% of our revenues from various charterers in the spot/short-term market and 0.01% of our revenues from Egypt LNG.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356"/>
        <w:spacing w:after="0" w:line="259" w:lineRule="auto"/>
        <w:rPr>
          <w:sz w:val="20"/>
          <w:szCs w:val="20"/>
          <w:color w:val="auto"/>
        </w:rPr>
      </w:pPr>
      <w:r>
        <w:rPr>
          <w:rFonts w:ascii="Arial" w:cs="Arial" w:eastAsia="Arial" w:hAnsi="Arial"/>
          <w:sz w:val="18"/>
          <w:szCs w:val="18"/>
          <w:color w:val="auto"/>
        </w:rPr>
        <w:t>Our primary liquidity needs are to fund our ship-operating expenses, finance the purchase and construction of our newbuildings and conversions,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budget overruns, if any.</w:t>
      </w:r>
    </w:p>
    <w:p>
      <w:pPr>
        <w:sectPr>
          <w:pgSz w:w="11900" w:h="16838" w:orient="portrait"/>
          <w:cols w:equalWidth="0" w:num="1">
            <w:col w:w="11420"/>
          </w:cols>
          <w:pgMar w:left="240" w:top="409" w:right="239" w:bottom="354"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354" w:gutter="0" w:footer="0" w:header="0"/>
          <w:type w:val="continuous"/>
        </w:sectPr>
      </w:pPr>
    </w:p>
    <w:bookmarkStart w:id="22" w:name="page23"/>
    <w:bookmarkEnd w:id="22"/>
    <w:p>
      <w:pPr>
        <w:ind w:firstLine="356"/>
        <w:spacing w:after="0" w:line="259" w:lineRule="auto"/>
        <w:rPr>
          <w:sz w:val="20"/>
          <w:szCs w:val="20"/>
          <w:color w:val="auto"/>
        </w:rPr>
      </w:pPr>
      <w:r>
        <w:rPr>
          <w:rFonts w:ascii="Arial" w:cs="Arial" w:eastAsia="Arial" w:hAnsi="Arial"/>
          <w:sz w:val="18"/>
          <w:szCs w:val="18"/>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87" w:lineRule="exact"/>
        <w:rPr>
          <w:sz w:val="20"/>
          <w:szCs w:val="20"/>
          <w:color w:val="auto"/>
        </w:rPr>
      </w:pPr>
    </w:p>
    <w:p>
      <w:pPr>
        <w:ind w:right="40" w:firstLine="356"/>
        <w:spacing w:after="0" w:line="277" w:lineRule="auto"/>
        <w:rPr>
          <w:sz w:val="20"/>
          <w:szCs w:val="20"/>
          <w:color w:val="auto"/>
        </w:rPr>
      </w:pPr>
      <w:r>
        <w:rPr>
          <w:rFonts w:ascii="Arial" w:cs="Arial" w:eastAsia="Arial" w:hAnsi="Arial"/>
          <w:sz w:val="18"/>
          <w:szCs w:val="18"/>
          <w:color w:val="auto"/>
        </w:rPr>
        <w:t>Our funding and treasury activities are intended to meet our operating and financing requirements while maintaining appropriate liquidity. Cash and cash equivalents are held primarily in U.S. dollars.</w:t>
      </w:r>
    </w:p>
    <w:p>
      <w:pPr>
        <w:spacing w:after="0" w:line="170" w:lineRule="exact"/>
        <w:rPr>
          <w:sz w:val="20"/>
          <w:szCs w:val="20"/>
          <w:color w:val="auto"/>
        </w:rPr>
      </w:pPr>
    </w:p>
    <w:p>
      <w:pPr>
        <w:ind w:right="420" w:firstLine="356"/>
        <w:spacing w:after="0" w:line="264" w:lineRule="auto"/>
        <w:rPr>
          <w:sz w:val="20"/>
          <w:szCs w:val="20"/>
          <w:color w:val="auto"/>
        </w:rPr>
      </w:pPr>
      <w:r>
        <w:rPr>
          <w:rFonts w:ascii="Arial" w:cs="Arial" w:eastAsia="Arial" w:hAnsi="Arial"/>
          <w:sz w:val="18"/>
          <w:szCs w:val="18"/>
          <w:color w:val="auto"/>
        </w:rPr>
        <w:t>As of June 30, 2017, GasLog had $414.3 million of cash and cash equivalents, of which $110.5 million was held in time deposits and the remaining balance in current accounts. In addition, as of June 30, 2017, GasLog had $10.0 million held in time deposits with an initial duration of more than three months but less than a year that have been classified as short-term investments.</w:t>
      </w:r>
    </w:p>
    <w:p>
      <w:pPr>
        <w:spacing w:after="0" w:line="181" w:lineRule="exact"/>
        <w:rPr>
          <w:sz w:val="20"/>
          <w:szCs w:val="20"/>
          <w:color w:val="auto"/>
        </w:rPr>
      </w:pPr>
    </w:p>
    <w:p>
      <w:pPr>
        <w:ind w:right="280" w:firstLine="356"/>
        <w:spacing w:after="0" w:line="264" w:lineRule="auto"/>
        <w:rPr>
          <w:sz w:val="20"/>
          <w:szCs w:val="20"/>
          <w:color w:val="auto"/>
        </w:rPr>
      </w:pPr>
      <w:r>
        <w:rPr>
          <w:rFonts w:ascii="Arial" w:cs="Arial" w:eastAsia="Arial" w:hAnsi="Arial"/>
          <w:sz w:val="18"/>
          <w:szCs w:val="18"/>
          <w:color w:val="auto"/>
        </w:rPr>
        <w:t xml:space="preserve">As of June 30, 2017, GasLog had an aggregate of $2.66 billion of indebtedness outstanding under its credit facilities and bond agreements (net of unamortized deferred loan fees), of which $219.9 million was repayable within one year, and a $217.0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$6.1 million was repayable within one year.</w:t>
      </w:r>
    </w:p>
    <w:p>
      <w:pPr>
        <w:spacing w:after="0" w:line="181" w:lineRule="exact"/>
        <w:rPr>
          <w:sz w:val="20"/>
          <w:szCs w:val="20"/>
          <w:color w:val="auto"/>
        </w:rPr>
      </w:pPr>
    </w:p>
    <w:p>
      <w:pPr>
        <w:ind w:right="100" w:firstLine="356"/>
        <w:spacing w:after="0" w:line="342" w:lineRule="auto"/>
        <w:rPr>
          <w:sz w:val="20"/>
          <w:szCs w:val="20"/>
          <w:color w:val="auto"/>
        </w:rPr>
      </w:pPr>
      <w:r>
        <w:rPr>
          <w:rFonts w:ascii="Arial" w:cs="Arial" w:eastAsia="Arial" w:hAnsi="Arial"/>
          <w:sz w:val="16"/>
          <w:szCs w:val="16"/>
          <w:color w:val="auto"/>
        </w:rPr>
        <w:t>On April 5, 2017, GasLog prepaid $150.0 million of borrowings outstanding under the junior tranche of the Five Vessel Refinancing that subsidiaries of GasLog and GasLog Partners entered into on February 18, 2016, using part of the proceeds from the offering of the 8.875% Senior Notes.</w:t>
      </w:r>
    </w:p>
    <w:p>
      <w:pPr>
        <w:spacing w:after="0" w:line="124" w:lineRule="exact"/>
        <w:rPr>
          <w:sz w:val="20"/>
          <w:szCs w:val="20"/>
          <w:color w:val="auto"/>
        </w:rPr>
      </w:pPr>
    </w:p>
    <w:p>
      <w:pPr>
        <w:ind w:right="200" w:firstLine="356"/>
        <w:spacing w:after="0" w:line="277" w:lineRule="auto"/>
        <w:rPr>
          <w:sz w:val="20"/>
          <w:szCs w:val="20"/>
          <w:color w:val="auto"/>
        </w:rPr>
      </w:pPr>
      <w:r>
        <w:rPr>
          <w:rFonts w:ascii="Arial" w:cs="Arial" w:eastAsia="Arial" w:hAnsi="Arial"/>
          <w:sz w:val="18"/>
          <w:szCs w:val="18"/>
          <w:color w:val="auto"/>
        </w:rPr>
        <w:t>On June 27, 2017, GasLog completed the repurchase of the outstanding NOK bonds maturing in April 2018, at a price of 103.0% of par value for total consideration of NOK 424.4 million ($70.8 million at the swapped rate under the associated CCSs).</w:t>
      </w:r>
    </w:p>
    <w:p>
      <w:pPr>
        <w:spacing w:after="0" w:line="170" w:lineRule="exact"/>
        <w:rPr>
          <w:sz w:val="20"/>
          <w:szCs w:val="20"/>
          <w:color w:val="auto"/>
        </w:rPr>
      </w:pPr>
    </w:p>
    <w:p>
      <w:pPr>
        <w:jc w:val="both"/>
        <w:ind w:right="260" w:firstLine="383"/>
        <w:spacing w:after="0" w:line="264" w:lineRule="auto"/>
        <w:rPr>
          <w:sz w:val="20"/>
          <w:szCs w:val="20"/>
          <w:color w:val="auto"/>
        </w:rPr>
      </w:pPr>
      <w:r>
        <w:rPr>
          <w:rFonts w:ascii="Arial" w:cs="Arial" w:eastAsia="Arial" w:hAnsi="Arial"/>
          <w:sz w:val="18"/>
          <w:szCs w:val="18"/>
          <w:color w:val="auto"/>
        </w:rPr>
        <w:t>As of June 30, 2017, there was undrawn available capacity of $58.4 million under the revolving credit facility of the Legacy Facility Refinancing. On July 3, 2017, GasLog repaid $41.6 million of the revolving credit facility of the Legacy Facility Refinancing, increasing the undrawn available capacity to $100.0 million.</w:t>
      </w:r>
    </w:p>
    <w:p>
      <w:pPr>
        <w:spacing w:after="0" w:line="181" w:lineRule="exact"/>
        <w:rPr>
          <w:sz w:val="20"/>
          <w:szCs w:val="20"/>
          <w:color w:val="auto"/>
        </w:rPr>
      </w:pPr>
    </w:p>
    <w:p>
      <w:pPr>
        <w:ind w:right="140" w:firstLine="356"/>
        <w:spacing w:after="0" w:line="257" w:lineRule="auto"/>
        <w:rPr>
          <w:sz w:val="20"/>
          <w:szCs w:val="20"/>
          <w:color w:val="auto"/>
        </w:rPr>
      </w:pPr>
      <w:r>
        <w:rPr>
          <w:rFonts w:ascii="Arial" w:cs="Arial" w:eastAsia="Arial" w:hAnsi="Arial"/>
          <w:sz w:val="18"/>
          <w:szCs w:val="18"/>
          <w:color w:val="auto"/>
        </w:rPr>
        <w:t>As of June 30, 2017, GasLog’s principal commitments for capital expenditures are related to the five LNG carriers on order, which have a gross aggregate contract price of approximately $1.0 billion. As of June 30, 2017, the total remaining balance of the contract prices of the aforementioned newbuildings was $899.1 million that GasLog expects to be funded with the $664.0 million undrawn capacity under the financing agreement entered into on October 16, 2015, as well as cash balances, cash from operations, cash proceeds from future dropdowns, if any, and borrowings under new and existing debt agreements.</w:t>
      </w:r>
    </w:p>
    <w:p>
      <w:pPr>
        <w:spacing w:after="0" w:line="188" w:lineRule="exact"/>
        <w:rPr>
          <w:sz w:val="20"/>
          <w:szCs w:val="20"/>
          <w:color w:val="auto"/>
        </w:rPr>
      </w:pPr>
    </w:p>
    <w:p>
      <w:pPr>
        <w:ind w:right="400" w:firstLine="356"/>
        <w:spacing w:after="0" w:line="277" w:lineRule="auto"/>
        <w:rPr>
          <w:sz w:val="20"/>
          <w:szCs w:val="20"/>
          <w:color w:val="auto"/>
        </w:rPr>
      </w:pPr>
      <w:r>
        <w:rPr>
          <w:rFonts w:ascii="Arial" w:cs="Arial" w:eastAsia="Arial" w:hAnsi="Arial"/>
          <w:sz w:val="18"/>
          <w:szCs w:val="18"/>
          <w:color w:val="auto"/>
        </w:rPr>
        <w:t>GasLog has hedged 51.3% of its expected floating interest rate exposure on its outstanding debt (excluding the finance lease liability) as of June 30, 2017.</w:t>
      </w:r>
    </w:p>
    <w:p>
      <w:pPr>
        <w:spacing w:after="0" w:line="170" w:lineRule="exact"/>
        <w:rPr>
          <w:sz w:val="20"/>
          <w:szCs w:val="20"/>
          <w:color w:val="auto"/>
        </w:rPr>
      </w:pPr>
    </w:p>
    <w:p>
      <w:pPr>
        <w:ind w:right="180" w:firstLine="356"/>
        <w:spacing w:after="0" w:line="308" w:lineRule="auto"/>
        <w:rPr>
          <w:sz w:val="20"/>
          <w:szCs w:val="20"/>
          <w:color w:val="auto"/>
        </w:rPr>
      </w:pPr>
      <w:r>
        <w:rPr>
          <w:rFonts w:ascii="Arial" w:cs="Arial" w:eastAsia="Arial" w:hAnsi="Arial"/>
          <w:sz w:val="17"/>
          <w:szCs w:val="17"/>
          <w:color w:val="auto"/>
        </w:rPr>
        <w:t>Our credit facilities are described in Note 13 of our annual audited consolidated financial statements included in our Annual Report on Form 20-F filed with the SEC on March 1, 2017 and Note 7 of our unaudited condensed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400" w:firstLine="383"/>
        <w:spacing w:after="0" w:line="277" w:lineRule="auto"/>
        <w:rPr>
          <w:sz w:val="20"/>
          <w:szCs w:val="20"/>
          <w:color w:val="auto"/>
        </w:rPr>
      </w:pPr>
      <w:r>
        <w:rPr>
          <w:rFonts w:ascii="Arial" w:cs="Arial" w:eastAsia="Arial" w:hAnsi="Arial"/>
          <w:sz w:val="18"/>
          <w:szCs w:val="18"/>
          <w:color w:val="auto"/>
        </w:rPr>
        <w:t>As of June 30, 2017, GasLog’s current assets totalled $451.7 million while current liabilities totalled $335.6 million, resulting in a positive working capital position of $116.1 million.</w:t>
      </w:r>
    </w:p>
    <w:p>
      <w:pPr>
        <w:spacing w:after="0" w:line="170"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 ended June 30, 2016 compared to the six-month period ended June 30,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7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520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June 30, 2016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June 30, 2017</w:t>
            </w:r>
          </w:p>
        </w:tc>
      </w:tr>
      <w:tr>
        <w:trPr>
          <w:trHeight w:val="210"/>
        </w:trPr>
        <w:tc>
          <w:tcPr>
            <w:tcW w:w="5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0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119,287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104,115</w:t>
            </w:r>
          </w:p>
        </w:tc>
      </w:tr>
      <w:tr>
        <w:trPr>
          <w:trHeight w:val="216"/>
        </w:trPr>
        <w:tc>
          <w:tcPr>
            <w:tcW w:w="520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(382,697)</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(66,726)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153,142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149,377</w:t>
            </w:r>
          </w:p>
        </w:tc>
      </w:tr>
    </w:tbl>
    <w:p>
      <w:pPr>
        <w:spacing w:after="0" w:line="160" w:lineRule="exact"/>
        <w:rPr>
          <w:sz w:val="20"/>
          <w:szCs w:val="20"/>
          <w:color w:val="auto"/>
        </w:rPr>
      </w:pPr>
    </w:p>
    <w:p>
      <w:pPr>
        <w:sectPr>
          <w:pgSz w:w="11900" w:h="16838" w:orient="portrait"/>
          <w:cols w:equalWidth="0" w:num="1">
            <w:col w:w="11420"/>
          </w:cols>
          <w:pgMar w:left="240" w:top="409" w:right="239" w:bottom="1440" w:gutter="0" w:footer="0" w:header="0"/>
        </w:sect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3" w:name="page24"/>
    <w:bookmarkEnd w:id="23"/>
    <w:p>
      <w:pPr>
        <w:ind w:left="3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right="220" w:firstLine="356"/>
        <w:spacing w:after="0" w:line="259" w:lineRule="auto"/>
        <w:rPr>
          <w:sz w:val="20"/>
          <w:szCs w:val="20"/>
          <w:color w:val="auto"/>
        </w:rPr>
      </w:pPr>
      <w:r>
        <w:rPr>
          <w:rFonts w:ascii="Arial" w:cs="Arial" w:eastAsia="Arial" w:hAnsi="Arial"/>
          <w:sz w:val="18"/>
          <w:szCs w:val="18"/>
          <w:color w:val="auto"/>
        </w:rPr>
        <w:t>Net cash provided by operating activities decreased by $15.2 million from $119.3 million during the six-month period ended June 30, 2016 to $104.1 million in the six-month period ended June 30, 2017. The decrease was mainly attributable to a decrease of $31.0 million caused by movements in working capital accounts and an increase of $24.4 million in cash paid for interest, which were partially offset by an increase in revenues of $39.4 million and a net increase of $0.8 million from the remaining movements.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firstLine="356"/>
        <w:spacing w:after="0" w:line="279" w:lineRule="auto"/>
        <w:rPr>
          <w:sz w:val="20"/>
          <w:szCs w:val="20"/>
          <w:color w:val="auto"/>
        </w:rPr>
      </w:pPr>
      <w:r>
        <w:rPr>
          <w:rFonts w:ascii="Arial" w:cs="Arial" w:eastAsia="Arial" w:hAnsi="Arial"/>
          <w:sz w:val="17"/>
          <w:szCs w:val="17"/>
          <w:color w:val="auto"/>
        </w:rPr>
        <w:t>Net cash used in investing activities decreased by $316.0 million from $382.7 million in the six-month period ended June 30, 2016 to $66.7 million in the six-month period ended June 30, 2017. The decrease is mainly attributable to a decrease of $327.2 million in payments for the construction costs of newbuildings and other fixed assets, a net decrease in short-term investments of $2.0 million and an increase of $0.8 million in cash from interest income. The above movements were partially offset by $13.9 million in payments made for the investment in Gastrade.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40" w:firstLine="356"/>
        <w:spacing w:after="0" w:line="271" w:lineRule="auto"/>
        <w:rPr>
          <w:sz w:val="20"/>
          <w:szCs w:val="20"/>
          <w:color w:val="auto"/>
        </w:rPr>
      </w:pPr>
      <w:r>
        <w:rPr>
          <w:rFonts w:ascii="Arial" w:cs="Arial" w:eastAsia="Arial" w:hAnsi="Arial"/>
          <w:sz w:val="17"/>
          <w:szCs w:val="17"/>
          <w:color w:val="auto"/>
        </w:rPr>
        <w:t>Net cash provided by financing activities decreased by $3.7 million from $153.1 million in the six-month period ended June 30, 2016 to $149.4 million in the six-month period ended June 30, 2017. The decrease is mainly attributable to a decrease of $711.3 million in proceeds from our borrowings, a decrease in proceeds from the sale and leaseback of $217.0 million, a decrease of $37.7 million in restricted cash, an increase of $4.7 million in dividend payments and an increase of $0.3 million in payments of equity raising costs. The above movements were partially offset by a decrease in bank loan repayments of $712.4 million, an increase of $139.2 million in proceeds from the Partnership’s Series A Preference Units issuance, an increase of $87.8 million in proceeds from the GasLog Partners’ public offerings, a decrease of $15.0 million in payments of loan issuance costs, a decrease of $12.0 million in payments for CCS termination/modification and the NOK bond repurchases, a decrease of $0.7 million in payments for our vessel held under a finance lease and an increase of $0.1 million in proceeds from the exercise of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right="680" w:firstLine="356"/>
        <w:spacing w:after="0" w:line="277" w:lineRule="auto"/>
        <w:rPr>
          <w:sz w:val="20"/>
          <w:szCs w:val="20"/>
          <w:color w:val="auto"/>
        </w:rPr>
      </w:pPr>
      <w:r>
        <w:rPr>
          <w:rFonts w:ascii="Arial" w:cs="Arial" w:eastAsia="Arial" w:hAnsi="Arial"/>
          <w:sz w:val="18"/>
          <w:szCs w:val="18"/>
          <w:color w:val="auto"/>
        </w:rPr>
        <w:t>The following table summarizes GasLog’s (including the vessels contributed or sold to GasLog Partners) contracted charter revenues and vessel utilization as of June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40" w:type="dxa"/>
            <w:vAlign w:val="bottom"/>
            <w:gridSpan w:val="5"/>
          </w:tcPr>
          <w:p>
            <w:pPr>
              <w:jc w:val="center"/>
              <w:ind w:right="510"/>
              <w:spacing w:after="0"/>
              <w:rPr>
                <w:sz w:val="20"/>
                <w:szCs w:val="20"/>
                <w:color w:val="auto"/>
              </w:rPr>
            </w:pPr>
            <w:r>
              <w:rPr>
                <w:rFonts w:ascii="Arial" w:cs="Arial" w:eastAsia="Arial" w:hAnsi="Arial"/>
                <w:sz w:val="18"/>
                <w:szCs w:val="18"/>
                <w:b w:val="1"/>
                <w:bCs w:val="1"/>
                <w:color w:val="auto"/>
                <w:w w:val="91"/>
              </w:rPr>
              <w:t>Contracted Charter Revenues and Days from Time Charters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On and</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after July 1,</w:t>
            </w:r>
          </w:p>
        </w:tc>
        <w:tc>
          <w:tcPr>
            <w:tcW w:w="1020" w:type="dxa"/>
            <w:vAlign w:val="bottom"/>
          </w:tcPr>
          <w:p>
            <w:pPr>
              <w:spacing w:after="0"/>
              <w:rPr>
                <w:sz w:val="20"/>
                <w:szCs w:val="20"/>
                <w:color w:val="auto"/>
              </w:rPr>
            </w:pPr>
          </w:p>
        </w:tc>
        <w:tc>
          <w:tcPr>
            <w:tcW w:w="44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For the years ending 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2022-2029</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40" w:type="dxa"/>
            <w:vAlign w:val="bottom"/>
            <w:gridSpan w:val="5"/>
          </w:tcPr>
          <w:p>
            <w:pPr>
              <w:jc w:val="center"/>
              <w:ind w:right="510"/>
              <w:spacing w:after="0"/>
              <w:rPr>
                <w:sz w:val="20"/>
                <w:szCs w:val="20"/>
                <w:color w:val="auto"/>
              </w:rPr>
            </w:pPr>
            <w:r>
              <w:rPr>
                <w:rFonts w:ascii="Arial" w:cs="Arial" w:eastAsia="Arial" w:hAnsi="Arial"/>
                <w:sz w:val="18"/>
                <w:szCs w:val="18"/>
                <w:b w:val="1"/>
                <w:bCs w:val="1"/>
                <w:color w:val="auto"/>
                <w:w w:val="88"/>
              </w:rPr>
              <w:t>(in millions of U.S. dollars, except days and percentages)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6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14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243.55</w:t>
            </w:r>
          </w:p>
        </w:tc>
        <w:tc>
          <w:tcPr>
            <w:tcW w:w="10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473.98</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486.80</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425.36</w:t>
            </w:r>
          </w:p>
        </w:tc>
        <w:tc>
          <w:tcPr>
            <w:tcW w:w="100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327.99</w:t>
            </w: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1,361.24</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3,318.92</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3,282</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6,381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6,491</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5,525</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4,076</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16,609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42,364</w:t>
            </w:r>
          </w:p>
        </w:tc>
      </w:tr>
      <w:tr>
        <w:trPr>
          <w:trHeight w:val="257"/>
        </w:trPr>
        <w:tc>
          <w:tcPr>
            <w:tcW w:w="36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14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4,202</w:t>
            </w:r>
          </w:p>
        </w:tc>
        <w:tc>
          <w:tcPr>
            <w:tcW w:w="10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9,216</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9,918</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9,978</w:t>
            </w:r>
          </w:p>
        </w:tc>
        <w:tc>
          <w:tcPr>
            <w:tcW w:w="100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10,040</w:t>
            </w: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80,585</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123,939</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920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2,835</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3,427</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4,453</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5,964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63,976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81,575</w:t>
            </w:r>
          </w:p>
        </w:tc>
      </w:tr>
      <w:tr>
        <w:trPr>
          <w:trHeight w:val="202"/>
        </w:trPr>
        <w:tc>
          <w:tcPr>
            <w:tcW w:w="36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Percentage of total contracted days/total</w:t>
            </w:r>
          </w:p>
        </w:tc>
        <w:tc>
          <w:tcPr>
            <w:tcW w:w="10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r>
      <w:tr>
        <w:trPr>
          <w:trHeight w:val="230"/>
        </w:trPr>
        <w:tc>
          <w:tcPr>
            <w:tcW w:w="36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available days</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78.11%</w:t>
            </w:r>
          </w:p>
        </w:tc>
        <w:tc>
          <w:tcPr>
            <w:tcW w:w="10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69.24%</w:t>
            </w:r>
          </w:p>
        </w:tc>
        <w:tc>
          <w:tcPr>
            <w:tcW w:w="106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65.45%</w:t>
            </w:r>
          </w:p>
        </w:tc>
        <w:tc>
          <w:tcPr>
            <w:tcW w:w="10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55.37%</w:t>
            </w:r>
          </w:p>
        </w:tc>
        <w:tc>
          <w:tcPr>
            <w:tcW w:w="100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40.60%</w:t>
            </w:r>
          </w:p>
        </w:tc>
        <w:tc>
          <w:tcPr>
            <w:tcW w:w="132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20.61%</w:t>
            </w: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34.18%</w:t>
            </w:r>
          </w:p>
        </w:tc>
      </w:tr>
      <w:tr>
        <w:trPr>
          <w:trHeight w:val="216"/>
        </w:trPr>
        <w:tc>
          <w:tcPr>
            <w:tcW w:w="1720" w:type="dxa"/>
            <w:vAlign w:val="bottom"/>
            <w:tcBorders>
              <w:bottom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11" w:lineRule="exact"/>
        <w:rPr>
          <w:sz w:val="20"/>
          <w:szCs w:val="20"/>
          <w:color w:val="auto"/>
        </w:rPr>
      </w:pPr>
    </w:p>
    <w:p>
      <w:pPr>
        <w:ind w:left="240" w:right="20" w:hanging="218"/>
        <w:spacing w:after="0" w:line="241" w:lineRule="auto"/>
        <w:tabs>
          <w:tab w:leader="none" w:pos="240" w:val="left"/>
        </w:tabs>
        <w:numPr>
          <w:ilvl w:val="0"/>
          <w:numId w:val="11"/>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six of our currently wholly owned ships, the eleven ships currently owned by the Partnership, the bareboat vessel and our five newbuildings on order for which we have secured time charters. Does not include charter revenues for the vessels operating in the spot/short-term market under the Cool Pool agreement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 w:lineRule="exact"/>
        <w:rPr>
          <w:rFonts w:ascii="Arial" w:cs="Arial" w:eastAsia="Arial" w:hAnsi="Arial"/>
          <w:sz w:val="11"/>
          <w:szCs w:val="11"/>
          <w:color w:val="auto"/>
        </w:rPr>
      </w:pPr>
    </w:p>
    <w:p>
      <w:pPr>
        <w:ind w:left="240" w:right="120" w:hanging="218"/>
        <w:spacing w:after="0" w:line="221" w:lineRule="auto"/>
        <w:tabs>
          <w:tab w:leader="none" w:pos="2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ind w:left="240" w:right="100" w:hanging="218"/>
        <w:spacing w:after="0" w:line="237" w:lineRule="auto"/>
        <w:tabs>
          <w:tab w:leader="none" w:pos="2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 w:name="page25"/>
    <w:bookmarkEnd w:id="24"/>
    <w:p>
      <w:pPr>
        <w:ind w:firstLine="356"/>
        <w:spacing w:after="0" w:line="284" w:lineRule="auto"/>
        <w:rPr>
          <w:sz w:val="20"/>
          <w:szCs w:val="20"/>
          <w:color w:val="auto"/>
        </w:rPr>
      </w:pPr>
      <w:r>
        <w:rPr>
          <w:rFonts w:ascii="Arial" w:cs="Arial" w:eastAsia="Arial" w:hAnsi="Arial"/>
          <w:sz w:val="16"/>
          <w:szCs w:val="16"/>
          <w:color w:val="auto"/>
        </w:rPr>
        <w:t xml:space="preserve">The table provides information about our contracted charter revenues based on contracts in effect as of June 30, 2017 for (a) the six ships in our currently wholly owned fleet, the eleven ships currently in the GasLog Partners’ fleet and the bareboat vessel for which we have secured time charters and (b) our five newbuildings on order. Other than the assumptions reflected in the footnotes to the table, including our assumption that our newbuildings are delivered on schedule, the table does not reflect events occurring after June 30, 2017.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any additional ships we may acquire or the exercise of options extending the terms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2017.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00" w:firstLine="356"/>
        <w:spacing w:after="0" w:line="342"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1, 2017 and Note 2 of our unaudited condensed consolidated financial statements included elsewhere in this report.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gridSpan w:val="7"/>
          </w:tcPr>
          <w:p>
            <w:pPr>
              <w:ind w:left="254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80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2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Unaudited condensed consolidated statements of financial position as of December 31, 2016 and June 30, 2017</w:t>
              </w:r>
            </w:hyperlink>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F-2</w:t>
            </w:r>
          </w:p>
        </w:tc>
      </w:tr>
      <w:tr>
        <w:trPr>
          <w:trHeight w:val="20"/>
        </w:trPr>
        <w:tc>
          <w:tcPr>
            <w:tcW w:w="48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7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Unaudited condensed consolidated statements of profit or loss for the three and six months ended June 30, 2016 and 2017</w:t>
              </w:r>
            </w:hyperlink>
          </w:p>
        </w:tc>
        <w:tc>
          <w:tcPr>
            <w:tcW w:w="1840" w:type="dxa"/>
            <w:vAlign w:val="bottom"/>
            <w:gridSpan w:val="2"/>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620" w:type="dxa"/>
            <w:vAlign w:val="bottom"/>
            <w:gridSpan w:val="7"/>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Unaudited condensed consolidated statements of comprehensive income or loss for the three and six months ended June 30, 2016 and 2017</w:t>
              </w:r>
            </w:hyperlink>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Unaudited condensed consolidated statements of changes in equity for the six months ended June 30, 2016 and 2017</w:t>
              </w:r>
            </w:hyperlink>
          </w:p>
        </w:tc>
        <w:tc>
          <w:tcPr>
            <w:tcW w:w="580" w:type="dxa"/>
            <w:vAlign w:val="bottom"/>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F-5</w:t>
            </w:r>
          </w:p>
        </w:tc>
      </w:tr>
      <w:tr>
        <w:trPr>
          <w:trHeight w:val="196"/>
        </w:trPr>
        <w:tc>
          <w:tcPr>
            <w:tcW w:w="7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Unaudited condensed consolidated statements of cash flows for the six months ended June 30, 2016 and 2017</w:t>
              </w:r>
            </w:hyperlink>
          </w:p>
        </w:tc>
        <w:tc>
          <w:tcPr>
            <w:tcW w:w="480" w:type="dxa"/>
            <w:vAlign w:val="bottom"/>
            <w:tcBorders>
              <w:top w:val="single" w:sz="8" w:color="0000EE"/>
            </w:tcBorders>
            <w:gridSpan w:val="2"/>
          </w:tcPr>
          <w:p>
            <w:pPr>
              <w:spacing w:after="0"/>
              <w:rPr>
                <w:sz w:val="17"/>
                <w:szCs w:val="17"/>
                <w:color w:val="auto"/>
              </w:rPr>
            </w:pPr>
          </w:p>
        </w:tc>
        <w:tc>
          <w:tcPr>
            <w:tcW w:w="2220" w:type="dxa"/>
            <w:vAlign w:val="bottom"/>
            <w:gridSpan w:val="3"/>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62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Notes to the unaudited condensed consolidated financial statements</w:t>
              </w:r>
            </w:hyperlink>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F-7</w:t>
            </w:r>
          </w:p>
        </w:tc>
      </w:tr>
      <w:tr>
        <w:trPr>
          <w:trHeight w:val="426"/>
        </w:trPr>
        <w:tc>
          <w:tcPr>
            <w:tcW w:w="4880" w:type="dxa"/>
            <w:vAlign w:val="bottom"/>
            <w:tcBorders>
              <w:top w:val="single" w:sz="8" w:color="0000EE"/>
            </w:tcBorders>
          </w:tcPr>
          <w:p>
            <w:pPr>
              <w:spacing w:after="0"/>
              <w:rPr>
                <w:sz w:val="24"/>
                <w:szCs w:val="24"/>
                <w:color w:val="auto"/>
              </w:rPr>
            </w:pPr>
          </w:p>
        </w:tc>
        <w:tc>
          <w:tcPr>
            <w:tcW w:w="57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0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1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As of December 31, 2016 and June 30, 2017</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December 31,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June 30, 2017</w:t>
            </w:r>
          </w:p>
        </w:tc>
      </w:tr>
      <w:tr>
        <w:trPr>
          <w:trHeight w:val="210"/>
        </w:trPr>
        <w:tc>
          <w:tcPr>
            <w:tcW w:w="7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9,511</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6,265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20,432</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12,045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13,540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1,824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7,856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5,575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3,889,047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3,828,637</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96,356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158,190</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9"/>
                <w:szCs w:val="19"/>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222,004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218,198</w:t>
            </w:r>
          </w:p>
        </w:tc>
      </w:tr>
      <w:tr>
        <w:trPr>
          <w:trHeight w:val="210"/>
        </w:trPr>
        <w:tc>
          <w:tcPr>
            <w:tcW w:w="7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4,244,908</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4,254,741</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9,256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3,065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8,461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4,326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5,029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18,000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227,024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414,328</w:t>
            </w:r>
          </w:p>
        </w:tc>
      </w:tr>
      <w:tr>
        <w:trPr>
          <w:trHeight w:val="210"/>
        </w:trPr>
        <w:tc>
          <w:tcPr>
            <w:tcW w:w="7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270,256</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451,739</w:t>
            </w:r>
          </w:p>
        </w:tc>
        <w:tc>
          <w:tcPr>
            <w:tcW w:w="100" w:type="dxa"/>
            <w:vAlign w:val="bottom"/>
            <w:tcBorders>
              <w:top w:val="single" w:sz="8" w:color="E5FFFF"/>
            </w:tcBorders>
            <w:shd w:val="clear" w:color="auto" w:fill="E5FFFF"/>
          </w:tcPr>
          <w:p>
            <w:pPr>
              <w:spacing w:after="0"/>
              <w:rPr>
                <w:sz w:val="18"/>
                <w:szCs w:val="18"/>
                <w:color w:val="auto"/>
              </w:rPr>
            </w:pPr>
          </w:p>
        </w:tc>
      </w:tr>
      <w:tr>
        <w:trPr>
          <w:trHeight w:val="263"/>
        </w:trPr>
        <w:tc>
          <w:tcPr>
            <w:tcW w:w="71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E5FFFF"/>
            </w:tcBorders>
          </w:tcPr>
          <w:p>
            <w:pPr>
              <w:spacing w:after="0"/>
              <w:rPr>
                <w:sz w:val="22"/>
                <w:szCs w:val="22"/>
                <w:color w:val="auto"/>
              </w:rPr>
            </w:pPr>
          </w:p>
        </w:tc>
        <w:tc>
          <w:tcPr>
            <w:tcW w:w="340" w:type="dxa"/>
            <w:vAlign w:val="bottom"/>
            <w:tcBorders>
              <w:bottom w:val="single" w:sz="8" w:color="E5FF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44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4,706,480</w:t>
            </w:r>
          </w:p>
        </w:tc>
        <w:tc>
          <w:tcPr>
            <w:tcW w:w="100" w:type="dxa"/>
            <w:vAlign w:val="bottom"/>
            <w:tcBorders>
              <w:bottom w:val="single" w:sz="8" w:color="E5FFFF"/>
            </w:tcBorders>
          </w:tcPr>
          <w:p>
            <w:pPr>
              <w:spacing w:after="0"/>
              <w:rPr>
                <w:sz w:val="22"/>
                <w:szCs w:val="22"/>
                <w:color w:val="auto"/>
              </w:rPr>
            </w:pPr>
          </w:p>
        </w:tc>
      </w:tr>
      <w:tr>
        <w:trPr>
          <w:trHeight w:val="197"/>
        </w:trPr>
        <w:tc>
          <w:tcPr>
            <w:tcW w:w="71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6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Share capital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810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966,974</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939,377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Reserves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10,160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15,499</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(10,861)</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(9,197)</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(21,486)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(20,249)</w:t>
            </w:r>
          </w:p>
        </w:tc>
      </w:tr>
      <w:tr>
        <w:trPr>
          <w:trHeight w:val="210"/>
        </w:trPr>
        <w:tc>
          <w:tcPr>
            <w:tcW w:w="7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926,286</w:t>
            </w:r>
          </w:p>
        </w:tc>
        <w:tc>
          <w:tcPr>
            <w:tcW w:w="100" w:type="dxa"/>
            <w:vAlign w:val="bottom"/>
            <w:tcBorders>
              <w:top w:val="single" w:sz="8" w:color="E5FFFF"/>
            </w:tcBorders>
            <w:shd w:val="clear" w:color="auto" w:fill="E5FFFF"/>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564,039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790,936</w:t>
            </w:r>
          </w:p>
        </w:tc>
      </w:tr>
      <w:tr>
        <w:trPr>
          <w:trHeight w:val="210"/>
        </w:trPr>
        <w:tc>
          <w:tcPr>
            <w:tcW w:w="7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1,509,682</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1,717,222</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7,255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8,702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841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105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7,854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6,145</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93,386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93,416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147,448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r>
      <w:tr>
        <w:trPr>
          <w:trHeight w:val="230"/>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34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5,946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6,120</w:t>
            </w:r>
          </w:p>
        </w:tc>
      </w:tr>
      <w:tr>
        <w:trPr>
          <w:trHeight w:val="210"/>
        </w:trPr>
        <w:tc>
          <w:tcPr>
            <w:tcW w:w="71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335,590</w:t>
            </w:r>
          </w:p>
        </w:tc>
        <w:tc>
          <w:tcPr>
            <w:tcW w:w="100" w:type="dxa"/>
            <w:vAlign w:val="bottom"/>
            <w:tcBorders>
              <w:bottom w:val="single" w:sz="8" w:color="E5FFFF"/>
            </w:tcBorders>
          </w:tcPr>
          <w:p>
            <w:pPr>
              <w:spacing w:after="0"/>
              <w:rPr>
                <w:sz w:val="18"/>
                <w:szCs w:val="18"/>
                <w:color w:val="auto"/>
              </w:rPr>
            </w:pPr>
          </w:p>
        </w:tc>
      </w:tr>
      <w:tr>
        <w:trPr>
          <w:trHeight w:val="210"/>
        </w:trPr>
        <w:tc>
          <w:tcPr>
            <w:tcW w:w="7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22,485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7</w:t>
            </w:r>
          </w:p>
        </w:tc>
        <w:tc>
          <w:tcPr>
            <w:tcW w:w="3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2,504,578</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2,441,120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4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214,455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210,866</w:t>
            </w:r>
          </w:p>
        </w:tc>
      </w:tr>
      <w:tr>
        <w:trPr>
          <w:trHeight w:val="230"/>
        </w:trPr>
        <w:tc>
          <w:tcPr>
            <w:tcW w:w="716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1,129</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1,467</w:t>
            </w:r>
          </w:p>
        </w:tc>
      </w:tr>
      <w:tr>
        <w:trPr>
          <w:trHeight w:val="210"/>
        </w:trPr>
        <w:tc>
          <w:tcPr>
            <w:tcW w:w="71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68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2,653,668</w:t>
            </w:r>
          </w:p>
        </w:tc>
        <w:tc>
          <w:tcPr>
            <w:tcW w:w="100" w:type="dxa"/>
            <w:vAlign w:val="bottom"/>
            <w:tcBorders>
              <w:bottom w:val="single" w:sz="8" w:color="E5FFFF"/>
            </w:tcBorders>
          </w:tcPr>
          <w:p>
            <w:pPr>
              <w:spacing w:after="0"/>
              <w:rPr>
                <w:sz w:val="18"/>
                <w:szCs w:val="18"/>
                <w:color w:val="auto"/>
              </w:rPr>
            </w:pPr>
          </w:p>
        </w:tc>
      </w:tr>
      <w:tr>
        <w:trPr>
          <w:trHeight w:val="223"/>
        </w:trPr>
        <w:tc>
          <w:tcPr>
            <w:tcW w:w="7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68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E5FFFF"/>
            </w:tcBorders>
            <w:shd w:val="clear" w:color="auto" w:fill="E5FFFF"/>
          </w:tcPr>
          <w:p>
            <w:pPr>
              <w:spacing w:after="0"/>
              <w:rPr>
                <w:sz w:val="19"/>
                <w:szCs w:val="19"/>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4,515,164</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4,706,480</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w:t>
            </w:r>
          </w:p>
        </w:tc>
        <w:tc>
          <w:tcPr>
            <w:tcW w:w="32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 2016</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 2017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June 30, 2016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6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114,474</w:t>
            </w:r>
          </w:p>
        </w:tc>
        <w:tc>
          <w:tcPr>
            <w:tcW w:w="3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129,930</w:t>
            </w: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218,851</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258,215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(27,964)</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(29,833)</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(56,421)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(3,256)</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(2,827)</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(8,519)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(29,484)</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(34,451)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(57,648)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(10,355)</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(10,246)</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(19,089)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6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43,415</w:t>
            </w:r>
          </w:p>
        </w:tc>
        <w:tc>
          <w:tcPr>
            <w:tcW w:w="36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52,573</w:t>
            </w:r>
          </w:p>
        </w:tc>
        <w:tc>
          <w:tcPr>
            <w:tcW w:w="3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77,174</w:t>
            </w:r>
          </w:p>
        </w:tc>
        <w:tc>
          <w:tcPr>
            <w:tcW w:w="32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107,638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(31,483)</w:t>
            </w:r>
          </w:p>
        </w:tc>
        <w:tc>
          <w:tcPr>
            <w:tcW w:w="36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(37,078)</w:t>
            </w:r>
          </w:p>
        </w:tc>
        <w:tc>
          <w:tcPr>
            <w:tcW w:w="3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(60,662)</w:t>
            </w: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(69,602)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Financial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744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(9,039)</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(9,720)</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(19,453)</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329</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6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(40,069</w:t>
            </w:r>
          </w:p>
        </w:tc>
        <w:tc>
          <w:tcPr>
            <w:tcW w:w="360" w:type="dxa"/>
            <w:vAlign w:val="bottom"/>
            <w:tcBorders>
              <w:top w:val="single" w:sz="8" w:color="E5FFFF"/>
            </w:tcBorders>
            <w:shd w:val="clear" w:color="auto" w:fill="E5FF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(45,669</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(79,126</w:t>
            </w:r>
          </w:p>
        </w:tc>
        <w:tc>
          <w:tcPr>
            <w:tcW w:w="320" w:type="dxa"/>
            <w:vAlign w:val="bottom"/>
            <w:tcBorders>
              <w:top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(77,342</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680" w:type="dxa"/>
            <w:vAlign w:val="bottom"/>
            <w:tcBorders>
              <w:bottom w:val="single" w:sz="8" w:color="E5FFFF"/>
            </w:tcBorders>
          </w:tcPr>
          <w:p>
            <w:pPr>
              <w:spacing w:after="0"/>
              <w:rPr>
                <w:sz w:val="22"/>
                <w:szCs w:val="22"/>
                <w:color w:val="auto"/>
              </w:rPr>
            </w:pPr>
          </w:p>
        </w:tc>
        <w:tc>
          <w:tcPr>
            <w:tcW w:w="24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6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w:t>
            </w:r>
          </w:p>
        </w:tc>
        <w:tc>
          <w:tcPr>
            <w:tcW w:w="34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320" w:type="dxa"/>
            <w:vAlign w:val="bottom"/>
            <w:tcBorders>
              <w:bottom w:val="single" w:sz="8" w:color="E5FF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Owners of the Group</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(7,864)</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(7,515)</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(23,762)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11,210</w:t>
            </w:r>
          </w:p>
        </w:tc>
        <w:tc>
          <w:tcPr>
            <w:tcW w:w="16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14,419</w:t>
            </w: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21,810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w:t>
            </w:r>
          </w:p>
        </w:tc>
        <w:tc>
          <w:tcPr>
            <w:tcW w:w="2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(0.13)</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(0.12)</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(0.36)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9"/>
          </w:tcPr>
          <w:p>
            <w:pPr>
              <w:jc w:val="right"/>
              <w:ind w:right="3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F-3</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ind w:right="5360"/>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six months ended June 30, 2016 and 2017 (Amounts expressed in thousands of U.S.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32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ind w:left="5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2016</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 2017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June 30, 2016</w:t>
            </w: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6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3,346</w:t>
            </w:r>
          </w:p>
        </w:tc>
        <w:tc>
          <w:tcPr>
            <w:tcW w:w="3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6,904</w:t>
            </w: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(1,952)</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comprehensive (loss)/income: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w w:val="96"/>
              </w:rPr>
              <w:t>Items that may be reclassified subsequently to profit</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or loss:</w:t>
            </w:r>
          </w:p>
        </w:tc>
        <w:tc>
          <w:tcPr>
            <w:tcW w:w="6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Effective portion of changes in fair value of cash flow</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hedges, net of amounts recycled to profit or loss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(5,111)</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763</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(9,549)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2"/>
        </w:trPr>
        <w:tc>
          <w:tcPr>
            <w:tcW w:w="4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9"/>
              </w:rPr>
              <w:t>Recycled loss of cash flow hedges reclassified to profit</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or loss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E5FFFF"/>
          </w:tcPr>
          <w:p>
            <w:pPr>
              <w:spacing w:after="0"/>
              <w:rPr>
                <w:sz w:val="21"/>
                <w:szCs w:val="21"/>
                <w:color w:val="auto"/>
              </w:rPr>
            </w:pPr>
          </w:p>
        </w:tc>
        <w:tc>
          <w:tcPr>
            <w:tcW w:w="16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5,927</w:t>
            </w:r>
          </w:p>
        </w:tc>
        <w:tc>
          <w:tcPr>
            <w:tcW w:w="16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4,368</w:t>
            </w: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6,276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income/(loss) for the period</w:t>
            </w:r>
          </w:p>
        </w:tc>
        <w:tc>
          <w:tcPr>
            <w:tcW w:w="6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36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5,131</w:t>
            </w:r>
          </w:p>
        </w:tc>
        <w:tc>
          <w:tcPr>
            <w:tcW w:w="3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w:t>
            </w:r>
          </w:p>
        </w:tc>
        <w:tc>
          <w:tcPr>
            <w:tcW w:w="320" w:type="dxa"/>
            <w:vAlign w:val="bottom"/>
            <w:tcBorders>
              <w:bottom w:val="single" w:sz="8" w:color="E5FF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680" w:type="dxa"/>
            <w:vAlign w:val="bottom"/>
            <w:tcBorders>
              <w:bottom w:val="single" w:sz="8" w:color="E5FFFF"/>
            </w:tcBorders>
            <w:shd w:val="clear" w:color="auto" w:fill="E5FFFF"/>
          </w:tcPr>
          <w:p>
            <w:pPr>
              <w:spacing w:after="0"/>
              <w:rPr>
                <w:sz w:val="19"/>
                <w:szCs w:val="19"/>
                <w:color w:val="auto"/>
              </w:rPr>
            </w:pPr>
          </w:p>
        </w:tc>
        <w:tc>
          <w:tcPr>
            <w:tcW w:w="2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4,162</w:t>
            </w:r>
          </w:p>
        </w:tc>
        <w:tc>
          <w:tcPr>
            <w:tcW w:w="36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12,035</w:t>
            </w:r>
          </w:p>
        </w:tc>
        <w:tc>
          <w:tcPr>
            <w:tcW w:w="34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(5,225</w:t>
            </w:r>
          </w:p>
        </w:tc>
        <w:tc>
          <w:tcPr>
            <w:tcW w:w="320" w:type="dxa"/>
            <w:vAlign w:val="bottom"/>
            <w:tcBorders>
              <w:bottom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35,383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Owners of the Group</w:t>
            </w: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(7,048)</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(2,384)</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(27,035)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11,210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14,419</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21,810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23"/>
        </w:trPr>
        <w:tc>
          <w:tcPr>
            <w:tcW w:w="4360" w:type="dxa"/>
            <w:vAlign w:val="bottom"/>
            <w:tcBorders>
              <w:top w:val="single" w:sz="8" w:color="E5FFFF"/>
              <w:bottom w:val="single" w:sz="8" w:color="E5FFFF"/>
            </w:tcBorders>
            <w:shd w:val="clear" w:color="auto" w:fill="E5FFFF"/>
          </w:tcPr>
          <w:p>
            <w:pPr>
              <w:spacing w:after="0"/>
              <w:rPr>
                <w:sz w:val="19"/>
                <w:szCs w:val="19"/>
                <w:color w:val="auto"/>
              </w:rPr>
            </w:pPr>
          </w:p>
        </w:tc>
        <w:tc>
          <w:tcPr>
            <w:tcW w:w="68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4,162</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12,035</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(5,225</w:t>
            </w:r>
          </w:p>
        </w:tc>
        <w:tc>
          <w:tcPr>
            <w:tcW w:w="320" w:type="dxa"/>
            <w:vAlign w:val="bottom"/>
            <w:tcBorders>
              <w:top w:val="single" w:sz="8" w:color="E5FFFF"/>
              <w:bottom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35,383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Preference</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Contributed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earnings/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Attributable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Non -</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surplus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4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(accumulated</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owners 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(Note 11)</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(Note 11)</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(Note 11)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2"/>
              </w:rPr>
              <w:t>Reserves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(Note 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deficit)</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the Group</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5"/>
              </w:rPr>
              <w:t>Balance as of January</w:t>
            </w:r>
          </w:p>
        </w:tc>
        <w:tc>
          <w:tcPr>
            <w:tcW w:w="8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1, 2016</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1,020,292</w:t>
            </w:r>
          </w:p>
        </w:tc>
        <w:tc>
          <w:tcPr>
            <w:tcW w:w="9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(8,829)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c>
          <w:tcPr>
            <w:tcW w:w="134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1,846</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1,001,674</w:t>
            </w:r>
          </w:p>
        </w:tc>
        <w:tc>
          <w:tcPr>
            <w:tcW w:w="22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506,246</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w w:val="89"/>
              </w:rPr>
              <w:t>1,507,920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40" w:type="dxa"/>
            <w:vAlign w:val="bottom"/>
          </w:tcPr>
          <w:p>
            <w:pPr>
              <w:spacing w:after="0" w:line="182" w:lineRule="exact"/>
              <w:rPr>
                <w:sz w:val="20"/>
                <w:szCs w:val="20"/>
                <w:color w:val="auto"/>
              </w:rPr>
            </w:pPr>
            <w:r>
              <w:rPr>
                <w:rFonts w:ascii="Arial" w:cs="Arial" w:eastAsia="Arial" w:hAnsi="Arial"/>
                <w:sz w:val="18"/>
                <w:szCs w:val="18"/>
                <w:color w:val="auto"/>
              </w:rPr>
              <w:t>Dividend declared</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(common and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preference shares)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(25,732)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(1,846)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(27,578)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(20,707)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Share-based</w:t>
            </w:r>
          </w:p>
        </w:tc>
        <w:tc>
          <w:tcPr>
            <w:tcW w:w="8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w w:val="99"/>
              </w:rPr>
              <w:t>compensation, net of</w:t>
            </w:r>
          </w:p>
        </w:tc>
        <w:tc>
          <w:tcPr>
            <w:tcW w:w="8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dividend</w:t>
            </w:r>
          </w:p>
        </w:tc>
        <w:tc>
          <w:tcPr>
            <w:tcW w:w="8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(Note 16)</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1,690</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Settlement of share-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9"/>
              </w:rPr>
              <w:t>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900" w:type="dxa"/>
            <w:vAlign w:val="bottom"/>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(Loss)/profit for the</w:t>
            </w:r>
          </w:p>
        </w:tc>
        <w:tc>
          <w:tcPr>
            <w:tcW w:w="8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period</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20"/>
                <w:szCs w:val="20"/>
                <w:color w:val="auto"/>
              </w:rPr>
            </w:pPr>
          </w:p>
        </w:tc>
        <w:tc>
          <w:tcPr>
            <w:tcW w:w="134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(23,762)</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(23,762)</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21,810</w:t>
            </w: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loss for the period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(3,273)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(3,273)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Total comprehensive</w:t>
            </w:r>
          </w:p>
        </w:tc>
        <w:tc>
          <w:tcPr>
            <w:tcW w:w="8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(loss)/ income for</w:t>
            </w:r>
          </w:p>
        </w:tc>
        <w:tc>
          <w:tcPr>
            <w:tcW w:w="8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the period</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(3,273)</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20"/>
                <w:szCs w:val="20"/>
                <w:color w:val="auto"/>
              </w:rPr>
            </w:pPr>
          </w:p>
        </w:tc>
        <w:tc>
          <w:tcPr>
            <w:tcW w:w="134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(23,762)</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(27,035)</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21,810</w:t>
            </w: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(5,225)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Pr>
          <w:p>
            <w:pPr>
              <w:spacing w:after="0" w:line="178" w:lineRule="exact"/>
              <w:rPr>
                <w:sz w:val="20"/>
                <w:szCs w:val="20"/>
                <w:color w:val="auto"/>
              </w:rPr>
            </w:pPr>
            <w:r>
              <w:rPr>
                <w:rFonts w:ascii="Arial" w:cs="Arial" w:eastAsia="Arial" w:hAnsi="Arial"/>
                <w:sz w:val="18"/>
                <w:szCs w:val="18"/>
                <w:b w:val="1"/>
                <w:bCs w:val="1"/>
                <w:color w:val="auto"/>
                <w:w w:val="94"/>
              </w:rPr>
              <w:t>Balance as of June 30,</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994,560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(11,893)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(11,065)</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(23,762)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948,696</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507,349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1,456,045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bottom w:val="single" w:sz="8" w:color="E5FF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5"/>
              </w:rPr>
              <w:t>Balance as of January</w:t>
            </w:r>
          </w:p>
        </w:tc>
        <w:tc>
          <w:tcPr>
            <w:tcW w:w="84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0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1, 2017</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966,974</w:t>
            </w: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10,160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(10,861)</w:t>
            </w:r>
          </w:p>
        </w:tc>
        <w:tc>
          <w:tcPr>
            <w:tcW w:w="134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(21,486)</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22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564,039</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w w:val="89"/>
              </w:rPr>
              <w:t>1,509,682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40" w:type="dxa"/>
            <w:vAlign w:val="bottom"/>
          </w:tcPr>
          <w:p>
            <w:pPr>
              <w:spacing w:after="0" w:line="182" w:lineRule="exact"/>
              <w:rPr>
                <w:sz w:val="20"/>
                <w:szCs w:val="20"/>
                <w:color w:val="auto"/>
              </w:rPr>
            </w:pPr>
            <w:r>
              <w:rPr>
                <w:rFonts w:ascii="Arial" w:cs="Arial" w:eastAsia="Arial" w:hAnsi="Arial"/>
                <w:sz w:val="18"/>
                <w:szCs w:val="18"/>
                <w:color w:val="auto"/>
              </w:rPr>
              <w:t>Net proceeds from</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GasLog Partners’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public offerings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(Note 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225,776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Dividend declared</w:t>
            </w:r>
          </w:p>
        </w:tc>
        <w:tc>
          <w:tcPr>
            <w:tcW w:w="8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(common and</w:t>
            </w:r>
          </w:p>
        </w:tc>
        <w:tc>
          <w:tcPr>
            <w:tcW w:w="8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preference shares)</w:t>
            </w:r>
          </w:p>
        </w:tc>
        <w:tc>
          <w:tcPr>
            <w:tcW w:w="8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(Note 11)</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(27,597)</w:t>
            </w: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(27,597)</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(27,938)</w:t>
            </w: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(55,535)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9"/>
              </w:rPr>
              <w:t>compensation, net of</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accrued dividend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(Note 16)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2,023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Settlement of share-</w:t>
            </w:r>
          </w:p>
        </w:tc>
        <w:tc>
          <w:tcPr>
            <w:tcW w:w="8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w w:val="99"/>
              </w:rPr>
              <w:t>based compensation</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(1,771)</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(107)</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Profit for the period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1,237</w:t>
            </w:r>
          </w:p>
        </w:tc>
        <w:tc>
          <w:tcPr>
            <w:tcW w:w="96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comprehensive</w:t>
            </w:r>
          </w:p>
        </w:tc>
        <w:tc>
          <w:tcPr>
            <w:tcW w:w="8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5FFFF"/>
          </w:tcPr>
          <w:p>
            <w:pPr>
              <w:ind w:left="160"/>
              <w:spacing w:after="0"/>
              <w:rPr>
                <w:sz w:val="20"/>
                <w:szCs w:val="20"/>
                <w:color w:val="auto"/>
              </w:rPr>
            </w:pPr>
            <w:r>
              <w:rPr>
                <w:rFonts w:ascii="Arial" w:cs="Arial" w:eastAsia="Arial" w:hAnsi="Arial"/>
                <w:sz w:val="18"/>
                <w:szCs w:val="18"/>
                <w:color w:val="auto"/>
                <w:w w:val="98"/>
              </w:rPr>
              <w:t>income for the period</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5,087</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5,087</w:t>
            </w:r>
          </w:p>
        </w:tc>
        <w:tc>
          <w:tcPr>
            <w:tcW w:w="22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Pr>
          <w:p>
            <w:pPr>
              <w:spacing w:after="0" w:line="178" w:lineRule="exact"/>
              <w:rPr>
                <w:sz w:val="20"/>
                <w:szCs w:val="20"/>
                <w:color w:val="auto"/>
              </w:rPr>
            </w:pPr>
            <w:r>
              <w:rPr>
                <w:rFonts w:ascii="Arial" w:cs="Arial" w:eastAsia="Arial" w:hAnsi="Arial"/>
                <w:sz w:val="18"/>
                <w:szCs w:val="18"/>
                <w:b w:val="1"/>
                <w:bCs w:val="1"/>
                <w:color w:val="auto"/>
              </w:rPr>
              <w:t>Total comprehensive</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b w:val="1"/>
                <w:bCs w:val="1"/>
                <w:color w:val="auto"/>
              </w:rPr>
              <w:t>income for the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5,087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1,237</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6,324</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vMerge w:val="restart"/>
            <w:shd w:val="clear" w:color="auto" w:fill="E5FFFF"/>
          </w:tcPr>
          <w:p>
            <w:pPr>
              <w:spacing w:after="0" w:line="198" w:lineRule="exact"/>
              <w:rPr>
                <w:sz w:val="20"/>
                <w:szCs w:val="20"/>
                <w:color w:val="auto"/>
              </w:rPr>
            </w:pPr>
            <w:r>
              <w:rPr>
                <w:rFonts w:ascii="Arial" w:cs="Arial" w:eastAsia="Arial" w:hAnsi="Arial"/>
                <w:sz w:val="18"/>
                <w:szCs w:val="18"/>
                <w:b w:val="1"/>
                <w:bCs w:val="1"/>
                <w:color w:val="auto"/>
                <w:w w:val="94"/>
              </w:rPr>
              <w:t>Balance as of June 30,</w:t>
            </w: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vMerge w:val="continue"/>
            <w:shd w:val="clear" w:color="auto" w:fill="E5FFFF"/>
          </w:tcPr>
          <w:p>
            <w:pPr>
              <w:spacing w:after="0"/>
              <w:rPr>
                <w:sz w:val="15"/>
                <w:szCs w:val="15"/>
                <w:color w:val="auto"/>
              </w:rPr>
            </w:pPr>
          </w:p>
        </w:tc>
        <w:tc>
          <w:tcPr>
            <w:tcW w:w="9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10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16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939,377</w:t>
            </w:r>
          </w:p>
        </w:tc>
        <w:tc>
          <w:tcPr>
            <w:tcW w:w="90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15,499</w:t>
            </w:r>
          </w:p>
        </w:tc>
        <w:tc>
          <w:tcPr>
            <w:tcW w:w="900" w:type="dxa"/>
            <w:vAlign w:val="bottom"/>
            <w:vMerge w:val="restart"/>
            <w:shd w:val="clear" w:color="auto" w:fill="E5FFFF"/>
          </w:tcPr>
          <w:p>
            <w:pPr>
              <w:jc w:val="right"/>
              <w:spacing w:after="0"/>
              <w:rPr>
                <w:sz w:val="20"/>
                <w:szCs w:val="20"/>
                <w:color w:val="auto"/>
              </w:rPr>
            </w:pPr>
            <w:r>
              <w:rPr>
                <w:rFonts w:ascii="Arial" w:cs="Arial" w:eastAsia="Arial" w:hAnsi="Arial"/>
                <w:sz w:val="18"/>
                <w:szCs w:val="18"/>
                <w:b w:val="1"/>
                <w:bCs w:val="1"/>
                <w:color w:val="auto"/>
              </w:rPr>
              <w:t>(9,197</w:t>
            </w:r>
          </w:p>
        </w:tc>
        <w:tc>
          <w:tcPr>
            <w:tcW w:w="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1340" w:type="dxa"/>
            <w:vAlign w:val="bottom"/>
            <w:gridSpan w:val="3"/>
            <w:vMerge w:val="restart"/>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E5FFFF"/>
          </w:tcPr>
          <w:p>
            <w:pPr>
              <w:jc w:val="right"/>
              <w:spacing w:after="0"/>
              <w:rPr>
                <w:sz w:val="20"/>
                <w:szCs w:val="20"/>
                <w:color w:val="auto"/>
              </w:rPr>
            </w:pPr>
            <w:r>
              <w:rPr>
                <w:rFonts w:ascii="Arial" w:cs="Arial" w:eastAsia="Arial" w:hAnsi="Arial"/>
                <w:sz w:val="18"/>
                <w:szCs w:val="18"/>
                <w:b w:val="1"/>
                <w:bCs w:val="1"/>
                <w:color w:val="auto"/>
              </w:rPr>
              <w:t>926,286</w:t>
            </w:r>
          </w:p>
        </w:tc>
        <w:tc>
          <w:tcPr>
            <w:tcW w:w="220" w:type="dxa"/>
            <w:vAlign w:val="bottom"/>
            <w:shd w:val="clear" w:color="auto" w:fill="E5FFFF"/>
          </w:tcPr>
          <w:p>
            <w:pPr>
              <w:spacing w:after="0"/>
              <w:rPr>
                <w:sz w:val="15"/>
                <w:szCs w:val="15"/>
                <w:color w:val="auto"/>
              </w:rPr>
            </w:pPr>
          </w:p>
        </w:tc>
        <w:tc>
          <w:tcPr>
            <w:tcW w:w="112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790,936</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8"/>
                <w:szCs w:val="18"/>
                <w:b w:val="1"/>
                <w:bCs w:val="1"/>
                <w:color w:val="auto"/>
                <w:w w:val="89"/>
              </w:rPr>
              <w:t>1,717,222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40" w:type="dxa"/>
            <w:vAlign w:val="bottom"/>
            <w:vMerge w:val="restart"/>
            <w:shd w:val="clear" w:color="auto" w:fill="E5FFFF"/>
          </w:tcPr>
          <w:p>
            <w:pPr>
              <w:ind w:left="160"/>
              <w:spacing w:after="0"/>
              <w:rPr>
                <w:sz w:val="20"/>
                <w:szCs w:val="20"/>
                <w:color w:val="auto"/>
              </w:rPr>
            </w:pPr>
            <w:r>
              <w:rPr>
                <w:rFonts w:ascii="Arial" w:cs="Arial" w:eastAsia="Arial" w:hAnsi="Arial"/>
                <w:sz w:val="18"/>
                <w:szCs w:val="18"/>
                <w:b w:val="1"/>
                <w:bCs w:val="1"/>
                <w:color w:val="auto"/>
              </w:rPr>
              <w:t>2017</w:t>
            </w:r>
          </w:p>
        </w:tc>
        <w:tc>
          <w:tcPr>
            <w:tcW w:w="960" w:type="dxa"/>
            <w:vAlign w:val="bottom"/>
            <w:gridSpan w:val="2"/>
            <w:vMerge w:val="continue"/>
            <w:shd w:val="clear" w:color="auto" w:fill="E5FFFF"/>
          </w:tcPr>
          <w:p>
            <w:pPr>
              <w:spacing w:after="0"/>
              <w:rPr>
                <w:sz w:val="13"/>
                <w:szCs w:val="13"/>
                <w:color w:val="auto"/>
              </w:rPr>
            </w:pPr>
          </w:p>
        </w:tc>
        <w:tc>
          <w:tcPr>
            <w:tcW w:w="1020" w:type="dxa"/>
            <w:vAlign w:val="bottom"/>
            <w:gridSpan w:val="2"/>
            <w:vMerge w:val="continue"/>
            <w:shd w:val="clear" w:color="auto" w:fill="E5FFFF"/>
          </w:tcPr>
          <w:p>
            <w:pPr>
              <w:spacing w:after="0"/>
              <w:rPr>
                <w:sz w:val="13"/>
                <w:szCs w:val="13"/>
                <w:color w:val="auto"/>
              </w:rPr>
            </w:pPr>
          </w:p>
        </w:tc>
        <w:tc>
          <w:tcPr>
            <w:tcW w:w="1160" w:type="dxa"/>
            <w:vAlign w:val="bottom"/>
            <w:gridSpan w:val="2"/>
            <w:vMerge w:val="continue"/>
            <w:shd w:val="clear" w:color="auto" w:fill="E5FFFF"/>
          </w:tcPr>
          <w:p>
            <w:pPr>
              <w:spacing w:after="0"/>
              <w:rPr>
                <w:sz w:val="13"/>
                <w:szCs w:val="13"/>
                <w:color w:val="auto"/>
              </w:rPr>
            </w:pPr>
          </w:p>
        </w:tc>
        <w:tc>
          <w:tcPr>
            <w:tcW w:w="900" w:type="dxa"/>
            <w:vAlign w:val="bottom"/>
            <w:gridSpan w:val="2"/>
            <w:vMerge w:val="continue"/>
            <w:shd w:val="clear" w:color="auto" w:fill="E5FFFF"/>
          </w:tcPr>
          <w:p>
            <w:pPr>
              <w:spacing w:after="0"/>
              <w:rPr>
                <w:sz w:val="13"/>
                <w:szCs w:val="13"/>
                <w:color w:val="auto"/>
              </w:rPr>
            </w:pPr>
          </w:p>
        </w:tc>
        <w:tc>
          <w:tcPr>
            <w:tcW w:w="900" w:type="dxa"/>
            <w:vAlign w:val="bottom"/>
            <w:vMerge w:val="continue"/>
            <w:shd w:val="clear" w:color="auto" w:fill="E5FFFF"/>
          </w:tcPr>
          <w:p>
            <w:pPr>
              <w:spacing w:after="0"/>
              <w:rPr>
                <w:sz w:val="13"/>
                <w:szCs w:val="13"/>
                <w:color w:val="auto"/>
              </w:rPr>
            </w:pPr>
          </w:p>
        </w:tc>
        <w:tc>
          <w:tcPr>
            <w:tcW w:w="140" w:type="dxa"/>
            <w:vAlign w:val="bottom"/>
            <w:vMerge w:val="continue"/>
            <w:shd w:val="clear" w:color="auto" w:fill="E5FFFF"/>
          </w:tcPr>
          <w:p>
            <w:pPr>
              <w:spacing w:after="0"/>
              <w:rPr>
                <w:sz w:val="13"/>
                <w:szCs w:val="13"/>
                <w:color w:val="auto"/>
              </w:rPr>
            </w:pPr>
          </w:p>
        </w:tc>
        <w:tc>
          <w:tcPr>
            <w:tcW w:w="1340" w:type="dxa"/>
            <w:vAlign w:val="bottom"/>
            <w:gridSpan w:val="3"/>
            <w:vMerge w:val="continue"/>
            <w:shd w:val="clear" w:color="auto" w:fill="E5FFFF"/>
          </w:tcPr>
          <w:p>
            <w:pPr>
              <w:spacing w:after="0"/>
              <w:rPr>
                <w:sz w:val="13"/>
                <w:szCs w:val="13"/>
                <w:color w:val="auto"/>
              </w:rPr>
            </w:pPr>
          </w:p>
        </w:tc>
        <w:tc>
          <w:tcPr>
            <w:tcW w:w="960" w:type="dxa"/>
            <w:vAlign w:val="bottom"/>
            <w:vMerge w:val="continue"/>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120" w:type="dxa"/>
            <w:vAlign w:val="bottom"/>
            <w:gridSpan w:val="2"/>
            <w:vMerge w:val="continue"/>
            <w:shd w:val="clear" w:color="auto" w:fill="E5FFFF"/>
          </w:tcPr>
          <w:p>
            <w:pPr>
              <w:spacing w:after="0"/>
              <w:rPr>
                <w:sz w:val="13"/>
                <w:szCs w:val="13"/>
                <w:color w:val="auto"/>
              </w:rPr>
            </w:pPr>
          </w:p>
        </w:tc>
        <w:tc>
          <w:tcPr>
            <w:tcW w:w="840" w:type="dxa"/>
            <w:vAlign w:val="bottom"/>
            <w:gridSpan w:val="2"/>
            <w:vMerge w:val="continue"/>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40" w:type="dxa"/>
            <w:vAlign w:val="bottom"/>
            <w:vMerge w:val="continue"/>
            <w:shd w:val="clear" w:color="auto" w:fill="E5FFFF"/>
          </w:tcPr>
          <w:p>
            <w:pPr>
              <w:spacing w:after="0"/>
              <w:rPr>
                <w:sz w:val="5"/>
                <w:szCs w:val="5"/>
                <w:color w:val="auto"/>
              </w:rPr>
            </w:pPr>
          </w:p>
        </w:tc>
        <w:tc>
          <w:tcPr>
            <w:tcW w:w="960" w:type="dxa"/>
            <w:vAlign w:val="bottom"/>
            <w:gridSpan w:val="2"/>
            <w:vMerge w:val="continue"/>
            <w:shd w:val="clear" w:color="auto" w:fill="E5FFFF"/>
          </w:tcPr>
          <w:p>
            <w:pPr>
              <w:spacing w:after="0"/>
              <w:rPr>
                <w:sz w:val="5"/>
                <w:szCs w:val="5"/>
                <w:color w:val="auto"/>
              </w:rPr>
            </w:pPr>
          </w:p>
        </w:tc>
        <w:tc>
          <w:tcPr>
            <w:tcW w:w="1020" w:type="dxa"/>
            <w:vAlign w:val="bottom"/>
            <w:gridSpan w:val="2"/>
            <w:vMerge w:val="continue"/>
            <w:shd w:val="clear" w:color="auto" w:fill="E5FFFF"/>
          </w:tcPr>
          <w:p>
            <w:pPr>
              <w:spacing w:after="0"/>
              <w:rPr>
                <w:sz w:val="5"/>
                <w:szCs w:val="5"/>
                <w:color w:val="auto"/>
              </w:rPr>
            </w:pPr>
          </w:p>
        </w:tc>
        <w:tc>
          <w:tcPr>
            <w:tcW w:w="1160" w:type="dxa"/>
            <w:vAlign w:val="bottom"/>
            <w:gridSpan w:val="2"/>
            <w:vMerge w:val="continue"/>
            <w:shd w:val="clear" w:color="auto" w:fill="E5FFFF"/>
          </w:tcPr>
          <w:p>
            <w:pPr>
              <w:spacing w:after="0"/>
              <w:rPr>
                <w:sz w:val="5"/>
                <w:szCs w:val="5"/>
                <w:color w:val="auto"/>
              </w:rPr>
            </w:pPr>
          </w:p>
        </w:tc>
        <w:tc>
          <w:tcPr>
            <w:tcW w:w="900" w:type="dxa"/>
            <w:vAlign w:val="bottom"/>
            <w:gridSpan w:val="2"/>
            <w:vMerge w:val="continue"/>
            <w:shd w:val="clear" w:color="auto" w:fill="E5FFFF"/>
          </w:tcPr>
          <w:p>
            <w:pPr>
              <w:spacing w:after="0"/>
              <w:rPr>
                <w:sz w:val="5"/>
                <w:szCs w:val="5"/>
                <w:color w:val="auto"/>
              </w:rPr>
            </w:pPr>
          </w:p>
        </w:tc>
        <w:tc>
          <w:tcPr>
            <w:tcW w:w="900" w:type="dxa"/>
            <w:vAlign w:val="bottom"/>
            <w:vMerge w:val="continue"/>
            <w:shd w:val="clear" w:color="auto" w:fill="E5FFFF"/>
          </w:tcPr>
          <w:p>
            <w:pPr>
              <w:spacing w:after="0"/>
              <w:rPr>
                <w:sz w:val="5"/>
                <w:szCs w:val="5"/>
                <w:color w:val="auto"/>
              </w:rPr>
            </w:pPr>
          </w:p>
        </w:tc>
        <w:tc>
          <w:tcPr>
            <w:tcW w:w="140" w:type="dxa"/>
            <w:vAlign w:val="bottom"/>
            <w:shd w:val="clear" w:color="auto" w:fill="E5FFFF"/>
          </w:tcPr>
          <w:p>
            <w:pPr>
              <w:spacing w:after="0"/>
              <w:rPr>
                <w:sz w:val="5"/>
                <w:szCs w:val="5"/>
                <w:color w:val="auto"/>
              </w:rPr>
            </w:pPr>
          </w:p>
        </w:tc>
        <w:tc>
          <w:tcPr>
            <w:tcW w:w="1340" w:type="dxa"/>
            <w:vAlign w:val="bottom"/>
            <w:gridSpan w:val="3"/>
            <w:shd w:val="clear" w:color="auto" w:fill="E5FFFF"/>
          </w:tcPr>
          <w:p>
            <w:pPr>
              <w:jc w:val="right"/>
              <w:ind w:right="220"/>
              <w:spacing w:after="0" w:line="68" w:lineRule="exact"/>
              <w:rPr>
                <w:sz w:val="20"/>
                <w:szCs w:val="20"/>
                <w:color w:val="auto"/>
              </w:rPr>
            </w:pPr>
            <w:r>
              <w:rPr>
                <w:rFonts w:ascii="Arial" w:cs="Arial" w:eastAsia="Arial" w:hAnsi="Arial"/>
                <w:sz w:val="7"/>
                <w:szCs w:val="7"/>
                <w:b w:val="1"/>
                <w:bCs w:val="1"/>
                <w:color w:val="auto"/>
              </w:rPr>
              <w:t>(20,249</w:t>
            </w:r>
          </w:p>
        </w:tc>
        <w:tc>
          <w:tcPr>
            <w:tcW w:w="960" w:type="dxa"/>
            <w:vAlign w:val="bottom"/>
            <w:vMerge w:val="continue"/>
            <w:shd w:val="clear" w:color="auto" w:fill="E5FFFF"/>
          </w:tcPr>
          <w:p>
            <w:pPr>
              <w:spacing w:after="0"/>
              <w:rPr>
                <w:sz w:val="5"/>
                <w:szCs w:val="5"/>
                <w:color w:val="auto"/>
              </w:rPr>
            </w:pPr>
          </w:p>
        </w:tc>
        <w:tc>
          <w:tcPr>
            <w:tcW w:w="220" w:type="dxa"/>
            <w:vAlign w:val="bottom"/>
            <w:shd w:val="clear" w:color="auto" w:fill="E5FFFF"/>
          </w:tcPr>
          <w:p>
            <w:pPr>
              <w:spacing w:after="0"/>
              <w:rPr>
                <w:sz w:val="5"/>
                <w:szCs w:val="5"/>
                <w:color w:val="auto"/>
              </w:rPr>
            </w:pPr>
          </w:p>
        </w:tc>
        <w:tc>
          <w:tcPr>
            <w:tcW w:w="1120" w:type="dxa"/>
            <w:vAlign w:val="bottom"/>
            <w:gridSpan w:val="2"/>
            <w:vMerge w:val="continue"/>
            <w:shd w:val="clear" w:color="auto" w:fill="E5FFFF"/>
          </w:tcPr>
          <w:p>
            <w:pPr>
              <w:spacing w:after="0"/>
              <w:rPr>
                <w:sz w:val="5"/>
                <w:szCs w:val="5"/>
                <w:color w:val="auto"/>
              </w:rPr>
            </w:pPr>
          </w:p>
        </w:tc>
        <w:tc>
          <w:tcPr>
            <w:tcW w:w="840" w:type="dxa"/>
            <w:vAlign w:val="bottom"/>
            <w:gridSpan w:val="2"/>
            <w:vMerge w:val="continue"/>
            <w:shd w:val="clear" w:color="auto" w:fill="E5FF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2016 and 2017</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32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30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(1,952)</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57,648</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(663)</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Financial income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60,662</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69,602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Unrealized foreign exchange loss/(gain) on cash and cash equivalents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 on derivative financial instruments held for trading</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9,509</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6,276</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0"/>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1,800</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133,073</w:t>
            </w:r>
          </w:p>
        </w:tc>
        <w:tc>
          <w:tcPr>
            <w:tcW w:w="4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173,312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25,681</w:t>
            </w: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158,754</w:t>
            </w:r>
          </w:p>
        </w:tc>
        <w:tc>
          <w:tcPr>
            <w:tcW w:w="4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167,968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(39,467</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(63,853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119,287</w:t>
            </w:r>
          </w:p>
        </w:tc>
        <w:tc>
          <w:tcPr>
            <w:tcW w:w="4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104,115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(390,202)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(63,010)</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1,038</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Other investments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(382,697</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(66,726</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Proceeds from bank loans and bonds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991,284</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Proceeds from sale and finance leaseback</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217,000</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Bank loans and bonds repayments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(988,562)</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(276,158)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(21,186)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02"/>
        </w:trPr>
        <w:tc>
          <w:tcPr>
            <w:tcW w:w="73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Proceeds from GasLog Partners’ common unit offerings (net of underwriting discounts and</w:t>
            </w:r>
          </w:p>
        </w:tc>
        <w:tc>
          <w:tcPr>
            <w:tcW w:w="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commissions)</w:t>
            </w:r>
          </w:p>
        </w:tc>
        <w:tc>
          <w:tcPr>
            <w:tcW w:w="7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87,840</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Proceeds from GasLog Partners’ preference unit offering (net of underwriting discounts and</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139,222</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Payment for NOK bond repurchase at a premium</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(2,120)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(31,986)</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37,711</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(48,285)</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(53,019)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Payments for finance lease liability</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Proceeds from stock options’ exercise</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153,142</w:t>
            </w:r>
          </w:p>
        </w:tc>
        <w:tc>
          <w:tcPr>
            <w:tcW w:w="4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149,377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(110,387</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187,304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4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192,601</w:t>
            </w: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414,328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3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4,096</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5,103</w:t>
            </w:r>
          </w:p>
        </w:tc>
        <w:tc>
          <w:tcPr>
            <w:tcW w:w="13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 declared included in liabilities at the end of the period</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June 30, 2017, entities controlled by members of the Livanos family, including GasLog’s chairman, are deemed to beneficially own approximately 40.17% of GasLog’s issued and outstanding common shares. As a result of his ownership of GasLog’s common shares, Mr. Livanos can effectively control the outcome of most matters on which GasLog’s shareholders are entitled to vote.</w:t>
      </w:r>
    </w:p>
    <w:p>
      <w:pPr>
        <w:spacing w:after="0" w:line="18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June 30, 2017, GasLog holds a 27.30% interest (including the 2% interest through general partner units) in GasLog Partners LP (“GasLog Partners” or the “Partnership”). As a result of its 100%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jc w:val="both"/>
        <w:ind w:right="480" w:firstLine="436"/>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June 30, 2017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Cargo</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Place of</w:t>
            </w:r>
          </w:p>
        </w:tc>
        <w:tc>
          <w:tcPr>
            <w:tcW w:w="100" w:type="dxa"/>
            <w:vAlign w:val="bottom"/>
          </w:tcPr>
          <w:p>
            <w:pPr>
              <w:spacing w:after="0"/>
              <w:rPr>
                <w:sz w:val="18"/>
                <w:szCs w:val="18"/>
                <w:color w:val="auto"/>
              </w:rPr>
            </w:pP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Date of</w:t>
            </w: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capacity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93"/>
              </w:rPr>
              <w:t>incorporation</w:t>
            </w:r>
          </w:p>
        </w:tc>
        <w:tc>
          <w:tcPr>
            <w:tcW w:w="100" w:type="dxa"/>
            <w:vAlign w:val="bottom"/>
          </w:tcPr>
          <w:p>
            <w:pPr>
              <w:spacing w:after="0"/>
              <w:rPr>
                <w:sz w:val="20"/>
                <w:szCs w:val="20"/>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w w:val="94"/>
              </w:rPr>
              <w:t>incorporation</w:t>
            </w:r>
          </w:p>
        </w:tc>
        <w:tc>
          <w:tcPr>
            <w:tcW w:w="320" w:type="dxa"/>
            <w:vAlign w:val="bottom"/>
          </w:tcPr>
          <w:p>
            <w:pPr>
              <w:spacing w:after="0"/>
              <w:rPr>
                <w:sz w:val="20"/>
                <w:szCs w:val="20"/>
                <w:color w:val="auto"/>
              </w:rPr>
            </w:pPr>
          </w:p>
        </w:tc>
        <w:tc>
          <w:tcPr>
            <w:tcW w:w="2360" w:type="dxa"/>
            <w:vAlign w:val="bottom"/>
          </w:tcPr>
          <w:p>
            <w:pPr>
              <w:ind w:left="600"/>
              <w:spacing w:after="0"/>
              <w:rPr>
                <w:sz w:val="20"/>
                <w:szCs w:val="20"/>
                <w:color w:val="auto"/>
              </w:rPr>
            </w:pPr>
            <w:r>
              <w:rPr>
                <w:rFonts w:ascii="Arial" w:cs="Arial" w:eastAsia="Arial" w:hAnsi="Arial"/>
                <w:sz w:val="18"/>
                <w:szCs w:val="18"/>
                <w:b w:val="1"/>
                <w:bCs w:val="1"/>
                <w:color w:val="auto"/>
              </w:rPr>
              <w:t>Principal activities</w:t>
            </w: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(cbm)</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Vessel</w:t>
            </w: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Delivery date</w:t>
            </w:r>
          </w:p>
        </w:tc>
      </w:tr>
      <w:tr>
        <w:trPr>
          <w:trHeight w:val="210"/>
        </w:trPr>
        <w:tc>
          <w:tcPr>
            <w:tcW w:w="18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23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0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GasLog Investments</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BVI</w:t>
            </w:r>
          </w:p>
        </w:tc>
        <w:tc>
          <w:tcPr>
            <w:tcW w:w="1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July 2003</w:t>
            </w:r>
          </w:p>
        </w:tc>
        <w:tc>
          <w:tcPr>
            <w:tcW w:w="26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9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Carriers Ltd.</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February 2008</w:t>
            </w:r>
          </w:p>
        </w:tc>
        <w:tc>
          <w:tcPr>
            <w:tcW w:w="2680" w:type="dxa"/>
            <w:vAlign w:val="bottom"/>
            <w:gridSpan w:val="2"/>
            <w:shd w:val="clear" w:color="auto" w:fill="E5FFFF"/>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(“GasLog Carriers”)</w:t>
            </w: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GasLog Shipping</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January 2006</w:t>
            </w:r>
          </w:p>
        </w:tc>
        <w:tc>
          <w:tcPr>
            <w:tcW w:w="26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Company Ltd.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9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Partners GP</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Marshall</w:t>
            </w:r>
          </w:p>
        </w:tc>
        <w:tc>
          <w:tcPr>
            <w:tcW w:w="134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January 2014</w:t>
            </w:r>
          </w:p>
        </w:tc>
        <w:tc>
          <w:tcPr>
            <w:tcW w:w="2680" w:type="dxa"/>
            <w:vAlign w:val="bottom"/>
            <w:gridSpan w:val="2"/>
            <w:shd w:val="clear" w:color="auto" w:fill="E5FFFF"/>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Islands</w:t>
            </w: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GasLog Cyprus</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Cyprus</w:t>
            </w:r>
          </w:p>
        </w:tc>
        <w:tc>
          <w:tcPr>
            <w:tcW w:w="13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December 2016</w:t>
            </w:r>
          </w:p>
        </w:tc>
        <w:tc>
          <w:tcPr>
            <w:tcW w:w="26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Investments Ltd.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9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Services UK</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England and</w:t>
            </w:r>
          </w:p>
        </w:tc>
        <w:tc>
          <w:tcPr>
            <w:tcW w:w="134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May 2014</w:t>
            </w:r>
          </w:p>
        </w:tc>
        <w:tc>
          <w:tcPr>
            <w:tcW w:w="2680" w:type="dxa"/>
            <w:vAlign w:val="bottom"/>
            <w:gridSpan w:val="2"/>
            <w:shd w:val="clear" w:color="auto" w:fill="E5FFFF"/>
          </w:tcPr>
          <w:p>
            <w:pPr>
              <w:ind w:left="320"/>
              <w:spacing w:after="0" w:line="201" w:lineRule="exact"/>
              <w:rPr>
                <w:sz w:val="20"/>
                <w:szCs w:val="20"/>
                <w:color w:val="auto"/>
              </w:rPr>
            </w:pPr>
            <w:r>
              <w:rPr>
                <w:rFonts w:ascii="Arial" w:cs="Arial" w:eastAsia="Arial" w:hAnsi="Arial"/>
                <w:sz w:val="18"/>
                <w:szCs w:val="18"/>
                <w:color w:val="auto"/>
              </w:rPr>
              <w:t>Service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Wales</w:t>
            </w: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GasLog Services US</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Delaware</w:t>
            </w:r>
          </w:p>
        </w:tc>
        <w:tc>
          <w:tcPr>
            <w:tcW w:w="1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May 2014</w:t>
            </w:r>
          </w:p>
        </w:tc>
        <w:tc>
          <w:tcPr>
            <w:tcW w:w="26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Service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Asia Pte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Singapore</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May 2015</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Service company</w:t>
            </w:r>
          </w:p>
        </w:tc>
        <w:tc>
          <w:tcPr>
            <w:tcW w:w="88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GasLog LNG Services</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August 2004</w:t>
            </w:r>
          </w:p>
        </w:tc>
        <w:tc>
          <w:tcPr>
            <w:tcW w:w="268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9"/>
              </w:rPr>
              <w:t>Vessel management services</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0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 Monaco S.A.M. Monaco</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February 2010</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Service company</w:t>
            </w:r>
          </w:p>
        </w:tc>
        <w:tc>
          <w:tcPr>
            <w:tcW w:w="88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GAS-one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February 2008</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i w:val="1"/>
                <w:iCs w:val="1"/>
                <w:color w:val="auto"/>
              </w:rPr>
              <w:t>GasLog Savannah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May 2010</w:t>
            </w: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GAS-two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February 2008</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GasLog Singapore</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July 2010</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GAS-six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February 2011</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i w:val="1"/>
                <w:iCs w:val="1"/>
                <w:color w:val="auto"/>
              </w:rPr>
              <w:t>GasLog Skagen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July 2013</w:t>
            </w: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GAS-eight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March 2011</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Solaris</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June 2014</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GAS-nine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June 2011</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i w:val="1"/>
                <w:iCs w:val="1"/>
                <w:color w:val="auto"/>
              </w:rPr>
              <w:t>GasLog Saratoga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December 2014</w:t>
            </w: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June 2011</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020" w:type="dxa"/>
            <w:vAlign w:val="bottom"/>
            <w:shd w:val="clear" w:color="auto" w:fill="E5FFFF"/>
          </w:tcPr>
          <w:p>
            <w:pPr>
              <w:ind w:left="20"/>
              <w:spacing w:after="0"/>
              <w:rPr>
                <w:sz w:val="20"/>
                <w:szCs w:val="20"/>
                <w:color w:val="auto"/>
              </w:rPr>
            </w:pPr>
            <w:r>
              <w:rPr>
                <w:rFonts w:ascii="Arial" w:cs="Arial" w:eastAsia="Arial" w:hAnsi="Arial"/>
                <w:sz w:val="18"/>
                <w:szCs w:val="18"/>
                <w:i w:val="1"/>
                <w:iCs w:val="1"/>
                <w:color w:val="auto"/>
              </w:rPr>
              <w:t>GasLog Salem</w:t>
            </w:r>
          </w:p>
        </w:tc>
        <w:tc>
          <w:tcPr>
            <w:tcW w:w="100" w:type="dxa"/>
            <w:vAlign w:val="bottom"/>
            <w:shd w:val="clear" w:color="auto" w:fill="E5FFFF"/>
          </w:tcPr>
          <w:p>
            <w:pPr>
              <w:spacing w:after="0"/>
              <w:rPr>
                <w:sz w:val="18"/>
                <w:szCs w:val="18"/>
                <w:color w:val="auto"/>
              </w:rPr>
            </w:pPr>
          </w:p>
        </w:tc>
        <w:tc>
          <w:tcPr>
            <w:tcW w:w="1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April 2015</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GAS-twelve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w w:val="95"/>
              </w:rPr>
              <w:t>December 2012</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8"/>
                <w:szCs w:val="18"/>
                <w:i w:val="1"/>
                <w:iCs w:val="1"/>
                <w:color w:val="auto"/>
              </w:rPr>
              <w:t>GasLog Glasgow</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June 2016</w:t>
            </w: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GAS-thirteen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July 2013</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18"/>
                <w:szCs w:val="18"/>
                <w:color w:val="auto"/>
              </w:rPr>
            </w:pPr>
          </w:p>
        </w:tc>
        <w:tc>
          <w:tcPr>
            <w:tcW w:w="2020" w:type="dxa"/>
            <w:vAlign w:val="bottom"/>
            <w:shd w:val="clear" w:color="auto" w:fill="E5FFFF"/>
          </w:tcPr>
          <w:p>
            <w:pPr>
              <w:ind w:left="20"/>
              <w:spacing w:after="0"/>
              <w:rPr>
                <w:sz w:val="20"/>
                <w:szCs w:val="20"/>
                <w:color w:val="auto"/>
              </w:rPr>
            </w:pPr>
            <w:r>
              <w:rPr>
                <w:rFonts w:ascii="Arial" w:cs="Arial" w:eastAsia="Arial" w:hAnsi="Arial"/>
                <w:sz w:val="18"/>
                <w:szCs w:val="18"/>
                <w:i w:val="1"/>
                <w:iCs w:val="1"/>
                <w:color w:val="auto"/>
              </w:rPr>
              <w:t>GasLog Geneva</w:t>
            </w:r>
          </w:p>
        </w:tc>
        <w:tc>
          <w:tcPr>
            <w:tcW w:w="100" w:type="dxa"/>
            <w:vAlign w:val="bottom"/>
            <w:shd w:val="clear" w:color="auto" w:fill="E5FFFF"/>
          </w:tcPr>
          <w:p>
            <w:pPr>
              <w:spacing w:after="0"/>
              <w:rPr>
                <w:sz w:val="18"/>
                <w:szCs w:val="18"/>
                <w:color w:val="auto"/>
              </w:rPr>
            </w:pPr>
          </w:p>
        </w:tc>
        <w:tc>
          <w:tcPr>
            <w:tcW w:w="1360" w:type="dxa"/>
            <w:vAlign w:val="bottom"/>
            <w:shd w:val="clear" w:color="auto" w:fill="E5FFFF"/>
          </w:tcPr>
          <w:p>
            <w:pPr>
              <w:ind w:left="20"/>
              <w:spacing w:after="0"/>
              <w:rPr>
                <w:sz w:val="20"/>
                <w:szCs w:val="20"/>
                <w:color w:val="auto"/>
              </w:rPr>
            </w:pPr>
            <w:r>
              <w:rPr>
                <w:rFonts w:ascii="Arial" w:cs="Arial" w:eastAsia="Arial" w:hAnsi="Arial"/>
                <w:sz w:val="18"/>
                <w:szCs w:val="18"/>
                <w:color w:val="auto"/>
                <w:w w:val="99"/>
              </w:rPr>
              <w:t>September 2016</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July 2013</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8"/>
                <w:szCs w:val="18"/>
                <w:i w:val="1"/>
                <w:iCs w:val="1"/>
                <w:color w:val="auto"/>
              </w:rPr>
              <w:t>GasLog Gibraltar</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October 2016</w:t>
            </w:r>
          </w:p>
        </w:tc>
      </w:tr>
      <w:tr>
        <w:trPr>
          <w:trHeight w:val="216"/>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GAS-fifteen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August 2013</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153,600</w:t>
            </w:r>
          </w:p>
        </w:tc>
        <w:tc>
          <w:tcPr>
            <w:tcW w:w="100" w:type="dxa"/>
            <w:vAlign w:val="bottom"/>
            <w:shd w:val="clear" w:color="auto" w:fill="E5FFFF"/>
          </w:tcPr>
          <w:p>
            <w:pPr>
              <w:spacing w:after="0"/>
              <w:rPr>
                <w:sz w:val="18"/>
                <w:szCs w:val="18"/>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GasLog Chelsea</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October 2013</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GAS-eighteen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January 2014</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i w:val="1"/>
                <w:iCs w:val="1"/>
                <w:color w:val="auto"/>
              </w:rPr>
              <w:t>Methane Lydon Volney</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April 2014</w:t>
            </w:r>
          </w:p>
        </w:tc>
      </w:tr>
      <w:tr>
        <w:trPr>
          <w:trHeight w:val="257"/>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two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May 2014</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22"/>
                <w:szCs w:val="22"/>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color w:val="auto"/>
              </w:rPr>
              <w:t>Hull No. 2130</w:t>
            </w:r>
          </w:p>
        </w:tc>
        <w:tc>
          <w:tcPr>
            <w:tcW w:w="100" w:type="dxa"/>
            <w:vAlign w:val="bottom"/>
            <w:shd w:val="clear" w:color="auto" w:fill="E5FFFF"/>
          </w:tcPr>
          <w:p>
            <w:pPr>
              <w:spacing w:after="0"/>
              <w:rPr>
                <w:sz w:val="22"/>
                <w:szCs w:val="22"/>
                <w:color w:val="auto"/>
              </w:rPr>
            </w:pPr>
          </w:p>
        </w:tc>
        <w:tc>
          <w:tcPr>
            <w:tcW w:w="1360" w:type="dxa"/>
            <w:vAlign w:val="bottom"/>
            <w:shd w:val="clear" w:color="auto" w:fill="E5FFFF"/>
          </w:tcPr>
          <w:p>
            <w:pPr>
              <w:ind w:left="20"/>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900" w:type="dxa"/>
            <w:vAlign w:val="bottom"/>
            <w:gridSpan w:val="2"/>
          </w:tcPr>
          <w:p>
            <w:pPr>
              <w:spacing w:after="0"/>
              <w:rPr>
                <w:sz w:val="20"/>
                <w:szCs w:val="20"/>
                <w:color w:val="auto"/>
              </w:rPr>
            </w:pPr>
            <w:r>
              <w:rPr>
                <w:rFonts w:ascii="Arial" w:cs="Arial" w:eastAsia="Arial" w:hAnsi="Arial"/>
                <w:sz w:val="18"/>
                <w:szCs w:val="18"/>
                <w:color w:val="auto"/>
              </w:rPr>
              <w:t>GAS-twenty three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May 2014</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Hull No. 2131</w:t>
            </w:r>
          </w:p>
        </w:tc>
        <w:tc>
          <w:tcPr>
            <w:tcW w:w="146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Q1 2019</w:t>
            </w:r>
            <w:r>
              <w:rPr>
                <w:rFonts w:ascii="Arial" w:cs="Arial" w:eastAsia="Arial" w:hAnsi="Arial"/>
                <w:sz w:val="29"/>
                <w:szCs w:val="29"/>
                <w:color w:val="auto"/>
                <w:vertAlign w:val="superscript"/>
              </w:rPr>
              <w:t>(1)</w:t>
            </w:r>
          </w:p>
        </w:tc>
      </w:tr>
      <w:tr>
        <w:trPr>
          <w:trHeight w:val="257"/>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four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June 2014</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22"/>
                <w:szCs w:val="22"/>
                <w:color w:val="auto"/>
              </w:rPr>
            </w:pPr>
          </w:p>
        </w:tc>
        <w:tc>
          <w:tcPr>
            <w:tcW w:w="2020" w:type="dxa"/>
            <w:vAlign w:val="bottom"/>
            <w:shd w:val="clear" w:color="auto" w:fill="E5FFFF"/>
          </w:tcPr>
          <w:p>
            <w:pPr>
              <w:ind w:left="20"/>
              <w:spacing w:after="0"/>
              <w:rPr>
                <w:sz w:val="20"/>
                <w:szCs w:val="20"/>
                <w:color w:val="auto"/>
              </w:rPr>
            </w:pPr>
            <w:r>
              <w:rPr>
                <w:rFonts w:ascii="Arial" w:cs="Arial" w:eastAsia="Arial" w:hAnsi="Arial"/>
                <w:sz w:val="18"/>
                <w:szCs w:val="18"/>
                <w:color w:val="auto"/>
              </w:rPr>
              <w:t>Hull No. 2800</w:t>
            </w:r>
          </w:p>
        </w:tc>
        <w:tc>
          <w:tcPr>
            <w:tcW w:w="100" w:type="dxa"/>
            <w:vAlign w:val="bottom"/>
            <w:shd w:val="clear" w:color="auto" w:fill="E5FFFF"/>
          </w:tcPr>
          <w:p>
            <w:pPr>
              <w:spacing w:after="0"/>
              <w:rPr>
                <w:sz w:val="22"/>
                <w:szCs w:val="22"/>
                <w:color w:val="auto"/>
              </w:rPr>
            </w:pPr>
          </w:p>
        </w:tc>
        <w:tc>
          <w:tcPr>
            <w:tcW w:w="1360" w:type="dxa"/>
            <w:vAlign w:val="bottom"/>
            <w:shd w:val="clear" w:color="auto" w:fill="E5FFFF"/>
          </w:tcPr>
          <w:p>
            <w:pPr>
              <w:ind w:left="20"/>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900" w:type="dxa"/>
            <w:vAlign w:val="bottom"/>
            <w:gridSpan w:val="2"/>
          </w:tcPr>
          <w:p>
            <w:pPr>
              <w:spacing w:after="0"/>
              <w:rPr>
                <w:sz w:val="20"/>
                <w:szCs w:val="20"/>
                <w:color w:val="auto"/>
              </w:rPr>
            </w:pPr>
            <w:r>
              <w:rPr>
                <w:rFonts w:ascii="Arial" w:cs="Arial" w:eastAsia="Arial" w:hAnsi="Arial"/>
                <w:sz w:val="18"/>
                <w:szCs w:val="18"/>
                <w:color w:val="auto"/>
              </w:rPr>
              <w:t>GAS-twenty five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June 2014</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Hull No. 2801</w:t>
            </w:r>
          </w:p>
        </w:tc>
        <w:tc>
          <w:tcPr>
            <w:tcW w:w="100" w:type="dxa"/>
            <w:vAlign w:val="bottom"/>
          </w:tcPr>
          <w:p>
            <w:pPr>
              <w:spacing w:after="0"/>
              <w:rPr>
                <w:sz w:val="22"/>
                <w:szCs w:val="22"/>
                <w:color w:val="auto"/>
              </w:rPr>
            </w:pPr>
          </w:p>
        </w:tc>
        <w:tc>
          <w:tcPr>
            <w:tcW w:w="1360" w:type="dxa"/>
            <w:vAlign w:val="bottom"/>
          </w:tcPr>
          <w:p>
            <w:pPr>
              <w:ind w:left="20"/>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six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January 2015</w:t>
            </w:r>
          </w:p>
        </w:tc>
        <w:tc>
          <w:tcPr>
            <w:tcW w:w="2680" w:type="dxa"/>
            <w:vAlign w:val="bottom"/>
            <w:gridSpan w:val="2"/>
            <w:shd w:val="clear" w:color="auto" w:fill="E5FFFF"/>
          </w:tcPr>
          <w:p>
            <w:pPr>
              <w:ind w:left="320"/>
              <w:spacing w:after="0" w:line="256" w:lineRule="exact"/>
              <w:rPr>
                <w:sz w:val="20"/>
                <w:szCs w:val="20"/>
                <w:color w:val="auto"/>
              </w:rPr>
            </w:pPr>
            <w:r>
              <w:rPr>
                <w:rFonts w:ascii="Arial" w:cs="Arial" w:eastAsia="Arial" w:hAnsi="Arial"/>
                <w:sz w:val="18"/>
                <w:szCs w:val="18"/>
                <w:color w:val="auto"/>
                <w:w w:val="87"/>
              </w:rPr>
              <w:t xml:space="preserve">Finance lease asset company </w:t>
            </w:r>
            <w:r>
              <w:rPr>
                <w:rFonts w:ascii="Arial" w:cs="Arial" w:eastAsia="Arial" w:hAnsi="Arial"/>
                <w:sz w:val="29"/>
                <w:szCs w:val="29"/>
                <w:color w:val="auto"/>
                <w:w w:val="87"/>
                <w:vertAlign w:val="superscript"/>
              </w:rPr>
              <w:t>(2)</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E5FFFF"/>
          </w:tcPr>
          <w:p>
            <w:pPr>
              <w:spacing w:after="0"/>
              <w:rPr>
                <w:sz w:val="22"/>
                <w:szCs w:val="22"/>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Methane Julia Louise</w:t>
            </w:r>
          </w:p>
        </w:tc>
        <w:tc>
          <w:tcPr>
            <w:tcW w:w="1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March 2015</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GAS-twenty seven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January 2015</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i w:val="1"/>
                <w:iCs w:val="1"/>
                <w:color w:val="auto"/>
              </w:rPr>
              <w:t>Methane Becki Anne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March 2015</w:t>
            </w:r>
          </w:p>
        </w:tc>
      </w:tr>
      <w:tr>
        <w:trPr>
          <w:trHeight w:val="257"/>
        </w:trPr>
        <w:tc>
          <w:tcPr>
            <w:tcW w:w="1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eight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w w:val="91"/>
              </w:rPr>
              <w:t>September 2016</w:t>
            </w:r>
          </w:p>
        </w:tc>
        <w:tc>
          <w:tcPr>
            <w:tcW w:w="2680" w:type="dxa"/>
            <w:vAlign w:val="bottom"/>
            <w:gridSpan w:val="2"/>
            <w:shd w:val="clear" w:color="auto" w:fill="E5FFFF"/>
          </w:tcPr>
          <w:p>
            <w:pPr>
              <w:ind w:left="320"/>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5FFFF"/>
          </w:tcPr>
          <w:p>
            <w:pPr>
              <w:spacing w:after="0"/>
              <w:rPr>
                <w:sz w:val="22"/>
                <w:szCs w:val="22"/>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8"/>
                <w:szCs w:val="18"/>
                <w:color w:val="auto"/>
              </w:rPr>
              <w:t>Hull No. 2212</w:t>
            </w:r>
          </w:p>
        </w:tc>
        <w:tc>
          <w:tcPr>
            <w:tcW w:w="1460" w:type="dxa"/>
            <w:vAlign w:val="bottom"/>
            <w:gridSpan w:val="2"/>
            <w:shd w:val="clear" w:color="auto" w:fill="E5FFFF"/>
          </w:tcPr>
          <w:p>
            <w:pPr>
              <w:ind w:left="100"/>
              <w:spacing w:after="0" w:line="256" w:lineRule="exact"/>
              <w:rPr>
                <w:sz w:val="20"/>
                <w:szCs w:val="20"/>
                <w:color w:val="auto"/>
              </w:rPr>
            </w:pPr>
            <w:r>
              <w:rPr>
                <w:rFonts w:ascii="Arial" w:cs="Arial" w:eastAsia="Arial" w:hAnsi="Arial"/>
                <w:sz w:val="18"/>
                <w:szCs w:val="18"/>
                <w:color w:val="auto"/>
              </w:rPr>
              <w:t>Q2 2019</w:t>
            </w:r>
            <w:r>
              <w:rPr>
                <w:rFonts w:ascii="Arial" w:cs="Arial" w:eastAsia="Arial" w:hAnsi="Arial"/>
                <w:sz w:val="29"/>
                <w:szCs w:val="29"/>
                <w:color w:val="auto"/>
                <w:vertAlign w:val="superscript"/>
              </w:rPr>
              <w:t>(1)</w:t>
            </w: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GAS-twenty nine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w w:val="91"/>
              </w:rPr>
              <w:t>September 2016</w:t>
            </w:r>
          </w:p>
        </w:tc>
        <w:tc>
          <w:tcPr>
            <w:tcW w:w="2680" w:type="dxa"/>
            <w:vAlign w:val="bottom"/>
            <w:gridSpan w:val="2"/>
          </w:tcPr>
          <w:p>
            <w:pPr>
              <w:ind w:left="320"/>
              <w:spacing w:after="0"/>
              <w:rPr>
                <w:sz w:val="20"/>
                <w:szCs w:val="20"/>
                <w:color w:val="auto"/>
              </w:rPr>
            </w:pPr>
            <w:r>
              <w:rPr>
                <w:rFonts w:ascii="Arial" w:cs="Arial" w:eastAsia="Arial" w:hAnsi="Arial"/>
                <w:sz w:val="18"/>
                <w:szCs w:val="18"/>
                <w:color w:val="auto"/>
              </w:rPr>
              <w:t>Dormant</w:t>
            </w: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Shipping</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BVI</w:t>
            </w:r>
          </w:p>
        </w:tc>
        <w:tc>
          <w:tcPr>
            <w:tcW w:w="134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July 2003</w:t>
            </w:r>
          </w:p>
        </w:tc>
        <w:tc>
          <w:tcPr>
            <w:tcW w:w="2680" w:type="dxa"/>
            <w:vAlign w:val="bottom"/>
            <w:gridSpan w:val="2"/>
            <w:shd w:val="clear" w:color="auto" w:fill="E5FFFF"/>
          </w:tcPr>
          <w:p>
            <w:pPr>
              <w:ind w:left="320"/>
              <w:spacing w:after="0" w:line="201" w:lineRule="exact"/>
              <w:rPr>
                <w:sz w:val="20"/>
                <w:szCs w:val="20"/>
                <w:color w:val="auto"/>
              </w:rPr>
            </w:pPr>
            <w:r>
              <w:rPr>
                <w:rFonts w:ascii="Arial" w:cs="Arial" w:eastAsia="Arial" w:hAnsi="Arial"/>
                <w:sz w:val="18"/>
                <w:szCs w:val="18"/>
                <w:color w:val="auto"/>
              </w:rPr>
              <w:t>Dormant</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Limited</w:t>
            </w: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r>
      <w:tr>
        <w:trPr>
          <w:trHeight w:val="198"/>
        </w:trPr>
        <w:tc>
          <w:tcPr>
            <w:tcW w:w="1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27.30% interest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1900" w:type="dxa"/>
            <w:vAlign w:val="bottom"/>
            <w:gridSpan w:val="2"/>
          </w:tcPr>
          <w:p>
            <w:pPr>
              <w:ind w:left="180"/>
              <w:spacing w:after="0"/>
              <w:rPr>
                <w:sz w:val="20"/>
                <w:szCs w:val="20"/>
                <w:color w:val="auto"/>
              </w:rPr>
            </w:pPr>
            <w:r>
              <w:rPr>
                <w:rFonts w:ascii="Arial" w:cs="Arial" w:eastAsia="Arial" w:hAnsi="Arial"/>
                <w:sz w:val="18"/>
                <w:szCs w:val="18"/>
                <w:b w:val="1"/>
                <w:bCs w:val="1"/>
                <w:color w:val="auto"/>
              </w:rPr>
              <w:t>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9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Partners LP</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Marshall</w:t>
            </w:r>
          </w:p>
        </w:tc>
        <w:tc>
          <w:tcPr>
            <w:tcW w:w="134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January 2014</w:t>
            </w:r>
          </w:p>
        </w:tc>
        <w:tc>
          <w:tcPr>
            <w:tcW w:w="2680" w:type="dxa"/>
            <w:vAlign w:val="bottom"/>
            <w:gridSpan w:val="2"/>
            <w:shd w:val="clear" w:color="auto" w:fill="E5FFFF"/>
          </w:tcPr>
          <w:p>
            <w:pPr>
              <w:ind w:left="320"/>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1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Islands</w:t>
            </w: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r>
    </w:tbl>
    <w:p>
      <w:pPr>
        <w:sectPr>
          <w:pgSz w:w="11900" w:h="16870" w:orient="portrait"/>
          <w:cols w:equalWidth="0" w:num="1">
            <w:col w:w="11420"/>
          </w:cols>
          <w:pgMar w:left="240" w:top="405"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159385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Partners</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Marshall</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April 2014</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Holding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Holdings</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Islands</w:t>
            </w:r>
          </w:p>
        </w:tc>
        <w:tc>
          <w:tcPr>
            <w:tcW w:w="1580" w:type="dxa"/>
            <w:vAlign w:val="bottom"/>
            <w:shd w:val="clear" w:color="auto" w:fill="E5FFFF"/>
          </w:tcPr>
          <w:p>
            <w:pPr>
              <w:spacing w:after="0"/>
              <w:rPr>
                <w:sz w:val="18"/>
                <w:szCs w:val="18"/>
                <w:color w:val="auto"/>
              </w:rPr>
            </w:pPr>
          </w:p>
        </w:tc>
        <w:tc>
          <w:tcPr>
            <w:tcW w:w="222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1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r>
      <w:tr>
        <w:trPr>
          <w:trHeight w:val="230"/>
        </w:trPr>
        <w:tc>
          <w:tcPr>
            <w:tcW w:w="1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060" w:type="dxa"/>
            <w:vAlign w:val="bottom"/>
            <w:shd w:val="clear" w:color="auto" w:fill="E5FFFF"/>
          </w:tcPr>
          <w:p>
            <w:pPr>
              <w:spacing w:after="0"/>
              <w:rPr>
                <w:sz w:val="20"/>
                <w:szCs w:val="20"/>
                <w:color w:val="auto"/>
              </w:rPr>
            </w:pPr>
          </w:p>
        </w:tc>
        <w:tc>
          <w:tcPr>
            <w:tcW w:w="1580" w:type="dxa"/>
            <w:vAlign w:val="bottom"/>
            <w:shd w:val="clear" w:color="auto" w:fill="E5FFFF"/>
          </w:tcPr>
          <w:p>
            <w:pPr>
              <w:spacing w:after="0"/>
              <w:rPr>
                <w:sz w:val="20"/>
                <w:szCs w:val="20"/>
                <w:color w:val="auto"/>
              </w:rPr>
            </w:pPr>
          </w:p>
        </w:tc>
        <w:tc>
          <w:tcPr>
            <w:tcW w:w="222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21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1060" w:type="dxa"/>
            <w:vAlign w:val="bottom"/>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tcPr>
          <w:p>
            <w:pPr>
              <w:ind w:left="300"/>
              <w:spacing w:after="0"/>
              <w:rPr>
                <w:sz w:val="20"/>
                <w:szCs w:val="20"/>
                <w:color w:val="auto"/>
              </w:rPr>
            </w:pPr>
            <w:r>
              <w:rPr>
                <w:rFonts w:ascii="Arial" w:cs="Arial" w:eastAsia="Arial" w:hAnsi="Arial"/>
                <w:sz w:val="18"/>
                <w:szCs w:val="18"/>
                <w:color w:val="auto"/>
              </w:rPr>
              <w:t>April 2010</w:t>
            </w:r>
          </w:p>
        </w:tc>
        <w:tc>
          <w:tcPr>
            <w:tcW w:w="222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tcPr>
          <w:p>
            <w:pPr>
              <w:ind w:left="380"/>
              <w:spacing w:after="0"/>
              <w:rPr>
                <w:sz w:val="20"/>
                <w:szCs w:val="20"/>
                <w:color w:val="auto"/>
              </w:rPr>
            </w:pPr>
            <w:r>
              <w:rPr>
                <w:rFonts w:ascii="Arial" w:cs="Arial" w:eastAsia="Arial" w:hAnsi="Arial"/>
                <w:sz w:val="18"/>
                <w:szCs w:val="18"/>
                <w:color w:val="auto"/>
              </w:rPr>
              <w:t>155,000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GasLog Shanghai</w:t>
            </w:r>
          </w:p>
        </w:tc>
        <w:tc>
          <w:tcPr>
            <w:tcW w:w="1480" w:type="dxa"/>
            <w:vAlign w:val="bottom"/>
          </w:tcPr>
          <w:p>
            <w:pPr>
              <w:ind w:left="120"/>
              <w:spacing w:after="0"/>
              <w:rPr>
                <w:sz w:val="20"/>
                <w:szCs w:val="20"/>
                <w:color w:val="auto"/>
              </w:rPr>
            </w:pPr>
            <w:r>
              <w:rPr>
                <w:rFonts w:ascii="Arial" w:cs="Arial" w:eastAsia="Arial" w:hAnsi="Arial"/>
                <w:sz w:val="18"/>
                <w:szCs w:val="18"/>
                <w:color w:val="auto"/>
              </w:rPr>
              <w:t>January 2013</w:t>
            </w:r>
          </w:p>
        </w:tc>
      </w:tr>
      <w:tr>
        <w:trPr>
          <w:trHeight w:val="216"/>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GAS-four Ltd.</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April 2010</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155,000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GasLog Santiago</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March 2013</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1060" w:type="dxa"/>
            <w:vAlign w:val="bottom"/>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tcPr>
          <w:p>
            <w:pPr>
              <w:ind w:left="300"/>
              <w:spacing w:after="0"/>
              <w:rPr>
                <w:sz w:val="20"/>
                <w:szCs w:val="20"/>
                <w:color w:val="auto"/>
              </w:rPr>
            </w:pPr>
            <w:r>
              <w:rPr>
                <w:rFonts w:ascii="Arial" w:cs="Arial" w:eastAsia="Arial" w:hAnsi="Arial"/>
                <w:sz w:val="18"/>
                <w:szCs w:val="18"/>
                <w:color w:val="auto"/>
              </w:rPr>
              <w:t>February 2011</w:t>
            </w:r>
          </w:p>
        </w:tc>
        <w:tc>
          <w:tcPr>
            <w:tcW w:w="222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tcPr>
          <w:p>
            <w:pPr>
              <w:ind w:left="380"/>
              <w:spacing w:after="0"/>
              <w:rPr>
                <w:sz w:val="20"/>
                <w:szCs w:val="20"/>
                <w:color w:val="auto"/>
              </w:rPr>
            </w:pPr>
            <w:r>
              <w:rPr>
                <w:rFonts w:ascii="Arial" w:cs="Arial" w:eastAsia="Arial" w:hAnsi="Arial"/>
                <w:sz w:val="18"/>
                <w:szCs w:val="18"/>
                <w:color w:val="auto"/>
              </w:rPr>
              <w:t>155,000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GasLog Sydney</w:t>
            </w:r>
          </w:p>
        </w:tc>
        <w:tc>
          <w:tcPr>
            <w:tcW w:w="1480" w:type="dxa"/>
            <w:vAlign w:val="bottom"/>
          </w:tcPr>
          <w:p>
            <w:pPr>
              <w:ind w:left="120"/>
              <w:spacing w:after="0"/>
              <w:rPr>
                <w:sz w:val="20"/>
                <w:szCs w:val="20"/>
                <w:color w:val="auto"/>
              </w:rPr>
            </w:pPr>
            <w:r>
              <w:rPr>
                <w:rFonts w:ascii="Arial" w:cs="Arial" w:eastAsia="Arial" w:hAnsi="Arial"/>
                <w:sz w:val="18"/>
                <w:szCs w:val="18"/>
                <w:color w:val="auto"/>
              </w:rPr>
              <w:t>May 2013</w:t>
            </w:r>
          </w:p>
        </w:tc>
      </w:tr>
      <w:tr>
        <w:trPr>
          <w:trHeight w:val="216"/>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GAS-seven Ltd.</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March 2011</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155,000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GasLog Seattle</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December 2013</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060" w:type="dxa"/>
            <w:vAlign w:val="bottom"/>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tcPr>
          <w:p>
            <w:pPr>
              <w:ind w:left="300"/>
              <w:spacing w:after="0"/>
              <w:rPr>
                <w:sz w:val="20"/>
                <w:szCs w:val="20"/>
                <w:color w:val="auto"/>
              </w:rPr>
            </w:pPr>
            <w:r>
              <w:rPr>
                <w:rFonts w:ascii="Arial" w:cs="Arial" w:eastAsia="Arial" w:hAnsi="Arial"/>
                <w:sz w:val="18"/>
                <w:szCs w:val="18"/>
                <w:color w:val="auto"/>
                <w:w w:val="98"/>
              </w:rPr>
              <w:t>December 2012</w:t>
            </w:r>
          </w:p>
        </w:tc>
        <w:tc>
          <w:tcPr>
            <w:tcW w:w="222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tcPr>
          <w:p>
            <w:pPr>
              <w:ind w:left="380"/>
              <w:spacing w:after="0"/>
              <w:rPr>
                <w:sz w:val="20"/>
                <w:szCs w:val="20"/>
                <w:color w:val="auto"/>
              </w:rPr>
            </w:pPr>
            <w:r>
              <w:rPr>
                <w:rFonts w:ascii="Arial" w:cs="Arial" w:eastAsia="Arial" w:hAnsi="Arial"/>
                <w:sz w:val="18"/>
                <w:szCs w:val="18"/>
                <w:color w:val="auto"/>
              </w:rPr>
              <w:t>174,000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GasLog Greece</w:t>
            </w:r>
          </w:p>
        </w:tc>
        <w:tc>
          <w:tcPr>
            <w:tcW w:w="1480" w:type="dxa"/>
            <w:vAlign w:val="bottom"/>
          </w:tcPr>
          <w:p>
            <w:pPr>
              <w:ind w:left="120"/>
              <w:spacing w:after="0"/>
              <w:rPr>
                <w:sz w:val="20"/>
                <w:szCs w:val="20"/>
                <w:color w:val="auto"/>
              </w:rPr>
            </w:pPr>
            <w:r>
              <w:rPr>
                <w:rFonts w:ascii="Arial" w:cs="Arial" w:eastAsia="Arial" w:hAnsi="Arial"/>
                <w:sz w:val="18"/>
                <w:szCs w:val="18"/>
                <w:color w:val="auto"/>
              </w:rPr>
              <w:t>March 2016</w:t>
            </w:r>
          </w:p>
        </w:tc>
      </w:tr>
      <w:tr>
        <w:trPr>
          <w:trHeight w:val="216"/>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GAS-sixteen Ltd.</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January 2014</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April 2014</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060" w:type="dxa"/>
            <w:vAlign w:val="bottom"/>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tcPr>
          <w:p>
            <w:pPr>
              <w:ind w:left="300"/>
              <w:spacing w:after="0"/>
              <w:rPr>
                <w:sz w:val="20"/>
                <w:szCs w:val="20"/>
                <w:color w:val="auto"/>
              </w:rPr>
            </w:pPr>
            <w:r>
              <w:rPr>
                <w:rFonts w:ascii="Arial" w:cs="Arial" w:eastAsia="Arial" w:hAnsi="Arial"/>
                <w:sz w:val="18"/>
                <w:szCs w:val="18"/>
                <w:color w:val="auto"/>
              </w:rPr>
              <w:t>January 2014</w:t>
            </w:r>
          </w:p>
        </w:tc>
        <w:tc>
          <w:tcPr>
            <w:tcW w:w="222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tcPr>
          <w:p>
            <w:pPr>
              <w:ind w:left="380"/>
              <w:spacing w:after="0"/>
              <w:rPr>
                <w:sz w:val="20"/>
                <w:szCs w:val="20"/>
                <w:color w:val="auto"/>
              </w:rPr>
            </w:pPr>
            <w:r>
              <w:rPr>
                <w:rFonts w:ascii="Arial" w:cs="Arial" w:eastAsia="Arial" w:hAnsi="Arial"/>
                <w:sz w:val="18"/>
                <w:szCs w:val="18"/>
                <w:color w:val="auto"/>
              </w:rPr>
              <w:t>145,000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1480" w:type="dxa"/>
            <w:vAlign w:val="bottom"/>
          </w:tcPr>
          <w:p>
            <w:pPr>
              <w:ind w:left="120"/>
              <w:spacing w:after="0"/>
              <w:rPr>
                <w:sz w:val="20"/>
                <w:szCs w:val="20"/>
                <w:color w:val="auto"/>
              </w:rPr>
            </w:pPr>
            <w:r>
              <w:rPr>
                <w:rFonts w:ascii="Arial" w:cs="Arial" w:eastAsia="Arial" w:hAnsi="Arial"/>
                <w:sz w:val="18"/>
                <w:szCs w:val="18"/>
                <w:color w:val="auto"/>
              </w:rPr>
              <w:t>April 2014</w:t>
            </w:r>
          </w:p>
        </w:tc>
      </w:tr>
      <w:tr>
        <w:trPr>
          <w:trHeight w:val="216"/>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GAS-nineteen Ltd.</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April 2014</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1060" w:type="dxa"/>
            <w:vAlign w:val="bottom"/>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tcPr>
          <w:p>
            <w:pPr>
              <w:ind w:left="300"/>
              <w:spacing w:after="0"/>
              <w:rPr>
                <w:sz w:val="20"/>
                <w:szCs w:val="20"/>
                <w:color w:val="auto"/>
              </w:rPr>
            </w:pPr>
            <w:r>
              <w:rPr>
                <w:rFonts w:ascii="Arial" w:cs="Arial" w:eastAsia="Arial" w:hAnsi="Arial"/>
                <w:sz w:val="18"/>
                <w:szCs w:val="18"/>
                <w:color w:val="auto"/>
              </w:rPr>
              <w:t>April 2014</w:t>
            </w:r>
          </w:p>
        </w:tc>
        <w:tc>
          <w:tcPr>
            <w:tcW w:w="222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tcPr>
          <w:p>
            <w:pPr>
              <w:ind w:left="380"/>
              <w:spacing w:after="0"/>
              <w:rPr>
                <w:sz w:val="20"/>
                <w:szCs w:val="20"/>
                <w:color w:val="auto"/>
              </w:rPr>
            </w:pPr>
            <w:r>
              <w:rPr>
                <w:rFonts w:ascii="Arial" w:cs="Arial" w:eastAsia="Arial" w:hAnsi="Arial"/>
                <w:sz w:val="18"/>
                <w:szCs w:val="18"/>
                <w:color w:val="auto"/>
              </w:rPr>
              <w:t>145,000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w w:val="96"/>
              </w:rPr>
              <w:t>Methane Shirley Elisabeth</w:t>
            </w:r>
          </w:p>
        </w:tc>
        <w:tc>
          <w:tcPr>
            <w:tcW w:w="1480" w:type="dxa"/>
            <w:vAlign w:val="bottom"/>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1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one Ltd.</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April 2014</w:t>
            </w:r>
          </w:p>
        </w:tc>
        <w:tc>
          <w:tcPr>
            <w:tcW w:w="222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3"/>
              </w:rPr>
              <w:t>25% interest associate:</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1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Egypt LNG Shipping</w:t>
            </w:r>
          </w:p>
        </w:tc>
        <w:tc>
          <w:tcPr>
            <w:tcW w:w="1060" w:type="dxa"/>
            <w:vAlign w:val="bottom"/>
            <w:shd w:val="clear" w:color="auto" w:fill="E5FFFF"/>
          </w:tcPr>
          <w:p>
            <w:pPr>
              <w:ind w:left="80"/>
              <w:spacing w:after="0" w:line="201" w:lineRule="exact"/>
              <w:rPr>
                <w:sz w:val="20"/>
                <w:szCs w:val="20"/>
                <w:color w:val="auto"/>
              </w:rPr>
            </w:pPr>
            <w:r>
              <w:rPr>
                <w:rFonts w:ascii="Arial" w:cs="Arial" w:eastAsia="Arial" w:hAnsi="Arial"/>
                <w:sz w:val="18"/>
                <w:szCs w:val="18"/>
                <w:color w:val="auto"/>
              </w:rPr>
              <w:t>Bermuda</w:t>
            </w:r>
          </w:p>
        </w:tc>
        <w:tc>
          <w:tcPr>
            <w:tcW w:w="1580" w:type="dxa"/>
            <w:vAlign w:val="bottom"/>
            <w:shd w:val="clear" w:color="auto" w:fill="E5FFFF"/>
          </w:tcPr>
          <w:p>
            <w:pPr>
              <w:ind w:left="300"/>
              <w:spacing w:after="0" w:line="201" w:lineRule="exact"/>
              <w:rPr>
                <w:sz w:val="20"/>
                <w:szCs w:val="20"/>
                <w:color w:val="auto"/>
              </w:rPr>
            </w:pPr>
            <w:r>
              <w:rPr>
                <w:rFonts w:ascii="Arial" w:cs="Arial" w:eastAsia="Arial" w:hAnsi="Arial"/>
                <w:sz w:val="18"/>
                <w:szCs w:val="18"/>
                <w:color w:val="auto"/>
              </w:rPr>
              <w:t>May 2010</w:t>
            </w:r>
          </w:p>
        </w:tc>
        <w:tc>
          <w:tcPr>
            <w:tcW w:w="222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rPr>
              <w:t>Vessel-owning company</w:t>
            </w:r>
          </w:p>
        </w:tc>
        <w:tc>
          <w:tcPr>
            <w:tcW w:w="1060" w:type="dxa"/>
            <w:vAlign w:val="bottom"/>
            <w:shd w:val="clear" w:color="auto" w:fill="E5FFFF"/>
          </w:tcPr>
          <w:p>
            <w:pPr>
              <w:ind w:left="380"/>
              <w:spacing w:after="0" w:line="201" w:lineRule="exact"/>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i w:val="1"/>
                <w:iCs w:val="1"/>
                <w:color w:val="auto"/>
              </w:rPr>
              <w:t>Methane Nile Eagle</w:t>
            </w:r>
          </w:p>
        </w:tc>
        <w:tc>
          <w:tcPr>
            <w:tcW w:w="1480" w:type="dxa"/>
            <w:vAlign w:val="bottom"/>
            <w:shd w:val="clear" w:color="auto" w:fill="E5FFFF"/>
          </w:tcPr>
          <w:p>
            <w:pPr>
              <w:ind w:left="120"/>
              <w:spacing w:after="0" w:line="201" w:lineRule="exact"/>
              <w:rPr>
                <w:sz w:val="20"/>
                <w:szCs w:val="20"/>
                <w:color w:val="auto"/>
              </w:rPr>
            </w:pPr>
            <w:r>
              <w:rPr>
                <w:rFonts w:ascii="Arial" w:cs="Arial" w:eastAsia="Arial" w:hAnsi="Arial"/>
                <w:sz w:val="18"/>
                <w:szCs w:val="18"/>
                <w:color w:val="auto"/>
              </w:rPr>
              <w:t>December 2007</w:t>
            </w:r>
          </w:p>
        </w:tc>
      </w:tr>
      <w:tr>
        <w:trPr>
          <w:trHeight w:val="230"/>
        </w:trPr>
        <w:tc>
          <w:tcPr>
            <w:tcW w:w="1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Ltd.</w:t>
            </w:r>
          </w:p>
        </w:tc>
        <w:tc>
          <w:tcPr>
            <w:tcW w:w="1060" w:type="dxa"/>
            <w:vAlign w:val="bottom"/>
            <w:shd w:val="clear" w:color="auto" w:fill="E5FFFF"/>
          </w:tcPr>
          <w:p>
            <w:pPr>
              <w:spacing w:after="0"/>
              <w:rPr>
                <w:sz w:val="20"/>
                <w:szCs w:val="20"/>
                <w:color w:val="auto"/>
              </w:rPr>
            </w:pPr>
          </w:p>
        </w:tc>
        <w:tc>
          <w:tcPr>
            <w:tcW w:w="1580" w:type="dxa"/>
            <w:vAlign w:val="bottom"/>
            <w:shd w:val="clear" w:color="auto" w:fill="E5FFFF"/>
          </w:tcPr>
          <w:p>
            <w:pPr>
              <w:spacing w:after="0"/>
              <w:rPr>
                <w:sz w:val="20"/>
                <w:szCs w:val="20"/>
                <w:color w:val="auto"/>
              </w:rPr>
            </w:pPr>
          </w:p>
        </w:tc>
        <w:tc>
          <w:tcPr>
            <w:tcW w:w="222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21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3"/>
              </w:rPr>
              <w:t>20% interest associate:</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1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Gastrade S.A.</w:t>
            </w:r>
          </w:p>
        </w:tc>
        <w:tc>
          <w:tcPr>
            <w:tcW w:w="1060" w:type="dxa"/>
            <w:vAlign w:val="bottom"/>
            <w:shd w:val="clear" w:color="auto" w:fill="E5FFFF"/>
          </w:tcPr>
          <w:p>
            <w:pPr>
              <w:ind w:left="80"/>
              <w:spacing w:after="0" w:line="201" w:lineRule="exact"/>
              <w:rPr>
                <w:sz w:val="20"/>
                <w:szCs w:val="20"/>
                <w:color w:val="auto"/>
              </w:rPr>
            </w:pPr>
            <w:r>
              <w:rPr>
                <w:rFonts w:ascii="Arial" w:cs="Arial" w:eastAsia="Arial" w:hAnsi="Arial"/>
                <w:sz w:val="18"/>
                <w:szCs w:val="18"/>
                <w:color w:val="auto"/>
              </w:rPr>
              <w:t>Greece</w:t>
            </w:r>
          </w:p>
        </w:tc>
        <w:tc>
          <w:tcPr>
            <w:tcW w:w="1580" w:type="dxa"/>
            <w:vAlign w:val="bottom"/>
            <w:shd w:val="clear" w:color="auto" w:fill="E5FFFF"/>
          </w:tcPr>
          <w:p>
            <w:pPr>
              <w:ind w:left="300"/>
              <w:spacing w:after="0" w:line="201" w:lineRule="exact"/>
              <w:rPr>
                <w:sz w:val="20"/>
                <w:szCs w:val="20"/>
                <w:color w:val="auto"/>
              </w:rPr>
            </w:pPr>
            <w:r>
              <w:rPr>
                <w:rFonts w:ascii="Arial" w:cs="Arial" w:eastAsia="Arial" w:hAnsi="Arial"/>
                <w:sz w:val="18"/>
                <w:szCs w:val="18"/>
                <w:color w:val="auto"/>
              </w:rPr>
              <w:t>June 2010</w:t>
            </w:r>
          </w:p>
        </w:tc>
        <w:tc>
          <w:tcPr>
            <w:tcW w:w="222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rPr>
              <w:t>Service company</w:t>
            </w:r>
          </w:p>
        </w:tc>
        <w:tc>
          <w:tcPr>
            <w:tcW w:w="1060" w:type="dxa"/>
            <w:vAlign w:val="bottom"/>
            <w:shd w:val="clear" w:color="auto" w:fill="E5FFFF"/>
          </w:tcPr>
          <w:p>
            <w:pPr>
              <w:ind w:left="380"/>
              <w:spacing w:after="0" w:line="201" w:lineRule="exact"/>
              <w:rPr>
                <w:sz w:val="20"/>
                <w:szCs w:val="20"/>
                <w:color w:val="auto"/>
              </w:rPr>
            </w:pPr>
            <w:r>
              <w:rPr>
                <w:rFonts w:ascii="Arial" w:cs="Arial" w:eastAsia="Arial" w:hAnsi="Arial"/>
                <w:sz w:val="18"/>
                <w:szCs w:val="18"/>
                <w:color w:val="auto"/>
              </w:rPr>
              <w:t>—</w:t>
            </w:r>
          </w:p>
        </w:tc>
        <w:tc>
          <w:tcPr>
            <w:tcW w:w="214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r>
      <w:tr>
        <w:trPr>
          <w:trHeight w:val="230"/>
        </w:trPr>
        <w:tc>
          <w:tcPr>
            <w:tcW w:w="1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(“Gastrade”)</w:t>
            </w:r>
          </w:p>
        </w:tc>
        <w:tc>
          <w:tcPr>
            <w:tcW w:w="1060" w:type="dxa"/>
            <w:vAlign w:val="bottom"/>
            <w:shd w:val="clear" w:color="auto" w:fill="E5FFFF"/>
          </w:tcPr>
          <w:p>
            <w:pPr>
              <w:spacing w:after="0"/>
              <w:rPr>
                <w:sz w:val="20"/>
                <w:szCs w:val="20"/>
                <w:color w:val="auto"/>
              </w:rPr>
            </w:pPr>
          </w:p>
        </w:tc>
        <w:tc>
          <w:tcPr>
            <w:tcW w:w="1580" w:type="dxa"/>
            <w:vAlign w:val="bottom"/>
            <w:shd w:val="clear" w:color="auto" w:fill="E5FFFF"/>
          </w:tcPr>
          <w:p>
            <w:pPr>
              <w:spacing w:after="0"/>
              <w:rPr>
                <w:sz w:val="20"/>
                <w:szCs w:val="20"/>
                <w:color w:val="auto"/>
              </w:rPr>
            </w:pPr>
          </w:p>
        </w:tc>
        <w:tc>
          <w:tcPr>
            <w:tcW w:w="222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21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33.33% joint venture:</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1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The Cool Pool Limited</w:t>
            </w:r>
          </w:p>
        </w:tc>
        <w:tc>
          <w:tcPr>
            <w:tcW w:w="1060" w:type="dxa"/>
            <w:vAlign w:val="bottom"/>
            <w:shd w:val="clear" w:color="auto" w:fill="E5FFFF"/>
          </w:tcPr>
          <w:p>
            <w:pPr>
              <w:ind w:left="80"/>
              <w:spacing w:after="0" w:line="201" w:lineRule="exact"/>
              <w:rPr>
                <w:sz w:val="20"/>
                <w:szCs w:val="20"/>
                <w:color w:val="auto"/>
              </w:rPr>
            </w:pPr>
            <w:r>
              <w:rPr>
                <w:rFonts w:ascii="Arial" w:cs="Arial" w:eastAsia="Arial" w:hAnsi="Arial"/>
                <w:sz w:val="18"/>
                <w:szCs w:val="18"/>
                <w:color w:val="auto"/>
              </w:rPr>
              <w:t>Marshall</w:t>
            </w:r>
          </w:p>
        </w:tc>
        <w:tc>
          <w:tcPr>
            <w:tcW w:w="1580" w:type="dxa"/>
            <w:vAlign w:val="bottom"/>
            <w:shd w:val="clear" w:color="auto" w:fill="E5FFFF"/>
          </w:tcPr>
          <w:p>
            <w:pPr>
              <w:ind w:left="300"/>
              <w:spacing w:after="0" w:line="201" w:lineRule="exact"/>
              <w:rPr>
                <w:sz w:val="20"/>
                <w:szCs w:val="20"/>
                <w:color w:val="auto"/>
              </w:rPr>
            </w:pPr>
            <w:r>
              <w:rPr>
                <w:rFonts w:ascii="Arial" w:cs="Arial" w:eastAsia="Arial" w:hAnsi="Arial"/>
                <w:sz w:val="18"/>
                <w:szCs w:val="18"/>
                <w:color w:val="auto"/>
                <w:w w:val="94"/>
              </w:rPr>
              <w:t>September 2015</w:t>
            </w:r>
          </w:p>
        </w:tc>
        <w:tc>
          <w:tcPr>
            <w:tcW w:w="222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rPr>
              <w:t>Service company</w:t>
            </w:r>
          </w:p>
        </w:tc>
        <w:tc>
          <w:tcPr>
            <w:tcW w:w="1060" w:type="dxa"/>
            <w:vAlign w:val="bottom"/>
            <w:shd w:val="clear" w:color="auto" w:fill="E5FFFF"/>
          </w:tcPr>
          <w:p>
            <w:pPr>
              <w:ind w:left="380"/>
              <w:spacing w:after="0" w:line="201" w:lineRule="exact"/>
              <w:rPr>
                <w:sz w:val="20"/>
                <w:szCs w:val="20"/>
                <w:color w:val="auto"/>
              </w:rPr>
            </w:pPr>
            <w:r>
              <w:rPr>
                <w:rFonts w:ascii="Arial" w:cs="Arial" w:eastAsia="Arial" w:hAnsi="Arial"/>
                <w:sz w:val="18"/>
                <w:szCs w:val="18"/>
                <w:color w:val="auto"/>
              </w:rPr>
              <w:t>—</w:t>
            </w:r>
          </w:p>
        </w:tc>
        <w:tc>
          <w:tcPr>
            <w:tcW w:w="214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r>
      <w:tr>
        <w:trPr>
          <w:trHeight w:val="271"/>
        </w:trPr>
        <w:tc>
          <w:tcPr>
            <w:tcW w:w="1880" w:type="dxa"/>
            <w:vAlign w:val="bottom"/>
            <w:gridSpan w:val="2"/>
            <w:shd w:val="clear" w:color="auto" w:fill="E5FFFF"/>
          </w:tcPr>
          <w:p>
            <w:pPr>
              <w:ind w:left="180"/>
              <w:spacing w:after="0" w:line="271" w:lineRule="exact"/>
              <w:rPr>
                <w:sz w:val="20"/>
                <w:szCs w:val="20"/>
                <w:color w:val="auto"/>
              </w:rPr>
            </w:pPr>
            <w:r>
              <w:rPr>
                <w:rFonts w:ascii="Arial" w:cs="Arial" w:eastAsia="Arial" w:hAnsi="Arial"/>
                <w:sz w:val="18"/>
                <w:szCs w:val="18"/>
                <w:color w:val="auto"/>
              </w:rPr>
              <w:t xml:space="preserve">(the “Cool Pool”) </w:t>
            </w:r>
            <w:r>
              <w:rPr>
                <w:rFonts w:ascii="Arial" w:cs="Arial" w:eastAsia="Arial" w:hAnsi="Arial"/>
                <w:sz w:val="30"/>
                <w:szCs w:val="30"/>
                <w:color w:val="auto"/>
                <w:vertAlign w:val="superscript"/>
              </w:rPr>
              <w:t>(3)</w:t>
            </w:r>
          </w:p>
        </w:tc>
        <w:tc>
          <w:tcPr>
            <w:tcW w:w="1060" w:type="dxa"/>
            <w:vAlign w:val="bottom"/>
            <w:shd w:val="clear" w:color="auto" w:fill="E5FFFF"/>
          </w:tcPr>
          <w:p>
            <w:pPr>
              <w:ind w:left="80"/>
              <w:spacing w:after="0"/>
              <w:rPr>
                <w:sz w:val="20"/>
                <w:szCs w:val="20"/>
                <w:color w:val="auto"/>
              </w:rPr>
            </w:pPr>
            <w:r>
              <w:rPr>
                <w:rFonts w:ascii="Arial" w:cs="Arial" w:eastAsia="Arial" w:hAnsi="Arial"/>
                <w:sz w:val="18"/>
                <w:szCs w:val="18"/>
                <w:color w:val="auto"/>
              </w:rPr>
              <w:t>Islands</w:t>
            </w:r>
          </w:p>
        </w:tc>
        <w:tc>
          <w:tcPr>
            <w:tcW w:w="1580" w:type="dxa"/>
            <w:vAlign w:val="bottom"/>
            <w:shd w:val="clear" w:color="auto" w:fill="E5FFFF"/>
          </w:tcPr>
          <w:p>
            <w:pPr>
              <w:spacing w:after="0"/>
              <w:rPr>
                <w:sz w:val="23"/>
                <w:szCs w:val="23"/>
                <w:color w:val="auto"/>
              </w:rPr>
            </w:pPr>
          </w:p>
        </w:tc>
        <w:tc>
          <w:tcPr>
            <w:tcW w:w="2220" w:type="dxa"/>
            <w:vAlign w:val="bottom"/>
            <w:shd w:val="clear" w:color="auto" w:fill="E5FFFF"/>
          </w:tcPr>
          <w:p>
            <w:pPr>
              <w:spacing w:after="0"/>
              <w:rPr>
                <w:sz w:val="23"/>
                <w:szCs w:val="23"/>
                <w:color w:val="auto"/>
              </w:rPr>
            </w:pPr>
          </w:p>
        </w:tc>
        <w:tc>
          <w:tcPr>
            <w:tcW w:w="1060" w:type="dxa"/>
            <w:vAlign w:val="bottom"/>
            <w:shd w:val="clear" w:color="auto" w:fill="E5FFFF"/>
          </w:tcPr>
          <w:p>
            <w:pPr>
              <w:spacing w:after="0"/>
              <w:rPr>
                <w:sz w:val="23"/>
                <w:szCs w:val="23"/>
                <w:color w:val="auto"/>
              </w:rPr>
            </w:pPr>
          </w:p>
        </w:tc>
        <w:tc>
          <w:tcPr>
            <w:tcW w:w="2140" w:type="dxa"/>
            <w:vAlign w:val="bottom"/>
            <w:shd w:val="clear" w:color="auto" w:fill="E5FFFF"/>
          </w:tcPr>
          <w:p>
            <w:pPr>
              <w:spacing w:after="0"/>
              <w:rPr>
                <w:sz w:val="23"/>
                <w:szCs w:val="23"/>
                <w:color w:val="auto"/>
              </w:rPr>
            </w:pPr>
          </w:p>
        </w:tc>
        <w:tc>
          <w:tcPr>
            <w:tcW w:w="1480" w:type="dxa"/>
            <w:vAlign w:val="bottom"/>
            <w:shd w:val="clear" w:color="auto" w:fill="E5FFFF"/>
          </w:tcPr>
          <w:p>
            <w:pPr>
              <w:spacing w:after="0"/>
              <w:rPr>
                <w:sz w:val="23"/>
                <w:szCs w:val="23"/>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22"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For newbuildings, expected delivery quarters as of June 30, 2017 are presented.</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 xml:space="preserve">On February 24, 2016, GAS-twenty six Ltd. completed the sale and leaseback of the </w:t>
      </w:r>
      <w:r>
        <w:rPr>
          <w:rFonts w:ascii="Arial" w:cs="Arial" w:eastAsia="Arial" w:hAnsi="Arial"/>
          <w:sz w:val="11"/>
          <w:szCs w:val="11"/>
          <w:i w:val="1"/>
          <w:iCs w:val="1"/>
          <w:color w:val="auto"/>
        </w:rPr>
        <w:t>Methane Julia Louise</w:t>
      </w:r>
      <w:r>
        <w:rPr>
          <w:rFonts w:ascii="Arial" w:cs="Arial" w:eastAsia="Arial" w:hAnsi="Arial"/>
          <w:sz w:val="11"/>
          <w:szCs w:val="11"/>
          <w:color w:val="auto"/>
        </w:rPr>
        <w:t xml:space="preserve"> with a subsidiary of Mitsui Co. Ltd. (“Mitsui”). Refer to Note 6.</w:t>
      </w:r>
    </w:p>
    <w:p>
      <w:pPr>
        <w:ind w:left="240" w:right="20" w:hanging="232"/>
        <w:spacing w:after="0" w:line="229" w:lineRule="auto"/>
        <w:tabs>
          <w:tab w:leader="none" w:pos="2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On October 1, 2015, GasLog, Dynagas Ltd. (“Dynagas”) and Golar LNG Ltd. (“Golar”) signed a LNG carrier pooling agreement (the “LNG Carrier Pool” or “Pool Agreement”) to market their vessels, which are currently operating in the LNG shipping spot market. As of June 30, 2017, the LNG Carrier Pool (named the “Cool Pool”) consists of 18 modern, high quality and essentially equivalent vessels powered by fuel efficient tri-fuel diesel electric (“TFDE”) propulsion technology. The participation of the three owners’ vessels in the Cool Pool are as follows: Dynagas: three vessels; GasLog: five vessels; and Golar: ten vessels.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2016 filed with the SEC on March 1, 2017. On August 2, 2017 GasLog’s board of directors authorized the unaudited condensed consolidated financial statements for issuance.</w:t>
      </w:r>
    </w:p>
    <w:p>
      <w:pPr>
        <w:spacing w:after="0" w:line="193" w:lineRule="exact"/>
        <w:rPr>
          <w:sz w:val="20"/>
          <w:szCs w:val="20"/>
          <w:color w:val="auto"/>
        </w:rPr>
      </w:pPr>
    </w:p>
    <w:p>
      <w:pPr>
        <w:ind w:right="20" w:firstLine="436"/>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1" w:lineRule="exact"/>
        <w:rPr>
          <w:sz w:val="20"/>
          <w:szCs w:val="20"/>
          <w:color w:val="auto"/>
        </w:rPr>
      </w:pPr>
    </w:p>
    <w:p>
      <w:pPr>
        <w:ind w:right="40" w:firstLine="396"/>
        <w:spacing w:after="0" w:line="264"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2016.</w:t>
      </w:r>
    </w:p>
    <w:p>
      <w:pPr>
        <w:spacing w:after="0" w:line="181" w:lineRule="exact"/>
        <w:rPr>
          <w:sz w:val="20"/>
          <w:szCs w:val="20"/>
          <w:color w:val="auto"/>
        </w:rPr>
      </w:pPr>
    </w:p>
    <w:p>
      <w:pPr>
        <w:ind w:right="60" w:firstLine="383"/>
        <w:spacing w:after="0" w:line="259"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comply with its financial covenants for at least twelve months from the end of the reporting period and therefore it is appropriate to prepare the financial statements on a going concern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right="40" w:firstLine="383"/>
        <w:spacing w:after="0" w:line="272" w:lineRule="auto"/>
        <w:rPr>
          <w:sz w:val="20"/>
          <w:szCs w:val="20"/>
          <w:color w:val="auto"/>
        </w:rPr>
      </w:pPr>
      <w:r>
        <w:rPr>
          <w:rFonts w:ascii="Arial" w:cs="Arial" w:eastAsia="Arial" w:hAnsi="Arial"/>
          <w:sz w:val="17"/>
          <w:szCs w:val="17"/>
          <w:color w:val="auto"/>
        </w:rPr>
        <w:t xml:space="preserve">In January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Group’s consolidated financial statements; please refer to Notes 6, 7 and 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were in issue but not yet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8" w:right="239" w:bottom="869" w:gutter="0" w:footer="0" w:header="0"/>
        </w:sectPr>
      </w:pPr>
    </w:p>
    <w:bookmarkStart w:id="34" w:name="page35"/>
    <w:bookmarkEnd w:id="34"/>
    <w:p>
      <w:pPr>
        <w:ind w:right="100" w:firstLine="383"/>
        <w:spacing w:after="0" w:line="270"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anticipates that the implementation of this standard will not have a material impact on the Group’s consolidated financial statements since the vast majority of its revenues are generated by long-term contracts with charterers.</w:t>
      </w:r>
    </w:p>
    <w:p>
      <w:pPr>
        <w:spacing w:after="0" w:line="182" w:lineRule="exact"/>
        <w:rPr>
          <w:sz w:val="20"/>
          <w:szCs w:val="20"/>
          <w:color w:val="auto"/>
        </w:rPr>
      </w:pPr>
    </w:p>
    <w:p>
      <w:pPr>
        <w:ind w:right="20" w:firstLine="383"/>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anticipates that the implementation of this standard will not have a material impact on the Group’s financial statements, since the changes for lessors are fairly minor.</w:t>
      </w:r>
    </w:p>
    <w:p>
      <w:pPr>
        <w:spacing w:after="0" w:line="182" w:lineRule="exact"/>
        <w:rPr>
          <w:sz w:val="20"/>
          <w:szCs w:val="20"/>
          <w:color w:val="auto"/>
        </w:rPr>
      </w:pPr>
    </w:p>
    <w:p>
      <w:pPr>
        <w:ind w:right="120" w:firstLine="383"/>
        <w:spacing w:after="0" w:line="273" w:lineRule="auto"/>
        <w:rPr>
          <w:sz w:val="20"/>
          <w:szCs w:val="20"/>
          <w:color w:val="auto"/>
        </w:rPr>
      </w:pPr>
      <w:r>
        <w:rPr>
          <w:rFonts w:ascii="Arial" w:cs="Arial" w:eastAsia="Arial" w:hAnsi="Arial"/>
          <w:sz w:val="17"/>
          <w:szCs w:val="17"/>
          <w:color w:val="auto"/>
        </w:rPr>
        <w:t xml:space="preserve">In June 2016, the IASB issued amendments to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all other IFRS standards and amendments issued but not yet adopted is not expected to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 in GasLog Partners</w:t>
      </w:r>
    </w:p>
    <w:p>
      <w:pPr>
        <w:spacing w:after="0" w:line="229" w:lineRule="exact"/>
        <w:rPr>
          <w:sz w:val="20"/>
          <w:szCs w:val="20"/>
          <w:color w:val="auto"/>
        </w:rPr>
      </w:pPr>
    </w:p>
    <w:p>
      <w:pPr>
        <w:ind w:right="60" w:firstLine="256"/>
        <w:spacing w:after="0" w:line="293" w:lineRule="auto"/>
        <w:rPr>
          <w:sz w:val="20"/>
          <w:szCs w:val="20"/>
          <w:color w:val="auto"/>
        </w:rPr>
      </w:pPr>
      <w:r>
        <w:rPr>
          <w:rFonts w:ascii="Arial" w:cs="Arial" w:eastAsia="Arial" w:hAnsi="Arial"/>
          <w:sz w:val="16"/>
          <w:szCs w:val="16"/>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$78,176 (excluding $1,619 from the sale of the general partner units to GasLog) and have been allocated to non-controlling interest. In connection with this offering (and the partial exercise of the option to purchase additional units), the Partnership issued 78,980 general partner units to its general partner in order for GasLog to retain its 2.0% general partner interest.</w:t>
      </w:r>
    </w:p>
    <w:p>
      <w:pPr>
        <w:spacing w:after="0" w:line="165" w:lineRule="exact"/>
        <w:rPr>
          <w:sz w:val="20"/>
          <w:szCs w:val="20"/>
          <w:color w:val="auto"/>
        </w:rPr>
      </w:pPr>
    </w:p>
    <w:p>
      <w:pPr>
        <w:ind w:firstLine="256"/>
        <w:spacing w:after="0" w:line="255"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Preference Rate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$138,782. The Series A Preference Units are listed on the New York Stock Exchange under the symbol “GLOP PR A”. The initial distribution on the Series A Preference Units will be payable on September 15, 2017.</w:t>
      </w:r>
    </w:p>
    <w:p>
      <w:pPr>
        <w:spacing w:after="0" w:line="193" w:lineRule="exact"/>
        <w:rPr>
          <w:sz w:val="20"/>
          <w:szCs w:val="20"/>
          <w:color w:val="auto"/>
        </w:rPr>
      </w:pPr>
    </w:p>
    <w:p>
      <w:pPr>
        <w:ind w:right="80" w:firstLine="256"/>
        <w:spacing w:after="0" w:line="254" w:lineRule="auto"/>
        <w:rPr>
          <w:sz w:val="20"/>
          <w:szCs w:val="20"/>
          <w:color w:val="auto"/>
        </w:rPr>
      </w:pPr>
      <w:r>
        <w:rPr>
          <w:rFonts w:ascii="Arial" w:cs="Arial" w:eastAsia="Arial" w:hAnsi="Arial"/>
          <w:sz w:val="18"/>
          <w:szCs w:val="18"/>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issued and received payment for 410,877 common units at a weighted average price of $22.68 per common unit for total net proceeds of $8,818, after broker commissions of $154 and other expenses of $346. In connection with the issuance of common units under the ATM Programme during this period, the Partnership also issued 8,385 general partner units to its general partner in order for GasLog to retain its 2.0% general partner interest.</w:t>
      </w:r>
    </w:p>
    <w:p>
      <w:pPr>
        <w:spacing w:after="0" w:line="192" w:lineRule="exact"/>
        <w:rPr>
          <w:sz w:val="20"/>
          <w:szCs w:val="20"/>
          <w:color w:val="auto"/>
        </w:rPr>
      </w:pPr>
    </w:p>
    <w:p>
      <w:pPr>
        <w:ind w:right="200" w:firstLine="256"/>
        <w:spacing w:after="0" w:line="264" w:lineRule="auto"/>
        <w:rPr>
          <w:sz w:val="20"/>
          <w:szCs w:val="20"/>
          <w:color w:val="auto"/>
        </w:rPr>
      </w:pPr>
      <w:r>
        <w:rPr>
          <w:rFonts w:ascii="Arial" w:cs="Arial" w:eastAsia="Arial" w:hAnsi="Arial"/>
          <w:sz w:val="18"/>
          <w:szCs w:val="18"/>
          <w:color w:val="auto"/>
        </w:rPr>
        <w:t>Additionally, on May 16, 2017 the subordination period on the subordinated units of GasLog Partners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 w:name="page36"/>
    <w:bookmarkEnd w:id="35"/>
    <w:p>
      <w:pPr>
        <w:ind w:right="100" w:firstLine="256"/>
        <w:spacing w:after="0" w:line="277" w:lineRule="auto"/>
        <w:rPr>
          <w:sz w:val="20"/>
          <w:szCs w:val="20"/>
          <w:color w:val="auto"/>
        </w:rPr>
      </w:pPr>
      <w:r>
        <w:rPr>
          <w:rFonts w:ascii="Arial" w:cs="Arial" w:eastAsia="Arial" w:hAnsi="Arial"/>
          <w:sz w:val="18"/>
          <w:szCs w:val="18"/>
          <w:color w:val="auto"/>
        </w:rPr>
        <w:t>The profit allocation to non-controlling interest is based on the distribution policy for available cash stated in the Partnership Agreement and is illustrated in the table below:</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5640" w:type="dxa"/>
            <w:vAlign w:val="bottom"/>
            <w:tcBorders>
              <w:bottom w:val="single" w:sz="8" w:color="auto"/>
            </w:tcBorders>
            <w:gridSpan w:val="6"/>
          </w:tcPr>
          <w:p>
            <w:pPr>
              <w:ind w:left="1500"/>
              <w:spacing w:after="0"/>
              <w:rPr>
                <w:sz w:val="20"/>
                <w:szCs w:val="20"/>
                <w:color w:val="auto"/>
              </w:rPr>
            </w:pPr>
            <w:r>
              <w:rPr>
                <w:rFonts w:ascii="Arial" w:cs="Arial" w:eastAsia="Arial" w:hAnsi="Arial"/>
                <w:sz w:val="18"/>
                <w:szCs w:val="18"/>
                <w:b w:val="1"/>
                <w:bCs w:val="1"/>
                <w:color w:val="auto"/>
              </w:rPr>
              <w:t>Marginal Percentage Interest in Distributions</w:t>
            </w:r>
          </w:p>
        </w:tc>
        <w:tc>
          <w:tcPr>
            <w:tcW w:w="880" w:type="dxa"/>
            <w:vAlign w:val="bottom"/>
            <w:tcBorders>
              <w:bottom w:val="single" w:sz="8" w:color="auto"/>
            </w:tcBorders>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35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Total Quarterly</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General</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2"/>
              </w:rPr>
              <w:t>Holders of</w:t>
            </w:r>
          </w:p>
        </w:tc>
      </w:tr>
      <w:tr>
        <w:trPr>
          <w:trHeight w:val="234"/>
        </w:trPr>
        <w:tc>
          <w:tcPr>
            <w:tcW w:w="454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Target 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Unitholders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Partner</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IDRs</w:t>
            </w:r>
          </w:p>
        </w:tc>
      </w:tr>
      <w:tr>
        <w:trPr>
          <w:trHeight w:val="210"/>
        </w:trPr>
        <w:tc>
          <w:tcPr>
            <w:tcW w:w="4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3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240" w:type="dxa"/>
            <w:vAlign w:val="bottom"/>
            <w:tcBorders>
              <w:top w:val="single" w:sz="8" w:color="E5FFFF"/>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rPr>
              <w:t>98.0%</w:t>
            </w:r>
          </w:p>
        </w:tc>
        <w:tc>
          <w:tcPr>
            <w:tcW w:w="220" w:type="dxa"/>
            <w:vAlign w:val="bottom"/>
            <w:tcBorders>
              <w:top w:val="single" w:sz="8" w:color="E5FFFF"/>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560" w:type="dxa"/>
            <w:vAlign w:val="bottom"/>
            <w:gridSpan w:val="2"/>
          </w:tcPr>
          <w:p>
            <w:pPr>
              <w:jc w:val="right"/>
              <w:ind w:right="240"/>
              <w:spacing w:after="0"/>
              <w:rPr>
                <w:sz w:val="20"/>
                <w:szCs w:val="20"/>
                <w:color w:val="auto"/>
              </w:rPr>
            </w:pPr>
            <w:r>
              <w:rPr>
                <w:rFonts w:ascii="Arial" w:cs="Arial" w:eastAsia="Arial" w:hAnsi="Arial"/>
                <w:sz w:val="18"/>
                <w:szCs w:val="18"/>
                <w:color w:val="auto"/>
              </w:rPr>
              <w:t>$0.375 up to $0.43125</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3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$0.43125 up to $0.46875</w:t>
            </w:r>
          </w:p>
        </w:tc>
        <w:tc>
          <w:tcPr>
            <w:tcW w:w="100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13.0%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560" w:type="dxa"/>
            <w:vAlign w:val="bottom"/>
            <w:gridSpan w:val="2"/>
          </w:tcPr>
          <w:p>
            <w:pPr>
              <w:jc w:val="right"/>
              <w:ind w:right="240"/>
              <w:spacing w:after="0"/>
              <w:rPr>
                <w:sz w:val="20"/>
                <w:szCs w:val="20"/>
                <w:color w:val="auto"/>
              </w:rPr>
            </w:pPr>
            <w:r>
              <w:rPr>
                <w:rFonts w:ascii="Arial" w:cs="Arial" w:eastAsia="Arial" w:hAnsi="Arial"/>
                <w:sz w:val="18"/>
                <w:szCs w:val="18"/>
                <w:color w:val="auto"/>
              </w:rPr>
              <w:t>$0.46875 up to $0.5625</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23.0%</w:t>
            </w:r>
          </w:p>
        </w:tc>
      </w:tr>
      <w:tr>
        <w:trPr>
          <w:trHeight w:val="216"/>
        </w:trPr>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Thereafter</w:t>
            </w:r>
          </w:p>
        </w:tc>
        <w:tc>
          <w:tcPr>
            <w:tcW w:w="3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Above $0.5625</w:t>
            </w:r>
          </w:p>
        </w:tc>
        <w:tc>
          <w:tcPr>
            <w:tcW w:w="100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48.0%</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7"/>
              </w:rPr>
              <w:t>Allocation of GasLog Partners’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i w:val="1"/>
                <w:iCs w:val="1"/>
                <w:color w:val="auto"/>
              </w:rPr>
              <w:t>(*)</w:t>
            </w:r>
          </w:p>
        </w:tc>
        <w:tc>
          <w:tcPr>
            <w:tcW w:w="1760" w:type="dxa"/>
            <w:vAlign w:val="bottom"/>
            <w:vMerge w:val="restart"/>
          </w:tcPr>
          <w:p>
            <w:pPr>
              <w:spacing w:after="0"/>
              <w:rPr>
                <w:sz w:val="16"/>
                <w:szCs w:val="16"/>
                <w:color w:val="auto"/>
              </w:rPr>
            </w:pPr>
          </w:p>
        </w:tc>
        <w:tc>
          <w:tcPr>
            <w:tcW w:w="334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For the three months ended</w:t>
            </w:r>
          </w:p>
        </w:tc>
        <w:tc>
          <w:tcPr>
            <w:tcW w:w="2960" w:type="dxa"/>
            <w:vAlign w:val="bottom"/>
            <w:gridSpan w:val="6"/>
            <w:vMerge w:val="restart"/>
          </w:tcPr>
          <w:p>
            <w:pPr>
              <w:jc w:val="right"/>
              <w:ind w:right="5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7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3340" w:type="dxa"/>
            <w:vAlign w:val="bottom"/>
            <w:gridSpan w:val="4"/>
            <w:vMerge w:val="continue"/>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June 30, 2016</w:t>
            </w: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2017</w:t>
            </w: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2016</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2017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6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Partnership’s profit attributable to:</w:t>
            </w:r>
          </w:p>
        </w:tc>
        <w:tc>
          <w:tcPr>
            <w:tcW w:w="122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4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Common unitholders</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11,295</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17,349</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21,974</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16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5,084</w:t>
            </w:r>
          </w:p>
        </w:tc>
        <w:tc>
          <w:tcPr>
            <w:tcW w:w="1660" w:type="dxa"/>
            <w:vAlign w:val="bottom"/>
            <w:gridSpan w:val="2"/>
            <w:shd w:val="clear" w:color="auto" w:fill="E5FFFF"/>
          </w:tcPr>
          <w:p>
            <w:pPr>
              <w:ind w:left="920"/>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9,891</w:t>
            </w: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General partner</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347</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357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Incentive distribution rights (“IDRs”)</w:t>
            </w:r>
          </w:p>
        </w:tc>
        <w:tc>
          <w:tcPr>
            <w:tcW w:w="16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655</w:t>
            </w:r>
          </w:p>
        </w:tc>
        <w:tc>
          <w:tcPr>
            <w:tcW w:w="166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103</w:t>
            </w:r>
          </w:p>
        </w:tc>
        <w:tc>
          <w:tcPr>
            <w:tcW w:w="15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Accrued preferred equity distributions</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1,549</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76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17,381</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19,358</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33,573</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40,380</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60" w:type="dxa"/>
            <w:vAlign w:val="bottom"/>
            <w:gridSpan w:val="4"/>
            <w:vMerge w:val="restart"/>
          </w:tcPr>
          <w:p>
            <w:pPr>
              <w:spacing w:after="0"/>
              <w:rPr>
                <w:sz w:val="20"/>
                <w:szCs w:val="20"/>
                <w:color w:val="auto"/>
              </w:rPr>
            </w:pPr>
            <w:r>
              <w:rPr>
                <w:rFonts w:ascii="Arial" w:cs="Arial" w:eastAsia="Arial" w:hAnsi="Arial"/>
                <w:sz w:val="18"/>
                <w:szCs w:val="18"/>
                <w:color w:val="auto"/>
              </w:rPr>
              <w:t>Partnership’s profit allocated to GasLog</w:t>
            </w: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760" w:type="dxa"/>
            <w:vAlign w:val="bottom"/>
            <w:gridSpan w:val="4"/>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6,171</w:t>
            </w:r>
          </w:p>
        </w:tc>
        <w:tc>
          <w:tcPr>
            <w:tcW w:w="46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4,939</w:t>
            </w:r>
          </w:p>
        </w:tc>
        <w:tc>
          <w:tcPr>
            <w:tcW w:w="42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11,763</w:t>
            </w:r>
          </w:p>
        </w:tc>
        <w:tc>
          <w:tcPr>
            <w:tcW w:w="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11,321</w:t>
            </w: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Partnership’s profit allocated to non-controlling interest</w:t>
            </w:r>
          </w:p>
        </w:tc>
        <w:tc>
          <w:tcPr>
            <w:tcW w:w="16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11,210</w:t>
            </w:r>
          </w:p>
        </w:tc>
        <w:tc>
          <w:tcPr>
            <w:tcW w:w="166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14,419</w:t>
            </w:r>
          </w:p>
        </w:tc>
        <w:tc>
          <w:tcPr>
            <w:tcW w:w="15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21,810</w:t>
            </w: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17,381</w:t>
            </w:r>
          </w:p>
        </w:tc>
        <w:tc>
          <w:tcPr>
            <w:tcW w:w="4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4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0080" w:type="dxa"/>
            <w:vAlign w:val="bottom"/>
            <w:gridSpan w:val="12"/>
          </w:tcPr>
          <w:p>
            <w:pPr>
              <w:spacing w:after="0"/>
              <w:rPr>
                <w:sz w:val="20"/>
                <w:szCs w:val="20"/>
                <w:color w:val="auto"/>
              </w:rPr>
            </w:pPr>
            <w:r>
              <w:rPr>
                <w:rFonts w:ascii="Arial" w:cs="Arial" w:eastAsia="Arial" w:hAnsi="Arial"/>
                <w:sz w:val="14"/>
                <w:szCs w:val="14"/>
                <w:color w:val="auto"/>
                <w:w w:val="97"/>
              </w:rPr>
              <w:t>*  Includes profits of GAS-seven Ltd. and GAS-eleven Ltd. for the period prior to their transfers to the Partnership on November 1, 2016 and May 3, 2017, respectively.</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4. Investment in Associates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440" w:type="dxa"/>
            <w:vAlign w:val="bottom"/>
            <w:gridSpan w:val="6"/>
          </w:tcPr>
          <w:p>
            <w:pPr>
              <w:spacing w:after="0"/>
              <w:rPr>
                <w:sz w:val="20"/>
                <w:szCs w:val="20"/>
                <w:color w:val="auto"/>
              </w:rPr>
            </w:pPr>
            <w:r>
              <w:rPr>
                <w:rFonts w:ascii="Arial" w:cs="Arial" w:eastAsia="Arial" w:hAnsi="Arial"/>
                <w:sz w:val="18"/>
                <w:szCs w:val="18"/>
                <w:color w:val="auto"/>
              </w:rPr>
              <w:t>The movements in investment in associates are reported in the following table:</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6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As of January 1, 2017</w:t>
            </w:r>
          </w:p>
        </w:tc>
        <w:tc>
          <w:tcPr>
            <w:tcW w:w="122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E5FFFF"/>
            </w:tcBorders>
            <w:shd w:val="clear" w:color="auto" w:fill="E5FFFF"/>
          </w:tcPr>
          <w:p>
            <w:pPr>
              <w:spacing w:after="0"/>
              <w:rPr>
                <w:sz w:val="18"/>
                <w:szCs w:val="18"/>
                <w:color w:val="auto"/>
              </w:rPr>
            </w:pPr>
          </w:p>
        </w:tc>
        <w:tc>
          <w:tcPr>
            <w:tcW w:w="4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6,265</w:t>
            </w: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2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Return of investment from associate</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Dividend declared</w:t>
            </w:r>
          </w:p>
        </w:tc>
        <w:tc>
          <w:tcPr>
            <w:tcW w:w="12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2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As of June 30, 2017</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256"/>
        <w:spacing w:after="0" w:line="264" w:lineRule="auto"/>
        <w:rPr>
          <w:sz w:val="20"/>
          <w:szCs w:val="20"/>
          <w:color w:val="auto"/>
        </w:rPr>
      </w:pPr>
      <w:r>
        <w:rPr>
          <w:rFonts w:ascii="Arial" w:cs="Arial" w:eastAsia="Arial" w:hAnsi="Arial"/>
          <w:sz w:val="18"/>
          <w:szCs w:val="18"/>
          <w:color w:val="auto"/>
        </w:rPr>
        <w:t>The additions of $13,944 relate to the investment in Gastrade. 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Tangible Fixed Assets, Vessels Under Construction and Vessel Held Under Finance Lease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movements in tangible fixed assets, vessels under construction and vessel held under finance lease are reported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Office</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property</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Vessel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and other</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tangible fixed</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Vessels under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finance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Vessels</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tangible assets</w:t>
            </w: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assets</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construction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lease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3640" w:type="dxa"/>
            <w:vAlign w:val="bottom"/>
            <w:tcBorders>
              <w:top w:val="single" w:sz="8" w:color="E5FFFF"/>
              <w:bottom w:val="single" w:sz="8" w:color="E5FFFF"/>
            </w:tcBorders>
            <w:gridSpan w:val="3"/>
            <w:shd w:val="clear" w:color="auto" w:fill="E5FFFF"/>
          </w:tcPr>
          <w:p>
            <w:pPr>
              <w:spacing w:after="0"/>
              <w:rPr>
                <w:sz w:val="16"/>
                <w:szCs w:val="16"/>
                <w:color w:val="auto"/>
              </w:rPr>
            </w:pPr>
          </w:p>
        </w:tc>
        <w:tc>
          <w:tcPr>
            <w:tcW w:w="116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26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26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As of January 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4,212,849</w:t>
            </w:r>
          </w:p>
        </w:tc>
        <w:tc>
          <w:tcPr>
            <w:tcW w:w="36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14,501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4,227,350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96,356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Additions</w:t>
            </w:r>
          </w:p>
        </w:tc>
        <w:tc>
          <w:tcPr>
            <w:tcW w:w="15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3,080</w:t>
            </w:r>
          </w:p>
        </w:tc>
        <w:tc>
          <w:tcPr>
            <w:tcW w:w="16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863</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3,943</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61,834</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b w:val="1"/>
                <w:bCs w:val="1"/>
                <w:color w:val="auto"/>
              </w:rPr>
              <w:t>As of June 30,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4,215,929</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15,364</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4,231,293</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158,190</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8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11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of January 1, 2017</w:t>
            </w:r>
          </w:p>
        </w:tc>
        <w:tc>
          <w:tcPr>
            <w:tcW w:w="1980" w:type="dxa"/>
            <w:vAlign w:val="bottom"/>
            <w:tcBorders>
              <w:top w:val="single" w:sz="8" w:color="E5FFFF"/>
            </w:tcBorders>
          </w:tcPr>
          <w:p>
            <w:pPr>
              <w:spacing w:after="0"/>
              <w:rPr>
                <w:sz w:val="18"/>
                <w:szCs w:val="18"/>
                <w:color w:val="auto"/>
              </w:rPr>
            </w:pPr>
          </w:p>
        </w:tc>
        <w:tc>
          <w:tcPr>
            <w:tcW w:w="152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334,960</w:t>
            </w:r>
          </w:p>
        </w:tc>
        <w:tc>
          <w:tcPr>
            <w:tcW w:w="162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3,343</w:t>
            </w:r>
          </w:p>
        </w:tc>
        <w:tc>
          <w:tcPr>
            <w:tcW w:w="158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338,303</w:t>
            </w:r>
          </w:p>
        </w:tc>
        <w:tc>
          <w:tcPr>
            <w:tcW w:w="146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5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63,642</w:t>
            </w:r>
          </w:p>
        </w:tc>
        <w:tc>
          <w:tcPr>
            <w:tcW w:w="16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711</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64,353</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b w:val="1"/>
                <w:bCs w:val="1"/>
                <w:color w:val="auto"/>
              </w:rPr>
              <w:t>As of June 30,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398,602</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4,054</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402,656</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Net book value</w:t>
            </w:r>
          </w:p>
        </w:tc>
        <w:tc>
          <w:tcPr>
            <w:tcW w:w="2840" w:type="dxa"/>
            <w:vAlign w:val="bottom"/>
            <w:tcBorders>
              <w:bottom w:val="single" w:sz="8" w:color="E5FFFF"/>
            </w:tcBorders>
            <w:gridSpan w:val="2"/>
            <w:shd w:val="clear" w:color="auto" w:fill="E5FFFF"/>
          </w:tcPr>
          <w:p>
            <w:pPr>
              <w:spacing w:after="0"/>
              <w:rPr>
                <w:sz w:val="17"/>
                <w:szCs w:val="17"/>
                <w:color w:val="auto"/>
              </w:rPr>
            </w:pPr>
          </w:p>
        </w:tc>
        <w:tc>
          <w:tcPr>
            <w:tcW w:w="11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3,877,889</w:t>
            </w:r>
          </w:p>
        </w:tc>
        <w:tc>
          <w:tcPr>
            <w:tcW w:w="36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11,158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3,889,047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96,356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June 30, 2017</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3,817,327</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11,310</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3,828,637</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158,190</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218,198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2"/>
          </w:tcPr>
          <w:p>
            <w:pPr>
              <w:jc w:val="right"/>
              <w:ind w:right="1260"/>
              <w:spacing w:after="0"/>
              <w:rPr>
                <w:sz w:val="20"/>
                <w:szCs w:val="20"/>
                <w:color w:val="auto"/>
              </w:rPr>
            </w:pPr>
            <w:r>
              <w:rPr>
                <w:rFonts w:ascii="Arial" w:cs="Arial" w:eastAsia="Arial" w:hAnsi="Arial"/>
                <w:sz w:val="18"/>
                <w:szCs w:val="18"/>
                <w:color w:val="auto"/>
                <w:w w:val="91"/>
              </w:rPr>
              <w:t>F-10</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198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522" w:gutter="0" w:footer="0" w:header="0"/>
        </w:sectPr>
      </w:pPr>
    </w:p>
    <w:bookmarkStart w:id="36" w:name="page37"/>
    <w:bookmarkEnd w:id="36"/>
    <w:p>
      <w:pPr>
        <w:ind w:right="160" w:firstLine="436"/>
        <w:spacing w:after="0" w:line="277" w:lineRule="auto"/>
        <w:rPr>
          <w:sz w:val="20"/>
          <w:szCs w:val="20"/>
          <w:color w:val="auto"/>
        </w:rPr>
      </w:pPr>
      <w:r>
        <w:rPr>
          <w:rFonts w:ascii="Arial" w:cs="Arial" w:eastAsia="Arial" w:hAnsi="Arial"/>
          <w:sz w:val="18"/>
          <w:szCs w:val="18"/>
          <w:color w:val="auto"/>
        </w:rPr>
        <w:t>Vessels with an aggregate carrying amount of $3,817,327 as of June 30, 2017 (December 31, 2016: $3,877,889) have been pledged as collateral under the terms of the Group’s loan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Heavy Industries Co. Ltd. (“Samsung”) for the construction of two LNG carriers (174,000 cubic meters each). The vessels are expected to be delivered in the first quarter of 2018 and 2019,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2014, GAS-twenty four Ltd. and GAS-twenty five Ltd. entered into shipbuilding contracts with Hyundai Heavy Industries Co.,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(“Hyundai”) for the construction of two LNG carriers (174,000 cubic meters each). The vessels are expected to be delivered in the first quarter of 2018.</w:t>
      </w:r>
    </w:p>
    <w:p>
      <w:pPr>
        <w:spacing w:after="0" w:line="222" w:lineRule="exact"/>
        <w:rPr>
          <w:sz w:val="20"/>
          <w:szCs w:val="20"/>
          <w:color w:val="auto"/>
        </w:rPr>
      </w:pPr>
    </w:p>
    <w:p>
      <w:pPr>
        <w:jc w:val="both"/>
        <w:ind w:right="20" w:firstLine="436"/>
        <w:spacing w:after="0" w:line="277" w:lineRule="auto"/>
        <w:rPr>
          <w:sz w:val="20"/>
          <w:szCs w:val="20"/>
          <w:color w:val="auto"/>
        </w:rPr>
      </w:pPr>
      <w:r>
        <w:rPr>
          <w:rFonts w:ascii="Arial" w:cs="Arial" w:eastAsia="Arial" w:hAnsi="Arial"/>
          <w:sz w:val="18"/>
          <w:szCs w:val="18"/>
          <w:color w:val="auto"/>
        </w:rPr>
        <w:t>In September 2016, GAS-twenty eight Ltd. entered into a shipbuilding contract with Samsung for the construction of one LNG carrier (180,000 cubic meters). The vessel is expected to be delivered in the second quarter of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21, 2017, GasLog entered into a Heads of Agreement (“HOA”) with Samsung for the potential conversion of an existing vessel of the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$3,400 of the cost was paid, in accordance with the repayment terms.</w:t>
      </w:r>
    </w:p>
    <w:p>
      <w:pPr>
        <w:spacing w:after="0" w:line="211"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June 30, 2017, the Group has paid to the shipyard $149,110 for the vessels that are under construction and expects to pay the remaining installments as they come due upon each vessel’s keel laying, launching and delivery (Note 12).</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vessels under construction costs as of December 31, 2016 and June 30,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5"/>
              </w:rPr>
              <w:t>June 30, 2017</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Progress shipyard installments</w:t>
            </w:r>
          </w:p>
        </w:tc>
        <w:tc>
          <w:tcPr>
            <w:tcW w:w="6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760" w:type="dxa"/>
            <w:vAlign w:val="bottom"/>
            <w:tcBorders>
              <w:top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91,375</w:t>
            </w:r>
          </w:p>
        </w:tc>
        <w:tc>
          <w:tcPr>
            <w:tcW w:w="1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149,110</w:t>
            </w: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Onsite supervision costs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160"/>
              <w:spacing w:after="0"/>
              <w:rPr>
                <w:sz w:val="20"/>
                <w:szCs w:val="20"/>
                <w:color w:val="auto"/>
              </w:rPr>
            </w:pPr>
            <w:r>
              <w:rPr>
                <w:rFonts w:ascii="Arial" w:cs="Arial" w:eastAsia="Arial" w:hAnsi="Arial"/>
                <w:sz w:val="18"/>
                <w:szCs w:val="18"/>
                <w:color w:val="auto"/>
              </w:rPr>
              <w:t>4,915</w:t>
            </w:r>
          </w:p>
        </w:tc>
        <w:tc>
          <w:tcPr>
            <w:tcW w:w="1580" w:type="dxa"/>
            <w:vAlign w:val="bottom"/>
            <w:gridSpan w:val="5"/>
          </w:tcPr>
          <w:p>
            <w:pPr>
              <w:jc w:val="right"/>
              <w:ind w:right="6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6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4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920" w:type="dxa"/>
            <w:vAlign w:val="bottom"/>
            <w:gridSpan w:val="5"/>
            <w:shd w:val="clear" w:color="auto" w:fill="E5FFFF"/>
          </w:tcPr>
          <w:p>
            <w:pPr>
              <w:jc w:val="right"/>
              <w:ind w:right="160"/>
              <w:spacing w:after="0"/>
              <w:rPr>
                <w:sz w:val="20"/>
                <w:szCs w:val="20"/>
                <w:color w:val="auto"/>
              </w:rPr>
            </w:pPr>
            <w:r>
              <w:rPr>
                <w:rFonts w:ascii="Arial" w:cs="Arial" w:eastAsia="Arial" w:hAnsi="Arial"/>
                <w:sz w:val="18"/>
                <w:szCs w:val="18"/>
                <w:color w:val="auto"/>
              </w:rPr>
              <w:t>66</w:t>
            </w:r>
          </w:p>
        </w:tc>
        <w:tc>
          <w:tcPr>
            <w:tcW w:w="158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96,356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158,190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Sale and Leaseback</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4"/>
          </w:tcPr>
          <w:p>
            <w:pPr>
              <w:ind w:left="400"/>
              <w:spacing w:after="0"/>
              <w:rPr>
                <w:sz w:val="20"/>
                <w:szCs w:val="20"/>
                <w:color w:val="auto"/>
              </w:rPr>
            </w:pPr>
            <w:r>
              <w:rPr>
                <w:rFonts w:ascii="Arial" w:cs="Arial" w:eastAsia="Arial" w:hAnsi="Arial"/>
                <w:sz w:val="18"/>
                <w:szCs w:val="18"/>
                <w:color w:val="auto"/>
                <w:w w:val="95"/>
              </w:rPr>
              <w:t>The movements in finance lease liabilities are reported in the following table:</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80" w:type="dxa"/>
            <w:vAlign w:val="bottom"/>
          </w:tcPr>
          <w:p>
            <w:pPr>
              <w:spacing w:after="0"/>
              <w:rPr>
                <w:sz w:val="24"/>
                <w:szCs w:val="24"/>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Opening balance</w:t>
            </w:r>
          </w:p>
        </w:tc>
        <w:tc>
          <w:tcPr>
            <w:tcW w:w="17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Cash flows</w:t>
            </w:r>
          </w:p>
        </w:tc>
        <w:tc>
          <w:tcPr>
            <w:tcW w:w="120" w:type="dxa"/>
            <w:vAlign w:val="bottom"/>
          </w:tcPr>
          <w:p>
            <w:pPr>
              <w:spacing w:after="0"/>
              <w:rPr>
                <w:sz w:val="24"/>
                <w:szCs w:val="24"/>
                <w:color w:val="auto"/>
              </w:rPr>
            </w:pPr>
          </w:p>
        </w:tc>
        <w:tc>
          <w:tcPr>
            <w:tcW w:w="1800" w:type="dxa"/>
            <w:vAlign w:val="bottom"/>
            <w:gridSpan w:val="4"/>
          </w:tcPr>
          <w:p>
            <w:pPr>
              <w:ind w:left="200"/>
              <w:spacing w:after="0"/>
              <w:rPr>
                <w:sz w:val="20"/>
                <w:szCs w:val="20"/>
                <w:color w:val="auto"/>
              </w:rPr>
            </w:pPr>
            <w:r>
              <w:rPr>
                <w:rFonts w:ascii="Arial" w:cs="Arial" w:eastAsia="Arial" w:hAnsi="Arial"/>
                <w:sz w:val="18"/>
                <w:szCs w:val="18"/>
                <w:b w:val="1"/>
                <w:bCs w:val="1"/>
                <w:color w:val="auto"/>
              </w:rPr>
              <w:t>Non-cash items</w:t>
            </w:r>
          </w:p>
        </w:tc>
        <w:tc>
          <w:tcPr>
            <w:tcW w:w="280" w:type="dxa"/>
            <w:vAlign w:val="bottom"/>
          </w:tcPr>
          <w:p>
            <w:pPr>
              <w:spacing w:after="0"/>
              <w:rPr>
                <w:sz w:val="24"/>
                <w:szCs w:val="2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Finance lease liabilities as of January 1, 2017</w:t>
            </w:r>
          </w:p>
        </w:tc>
        <w:tc>
          <w:tcPr>
            <w:tcW w:w="100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89"/>
              </w:rPr>
              <w:t>220,401</w:t>
            </w:r>
          </w:p>
        </w:tc>
        <w:tc>
          <w:tcPr>
            <w:tcW w:w="2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5FFFF"/>
            </w:tcBorders>
            <w:gridSpan w:val="2"/>
            <w:shd w:val="clear" w:color="auto" w:fill="E5FFFF"/>
          </w:tcPr>
          <w:p>
            <w:pPr>
              <w:spacing w:after="0"/>
              <w:rPr>
                <w:sz w:val="18"/>
                <w:szCs w:val="18"/>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220,401</w:t>
            </w:r>
          </w:p>
        </w:tc>
        <w:tc>
          <w:tcPr>
            <w:tcW w:w="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Finance lease charge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5,436</w:t>
            </w:r>
          </w:p>
        </w:tc>
        <w:tc>
          <w:tcPr>
            <w:tcW w:w="16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E5FFFF"/>
          </w:tcPr>
          <w:p>
            <w:pPr>
              <w:spacing w:after="0"/>
              <w:rPr>
                <w:sz w:val="20"/>
                <w:szCs w:val="20"/>
                <w:color w:val="auto"/>
              </w:rPr>
            </w:pPr>
            <w:r>
              <w:rPr>
                <w:rFonts w:ascii="Arial" w:cs="Arial" w:eastAsia="Arial" w:hAnsi="Arial"/>
                <w:sz w:val="18"/>
                <w:szCs w:val="18"/>
                <w:color w:val="auto"/>
              </w:rPr>
              <w:t>Payments</w:t>
            </w:r>
          </w:p>
        </w:tc>
        <w:tc>
          <w:tcPr>
            <w:tcW w:w="100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8"/>
                <w:szCs w:val="18"/>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44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5"/>
            <w:shd w:val="clear" w:color="auto" w:fill="E5FFFF"/>
          </w:tcPr>
          <w:p>
            <w:pPr>
              <w:jc w:val="right"/>
              <w:ind w:right="40"/>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Finance lease liabilities as of June 30, 2017</w:t>
            </w:r>
          </w:p>
        </w:tc>
        <w:tc>
          <w:tcPr>
            <w:tcW w:w="100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220,401</w:t>
            </w:r>
          </w:p>
        </w:tc>
        <w:tc>
          <w:tcPr>
            <w:tcW w:w="24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vMerge w:val="restart"/>
          </w:tcPr>
          <w:p>
            <w:pPr>
              <w:spacing w:after="0"/>
              <w:rPr>
                <w:sz w:val="12"/>
                <w:szCs w:val="12"/>
                <w:color w:val="auto"/>
              </w:rPr>
            </w:pPr>
          </w:p>
        </w:tc>
        <w:tc>
          <w:tcPr>
            <w:tcW w:w="164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5,436</w:t>
            </w:r>
          </w:p>
        </w:tc>
        <w:tc>
          <w:tcPr>
            <w:tcW w:w="160" w:type="dxa"/>
            <w:vAlign w:val="bottom"/>
          </w:tcPr>
          <w:p>
            <w:pPr>
              <w:spacing w:after="0"/>
              <w:rPr>
                <w:sz w:val="12"/>
                <w:szCs w:val="12"/>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216,986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3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700" w:type="dxa"/>
            <w:vAlign w:val="bottom"/>
            <w:gridSpan w:val="4"/>
          </w:tcPr>
          <w:p>
            <w:pPr>
              <w:jc w:val="right"/>
              <w:ind w:right="20"/>
              <w:spacing w:after="0" w:line="68" w:lineRule="exact"/>
              <w:rPr>
                <w:sz w:val="20"/>
                <w:szCs w:val="20"/>
                <w:color w:val="auto"/>
              </w:rPr>
            </w:pPr>
            <w:r>
              <w:rPr>
                <w:rFonts w:ascii="Arial" w:cs="Arial" w:eastAsia="Arial" w:hAnsi="Arial"/>
                <w:sz w:val="7"/>
                <w:szCs w:val="7"/>
                <w:b w:val="1"/>
                <w:bCs w:val="1"/>
                <w:color w:val="auto"/>
              </w:rPr>
              <w:t>(8,851</w:t>
            </w:r>
          </w:p>
        </w:tc>
        <w:tc>
          <w:tcPr>
            <w:tcW w:w="120" w:type="dxa"/>
            <w:vAlign w:val="bottom"/>
            <w:vMerge w:val="continue"/>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7. Borrowings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ind w:left="400"/>
              <w:spacing w:after="0"/>
              <w:rPr>
                <w:sz w:val="20"/>
                <w:szCs w:val="20"/>
                <w:color w:val="auto"/>
              </w:rPr>
            </w:pPr>
            <w:r>
              <w:rPr>
                <w:rFonts w:ascii="Arial" w:cs="Arial" w:eastAsia="Arial" w:hAnsi="Arial"/>
                <w:sz w:val="18"/>
                <w:szCs w:val="18"/>
                <w:color w:val="auto"/>
              </w:rPr>
              <w:t>An analysis of the borrowings is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7"/>
          </w:tcPr>
          <w:p>
            <w:pPr>
              <w:ind w:left="60"/>
              <w:spacing w:after="0"/>
              <w:rPr>
                <w:sz w:val="20"/>
                <w:szCs w:val="20"/>
                <w:color w:val="auto"/>
              </w:rPr>
            </w:pPr>
            <w:r>
              <w:rPr>
                <w:rFonts w:ascii="Arial" w:cs="Arial" w:eastAsia="Arial" w:hAnsi="Arial"/>
                <w:sz w:val="18"/>
                <w:szCs w:val="18"/>
                <w:b w:val="1"/>
                <w:bCs w:val="1"/>
                <w:color w:val="auto"/>
              </w:rPr>
              <w:t>December 31, 2016</w:t>
            </w:r>
          </w:p>
        </w:tc>
        <w:tc>
          <w:tcPr>
            <w:tcW w:w="15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Amounts due within one year</w:t>
            </w:r>
          </w:p>
        </w:tc>
        <w:tc>
          <w:tcPr>
            <w:tcW w:w="6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156,645</w:t>
            </w:r>
          </w:p>
        </w:tc>
        <w:tc>
          <w:tcPr>
            <w:tcW w:w="2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229,808</w:t>
            </w:r>
          </w:p>
        </w:tc>
        <w:tc>
          <w:tcPr>
            <w:tcW w:w="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88"/>
              </w:rPr>
              <w:t>Less: unamortized deferred loan and senior unsecured notes issuance costs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color w:val="auto"/>
              </w:rPr>
              <w:t>(9,197)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5"/>
          </w:tcPr>
          <w:p>
            <w:pPr>
              <w:jc w:val="right"/>
              <w:ind w:right="4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Borrowings, current portion</w:t>
            </w:r>
          </w:p>
        </w:tc>
        <w:tc>
          <w:tcPr>
            <w:tcW w:w="6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147,448</w:t>
            </w:r>
          </w:p>
        </w:tc>
        <w:tc>
          <w:tcPr>
            <w:tcW w:w="2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219,905</w:t>
            </w:r>
          </w:p>
        </w:tc>
        <w:tc>
          <w:tcPr>
            <w:tcW w:w="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Amounts due after one year</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2,543,357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2,477,552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Plus: unamortized premium</w:t>
            </w:r>
            <w:r>
              <w:rPr>
                <w:rFonts w:ascii="Arial" w:cs="Arial" w:eastAsia="Arial" w:hAnsi="Arial"/>
                <w:sz w:val="29"/>
                <w:szCs w:val="29"/>
                <w:color w:val="auto"/>
                <w:vertAlign w:val="superscript"/>
              </w:rPr>
              <w:t>(1)</w:t>
            </w:r>
          </w:p>
        </w:tc>
        <w:tc>
          <w:tcPr>
            <w:tcW w:w="60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44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700" w:type="dxa"/>
            <w:vAlign w:val="bottom"/>
            <w:gridSpan w:val="3"/>
            <w:shd w:val="clear" w:color="auto" w:fill="E5FFFF"/>
          </w:tcPr>
          <w:p>
            <w:pPr>
              <w:jc w:val="right"/>
              <w:ind w:right="130"/>
              <w:spacing w:after="0"/>
              <w:rPr>
                <w:sz w:val="20"/>
                <w:szCs w:val="20"/>
                <w:color w:val="auto"/>
              </w:rPr>
            </w:pPr>
            <w:r>
              <w:rPr>
                <w:rFonts w:ascii="Arial" w:cs="Arial" w:eastAsia="Arial" w:hAnsi="Arial"/>
                <w:sz w:val="18"/>
                <w:szCs w:val="18"/>
                <w:color w:val="auto"/>
              </w:rPr>
              <w:t>1,304</w:t>
            </w: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88"/>
              </w:rPr>
              <w:t>Less: unamortized deferred loan and senior unsecured notes issuance costs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color w:val="auto"/>
              </w:rPr>
              <w:t>(40,083)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5"/>
          </w:tcPr>
          <w:p>
            <w:pPr>
              <w:jc w:val="right"/>
              <w:ind w:right="40"/>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Borrowings, non-current portion</w:t>
            </w:r>
          </w:p>
        </w:tc>
        <w:tc>
          <w:tcPr>
            <w:tcW w:w="6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2,504,578</w:t>
            </w:r>
          </w:p>
        </w:tc>
        <w:tc>
          <w:tcPr>
            <w:tcW w:w="2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2,441,120</w:t>
            </w:r>
          </w:p>
        </w:tc>
        <w:tc>
          <w:tcPr>
            <w:tcW w:w="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2,652,026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2,661,025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Refer to “Senior Unsecured Notes” disclosed below for details on the premium.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right="140" w:firstLine="436"/>
        <w:spacing w:after="0" w:line="257" w:lineRule="auto"/>
        <w:rPr>
          <w:sz w:val="20"/>
          <w:szCs w:val="20"/>
          <w:color w:val="auto"/>
        </w:rPr>
      </w:pPr>
      <w:r>
        <w:rPr>
          <w:rFonts w:ascii="Arial" w:cs="Arial" w:eastAsia="Arial" w:hAnsi="Arial"/>
          <w:sz w:val="18"/>
          <w:szCs w:val="18"/>
          <w:color w:val="auto"/>
        </w:rPr>
        <w:t>The main terms of the Group’s loan facilities in existence as of December 31, 2016 have been disclosed in the annual audited consolidated financial statements for the year ended December 31, 2016. Refer to Note 13 “Borrowings”. During the six months ended June 30, 2017, GasLog drew down $30,000 from its revolving credit facility of the credit agreement entered into on July 19, 2016 (the “Legacy Facility Refinancing”). In addition, on April 5, 2017, GasLog prepaid $150,000 under the junior tranche of the credit agreement that subsidiaries of GasLog and GasLog Partners entered into on February 18, 2016 (the “Five Vessel Refinancing”).</w:t>
      </w:r>
    </w:p>
    <w:p>
      <w:pPr>
        <w:spacing w:after="0" w:line="188" w:lineRule="exact"/>
        <w:rPr>
          <w:sz w:val="20"/>
          <w:szCs w:val="20"/>
          <w:color w:val="auto"/>
        </w:rPr>
      </w:pPr>
    </w:p>
    <w:p>
      <w:pPr>
        <w:ind w:right="20" w:firstLine="436"/>
        <w:spacing w:after="0" w:line="277"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 and senior unsecured notes issuance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869"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440" w:firstLine="436"/>
        <w:spacing w:after="0" w:line="277" w:lineRule="auto"/>
        <w:rPr>
          <w:sz w:val="20"/>
          <w:szCs w:val="20"/>
          <w:color w:val="auto"/>
        </w:rPr>
      </w:pPr>
      <w:r>
        <w:rPr>
          <w:rFonts w:ascii="Arial" w:cs="Arial" w:eastAsia="Arial" w:hAnsi="Arial"/>
          <w:sz w:val="18"/>
          <w:szCs w:val="18"/>
          <w:color w:val="auto"/>
        </w:rPr>
        <w:t>The main terms of the Group’s senior unsecured NOK bonds (the “NOK Bonds”) have been disclosed in the annual audited consolidated financial statements for the year ended December 31, 2016. Refer to Note 13 “Borrowings”.</w:t>
      </w:r>
    </w:p>
    <w:p>
      <w:pPr>
        <w:spacing w:after="0" w:line="170" w:lineRule="exact"/>
        <w:rPr>
          <w:sz w:val="20"/>
          <w:szCs w:val="20"/>
          <w:color w:val="auto"/>
        </w:rPr>
      </w:pPr>
    </w:p>
    <w:p>
      <w:pPr>
        <w:ind w:right="20" w:firstLine="436"/>
        <w:spacing w:after="0" w:line="312" w:lineRule="auto"/>
        <w:rPr>
          <w:sz w:val="20"/>
          <w:szCs w:val="20"/>
          <w:color w:val="auto"/>
        </w:rPr>
      </w:pPr>
      <w:r>
        <w:rPr>
          <w:rFonts w:ascii="Arial" w:cs="Arial" w:eastAsia="Arial" w:hAnsi="Arial"/>
          <w:sz w:val="16"/>
          <w:szCs w:val="16"/>
          <w:color w:val="auto"/>
        </w:rPr>
        <w:t>On June 27, 2017, GasLog completed the repurchase of the outstanding NOK bonds maturing in April 2018, at a price of 103.0% of par value, resulting in a loss of $1,459, for a total consideration of NOK 424,360 ($70,783 at the swapped rate under the associated cross currency swaps). Additionally, as a result of the repurchase, the unamortized bond fees and premium of $283 (gain) were written off to profit or loss for the six months ended June 30, 2017.</w:t>
      </w:r>
    </w:p>
    <w:p>
      <w:pPr>
        <w:spacing w:after="0" w:line="147" w:lineRule="exact"/>
        <w:rPr>
          <w:sz w:val="20"/>
          <w:szCs w:val="20"/>
          <w:color w:val="auto"/>
        </w:rPr>
      </w:pPr>
    </w:p>
    <w:p>
      <w:pPr>
        <w:ind w:right="40" w:firstLine="436"/>
        <w:spacing w:after="0" w:line="264" w:lineRule="auto"/>
        <w:rPr>
          <w:sz w:val="20"/>
          <w:szCs w:val="20"/>
          <w:color w:val="auto"/>
        </w:rPr>
      </w:pPr>
      <w:r>
        <w:rPr>
          <w:rFonts w:ascii="Arial" w:cs="Arial" w:eastAsia="Arial" w:hAnsi="Arial"/>
          <w:sz w:val="18"/>
          <w:szCs w:val="18"/>
          <w:color w:val="auto"/>
        </w:rPr>
        <w:t>The aggregate carrying amount under the 750,000 NOK bonds maturing in May 2021, net of unamortized financing costs and unamortized premium, as of June 30, 2017 is $88,057 (December 31, 2016: $133,531) while their aggregate fair value is $94,640 based on a USD/NOK exchange rate of 0.1193 as of June 30, 2017 (December 31, 2016: $138,741, based on a USD/NOK exchange rate of 0.1159).</w:t>
      </w:r>
    </w:p>
    <w:p>
      <w:pPr>
        <w:spacing w:after="0" w:line="181" w:lineRule="exact"/>
        <w:rPr>
          <w:sz w:val="20"/>
          <w:szCs w:val="20"/>
          <w:color w:val="auto"/>
        </w:rPr>
      </w:pPr>
    </w:p>
    <w:p>
      <w:pPr>
        <w:jc w:val="both"/>
        <w:ind w:right="480" w:firstLine="436"/>
        <w:spacing w:after="0" w:line="264" w:lineRule="auto"/>
        <w:rPr>
          <w:sz w:val="20"/>
          <w:szCs w:val="20"/>
          <w:color w:val="auto"/>
        </w:rPr>
      </w:pPr>
      <w:r>
        <w:rPr>
          <w:rFonts w:ascii="Arial" w:cs="Arial" w:eastAsia="Arial" w:hAnsi="Arial"/>
          <w:sz w:val="18"/>
          <w:szCs w:val="18"/>
          <w:color w:val="auto"/>
        </w:rPr>
        <w:t>On March 22, 2017, GasLog closed a public offering of $250,000 aggregate principal amount of 8.875% senior unsecured notes due in 2022 (the “8.875% Senior Notes”) at a public offering price of 100% of the principal amount. The net proceeds from the offering after deducting the underwriting discount and offering expenses were $245,303.</w:t>
      </w:r>
    </w:p>
    <w:p>
      <w:pPr>
        <w:spacing w:after="0" w:line="181"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color w:val="auto"/>
        </w:rPr>
        <w:t>Interest payment on the 8.875% Senior Notes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 (b) the sum of the present values of the remaining scheduled payments of principal and interest thereon (exclusive of interest accrued to but excluding the date of redemption) computed using a discount rate equal to the treasury rate, plus 50 basis points, plus accrued and unpaid interest thereon to the date of redemption.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25"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indebtedness divided by total capitalization must not exceed 75%;</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 less than 1.00:1.00;</w:t>
      </w:r>
    </w:p>
    <w:p>
      <w:pPr>
        <w:spacing w:after="0" w:line="9" w:lineRule="exact"/>
        <w:rPr>
          <w:rFonts w:ascii="Arial" w:cs="Arial" w:eastAsia="Arial" w:hAnsi="Arial"/>
          <w:sz w:val="18"/>
          <w:szCs w:val="18"/>
          <w:color w:val="auto"/>
        </w:rPr>
      </w:pPr>
    </w:p>
    <w:p>
      <w:pPr>
        <w:ind w:left="760" w:right="240" w:hanging="320"/>
        <w:spacing w:after="0" w:line="25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$35,000; and</w:t>
      </w: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$300,000.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Group was in compliance with its financial covenants as of June 30,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Deferred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comprehensive</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Non-cash</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financing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Opening balance</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Cash flows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income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items</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assets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54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Borrowings outstanding as of</w:t>
            </w:r>
          </w:p>
        </w:tc>
        <w:tc>
          <w:tcPr>
            <w:tcW w:w="150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7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January 1, 2017</w:t>
            </w:r>
          </w:p>
        </w:tc>
        <w:tc>
          <w:tcPr>
            <w:tcW w:w="17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2,652,026</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2,652,026</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Proceeds from bank loans and</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bonds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280,000</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02"/>
        </w:trPr>
        <w:tc>
          <w:tcPr>
            <w:tcW w:w="25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Bank loans and bond</w:t>
            </w:r>
          </w:p>
        </w:tc>
        <w:tc>
          <w:tcPr>
            <w:tcW w:w="15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repayments</w:t>
            </w:r>
          </w:p>
        </w:tc>
        <w:tc>
          <w:tcPr>
            <w:tcW w:w="17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(276,158)</w:t>
            </w:r>
          </w:p>
        </w:tc>
        <w:tc>
          <w:tcPr>
            <w:tcW w:w="19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(276,158)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(6,234)</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1,495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02"/>
        </w:trPr>
        <w:tc>
          <w:tcPr>
            <w:tcW w:w="25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Amortization of deferred loan</w:t>
            </w:r>
          </w:p>
        </w:tc>
        <w:tc>
          <w:tcPr>
            <w:tcW w:w="15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and senior unsecured notes</w:t>
            </w:r>
          </w:p>
        </w:tc>
        <w:tc>
          <w:tcPr>
            <w:tcW w:w="15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issuance costs and premium</w:t>
            </w:r>
          </w:p>
        </w:tc>
        <w:tc>
          <w:tcPr>
            <w:tcW w:w="15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(Note 14)</w:t>
            </w:r>
          </w:p>
        </w:tc>
        <w:tc>
          <w:tcPr>
            <w:tcW w:w="17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6,437</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Retranslation of the NOK</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Bonds in U.S. dollars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3,516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E5FFFF"/>
          </w:tcPr>
          <w:p>
            <w:pPr>
              <w:spacing w:after="0"/>
              <w:rPr>
                <w:sz w:val="20"/>
                <w:szCs w:val="20"/>
                <w:color w:val="auto"/>
              </w:rPr>
            </w:pPr>
            <w:r>
              <w:rPr>
                <w:rFonts w:ascii="Arial" w:cs="Arial" w:eastAsia="Arial" w:hAnsi="Arial"/>
                <w:sz w:val="18"/>
                <w:szCs w:val="18"/>
                <w:b w:val="1"/>
                <w:bCs w:val="1"/>
                <w:color w:val="auto"/>
                <w:w w:val="98"/>
              </w:rPr>
              <w:t>Borrowings outstanding as of</w:t>
            </w: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vMerge w:val="continue"/>
            <w:shd w:val="clear" w:color="auto" w:fill="E5FFFF"/>
          </w:tcPr>
          <w:p>
            <w:pPr>
              <w:spacing w:after="0"/>
              <w:rPr>
                <w:sz w:val="17"/>
                <w:szCs w:val="17"/>
                <w:color w:val="auto"/>
              </w:rPr>
            </w:pPr>
          </w:p>
        </w:tc>
        <w:tc>
          <w:tcPr>
            <w:tcW w:w="1500" w:type="dxa"/>
            <w:vAlign w:val="bottom"/>
            <w:vMerge w:val="restart"/>
            <w:shd w:val="clear" w:color="auto" w:fill="E5FFFF"/>
          </w:tcPr>
          <w:p>
            <w:pPr>
              <w:jc w:val="right"/>
              <w:spacing w:after="0"/>
              <w:rPr>
                <w:sz w:val="20"/>
                <w:szCs w:val="20"/>
                <w:color w:val="auto"/>
              </w:rPr>
            </w:pPr>
            <w:r>
              <w:rPr>
                <w:rFonts w:ascii="Arial" w:cs="Arial" w:eastAsia="Arial" w:hAnsi="Arial"/>
                <w:sz w:val="18"/>
                <w:szCs w:val="18"/>
                <w:b w:val="1"/>
                <w:bCs w:val="1"/>
                <w:color w:val="auto"/>
              </w:rPr>
              <w:t>2,652,026</w:t>
            </w:r>
          </w:p>
        </w:tc>
        <w:tc>
          <w:tcPr>
            <w:tcW w:w="240" w:type="dxa"/>
            <w:vAlign w:val="bottom"/>
            <w:vMerge w:val="restart"/>
            <w:shd w:val="clear" w:color="auto" w:fill="E5FFFF"/>
          </w:tcPr>
          <w:p>
            <w:pPr>
              <w:spacing w:after="0"/>
              <w:rPr>
                <w:sz w:val="17"/>
                <w:szCs w:val="17"/>
                <w:color w:val="auto"/>
              </w:rPr>
            </w:pPr>
          </w:p>
        </w:tc>
        <w:tc>
          <w:tcPr>
            <w:tcW w:w="15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3,516</w:t>
            </w:r>
          </w:p>
        </w:tc>
        <w:tc>
          <w:tcPr>
            <w:tcW w:w="112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6,380</w:t>
            </w:r>
          </w:p>
        </w:tc>
        <w:tc>
          <w:tcPr>
            <w:tcW w:w="158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1,495</w:t>
            </w:r>
          </w:p>
        </w:tc>
        <w:tc>
          <w:tcPr>
            <w:tcW w:w="10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2,661,025</w:t>
            </w:r>
          </w:p>
        </w:tc>
        <w:tc>
          <w:tcPr>
            <w:tcW w:w="0" w:type="dxa"/>
            <w:vAlign w:val="bottom"/>
          </w:tcPr>
          <w:p>
            <w:pPr>
              <w:spacing w:after="0"/>
              <w:rPr>
                <w:sz w:val="1"/>
                <w:szCs w:val="1"/>
                <w:color w:val="auto"/>
              </w:rPr>
            </w:pPr>
          </w:p>
        </w:tc>
      </w:tr>
      <w:tr>
        <w:trPr>
          <w:trHeight w:val="153"/>
        </w:trPr>
        <w:tc>
          <w:tcPr>
            <w:tcW w:w="2540" w:type="dxa"/>
            <w:vAlign w:val="bottom"/>
            <w:vMerge w:val="restart"/>
            <w:shd w:val="clear" w:color="auto" w:fill="E5FFFF"/>
          </w:tcPr>
          <w:p>
            <w:pPr>
              <w:ind w:left="180"/>
              <w:spacing w:after="0"/>
              <w:rPr>
                <w:sz w:val="20"/>
                <w:szCs w:val="20"/>
                <w:color w:val="auto"/>
              </w:rPr>
            </w:pPr>
            <w:r>
              <w:rPr>
                <w:rFonts w:ascii="Arial" w:cs="Arial" w:eastAsia="Arial" w:hAnsi="Arial"/>
                <w:sz w:val="18"/>
                <w:szCs w:val="18"/>
                <w:b w:val="1"/>
                <w:bCs w:val="1"/>
                <w:color w:val="auto"/>
              </w:rPr>
              <w:t>June 30, 2017</w:t>
            </w:r>
          </w:p>
        </w:tc>
        <w:tc>
          <w:tcPr>
            <w:tcW w:w="1500" w:type="dxa"/>
            <w:vAlign w:val="bottom"/>
            <w:vMerge w:val="continue"/>
            <w:shd w:val="clear" w:color="auto" w:fill="E5FFFF"/>
          </w:tcPr>
          <w:p>
            <w:pPr>
              <w:spacing w:after="0"/>
              <w:rPr>
                <w:sz w:val="13"/>
                <w:szCs w:val="13"/>
                <w:color w:val="auto"/>
              </w:rPr>
            </w:pPr>
          </w:p>
        </w:tc>
        <w:tc>
          <w:tcPr>
            <w:tcW w:w="240" w:type="dxa"/>
            <w:vAlign w:val="bottom"/>
            <w:vMerge w:val="continue"/>
            <w:shd w:val="clear" w:color="auto" w:fill="E5FFFF"/>
          </w:tcPr>
          <w:p>
            <w:pPr>
              <w:spacing w:after="0"/>
              <w:rPr>
                <w:sz w:val="13"/>
                <w:szCs w:val="13"/>
                <w:color w:val="auto"/>
              </w:rPr>
            </w:pPr>
          </w:p>
        </w:tc>
        <w:tc>
          <w:tcPr>
            <w:tcW w:w="1500" w:type="dxa"/>
            <w:vAlign w:val="bottom"/>
            <w:gridSpan w:val="2"/>
            <w:vMerge w:val="continue"/>
            <w:shd w:val="clear" w:color="auto" w:fill="E5FFFF"/>
          </w:tcPr>
          <w:p>
            <w:pPr>
              <w:spacing w:after="0"/>
              <w:rPr>
                <w:sz w:val="13"/>
                <w:szCs w:val="13"/>
                <w:color w:val="auto"/>
              </w:rPr>
            </w:pPr>
          </w:p>
        </w:tc>
        <w:tc>
          <w:tcPr>
            <w:tcW w:w="1920" w:type="dxa"/>
            <w:vAlign w:val="bottom"/>
            <w:gridSpan w:val="2"/>
            <w:vMerge w:val="continue"/>
            <w:shd w:val="clear" w:color="auto" w:fill="E5FFFF"/>
          </w:tcPr>
          <w:p>
            <w:pPr>
              <w:spacing w:after="0"/>
              <w:rPr>
                <w:sz w:val="13"/>
                <w:szCs w:val="13"/>
                <w:color w:val="auto"/>
              </w:rPr>
            </w:pPr>
          </w:p>
        </w:tc>
        <w:tc>
          <w:tcPr>
            <w:tcW w:w="1120" w:type="dxa"/>
            <w:vAlign w:val="bottom"/>
            <w:gridSpan w:val="2"/>
            <w:vMerge w:val="continue"/>
            <w:shd w:val="clear" w:color="auto" w:fill="E5FFFF"/>
          </w:tcPr>
          <w:p>
            <w:pPr>
              <w:spacing w:after="0"/>
              <w:rPr>
                <w:sz w:val="13"/>
                <w:szCs w:val="13"/>
                <w:color w:val="auto"/>
              </w:rPr>
            </w:pPr>
          </w:p>
        </w:tc>
        <w:tc>
          <w:tcPr>
            <w:tcW w:w="1580" w:type="dxa"/>
            <w:vAlign w:val="bottom"/>
            <w:gridSpan w:val="2"/>
            <w:vMerge w:val="continue"/>
            <w:shd w:val="clear" w:color="auto" w:fill="E5FFFF"/>
          </w:tcPr>
          <w:p>
            <w:pPr>
              <w:spacing w:after="0"/>
              <w:rPr>
                <w:sz w:val="13"/>
                <w:szCs w:val="13"/>
                <w:color w:val="auto"/>
              </w:rPr>
            </w:pPr>
          </w:p>
        </w:tc>
        <w:tc>
          <w:tcPr>
            <w:tcW w:w="1020" w:type="dxa"/>
            <w:vAlign w:val="bottom"/>
            <w:gridSpan w:val="2"/>
            <w:vMerge w:val="continue"/>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540" w:type="dxa"/>
            <w:vAlign w:val="bottom"/>
            <w:vMerge w:val="continue"/>
            <w:shd w:val="clear" w:color="auto" w:fill="E5FFFF"/>
          </w:tcPr>
          <w:p>
            <w:pPr>
              <w:spacing w:after="0"/>
              <w:rPr>
                <w:sz w:val="5"/>
                <w:szCs w:val="5"/>
                <w:color w:val="auto"/>
              </w:rPr>
            </w:pPr>
          </w:p>
        </w:tc>
        <w:tc>
          <w:tcPr>
            <w:tcW w:w="1500" w:type="dxa"/>
            <w:vAlign w:val="bottom"/>
            <w:vMerge w:val="continue"/>
            <w:shd w:val="clear" w:color="auto" w:fill="E5FFFF"/>
          </w:tcPr>
          <w:p>
            <w:pPr>
              <w:spacing w:after="0"/>
              <w:rPr>
                <w:sz w:val="5"/>
                <w:szCs w:val="5"/>
                <w:color w:val="auto"/>
              </w:rPr>
            </w:pPr>
          </w:p>
        </w:tc>
        <w:tc>
          <w:tcPr>
            <w:tcW w:w="240" w:type="dxa"/>
            <w:vAlign w:val="bottom"/>
            <w:vMerge w:val="continue"/>
            <w:shd w:val="clear" w:color="auto" w:fill="E5FFFF"/>
          </w:tcPr>
          <w:p>
            <w:pPr>
              <w:spacing w:after="0"/>
              <w:rPr>
                <w:sz w:val="5"/>
                <w:szCs w:val="5"/>
                <w:color w:val="auto"/>
              </w:rPr>
            </w:pPr>
          </w:p>
        </w:tc>
        <w:tc>
          <w:tcPr>
            <w:tcW w:w="1500" w:type="dxa"/>
            <w:vAlign w:val="bottom"/>
            <w:gridSpan w:val="2"/>
            <w:shd w:val="clear" w:color="auto" w:fill="E5FFFF"/>
          </w:tcPr>
          <w:p>
            <w:pPr>
              <w:jc w:val="right"/>
              <w:ind w:right="240"/>
              <w:spacing w:after="0" w:line="68" w:lineRule="exact"/>
              <w:rPr>
                <w:sz w:val="20"/>
                <w:szCs w:val="20"/>
                <w:color w:val="auto"/>
              </w:rPr>
            </w:pPr>
            <w:r>
              <w:rPr>
                <w:rFonts w:ascii="Arial" w:cs="Arial" w:eastAsia="Arial" w:hAnsi="Arial"/>
                <w:sz w:val="7"/>
                <w:szCs w:val="7"/>
                <w:b w:val="1"/>
                <w:bCs w:val="1"/>
                <w:color w:val="auto"/>
              </w:rPr>
              <w:t>(2,392</w:t>
            </w:r>
          </w:p>
        </w:tc>
        <w:tc>
          <w:tcPr>
            <w:tcW w:w="1920" w:type="dxa"/>
            <w:vAlign w:val="bottom"/>
            <w:gridSpan w:val="2"/>
            <w:vMerge w:val="continue"/>
            <w:shd w:val="clear" w:color="auto" w:fill="E5FFFF"/>
          </w:tcPr>
          <w:p>
            <w:pPr>
              <w:spacing w:after="0"/>
              <w:rPr>
                <w:sz w:val="5"/>
                <w:szCs w:val="5"/>
                <w:color w:val="auto"/>
              </w:rPr>
            </w:pPr>
          </w:p>
        </w:tc>
        <w:tc>
          <w:tcPr>
            <w:tcW w:w="1120" w:type="dxa"/>
            <w:vAlign w:val="bottom"/>
            <w:gridSpan w:val="2"/>
            <w:vMerge w:val="continue"/>
            <w:shd w:val="clear" w:color="auto" w:fill="E5FFFF"/>
          </w:tcPr>
          <w:p>
            <w:pPr>
              <w:spacing w:after="0"/>
              <w:rPr>
                <w:sz w:val="5"/>
                <w:szCs w:val="5"/>
                <w:color w:val="auto"/>
              </w:rPr>
            </w:pPr>
          </w:p>
        </w:tc>
        <w:tc>
          <w:tcPr>
            <w:tcW w:w="1580" w:type="dxa"/>
            <w:vAlign w:val="bottom"/>
            <w:gridSpan w:val="2"/>
            <w:vMerge w:val="continue"/>
            <w:shd w:val="clear" w:color="auto" w:fill="E5FFFF"/>
          </w:tcPr>
          <w:p>
            <w:pPr>
              <w:spacing w:after="0"/>
              <w:rPr>
                <w:sz w:val="5"/>
                <w:szCs w:val="5"/>
                <w:color w:val="auto"/>
              </w:rPr>
            </w:pPr>
          </w:p>
        </w:tc>
        <w:tc>
          <w:tcPr>
            <w:tcW w:w="1020" w:type="dxa"/>
            <w:vAlign w:val="bottom"/>
            <w:gridSpan w:val="2"/>
            <w:vMerge w:val="continue"/>
            <w:shd w:val="clear" w:color="auto" w:fill="E5FF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ind w:right="240" w:firstLine="436"/>
        <w:spacing w:after="0" w:line="277"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w w:val="92"/>
              </w:rPr>
              <w:t>Dividends receivable and other amounts due from related parties</w:t>
            </w:r>
          </w:p>
        </w:tc>
        <w:tc>
          <w:tcPr>
            <w:tcW w:w="2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180" w:type="dxa"/>
            <w:vAlign w:val="bottom"/>
          </w:tcPr>
          <w:p>
            <w:pPr>
              <w:spacing w:after="0"/>
              <w:rPr>
                <w:sz w:val="20"/>
                <w:szCs w:val="20"/>
                <w:color w:val="auto"/>
              </w:rPr>
            </w:pPr>
          </w:p>
        </w:tc>
        <w:tc>
          <w:tcPr>
            <w:tcW w:w="42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1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Dividends receivable from associate</w:t>
            </w:r>
          </w:p>
        </w:tc>
        <w:tc>
          <w:tcPr>
            <w:tcW w:w="27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Due from the Cool Pool</w:t>
            </w:r>
          </w:p>
        </w:tc>
        <w:tc>
          <w:tcPr>
            <w:tcW w:w="4660" w:type="dxa"/>
            <w:vAlign w:val="bottom"/>
            <w:gridSpan w:val="3"/>
          </w:tcPr>
          <w:p>
            <w:pPr>
              <w:jc w:val="right"/>
              <w:ind w:right="440"/>
              <w:spacing w:after="0"/>
              <w:rPr>
                <w:sz w:val="20"/>
                <w:szCs w:val="20"/>
                <w:color w:val="auto"/>
              </w:rPr>
            </w:pPr>
            <w:r>
              <w:rPr>
                <w:rFonts w:ascii="Arial" w:cs="Arial" w:eastAsia="Arial" w:hAnsi="Arial"/>
                <w:sz w:val="18"/>
                <w:szCs w:val="18"/>
                <w:color w:val="auto"/>
              </w:rPr>
              <w:t>1,930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r>
      <w:tr>
        <w:trPr>
          <w:trHeight w:val="230"/>
        </w:trPr>
        <w:tc>
          <w:tcPr>
            <w:tcW w:w="5180" w:type="dxa"/>
            <w:vAlign w:val="bottom"/>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46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385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257</w:t>
            </w: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3,065</w:t>
            </w:r>
          </w:p>
        </w:tc>
        <w:tc>
          <w:tcPr>
            <w:tcW w:w="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180" w:type="dxa"/>
            <w:vAlign w:val="bottom"/>
          </w:tcPr>
          <w:p>
            <w:pPr>
              <w:spacing w:after="0"/>
              <w:rPr>
                <w:sz w:val="24"/>
                <w:szCs w:val="24"/>
                <w:color w:val="auto"/>
              </w:rPr>
            </w:pPr>
          </w:p>
        </w:tc>
        <w:tc>
          <w:tcPr>
            <w:tcW w:w="4660" w:type="dxa"/>
            <w:vAlign w:val="bottom"/>
            <w:gridSpan w:val="3"/>
          </w:tcPr>
          <w:p>
            <w:pPr>
              <w:ind w:left="360"/>
              <w:spacing w:after="0"/>
              <w:rPr>
                <w:sz w:val="20"/>
                <w:szCs w:val="20"/>
                <w:color w:val="auto"/>
              </w:rPr>
            </w:pPr>
            <w:r>
              <w:rPr>
                <w:rFonts w:ascii="Arial" w:cs="Arial" w:eastAsia="Arial" w:hAnsi="Arial"/>
                <w:sz w:val="18"/>
                <w:szCs w:val="18"/>
                <w:color w:val="auto"/>
              </w:rPr>
              <w:t>F-12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80" w:type="dxa"/>
            <w:vAlign w:val="bottom"/>
            <w:tcBorders>
              <w:bottom w:val="single" w:sz="8" w:color="C0C0C0"/>
            </w:tcBorders>
          </w:tcPr>
          <w:p>
            <w:pPr>
              <w:spacing w:after="0"/>
              <w:rPr>
                <w:sz w:val="21"/>
                <w:szCs w:val="21"/>
                <w:color w:val="auto"/>
              </w:rPr>
            </w:pPr>
          </w:p>
        </w:tc>
        <w:tc>
          <w:tcPr>
            <w:tcW w:w="272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333"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0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5FFFF"/>
            </w:tcBorders>
          </w:tcPr>
          <w:p>
            <w:pPr>
              <w:spacing w:after="0"/>
              <w:rPr>
                <w:sz w:val="20"/>
                <w:szCs w:val="20"/>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5FFFF"/>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ind w:right="200" w:firstLine="436"/>
        <w:spacing w:after="0" w:line="277"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0" w:lineRule="exact"/>
        <w:rPr>
          <w:sz w:val="20"/>
          <w:szCs w:val="20"/>
          <w:color w:val="auto"/>
        </w:rPr>
      </w:pPr>
    </w:p>
    <w:p>
      <w:pPr>
        <w:ind w:right="180" w:firstLine="436"/>
        <w:spacing w:after="0" w:line="277" w:lineRule="auto"/>
        <w:rPr>
          <w:sz w:val="20"/>
          <w:szCs w:val="20"/>
          <w:color w:val="auto"/>
        </w:rPr>
      </w:pPr>
      <w:r>
        <w:rPr>
          <w:rFonts w:ascii="Arial" w:cs="Arial" w:eastAsia="Arial" w:hAnsi="Arial"/>
          <w:sz w:val="18"/>
          <w:szCs w:val="18"/>
          <w:color w:val="auto"/>
        </w:rPr>
        <w:t>Amounts due to related parties of $21 as of June 30, 2017 (December 31, 2016: $105) are expenses paid by a related party on behalf of the Group and payables to other related parties for the office lease and other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General and Administrative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3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For the three months ended</w:t>
            </w:r>
          </w:p>
        </w:tc>
        <w:tc>
          <w:tcPr>
            <w:tcW w:w="340" w:type="dxa"/>
            <w:vAlign w:val="bottom"/>
          </w:tcPr>
          <w:p>
            <w:pPr>
              <w:spacing w:after="0"/>
              <w:rPr>
                <w:sz w:val="19"/>
                <w:szCs w:val="19"/>
                <w:color w:val="auto"/>
              </w:rPr>
            </w:pPr>
          </w:p>
        </w:tc>
        <w:tc>
          <w:tcPr>
            <w:tcW w:w="304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June 30, 2016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June 30, 2017</w:t>
            </w:r>
          </w:p>
        </w:tc>
        <w:tc>
          <w:tcPr>
            <w:tcW w:w="340" w:type="dxa"/>
            <w:vAlign w:val="bottom"/>
          </w:tcPr>
          <w:p>
            <w:pPr>
              <w:spacing w:after="0"/>
              <w:rPr>
                <w:sz w:val="20"/>
                <w:szCs w:val="20"/>
                <w:color w:val="auto"/>
              </w:rPr>
            </w:pPr>
          </w:p>
        </w:tc>
        <w:tc>
          <w:tcPr>
            <w:tcW w:w="1680" w:type="dxa"/>
            <w:vAlign w:val="bottom"/>
            <w:gridSpan w:val="4"/>
          </w:tcPr>
          <w:p>
            <w:pPr>
              <w:ind w:left="100"/>
              <w:spacing w:after="0"/>
              <w:rPr>
                <w:sz w:val="20"/>
                <w:szCs w:val="20"/>
                <w:color w:val="auto"/>
              </w:rPr>
            </w:pPr>
            <w:r>
              <w:rPr>
                <w:rFonts w:ascii="Arial" w:cs="Arial" w:eastAsia="Arial" w:hAnsi="Arial"/>
                <w:sz w:val="18"/>
                <w:szCs w:val="18"/>
                <w:b w:val="1"/>
                <w:bCs w:val="1"/>
                <w:color w:val="auto"/>
              </w:rPr>
              <w:t>June 30, 2016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June 30, 2017</w:t>
            </w:r>
          </w:p>
        </w:tc>
        <w:tc>
          <w:tcPr>
            <w:tcW w:w="0" w:type="dxa"/>
            <w:vAlign w:val="bottom"/>
          </w:tcPr>
          <w:p>
            <w:pPr>
              <w:spacing w:after="0"/>
              <w:rPr>
                <w:sz w:val="1"/>
                <w:szCs w:val="1"/>
                <w:color w:val="auto"/>
              </w:rPr>
            </w:pP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Employee costs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4,760</w:t>
            </w: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9,214</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9,614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574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542</w:t>
            </w:r>
          </w:p>
        </w:tc>
        <w:tc>
          <w:tcPr>
            <w:tcW w:w="1800" w:type="dxa"/>
            <w:vAlign w:val="bottom"/>
            <w:gridSpan w:val="4"/>
          </w:tcPr>
          <w:p>
            <w:pPr>
              <w:jc w:val="right"/>
              <w:ind w:right="220"/>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1,037</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E5FFFF"/>
          </w:tcPr>
          <w:p>
            <w:pPr>
              <w:spacing w:after="0"/>
              <w:rPr>
                <w:sz w:val="18"/>
                <w:szCs w:val="18"/>
                <w:color w:val="auto"/>
              </w:rPr>
            </w:pPr>
          </w:p>
        </w:tc>
        <w:tc>
          <w:tcPr>
            <w:tcW w:w="1800" w:type="dxa"/>
            <w:vAlign w:val="bottom"/>
            <w:gridSpan w:val="4"/>
            <w:shd w:val="clear" w:color="auto" w:fill="E5FFFF"/>
          </w:tcPr>
          <w:p>
            <w:pPr>
              <w:jc w:val="right"/>
              <w:ind w:right="220"/>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Rent and utilities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647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541</w:t>
            </w:r>
          </w:p>
        </w:tc>
        <w:tc>
          <w:tcPr>
            <w:tcW w:w="1800" w:type="dxa"/>
            <w:vAlign w:val="bottom"/>
            <w:gridSpan w:val="4"/>
          </w:tcPr>
          <w:p>
            <w:pPr>
              <w:jc w:val="right"/>
              <w:ind w:right="220"/>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Travel and accommodation</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546</w:t>
            </w:r>
          </w:p>
        </w:tc>
        <w:tc>
          <w:tcPr>
            <w:tcW w:w="13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555</w:t>
            </w:r>
          </w:p>
        </w:tc>
        <w:tc>
          <w:tcPr>
            <w:tcW w:w="1800" w:type="dxa"/>
            <w:vAlign w:val="bottom"/>
            <w:gridSpan w:val="4"/>
            <w:shd w:val="clear" w:color="auto" w:fill="E5FFFF"/>
          </w:tcPr>
          <w:p>
            <w:pPr>
              <w:jc w:val="right"/>
              <w:ind w:right="220"/>
              <w:spacing w:after="0"/>
              <w:rPr>
                <w:sz w:val="20"/>
                <w:szCs w:val="20"/>
                <w:color w:val="auto"/>
              </w:rPr>
            </w:pPr>
            <w:r>
              <w:rPr>
                <w:rFonts w:ascii="Arial" w:cs="Arial" w:eastAsia="Arial" w:hAnsi="Arial"/>
                <w:sz w:val="18"/>
                <w:szCs w:val="18"/>
                <w:color w:val="auto"/>
              </w:rPr>
              <w:t>1,255</w:t>
            </w: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1,769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8"/>
                <w:szCs w:val="18"/>
                <w:color w:val="auto"/>
              </w:rPr>
              <w:t>3,160</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differences, net</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397</w:t>
            </w:r>
          </w:p>
        </w:tc>
        <w:tc>
          <w:tcPr>
            <w:tcW w:w="136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(84)</w:t>
            </w:r>
          </w:p>
        </w:tc>
        <w:tc>
          <w:tcPr>
            <w:tcW w:w="1800" w:type="dxa"/>
            <w:vAlign w:val="bottom"/>
            <w:gridSpan w:val="4"/>
            <w:shd w:val="clear" w:color="auto" w:fill="E5FFFF"/>
          </w:tcPr>
          <w:p>
            <w:pPr>
              <w:jc w:val="right"/>
              <w:ind w:right="22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E5FFFF"/>
          </w:tcPr>
          <w:p>
            <w:pPr>
              <w:spacing w:after="0"/>
              <w:rPr>
                <w:sz w:val="18"/>
                <w:szCs w:val="18"/>
                <w:color w:val="auto"/>
              </w:rPr>
            </w:pPr>
          </w:p>
        </w:tc>
        <w:tc>
          <w:tcPr>
            <w:tcW w:w="136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expenses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625</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673</w:t>
            </w:r>
          </w:p>
        </w:tc>
        <w:tc>
          <w:tcPr>
            <w:tcW w:w="1800" w:type="dxa"/>
            <w:vAlign w:val="bottom"/>
            <w:gridSpan w:val="4"/>
          </w:tcPr>
          <w:p>
            <w:pPr>
              <w:jc w:val="right"/>
              <w:ind w:right="220"/>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10,355</w:t>
            </w:r>
          </w:p>
        </w:tc>
        <w:tc>
          <w:tcPr>
            <w:tcW w:w="48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10,246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19,089</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20,225</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10. Other Payables and Accruals</w:t>
            </w: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ind w:left="440"/>
              <w:spacing w:after="0"/>
              <w:rPr>
                <w:sz w:val="20"/>
                <w:szCs w:val="20"/>
                <w:color w:val="auto"/>
              </w:rPr>
            </w:pPr>
            <w:r>
              <w:rPr>
                <w:rFonts w:ascii="Arial" w:cs="Arial" w:eastAsia="Arial" w:hAnsi="Arial"/>
                <w:sz w:val="18"/>
                <w:szCs w:val="18"/>
                <w:color w:val="auto"/>
                <w:w w:val="99"/>
              </w:rPr>
              <w:t>An analysis of other payables and accruals is as follows: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ind w:left="6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E5FFFF"/>
            </w:tcBorders>
          </w:tcPr>
          <w:p>
            <w:pPr>
              <w:spacing w:after="0"/>
              <w:rPr>
                <w:sz w:val="20"/>
                <w:szCs w:val="20"/>
                <w:color w:val="auto"/>
              </w:rPr>
            </w:pPr>
          </w:p>
        </w:tc>
        <w:tc>
          <w:tcPr>
            <w:tcW w:w="1260" w:type="dxa"/>
            <w:vAlign w:val="bottom"/>
            <w:tcBorders>
              <w:bottom w:val="single" w:sz="8" w:color="E5FFFF"/>
            </w:tcBorders>
          </w:tcPr>
          <w:p>
            <w:pPr>
              <w:spacing w:after="0"/>
              <w:rPr>
                <w:sz w:val="20"/>
                <w:szCs w:val="20"/>
                <w:color w:val="auto"/>
              </w:rPr>
            </w:pPr>
          </w:p>
        </w:tc>
        <w:tc>
          <w:tcPr>
            <w:tcW w:w="480" w:type="dxa"/>
            <w:vAlign w:val="bottom"/>
            <w:tcBorders>
              <w:bottom w:val="single" w:sz="8" w:color="E5FFFF"/>
            </w:tcBorders>
          </w:tcPr>
          <w:p>
            <w:pPr>
              <w:spacing w:after="0"/>
              <w:rPr>
                <w:sz w:val="20"/>
                <w:szCs w:val="20"/>
                <w:color w:val="auto"/>
              </w:rPr>
            </w:pPr>
          </w:p>
        </w:tc>
        <w:tc>
          <w:tcPr>
            <w:tcW w:w="1220" w:type="dxa"/>
            <w:vAlign w:val="bottom"/>
            <w:tcBorders>
              <w:bottom w:val="single" w:sz="8" w:color="E5FF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Social contributions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807</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Unearned revenue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37,522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Accrued legal and professional fees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Accrued employee costs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5,800</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4,627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off-hire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3,765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6,132</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4,665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purchases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3,553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Accrued financing costs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680" w:type="dxa"/>
            <w:vAlign w:val="bottom"/>
            <w:gridSpan w:val="4"/>
            <w:shd w:val="clear" w:color="auto" w:fill="E5FFFF"/>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interest</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27,165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Accrued payable to charterers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5,040</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3,483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Dividends declared (Note 11)</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Other accruals</w:t>
            </w:r>
          </w:p>
        </w:tc>
        <w:tc>
          <w:tcPr>
            <w:tcW w:w="12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12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5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1,861</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93,386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and Preference Shares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ind w:right="360" w:firstLine="396"/>
        <w:spacing w:after="0" w:line="286" w:lineRule="auto"/>
        <w:rPr>
          <w:sz w:val="20"/>
          <w:szCs w:val="20"/>
          <w:color w:val="auto"/>
        </w:rPr>
      </w:pPr>
      <w:r>
        <w:rPr>
          <w:rFonts w:ascii="Arial" w:cs="Arial" w:eastAsia="Arial" w:hAnsi="Arial"/>
          <w:sz w:val="17"/>
          <w:szCs w:val="17"/>
          <w:color w:val="auto"/>
        </w:rPr>
        <w:t>As of June 30, 2017, the share capital consisted of 80,627,765 issued and outstanding common shares, par value $0.01 per share, 365,361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1440"/>
              <w:spacing w:after="0"/>
              <w:rPr>
                <w:sz w:val="20"/>
                <w:szCs w:val="20"/>
                <w:color w:val="auto"/>
              </w:rPr>
            </w:pPr>
            <w:r>
              <w:rPr>
                <w:rFonts w:ascii="Arial" w:cs="Arial" w:eastAsia="Arial" w:hAnsi="Arial"/>
                <w:sz w:val="18"/>
                <w:szCs w:val="18"/>
                <w:b w:val="1"/>
                <w:bCs w:val="1"/>
                <w:color w:val="auto"/>
                <w:w w:val="91"/>
              </w:rPr>
              <w:t>Number of Shares</w:t>
            </w: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8"/>
                <w:szCs w:val="18"/>
                <w:b w:val="1"/>
                <w:bCs w:val="1"/>
                <w:color w:val="auto"/>
              </w:rPr>
              <w:t>Amounts</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130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14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Number of</w:t>
            </w:r>
          </w:p>
        </w:tc>
        <w:tc>
          <w:tcPr>
            <w:tcW w:w="14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Preference</w:t>
            </w:r>
          </w:p>
        </w:tc>
        <w:tc>
          <w:tcPr>
            <w:tcW w:w="132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rPr>
              <w:t>Contributed</w:t>
            </w:r>
          </w:p>
        </w:tc>
        <w:tc>
          <w:tcPr>
            <w:tcW w:w="8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9"/>
              </w:rPr>
              <w:t>Treasury</w:t>
            </w:r>
          </w:p>
        </w:tc>
      </w:tr>
      <w:tr>
        <w:trPr>
          <w:trHeight w:val="234"/>
        </w:trPr>
        <w:tc>
          <w:tcPr>
            <w:tcW w:w="27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common shares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treasury shares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6"/>
              </w:rPr>
              <w:t>Preference Shares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Share capital</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surplus</w:t>
            </w:r>
          </w:p>
        </w:tc>
        <w:tc>
          <w:tcPr>
            <w:tcW w:w="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shares</w:t>
            </w:r>
          </w:p>
        </w:tc>
      </w:tr>
      <w:tr>
        <w:trPr>
          <w:trHeight w:val="178"/>
        </w:trPr>
        <w:tc>
          <w:tcPr>
            <w:tcW w:w="276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Outstanding as of January 1,</w:t>
            </w:r>
          </w:p>
        </w:tc>
        <w:tc>
          <w:tcPr>
            <w:tcW w:w="12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8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48"/>
        </w:trPr>
        <w:tc>
          <w:tcPr>
            <w:tcW w:w="27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2017</w:t>
            </w: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80,561,353</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431,773</w:t>
            </w:r>
          </w:p>
        </w:tc>
        <w:tc>
          <w:tcPr>
            <w:tcW w:w="24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4,600,000</w:t>
            </w:r>
          </w:p>
        </w:tc>
        <w:tc>
          <w:tcPr>
            <w:tcW w:w="134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810</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132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966,974</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(10,861)</w:t>
            </w:r>
          </w:p>
        </w:tc>
      </w:tr>
      <w:tr>
        <w:trPr>
          <w:trHeight w:val="182"/>
        </w:trPr>
        <w:tc>
          <w:tcPr>
            <w:tcW w:w="2760" w:type="dxa"/>
            <w:vAlign w:val="bottom"/>
          </w:tcPr>
          <w:p>
            <w:pPr>
              <w:spacing w:after="0" w:line="182" w:lineRule="exact"/>
              <w:rPr>
                <w:sz w:val="20"/>
                <w:szCs w:val="20"/>
                <w:color w:val="auto"/>
              </w:rPr>
            </w:pPr>
            <w:r>
              <w:rPr>
                <w:rFonts w:ascii="Arial" w:cs="Arial" w:eastAsia="Arial" w:hAnsi="Arial"/>
                <w:sz w:val="18"/>
                <w:szCs w:val="18"/>
                <w:color w:val="auto"/>
              </w:rPr>
              <w:t>Dividends declared deducted from</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76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60" w:type="dxa"/>
            <w:vAlign w:val="bottom"/>
          </w:tcPr>
          <w:p>
            <w:pPr>
              <w:ind w:left="160"/>
              <w:spacing w:after="0"/>
              <w:rPr>
                <w:sz w:val="20"/>
                <w:szCs w:val="20"/>
                <w:color w:val="auto"/>
              </w:rPr>
            </w:pPr>
            <w:r>
              <w:rPr>
                <w:rFonts w:ascii="Arial" w:cs="Arial" w:eastAsia="Arial" w:hAnsi="Arial"/>
                <w:sz w:val="18"/>
                <w:szCs w:val="18"/>
                <w:color w:val="auto"/>
              </w:rPr>
              <w:t>due to accumulated deficit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(27,597)</w:t>
            </w: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27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Treasury shares distributed or</w:t>
            </w:r>
          </w:p>
        </w:tc>
        <w:tc>
          <w:tcPr>
            <w:tcW w:w="1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2760" w:type="dxa"/>
            <w:vAlign w:val="bottom"/>
            <w:shd w:val="clear" w:color="auto" w:fill="E5FFFF"/>
          </w:tcPr>
          <w:p>
            <w:pPr>
              <w:ind w:left="160"/>
              <w:spacing w:after="0"/>
              <w:rPr>
                <w:sz w:val="20"/>
                <w:szCs w:val="20"/>
                <w:color w:val="auto"/>
              </w:rPr>
            </w:pPr>
            <w:r>
              <w:rPr>
                <w:rFonts w:ascii="Arial" w:cs="Arial" w:eastAsia="Arial" w:hAnsi="Arial"/>
                <w:sz w:val="18"/>
                <w:szCs w:val="18"/>
                <w:color w:val="auto"/>
                <w:w w:val="96"/>
              </w:rPr>
              <w:t>awards vested or exercised in the</w:t>
            </w: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44"/>
        </w:trPr>
        <w:tc>
          <w:tcPr>
            <w:tcW w:w="2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period (Note 16)</w:t>
            </w: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66,412</w:t>
            </w:r>
          </w:p>
        </w:tc>
        <w:tc>
          <w:tcPr>
            <w:tcW w:w="15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(66,412)</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12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E5FFFF"/>
          </w:tcPr>
          <w:p>
            <w:pPr>
              <w:spacing w:after="0"/>
              <w:rPr>
                <w:sz w:val="21"/>
                <w:szCs w:val="2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b w:val="1"/>
                <w:bCs w:val="1"/>
                <w:color w:val="auto"/>
                <w:w w:val="99"/>
              </w:rPr>
              <w:t>Outstanding as of June 30, 2017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80,627,765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365,361</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939,377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treasury shares were acquired by GasLog in 2014 in relation to the share-based compensation (Note 16).</w:t>
      </w:r>
    </w:p>
    <w:p>
      <w:pPr>
        <w:sectPr>
          <w:pgSz w:w="11900" w:h="16838" w:orient="portrait"/>
          <w:cols w:equalWidth="0" w:num="1">
            <w:col w:w="11420"/>
          </w:cols>
          <w:pgMar w:left="240" w:top="409"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540" w:firstLine="356"/>
        <w:spacing w:after="0" w:line="277" w:lineRule="auto"/>
        <w:rPr>
          <w:sz w:val="20"/>
          <w:szCs w:val="20"/>
          <w:color w:val="auto"/>
        </w:rPr>
      </w:pPr>
      <w:r>
        <w:rPr>
          <w:rFonts w:ascii="Arial" w:cs="Arial" w:eastAsia="Arial" w:hAnsi="Arial"/>
          <w:sz w:val="18"/>
          <w:szCs w:val="18"/>
          <w:color w:val="auto"/>
        </w:rPr>
        <w:t>On February 16, 2017, the board of directors declared a quarterly cash dividend of $0.14 per common share which was paid on March 16, 2017 to shareholders of record as of March 6, 2017 for a total amount of $11,278.</w:t>
      </w:r>
    </w:p>
    <w:p>
      <w:pPr>
        <w:spacing w:after="0" w:line="170" w:lineRule="exact"/>
        <w:rPr>
          <w:sz w:val="20"/>
          <w:szCs w:val="20"/>
          <w:color w:val="auto"/>
        </w:rPr>
      </w:pPr>
    </w:p>
    <w:p>
      <w:pPr>
        <w:ind w:right="120" w:firstLine="383"/>
        <w:spacing w:after="0" w:line="308" w:lineRule="auto"/>
        <w:rPr>
          <w:sz w:val="20"/>
          <w:szCs w:val="20"/>
          <w:color w:val="auto"/>
        </w:rPr>
      </w:pPr>
      <w:r>
        <w:rPr>
          <w:rFonts w:ascii="Arial" w:cs="Arial" w:eastAsia="Arial" w:hAnsi="Arial"/>
          <w:sz w:val="17"/>
          <w:szCs w:val="17"/>
          <w:color w:val="auto"/>
        </w:rPr>
        <w:t>On March 9, 2017, the board of directors declared a dividend on the Series A Preference Shares of $0.546875 per share or $2,516 in aggregate, payable on April 3, 2017 to holders of record as of March 31, 2017. GasLog paid the declared dividend to the transfer agent on March 31, 2017.</w:t>
      </w:r>
    </w:p>
    <w:p>
      <w:pPr>
        <w:spacing w:after="0" w:line="147"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On May 4, 2017, the board of directors declared a quarterly cash dividend of $0.14 per common share which was paid on May 25, 2017 to shareholders of record as of May 15, 2017 for a total amount of $11,287.</w:t>
      </w:r>
    </w:p>
    <w:p>
      <w:pPr>
        <w:spacing w:after="0" w:line="170" w:lineRule="exact"/>
        <w:rPr>
          <w:sz w:val="20"/>
          <w:szCs w:val="20"/>
          <w:color w:val="auto"/>
        </w:rPr>
      </w:pPr>
    </w:p>
    <w:p>
      <w:pPr>
        <w:ind w:right="40" w:firstLine="383"/>
        <w:spacing w:after="0" w:line="308" w:lineRule="auto"/>
        <w:rPr>
          <w:sz w:val="20"/>
          <w:szCs w:val="20"/>
          <w:color w:val="auto"/>
        </w:rPr>
      </w:pPr>
      <w:r>
        <w:rPr>
          <w:rFonts w:ascii="Arial" w:cs="Arial" w:eastAsia="Arial" w:hAnsi="Arial"/>
          <w:sz w:val="17"/>
          <w:szCs w:val="17"/>
          <w:color w:val="auto"/>
        </w:rPr>
        <w:t>On May 4, 2017, the board of directors declared a dividend on the Series A Preference Shares of $0.546875 per share or $2,516 in the aggregate payable on July 3, 2017 to holders of record as of June 30, 2017. GasLog paid the declared dividend to the transfer agent on July 3,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r>
              <w:rPr>
                <w:rFonts w:ascii="Arial" w:cs="Arial" w:eastAsia="Arial" w:hAnsi="Arial"/>
                <w:sz w:val="18"/>
                <w:szCs w:val="18"/>
                <w:b w:val="1"/>
                <w:bCs w:val="1"/>
                <w:color w:val="auto"/>
              </w:rPr>
              <w:t>12. Commitments and Contingencies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40" w:type="dxa"/>
            <w:vAlign w:val="bottom"/>
          </w:tcPr>
          <w:p>
            <w:pPr>
              <w:spacing w:after="0"/>
              <w:rPr>
                <w:sz w:val="20"/>
                <w:szCs w:val="20"/>
                <w:color w:val="auto"/>
              </w:rPr>
            </w:pPr>
            <w:r>
              <w:rPr>
                <w:rFonts w:ascii="Arial" w:cs="Arial" w:eastAsia="Arial" w:hAnsi="Arial"/>
                <w:sz w:val="18"/>
                <w:szCs w:val="18"/>
                <w:color w:val="auto"/>
              </w:rPr>
              <w:t>(a) As of June 30, 2017 the Group had the following commitments as lessee relating to buildings under operating leases: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0"/>
                <w:szCs w:val="20"/>
                <w:color w:val="auto"/>
              </w:rPr>
            </w:pPr>
            <w:r>
              <w:rPr>
                <w:rFonts w:ascii="Arial" w:cs="Arial" w:eastAsia="Arial" w:hAnsi="Arial"/>
                <w:sz w:val="18"/>
                <w:szCs w:val="18"/>
                <w:b w:val="1"/>
                <w:bCs w:val="1"/>
                <w:i w:val="1"/>
                <w:iCs w:val="1"/>
                <w:color w:val="auto"/>
              </w:rPr>
              <w:t>Period</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More than five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9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4,137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(b)Commitments relating to the vessels under construction (Note 5) as of June 30, 2017 were as follows: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0"/>
                <w:szCs w:val="20"/>
                <w:color w:val="auto"/>
              </w:rPr>
            </w:pPr>
            <w:r>
              <w:rPr>
                <w:rFonts w:ascii="Arial" w:cs="Arial" w:eastAsia="Arial" w:hAnsi="Arial"/>
                <w:sz w:val="18"/>
                <w:szCs w:val="18"/>
                <w:b w:val="1"/>
                <w:bCs w:val="1"/>
                <w:i w:val="1"/>
                <w:iCs w:val="1"/>
                <w:color w:val="auto"/>
              </w:rPr>
              <w:t>Period</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544,962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354,164</w:t>
            </w:r>
          </w:p>
        </w:tc>
        <w:tc>
          <w:tcPr>
            <w:tcW w:w="0" w:type="dxa"/>
            <w:vAlign w:val="bottom"/>
          </w:tcPr>
          <w:p>
            <w:pPr>
              <w:spacing w:after="0"/>
              <w:rPr>
                <w:sz w:val="1"/>
                <w:szCs w:val="1"/>
                <w:color w:val="auto"/>
              </w:rPr>
            </w:pPr>
          </w:p>
        </w:tc>
      </w:tr>
      <w:tr>
        <w:trPr>
          <w:trHeight w:val="223"/>
        </w:trPr>
        <w:tc>
          <w:tcPr>
            <w:tcW w:w="9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899,126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right="40"/>
        <w:spacing w:after="0" w:line="297" w:lineRule="auto"/>
        <w:rPr>
          <w:sz w:val="20"/>
          <w:szCs w:val="20"/>
          <w:color w:val="auto"/>
        </w:rPr>
      </w:pPr>
      <w:r>
        <w:rPr>
          <w:rFonts w:ascii="Arial" w:cs="Arial" w:eastAsia="Arial" w:hAnsi="Arial"/>
          <w:sz w:val="16"/>
          <w:szCs w:val="16"/>
          <w:color w:val="auto"/>
        </w:rPr>
        <w:t>Pursuant to a Heads of Agreement entered into by GAS-twenty two Ltd. and GAS-twenty three Ltd. with Methane Services Limited (“MSL”) on March 8, 2016, the GasLog entities declared their options with Samsung to install reliquefaction plants on board the vessels. MSL agreed to reimburse 50% of such cost per vessel, resulting in an aggregate commitment to pay $3,200 per vessel to GasLog after the installation has been completed. In the event the reliquefaction plants do not meet certain specified performance criteria during operation, GasLog will have a liability to pay a daily compensation amount per vessel which will in whole or in part be met by the liabilities of the manufacturers for failure to meet the specified performance criteria.</w:t>
      </w:r>
    </w:p>
    <w:p>
      <w:pPr>
        <w:spacing w:after="0" w:line="158" w:lineRule="exact"/>
        <w:rPr>
          <w:sz w:val="20"/>
          <w:szCs w:val="20"/>
          <w:color w:val="auto"/>
        </w:rPr>
      </w:pPr>
    </w:p>
    <w:p>
      <w:pPr>
        <w:ind w:left="260" w:right="360" w:hanging="252"/>
        <w:spacing w:after="0" w:line="259"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gross minimum revenues receivable upon collection of hire under non-cancellable time charter agreements for vessels in operation, including a vessel under a finance lease (Note 6), as of June 30, 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40" w:type="dxa"/>
            <w:vAlign w:val="bottom"/>
          </w:tcPr>
          <w:p>
            <w:pPr>
              <w:spacing w:after="0"/>
              <w:rPr>
                <w:sz w:val="20"/>
                <w:szCs w:val="20"/>
                <w:color w:val="auto"/>
              </w:rPr>
            </w:pPr>
            <w:r>
              <w:rPr>
                <w:rFonts w:ascii="Arial" w:cs="Arial" w:eastAsia="Arial" w:hAnsi="Arial"/>
                <w:sz w:val="18"/>
                <w:szCs w:val="18"/>
                <w:b w:val="1"/>
                <w:bCs w:val="1"/>
                <w:i w:val="1"/>
                <w:iCs w:val="1"/>
                <w:color w:val="auto"/>
              </w:rPr>
              <w:t>Period</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478,647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740,658</w:t>
            </w: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400,802</w:t>
            </w: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More than five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477,909</w:t>
            </w:r>
          </w:p>
        </w:tc>
      </w:tr>
      <w:tr>
        <w:trPr>
          <w:trHeight w:val="223"/>
        </w:trPr>
        <w:tc>
          <w:tcPr>
            <w:tcW w:w="9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2,098,016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gross minimum revenues disclosed in the above table excludes the revenues of the vessels that are under construction.</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1" w:name="page42"/>
    <w:bookmarkEnd w:id="41"/>
    <w:p>
      <w:pPr>
        <w:ind w:left="260" w:right="40" w:hanging="252"/>
        <w:spacing w:after="0" w:line="264"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and May 2017, GasLog LNG Services entered into agreements in relation to certain investments in some of the Group’s vessels, with the aim of enhancing their operational performance. Commitments relating to these agreements, without including additional estimated costs for which no agreement had been signed as of June 30, 2017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40" w:type="dxa"/>
            <w:vAlign w:val="bottom"/>
          </w:tcPr>
          <w:p>
            <w:pPr>
              <w:spacing w:after="0"/>
              <w:rPr>
                <w:sz w:val="20"/>
                <w:szCs w:val="20"/>
                <w:color w:val="auto"/>
              </w:rPr>
            </w:pPr>
            <w:r>
              <w:rPr>
                <w:rFonts w:ascii="Arial" w:cs="Arial" w:eastAsia="Arial" w:hAnsi="Arial"/>
                <w:sz w:val="18"/>
                <w:szCs w:val="18"/>
                <w:b w:val="1"/>
                <w:bCs w:val="1"/>
                <w:i w:val="1"/>
                <w:iCs w:val="1"/>
                <w:color w:val="auto"/>
              </w:rPr>
              <w:t>Period</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22,768</w:t>
            </w:r>
          </w:p>
        </w:tc>
        <w:tc>
          <w:tcPr>
            <w:tcW w:w="100" w:type="dxa"/>
            <w:vAlign w:val="bottom"/>
            <w:tcBorders>
              <w:top w:val="single" w:sz="8" w:color="E5FFFF"/>
            </w:tcBorders>
            <w:shd w:val="clear" w:color="auto" w:fill="E5FFFF"/>
          </w:tcPr>
          <w:p>
            <w:pPr>
              <w:spacing w:after="0"/>
              <w:rPr>
                <w:sz w:val="18"/>
                <w:szCs w:val="18"/>
                <w:color w:val="auto"/>
              </w:rPr>
            </w:pP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9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25,098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right="360" w:hanging="252"/>
        <w:spacing w:after="0" w:line="259"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Related to the acquisition of six vessels from a subsidiary of MSL in 2014 and another two vessels in 2015, the Group is committed to purchase depot spares from MSL with an aggregate value of $8,000 of which depot spares with value $660 have been purchased and paid as of June 30, 2017 and are included in Tangible fixed assets (Note 5). The remaining spares are expected to be acquired before the end of the initial term of the charter party agreements.</w:t>
      </w:r>
    </w:p>
    <w:p>
      <w:pPr>
        <w:spacing w:after="0" w:line="186" w:lineRule="exact"/>
        <w:rPr>
          <w:rFonts w:ascii="Arial" w:cs="Arial" w:eastAsia="Arial" w:hAnsi="Arial"/>
          <w:sz w:val="18"/>
          <w:szCs w:val="18"/>
          <w:color w:val="auto"/>
        </w:rPr>
      </w:pPr>
    </w:p>
    <w:p>
      <w:pPr>
        <w:ind w:left="260" w:right="280" w:hanging="252"/>
        <w:spacing w:after="0" w:line="259"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June 30, 2017, the outstanding commitment is $1,370.</w:t>
      </w:r>
    </w:p>
    <w:p>
      <w:pPr>
        <w:spacing w:after="0" w:line="186" w:lineRule="exact"/>
        <w:rPr>
          <w:rFonts w:ascii="Arial" w:cs="Arial" w:eastAsia="Arial" w:hAnsi="Arial"/>
          <w:sz w:val="18"/>
          <w:szCs w:val="18"/>
          <w:color w:val="auto"/>
        </w:rPr>
      </w:pPr>
    </w:p>
    <w:p>
      <w:pPr>
        <w:ind w:left="260" w:right="100" w:hanging="252"/>
        <w:spacing w:after="0" w:line="25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agreement whereby it has access to all long lead items (“LLIs”) necessary for the conversion of a GasLog LNG carrier vessel into a FSRU whereby such conversion work would be undertaken by Keppel Shipyard Limited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88"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13. Derivative Financial Instruments</w:t>
            </w: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The fair value of the derivative assets is as follows:</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5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64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Derivatives designated and effective as hedging instruments carried at fair value</w:t>
            </w:r>
          </w:p>
        </w:tc>
        <w:tc>
          <w:tcPr>
            <w:tcW w:w="1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Cross currency swaps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rate swaps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7,856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color w:val="auto"/>
              </w:rPr>
              <w:t>Forward foreign exchange contracts</w:t>
            </w: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82</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6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7,938</w:t>
            </w:r>
          </w:p>
        </w:tc>
        <w:tc>
          <w:tcPr>
            <w:tcW w:w="440" w:type="dxa"/>
            <w:vAlign w:val="bottom"/>
            <w:tcBorders>
              <w:bottom w:val="single" w:sz="8" w:color="E5FFFF"/>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7,625</w:t>
            </w:r>
          </w:p>
        </w:tc>
        <w:tc>
          <w:tcPr>
            <w:tcW w:w="20" w:type="dxa"/>
            <w:vAlign w:val="bottom"/>
            <w:tcBorders>
              <w:bottom w:val="single" w:sz="8" w:color="E5FFFF"/>
            </w:tcBorders>
          </w:tcPr>
          <w:p>
            <w:pPr>
              <w:spacing w:after="0"/>
              <w:rPr>
                <w:sz w:val="22"/>
                <w:szCs w:val="22"/>
                <w:color w:val="auto"/>
              </w:rPr>
            </w:pP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7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14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44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2,050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7,856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7,938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7,625</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40" w:type="dxa"/>
            <w:vAlign w:val="bottom"/>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5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64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liabilities designated and effective as hedging instruments carried at fair value</w:t>
            </w:r>
          </w:p>
        </w:tc>
        <w:tc>
          <w:tcPr>
            <w:tcW w:w="1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Cross currency swaps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24,279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rate swaps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6,060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30,339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6,360</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4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liability</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640" w:type="dxa"/>
            <w:vAlign w:val="bottom"/>
            <w:vMerge w:val="continue"/>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7,854</w:t>
            </w:r>
          </w:p>
        </w:tc>
        <w:tc>
          <w:tcPr>
            <w:tcW w:w="440" w:type="dxa"/>
            <w:vAlign w:val="bottom"/>
            <w:vMerge w:val="continue"/>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6,145</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4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8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22,485</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30,339</w:t>
            </w:r>
          </w:p>
        </w:tc>
        <w:tc>
          <w:tcPr>
            <w:tcW w:w="4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60" w:firstLine="356"/>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amounts based on the three-month U.S. dollar LIBOR, and the Group effects quarterly payments to the banks on the notional amounts at the respective fixed rates.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964"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4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Interest rate swaps held for trading</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gridSpan w:val="11"/>
          </w:tcPr>
          <w:p>
            <w:pPr>
              <w:ind w:left="360"/>
              <w:spacing w:after="0"/>
              <w:rPr>
                <w:sz w:val="20"/>
                <w:szCs w:val="20"/>
                <w:color w:val="auto"/>
              </w:rPr>
            </w:pPr>
            <w:r>
              <w:rPr>
                <w:rFonts w:ascii="Arial" w:cs="Arial" w:eastAsia="Arial" w:hAnsi="Arial"/>
                <w:sz w:val="18"/>
                <w:szCs w:val="18"/>
                <w:color w:val="auto"/>
              </w:rPr>
              <w:t>The principal terms of the interest rate swaps held for trading are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Trade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Fixed Interest</w:t>
            </w:r>
          </w:p>
        </w:tc>
        <w:tc>
          <w:tcPr>
            <w:tcW w:w="33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70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December 31,</w:t>
            </w:r>
          </w:p>
        </w:tc>
        <w:tc>
          <w:tcPr>
            <w:tcW w:w="160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Counterparty</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2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Deutsche Bank AG</w:t>
            </w:r>
          </w:p>
        </w:tc>
        <w:tc>
          <w:tcPr>
            <w:tcW w:w="1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2016</w:t>
            </w:r>
          </w:p>
        </w:tc>
        <w:tc>
          <w:tcPr>
            <w:tcW w:w="1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2016</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2020</w:t>
            </w: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1.98%</w:t>
            </w:r>
          </w:p>
        </w:tc>
        <w:tc>
          <w:tcPr>
            <w:tcW w:w="1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1.98%</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1.98%</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1.784%</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1.729%</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1.719%</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HSBC Bank Plc.</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1.896%</w:t>
            </w:r>
          </w:p>
        </w:tc>
        <w:tc>
          <w:tcPr>
            <w:tcW w:w="10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HSBC Bank Plc</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1.818%</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HSBC Bank Plc</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1.79%</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gridSpan w:val="3"/>
          </w:tcPr>
          <w:p>
            <w:pPr>
              <w:spacing w:after="0" w:line="201" w:lineRule="exact"/>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Nordea Bank AB,</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London Branch</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1.905%</w:t>
            </w: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1.84%</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1.815%</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Skandinavinska</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Enskilda Banken AB</w:t>
            </w:r>
          </w:p>
        </w:tc>
        <w:tc>
          <w:tcPr>
            <w:tcW w:w="8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1.928%</w:t>
            </w:r>
          </w:p>
        </w:tc>
        <w:tc>
          <w:tcPr>
            <w:tcW w:w="10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1.8405%</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1.814%</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Feb 2017</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2.005%</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6"/>
              </w:rPr>
              <w:t>Feb 2017</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2.0145%</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4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GasLog </w:t>
            </w:r>
            <w:r>
              <w:rPr>
                <w:rFonts w:ascii="Arial" w:cs="Arial" w:eastAsia="Arial" w:hAnsi="Arial"/>
                <w:sz w:val="23"/>
                <w:szCs w:val="23"/>
                <w:color w:val="auto"/>
                <w:vertAlign w:val="superscript"/>
              </w:rPr>
              <w:t>(1)</w:t>
            </w:r>
          </w:p>
        </w:tc>
        <w:tc>
          <w:tcPr>
            <w:tcW w:w="1720" w:type="dxa"/>
            <w:vAlign w:val="bottom"/>
            <w:gridSpan w:val="2"/>
          </w:tcPr>
          <w:p>
            <w:pPr>
              <w:spacing w:after="0" w:line="202" w:lineRule="exact"/>
              <w:rPr>
                <w:sz w:val="20"/>
                <w:szCs w:val="20"/>
                <w:color w:val="auto"/>
              </w:rPr>
            </w:pPr>
            <w:r>
              <w:rPr>
                <w:rFonts w:ascii="Arial" w:cs="Arial" w:eastAsia="Arial" w:hAnsi="Arial"/>
                <w:sz w:val="18"/>
                <w:szCs w:val="18"/>
                <w:color w:val="auto"/>
              </w:rPr>
              <w:t>ABN Amro Bank NV</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Feb 2017</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Mar 2022</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2.003%</w:t>
            </w:r>
          </w:p>
        </w:tc>
        <w:tc>
          <w:tcPr>
            <w:tcW w:w="100" w:type="dxa"/>
            <w:vAlign w:val="bottom"/>
          </w:tcPr>
          <w:p>
            <w:pPr>
              <w:spacing w:after="0"/>
              <w:rPr>
                <w:sz w:val="17"/>
                <w:szCs w:val="17"/>
                <w:color w:val="auto"/>
              </w:rPr>
            </w:pPr>
          </w:p>
        </w:tc>
        <w:tc>
          <w:tcPr>
            <w:tcW w:w="1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(“ABN”)</w:t>
            </w:r>
          </w:p>
        </w:tc>
        <w:tc>
          <w:tcPr>
            <w:tcW w:w="94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E5FFFF"/>
              <w:bottom w:val="single" w:sz="8" w:color="E5FFFF"/>
            </w:tcBorders>
            <w:shd w:val="clear" w:color="auto" w:fill="E5FFFF"/>
          </w:tcPr>
          <w:p>
            <w:pPr>
              <w:spacing w:after="0"/>
              <w:rPr>
                <w:sz w:val="18"/>
                <w:szCs w:val="18"/>
                <w:color w:val="auto"/>
              </w:rPr>
            </w:pP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0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870,000</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In February 2017, GasLog entered into new interest rate swap agreements with a notional amount of $300,000 in aggregate, maturing in 2022.</w:t>
      </w:r>
    </w:p>
    <w:p>
      <w:pPr>
        <w:spacing w:after="0" w:line="187" w:lineRule="exact"/>
        <w:rPr>
          <w:sz w:val="20"/>
          <w:szCs w:val="20"/>
          <w:color w:val="auto"/>
        </w:rPr>
      </w:pPr>
    </w:p>
    <w:p>
      <w:pPr>
        <w:ind w:right="280" w:firstLine="436"/>
        <w:spacing w:after="0" w:line="255" w:lineRule="auto"/>
        <w:rPr>
          <w:sz w:val="20"/>
          <w:szCs w:val="20"/>
          <w:color w:val="auto"/>
        </w:rPr>
      </w:pPr>
      <w:r>
        <w:rPr>
          <w:rFonts w:ascii="Arial" w:cs="Arial" w:eastAsia="Arial" w:hAnsi="Arial"/>
          <w:sz w:val="18"/>
          <w:szCs w:val="18"/>
          <w:color w:val="auto"/>
        </w:rPr>
        <w:t>The derivative instruments listed above were not designated as cash flow hedging instruments. The change in the fair value of these contracts for the three and six months ended June 30, 2017 amounted to a net loss of $4,978 and $3,140 (for the three and six months ended June 30, 2016: a loss of $1,372 and $9,509, respectively), which was recognized against profit or loss in the period incurred and is included in Loss on swaps. During the three and six months ended June 30, 2017, the net loss of $4,978 and $3,140 derived mainly from the fact that the LIBOR yield curve, which was used to calculate the present value of the estimated future cash flows, was lower than the agreed fixed interest rates resulting in an increase in derivative liabilities from interest rate swaps held for trading.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w:t>
      </w:r>
    </w:p>
    <w:p>
      <w:pPr>
        <w:spacing w:after="0" w:line="229" w:lineRule="exact"/>
        <w:rPr>
          <w:sz w:val="20"/>
          <w:szCs w:val="20"/>
          <w:color w:val="auto"/>
        </w:rPr>
      </w:pPr>
    </w:p>
    <w:p>
      <w:pPr>
        <w:ind w:right="280" w:firstLine="356"/>
        <w:spacing w:after="0" w:line="308" w:lineRule="auto"/>
        <w:rPr>
          <w:sz w:val="20"/>
          <w:szCs w:val="20"/>
          <w:color w:val="auto"/>
        </w:rPr>
      </w:pPr>
      <w:r>
        <w:rPr>
          <w:rFonts w:ascii="Arial" w:cs="Arial" w:eastAsia="Arial" w:hAnsi="Arial"/>
          <w:sz w:val="17"/>
          <w:szCs w:val="17"/>
          <w:color w:val="auto"/>
        </w:rPr>
        <w:t>The Group enters into CCS which convert the floating interest rate exposure and the variability of the USD functional currency equivalent cash flows into a fixed interest rate and principal on maturity, in order to hedge the Group’s exposure to fluctuations deriving from its NOK Bonds.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principal terms of the CCS designated as cash flow hedging instruments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Effective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Termination</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Fixed Interest</w:t>
            </w:r>
          </w:p>
        </w:tc>
        <w:tc>
          <w:tcPr>
            <w:tcW w:w="27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80" w:type="dxa"/>
            <w:vAlign w:val="bottom"/>
            <w:tcBorders>
              <w:top w:val="single" w:sz="8" w:color="auto"/>
            </w:tcBorders>
            <w:gridSpan w:val="2"/>
          </w:tcPr>
          <w:p>
            <w:pPr>
              <w:ind w:left="220"/>
              <w:spacing w:after="0" w:line="191" w:lineRule="exact"/>
              <w:rPr>
                <w:sz w:val="20"/>
                <w:szCs w:val="20"/>
                <w:color w:val="auto"/>
              </w:rPr>
            </w:pPr>
            <w:r>
              <w:rPr>
                <w:rFonts w:ascii="Arial" w:cs="Arial" w:eastAsia="Arial" w:hAnsi="Arial"/>
                <w:sz w:val="18"/>
                <w:szCs w:val="18"/>
                <w:b w:val="1"/>
                <w:bCs w:val="1"/>
                <w:color w:val="auto"/>
              </w:rPr>
              <w:t>December 31,</w:t>
            </w:r>
          </w:p>
        </w:tc>
        <w:tc>
          <w:tcPr>
            <w:tcW w:w="11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120" w:type="dxa"/>
            <w:vAlign w:val="bottom"/>
            <w:tcBorders>
              <w:bottom w:val="single" w:sz="8" w:color="E5FFFF"/>
            </w:tcBorders>
          </w:tcPr>
          <w:p>
            <w:pPr>
              <w:spacing w:after="0"/>
              <w:rPr>
                <w:sz w:val="20"/>
                <w:szCs w:val="20"/>
                <w:color w:val="auto"/>
              </w:rPr>
            </w:pPr>
          </w:p>
        </w:tc>
        <w:tc>
          <w:tcPr>
            <w:tcW w:w="23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Counterparty</w:t>
            </w:r>
          </w:p>
        </w:tc>
        <w:tc>
          <w:tcPr>
            <w:tcW w:w="12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120" w:type="dxa"/>
            <w:vAlign w:val="bottom"/>
            <w:tcBorders>
              <w:bottom w:val="single" w:sz="8" w:color="E5FF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20" w:type="dxa"/>
            <w:vAlign w:val="bottom"/>
            <w:shd w:val="clear" w:color="auto" w:fill="E5FFFF"/>
          </w:tcPr>
          <w:p>
            <w:pPr>
              <w:spacing w:after="0"/>
              <w:rPr>
                <w:sz w:val="21"/>
                <w:szCs w:val="21"/>
                <w:color w:val="auto"/>
              </w:rPr>
            </w:pPr>
          </w:p>
        </w:tc>
        <w:tc>
          <w:tcPr>
            <w:tcW w:w="24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2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2014</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2018</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22,965</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80" w:type="dxa"/>
            <w:vAlign w:val="bottom"/>
            <w:gridSpan w:val="2"/>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SEB</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2014</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2018</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22,965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8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24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12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2014</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2018</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22,965</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4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30,050</w:t>
            </w:r>
          </w:p>
        </w:tc>
        <w:tc>
          <w:tcPr>
            <w:tcW w:w="1140" w:type="dxa"/>
            <w:vAlign w:val="bottom"/>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24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12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2016</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2016</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30,050</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4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30,050</w:t>
            </w:r>
          </w:p>
        </w:tc>
        <w:tc>
          <w:tcPr>
            <w:tcW w:w="1140" w:type="dxa"/>
            <w:vAlign w:val="bottom"/>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23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9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159,045</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90,150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 w:right="40" w:hanging="232"/>
        <w:spacing w:after="0" w:line="253" w:lineRule="auto"/>
        <w:tabs>
          <w:tab w:leader="none" w:pos="240" w:val="left"/>
        </w:tabs>
        <w:numPr>
          <w:ilvl w:val="0"/>
          <w:numId w:val="19"/>
        </w:numPr>
        <w:rPr>
          <w:rFonts w:ascii="Arial" w:cs="Arial" w:eastAsia="Arial" w:hAnsi="Arial"/>
          <w:sz w:val="12"/>
          <w:szCs w:val="12"/>
          <w:color w:val="auto"/>
        </w:rPr>
      </w:pPr>
      <w:r>
        <w:rPr>
          <w:rFonts w:ascii="Arial" w:cs="Arial" w:eastAsia="Arial" w:hAnsi="Arial"/>
          <w:sz w:val="14"/>
          <w:szCs w:val="14"/>
          <w:color w:val="auto"/>
        </w:rPr>
        <w:t>On June 27, 2017, GasLog terminated the first three CCS agreements by paying their fair value of $20,603 on that date. The cumulative loss of $4,368 from the period that hedging was effective was recycled to profit or loss during the three and six months ended June 30, 2017.</w:t>
      </w:r>
    </w:p>
    <w:p>
      <w:pPr>
        <w:sectPr>
          <w:pgSz w:w="11900" w:h="16838" w:orient="portrait"/>
          <w:cols w:equalWidth="0" w:num="1">
            <w:col w:w="11420"/>
          </w:cols>
          <w:pgMar w:left="240" w:top="40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43" w:name="page44"/>
    <w:bookmarkEnd w:id="43"/>
    <w:p>
      <w:pPr>
        <w:spacing w:after="0" w:line="62"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For the three and six months ended June 30, 2017, the effective portion of changes in the fair value of CCS amounting to a gain of $3,342 and $3,709 has been recognized in Other comprehensive income (for the three and six months ended June 30, 2016: a loss of $6,608 and $382). For the three and six months ended June 30, 2017, a loss of $203 and $526 was recycled to profit or loss representing the realized loss on CCS in relation to the interest expense component of the hedge (for the three and six months ended June 30, 2016: a loss of $815 and $1,673, respectively). Additionally, for the three and six months ended June 30, 2017, a loss of $2,782 and a loss of $3,516, was recognized in Other comprehensive income in relation to the retranslation of the NOK Bonds in U.S. dollars as of June 30, 2017 (for the three and six months ended June 30, 2016: a gain of $1,374 and a loss of $4,995,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100" w:firstLine="383"/>
        <w:spacing w:after="0" w:line="259"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Fixed</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Exchange Rate</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 Exchange</w:t>
            </w:r>
          </w:p>
        </w:tc>
      </w:tr>
      <w:tr>
        <w:trPr>
          <w:trHeight w:val="194"/>
        </w:trPr>
        <w:tc>
          <w:tcPr>
            <w:tcW w:w="12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Company</w:t>
            </w:r>
          </w:p>
        </w:tc>
        <w:tc>
          <w:tcPr>
            <w:tcW w:w="126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3"/>
              </w:rPr>
              <w:t>Counterparty</w:t>
            </w:r>
          </w:p>
        </w:tc>
        <w:tc>
          <w:tcPr>
            <w:tcW w:w="16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2"/>
              </w:rPr>
              <w:t>Trade Date</w:t>
            </w:r>
          </w:p>
        </w:tc>
        <w:tc>
          <w:tcPr>
            <w:tcW w:w="9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8"/>
              </w:rPr>
              <w:t>contracts</w:t>
            </w:r>
          </w:p>
        </w:tc>
        <w:tc>
          <w:tcPr>
            <w:tcW w:w="27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7"/>
              </w:rPr>
              <w:t>Settlement Dates</w:t>
            </w:r>
          </w:p>
        </w:tc>
        <w:tc>
          <w:tcPr>
            <w:tcW w:w="15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95"/>
              </w:rPr>
              <w:t>(USD/GBP)</w:t>
            </w:r>
          </w:p>
        </w:tc>
        <w:tc>
          <w:tcPr>
            <w:tcW w:w="2080" w:type="dxa"/>
            <w:vAlign w:val="bottom"/>
            <w:gridSpan w:val="2"/>
          </w:tcPr>
          <w:p>
            <w:pPr>
              <w:jc w:val="center"/>
              <w:ind w:right="20"/>
              <w:spacing w:after="0" w:line="194" w:lineRule="exact"/>
              <w:rPr>
                <w:sz w:val="20"/>
                <w:szCs w:val="20"/>
                <w:color w:val="auto"/>
              </w:rPr>
            </w:pPr>
            <w:r>
              <w:rPr>
                <w:rFonts w:ascii="Arial" w:cs="Arial" w:eastAsia="Arial" w:hAnsi="Arial"/>
                <w:sz w:val="18"/>
                <w:szCs w:val="18"/>
                <w:b w:val="1"/>
                <w:bCs w:val="1"/>
                <w:color w:val="auto"/>
                <w:w w:val="90"/>
              </w:rPr>
              <w:t>Amount (in thousands)</w:t>
            </w: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E5FFFF"/>
            </w:tcBorders>
          </w:tcPr>
          <w:p>
            <w:pPr>
              <w:spacing w:after="0" w:line="20" w:lineRule="exact"/>
              <w:rPr>
                <w:sz w:val="1"/>
                <w:szCs w:val="1"/>
                <w:color w:val="auto"/>
              </w:rPr>
            </w:pPr>
          </w:p>
        </w:tc>
        <w:tc>
          <w:tcPr>
            <w:tcW w:w="520" w:type="dxa"/>
            <w:vAlign w:val="bottom"/>
            <w:tcBorders>
              <w:bottom w:val="single" w:sz="8" w:color="E5FF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4"/>
              </w:rPr>
              <w:t>SEB</w:t>
            </w:r>
          </w:p>
        </w:tc>
        <w:tc>
          <w:tcPr>
            <w:tcW w:w="120" w:type="dxa"/>
            <w:vAlign w:val="bottom"/>
            <w:shd w:val="clear" w:color="auto" w:fill="E5FFFF"/>
          </w:tcPr>
          <w:p>
            <w:pPr>
              <w:spacing w:after="0"/>
              <w:rPr>
                <w:sz w:val="18"/>
                <w:szCs w:val="18"/>
                <w:color w:val="auto"/>
              </w:rPr>
            </w:pPr>
          </w:p>
        </w:tc>
        <w:tc>
          <w:tcPr>
            <w:tcW w:w="1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July-December 2017</w:t>
            </w:r>
          </w:p>
        </w:tc>
        <w:tc>
          <w:tcPr>
            <w:tcW w:w="20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1.2541</w:t>
            </w:r>
          </w:p>
        </w:tc>
        <w:tc>
          <w:tcPr>
            <w:tcW w:w="100" w:type="dxa"/>
            <w:vAlign w:val="bottom"/>
            <w:shd w:val="clear" w:color="auto" w:fill="E5FFFF"/>
          </w:tcPr>
          <w:p>
            <w:pPr>
              <w:spacing w:after="0"/>
              <w:rPr>
                <w:sz w:val="18"/>
                <w:szCs w:val="18"/>
                <w:color w:val="auto"/>
              </w:rPr>
            </w:pPr>
          </w:p>
        </w:tc>
        <w:tc>
          <w:tcPr>
            <w:tcW w:w="2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Fixed</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Exchange Rate</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 Exchange</w:t>
            </w:r>
          </w:p>
        </w:tc>
      </w:tr>
      <w:tr>
        <w:trPr>
          <w:trHeight w:val="194"/>
        </w:trPr>
        <w:tc>
          <w:tcPr>
            <w:tcW w:w="12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Company</w:t>
            </w:r>
          </w:p>
        </w:tc>
        <w:tc>
          <w:tcPr>
            <w:tcW w:w="126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3"/>
              </w:rPr>
              <w:t>Counterparty</w:t>
            </w:r>
          </w:p>
        </w:tc>
        <w:tc>
          <w:tcPr>
            <w:tcW w:w="16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2"/>
              </w:rPr>
              <w:t>Trade Date</w:t>
            </w:r>
          </w:p>
        </w:tc>
        <w:tc>
          <w:tcPr>
            <w:tcW w:w="9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8"/>
              </w:rPr>
              <w:t>contracts</w:t>
            </w:r>
          </w:p>
        </w:tc>
        <w:tc>
          <w:tcPr>
            <w:tcW w:w="27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7"/>
              </w:rPr>
              <w:t>Settlement Dates</w:t>
            </w:r>
          </w:p>
        </w:tc>
        <w:tc>
          <w:tcPr>
            <w:tcW w:w="15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8"/>
              </w:rPr>
              <w:t>(USD/EUR)</w:t>
            </w:r>
          </w:p>
        </w:tc>
        <w:tc>
          <w:tcPr>
            <w:tcW w:w="2080" w:type="dxa"/>
            <w:vAlign w:val="bottom"/>
            <w:gridSpan w:val="2"/>
          </w:tcPr>
          <w:p>
            <w:pPr>
              <w:jc w:val="center"/>
              <w:ind w:right="20"/>
              <w:spacing w:after="0" w:line="194" w:lineRule="exact"/>
              <w:rPr>
                <w:sz w:val="20"/>
                <w:szCs w:val="20"/>
                <w:color w:val="auto"/>
              </w:rPr>
            </w:pPr>
            <w:r>
              <w:rPr>
                <w:rFonts w:ascii="Arial" w:cs="Arial" w:eastAsia="Arial" w:hAnsi="Arial"/>
                <w:sz w:val="18"/>
                <w:szCs w:val="18"/>
                <w:b w:val="1"/>
                <w:bCs w:val="1"/>
                <w:color w:val="auto"/>
                <w:w w:val="90"/>
              </w:rPr>
              <w:t>Amount (in thousands)</w:t>
            </w: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E5FFFF"/>
            </w:tcBorders>
          </w:tcPr>
          <w:p>
            <w:pPr>
              <w:spacing w:after="0" w:line="20" w:lineRule="exact"/>
              <w:rPr>
                <w:sz w:val="1"/>
                <w:szCs w:val="1"/>
                <w:color w:val="auto"/>
              </w:rPr>
            </w:pPr>
          </w:p>
        </w:tc>
        <w:tc>
          <w:tcPr>
            <w:tcW w:w="520" w:type="dxa"/>
            <w:vAlign w:val="bottom"/>
            <w:tcBorders>
              <w:bottom w:val="single" w:sz="8" w:color="E5FF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HSBC</w:t>
            </w:r>
          </w:p>
        </w:tc>
        <w:tc>
          <w:tcPr>
            <w:tcW w:w="120" w:type="dxa"/>
            <w:vAlign w:val="bottom"/>
            <w:shd w:val="clear" w:color="auto" w:fill="E5FFFF"/>
          </w:tcPr>
          <w:p>
            <w:pPr>
              <w:spacing w:after="0"/>
              <w:rPr>
                <w:sz w:val="18"/>
                <w:szCs w:val="18"/>
                <w:color w:val="auto"/>
              </w:rPr>
            </w:pPr>
          </w:p>
        </w:tc>
        <w:tc>
          <w:tcPr>
            <w:tcW w:w="1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July-December 2017</w:t>
            </w:r>
          </w:p>
        </w:tc>
        <w:tc>
          <w:tcPr>
            <w:tcW w:w="20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shd w:val="clear" w:color="auto" w:fill="E5FFFF"/>
          </w:tcPr>
          <w:p>
            <w:pPr>
              <w:spacing w:after="0"/>
              <w:rPr>
                <w:sz w:val="18"/>
                <w:szCs w:val="18"/>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Nordea</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2016</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July-December 2017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1.0562</w:t>
            </w:r>
          </w:p>
        </w:tc>
        <w:tc>
          <w:tcPr>
            <w:tcW w:w="2060" w:type="dxa"/>
            <w:vAlign w:val="bottom"/>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2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4"/>
              </w:rPr>
              <w:t>SEB</w:t>
            </w: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8"/>
              </w:rPr>
              <w:t>December 2016</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E5FFFF"/>
          </w:tcPr>
          <w:p>
            <w:pPr>
              <w:spacing w:after="0"/>
              <w:rPr>
                <w:sz w:val="18"/>
                <w:szCs w:val="18"/>
                <w:color w:val="auto"/>
              </w:rPr>
            </w:pPr>
          </w:p>
        </w:tc>
        <w:tc>
          <w:tcPr>
            <w:tcW w:w="27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1"/>
              </w:rPr>
              <w:t>July-December 2017</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1.0541</w:t>
            </w:r>
          </w:p>
        </w:tc>
        <w:tc>
          <w:tcPr>
            <w:tcW w:w="2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July-December 2017</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GasLog</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HSBC</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2017</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January-June 2018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1.1297</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r>
      <w:tr>
        <w:trPr>
          <w:trHeight w:val="202"/>
        </w:trPr>
        <w:tc>
          <w:tcPr>
            <w:tcW w:w="20" w:type="dxa"/>
            <w:vAlign w:val="bottom"/>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700" w:type="dxa"/>
            <w:vAlign w:val="bottom"/>
            <w:gridSpan w:val="2"/>
            <w:shd w:val="clear" w:color="auto" w:fill="E5FFFF"/>
          </w:tcPr>
          <w:p>
            <w:pPr>
              <w:jc w:val="center"/>
              <w:ind w:right="220"/>
              <w:spacing w:after="0" w:line="201" w:lineRule="exact"/>
              <w:rPr>
                <w:sz w:val="20"/>
                <w:szCs w:val="20"/>
                <w:color w:val="auto"/>
              </w:rPr>
            </w:pPr>
            <w:r>
              <w:rPr>
                <w:rFonts w:ascii="Arial" w:cs="Arial" w:eastAsia="Arial" w:hAnsi="Arial"/>
                <w:sz w:val="18"/>
                <w:szCs w:val="18"/>
                <w:color w:val="auto"/>
                <w:w w:val="91"/>
              </w:rPr>
              <w:t>July-December 2017</w:t>
            </w: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6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2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rPr>
              <w:t>ABN</w:t>
            </w: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2017</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E5FFFF"/>
          </w:tcPr>
          <w:p>
            <w:pPr>
              <w:spacing w:after="0"/>
              <w:rPr>
                <w:sz w:val="20"/>
                <w:szCs w:val="20"/>
                <w:color w:val="auto"/>
              </w:rPr>
            </w:pPr>
          </w:p>
        </w:tc>
        <w:tc>
          <w:tcPr>
            <w:tcW w:w="27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8"/>
              </w:rPr>
              <w:t>January-June 2018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1.1291</w:t>
            </w:r>
          </w:p>
        </w:tc>
        <w:tc>
          <w:tcPr>
            <w:tcW w:w="2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€45,600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56"/>
        <w:spacing w:after="0" w:line="286" w:lineRule="auto"/>
        <w:rPr>
          <w:sz w:val="20"/>
          <w:szCs w:val="20"/>
          <w:color w:val="auto"/>
        </w:rPr>
      </w:pPr>
      <w:r>
        <w:rPr>
          <w:rFonts w:ascii="Arial" w:cs="Arial" w:eastAsia="Arial" w:hAnsi="Arial"/>
          <w:sz w:val="17"/>
          <w:szCs w:val="17"/>
          <w:color w:val="auto"/>
        </w:rPr>
        <w:t>The derivative instruments listed above were not designated as cash flow hedging instruments as of June 30, 2017. The change in the fair value of these contracts for the three and six months ended June 30, 2017 amounted to a net gain of $1,491 and $1,968 (for the three and six months ended June 30, 2016: nil), which was recognized against profit or loss in the period incurred and is included in Loss on swaps.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080" w:type="dxa"/>
            <w:vAlign w:val="bottom"/>
            <w:gridSpan w:val="7"/>
          </w:tcPr>
          <w:p>
            <w:pPr>
              <w:spacing w:after="0"/>
              <w:rPr>
                <w:sz w:val="20"/>
                <w:szCs w:val="20"/>
                <w:color w:val="auto"/>
              </w:rPr>
            </w:pPr>
            <w:r>
              <w:rPr>
                <w:rFonts w:ascii="Arial" w:cs="Arial" w:eastAsia="Arial" w:hAnsi="Arial"/>
                <w:sz w:val="18"/>
                <w:szCs w:val="18"/>
                <w:color w:val="auto"/>
              </w:rPr>
              <w:t>A reconciliation of derivatives arising from financing activities is as follows: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comprehensive</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200" w:type="dxa"/>
            <w:vAlign w:val="bottom"/>
            <w:gridSpan w:val="4"/>
          </w:tcPr>
          <w:p>
            <w:pPr>
              <w:ind w:left="3900"/>
              <w:spacing w:after="0"/>
              <w:rPr>
                <w:sz w:val="20"/>
                <w:szCs w:val="20"/>
                <w:color w:val="auto"/>
              </w:rPr>
            </w:pPr>
            <w:r>
              <w:rPr>
                <w:rFonts w:ascii="Arial" w:cs="Arial" w:eastAsia="Arial" w:hAnsi="Arial"/>
                <w:sz w:val="18"/>
                <w:szCs w:val="18"/>
                <w:b w:val="1"/>
                <w:bCs w:val="1"/>
                <w:color w:val="auto"/>
                <w:w w:val="88"/>
              </w:rPr>
              <w:t>Opening balance</w:t>
            </w:r>
          </w:p>
        </w:tc>
        <w:tc>
          <w:tcPr>
            <w:tcW w:w="320" w:type="dxa"/>
            <w:vAlign w:val="bottom"/>
          </w:tcPr>
          <w:p>
            <w:pPr>
              <w:spacing w:after="0"/>
              <w:rPr>
                <w:sz w:val="20"/>
                <w:szCs w:val="20"/>
                <w:color w:val="auto"/>
              </w:rPr>
            </w:pPr>
          </w:p>
        </w:tc>
        <w:tc>
          <w:tcPr>
            <w:tcW w:w="14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8"/>
              </w:rPr>
              <w:t>Cash flows</w:t>
            </w:r>
          </w:p>
        </w:tc>
        <w:tc>
          <w:tcPr>
            <w:tcW w:w="22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6"/>
              </w:rPr>
              <w:t>Non-cash items</w:t>
            </w: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derivative liabilities as of January 1, 2017</w:t>
            </w:r>
          </w:p>
        </w:tc>
        <w:tc>
          <w:tcPr>
            <w:tcW w:w="72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22,401</w:t>
            </w:r>
          </w:p>
        </w:tc>
        <w:tc>
          <w:tcPr>
            <w:tcW w:w="32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5FFFF"/>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22,401</w:t>
            </w:r>
          </w:p>
        </w:tc>
        <w:tc>
          <w:tcPr>
            <w:tcW w:w="1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Unrealized loss on derivative financial instruments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held for trading (Note 14)</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200"/>
              <w:spacing w:after="0"/>
              <w:rPr>
                <w:sz w:val="20"/>
                <w:szCs w:val="20"/>
                <w:color w:val="auto"/>
              </w:rPr>
            </w:pPr>
            <w:r>
              <w:rPr>
                <w:rFonts w:ascii="Arial" w:cs="Arial" w:eastAsia="Arial" w:hAnsi="Arial"/>
                <w:sz w:val="18"/>
                <w:szCs w:val="18"/>
                <w:color w:val="auto"/>
              </w:rPr>
              <w:t>1,172</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Payment for CCS termination</w:t>
            </w: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(20,603)</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Effective portion of changes in the fair value of</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derivatives designated as cash flow hedging</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(4,235)</w:t>
            </w:r>
          </w:p>
        </w:tc>
        <w:tc>
          <w:tcPr>
            <w:tcW w:w="700" w:type="dxa"/>
            <w:vAlign w:val="bottom"/>
          </w:tcPr>
          <w:p>
            <w:pPr>
              <w:spacing w:after="0"/>
              <w:rPr>
                <w:sz w:val="21"/>
                <w:szCs w:val="2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90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7"/>
              </w:rPr>
              <w:t>Net derivative liabilities/(assets) as of June 30,</w:t>
            </w:r>
          </w:p>
        </w:tc>
        <w:tc>
          <w:tcPr>
            <w:tcW w:w="72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4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38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6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0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 w:type="dxa"/>
            <w:vAlign w:val="bottom"/>
          </w:tcPr>
          <w:p>
            <w:pPr>
              <w:spacing w:after="0"/>
              <w:rPr>
                <w:sz w:val="22"/>
                <w:szCs w:val="22"/>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2017</w:t>
            </w:r>
          </w:p>
        </w:tc>
        <w:tc>
          <w:tcPr>
            <w:tcW w:w="720" w:type="dxa"/>
            <w:vAlign w:val="bottom"/>
            <w:shd w:val="clear" w:color="auto" w:fill="E5FFFF"/>
          </w:tcPr>
          <w:p>
            <w:pPr>
              <w:spacing w:after="0"/>
              <w:rPr>
                <w:sz w:val="22"/>
                <w:szCs w:val="22"/>
                <w:color w:val="auto"/>
              </w:rPr>
            </w:pP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22,401</w:t>
            </w:r>
          </w:p>
        </w:tc>
        <w:tc>
          <w:tcPr>
            <w:tcW w:w="32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9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b w:val="1"/>
                <w:bCs w:val="1"/>
                <w:color w:val="auto"/>
              </w:rPr>
              <w:t>(4,235)</w:t>
            </w:r>
          </w:p>
        </w:tc>
        <w:tc>
          <w:tcPr>
            <w:tcW w:w="118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(20,603)</w:t>
            </w:r>
          </w:p>
        </w:tc>
        <w:tc>
          <w:tcPr>
            <w:tcW w:w="158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1,172</w:t>
            </w:r>
          </w:p>
        </w:tc>
        <w:tc>
          <w:tcPr>
            <w:tcW w:w="132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b w:val="1"/>
                <w:bCs w:val="1"/>
                <w:color w:val="auto"/>
              </w:rPr>
              <w:t>(1,265)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14. Financial Costs and Loss on Swaps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w w:val="92"/>
              </w:rPr>
              <w:t>An analysis of financial costs and loss on swaps is as follows: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gridSpan w:val="10"/>
          </w:tcPr>
          <w:p>
            <w:pPr>
              <w:jc w:val="right"/>
              <w:ind w:right="82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24"/>
                <w:szCs w:val="2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5"/>
              </w:rPr>
              <w:t>June 30, 2016</w:t>
            </w:r>
          </w:p>
        </w:tc>
        <w:tc>
          <w:tcPr>
            <w:tcW w:w="360" w:type="dxa"/>
            <w:vAlign w:val="bottom"/>
          </w:tcPr>
          <w:p>
            <w:pPr>
              <w:spacing w:after="0"/>
              <w:rPr>
                <w:sz w:val="20"/>
                <w:szCs w:val="20"/>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5"/>
              </w:rPr>
              <w:t>June 30, 2017</w:t>
            </w:r>
          </w:p>
        </w:tc>
        <w:tc>
          <w:tcPr>
            <w:tcW w:w="15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0"/>
              </w:rPr>
              <w:t>June 30, 2016</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2017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620" w:type="dxa"/>
            <w:vAlign w:val="bottom"/>
            <w:tcBorders>
              <w:top w:val="single" w:sz="8" w:color="E5FFFF"/>
            </w:tcBorders>
            <w:gridSpan w:val="2"/>
            <w:shd w:val="clear" w:color="auto" w:fill="E5FFFF"/>
          </w:tcPr>
          <w:p>
            <w:pPr>
              <w:spacing w:after="0" w:line="182" w:lineRule="exact"/>
              <w:rPr>
                <w:sz w:val="20"/>
                <w:szCs w:val="20"/>
                <w:color w:val="auto"/>
              </w:rPr>
            </w:pPr>
            <w:r>
              <w:rPr>
                <w:rFonts w:ascii="Arial" w:cs="Arial" w:eastAsia="Arial" w:hAnsi="Arial"/>
                <w:sz w:val="18"/>
                <w:szCs w:val="18"/>
                <w:color w:val="auto"/>
              </w:rPr>
              <w:t>Amortization and write-off of deferred loan/bond issuance</w:t>
            </w:r>
          </w:p>
        </w:tc>
        <w:tc>
          <w:tcPr>
            <w:tcW w:w="140" w:type="dxa"/>
            <w:vAlign w:val="bottom"/>
            <w:tcBorders>
              <w:top w:val="single" w:sz="8" w:color="E5FFFF"/>
            </w:tcBorders>
            <w:shd w:val="clear" w:color="auto" w:fill="E5FFFF"/>
          </w:tcPr>
          <w:p>
            <w:pPr>
              <w:spacing w:after="0"/>
              <w:rPr>
                <w:sz w:val="15"/>
                <w:szCs w:val="15"/>
                <w:color w:val="auto"/>
              </w:rPr>
            </w:pPr>
          </w:p>
        </w:tc>
        <w:tc>
          <w:tcPr>
            <w:tcW w:w="44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auto"/>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38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10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costs and premium</w:t>
            </w:r>
          </w:p>
        </w:tc>
        <w:tc>
          <w:tcPr>
            <w:tcW w:w="1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5,330</w:t>
            </w:r>
          </w:p>
        </w:tc>
        <w:tc>
          <w:tcPr>
            <w:tcW w:w="3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ind w:right="290"/>
              <w:spacing w:after="0"/>
              <w:rPr>
                <w:sz w:val="20"/>
                <w:szCs w:val="20"/>
                <w:color w:val="auto"/>
              </w:rPr>
            </w:pPr>
            <w:r>
              <w:rPr>
                <w:rFonts w:ascii="Arial" w:cs="Arial" w:eastAsia="Arial" w:hAnsi="Arial"/>
                <w:sz w:val="18"/>
                <w:szCs w:val="18"/>
                <w:color w:val="auto"/>
              </w:rPr>
              <w:t>2,978</w:t>
            </w:r>
          </w:p>
        </w:tc>
        <w:tc>
          <w:tcPr>
            <w:tcW w:w="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380" w:type="dxa"/>
            <w:vAlign w:val="bottom"/>
            <w:gridSpan w:val="3"/>
            <w:shd w:val="clear" w:color="auto" w:fill="E5FFFF"/>
          </w:tcPr>
          <w:p>
            <w:pPr>
              <w:jc w:val="right"/>
              <w:ind w:right="130"/>
              <w:spacing w:after="0"/>
              <w:rPr>
                <w:sz w:val="20"/>
                <w:szCs w:val="20"/>
                <w:color w:val="auto"/>
              </w:rPr>
            </w:pPr>
            <w:r>
              <w:rPr>
                <w:rFonts w:ascii="Arial" w:cs="Arial" w:eastAsia="Arial" w:hAnsi="Arial"/>
                <w:sz w:val="18"/>
                <w:szCs w:val="18"/>
                <w:color w:val="auto"/>
              </w:rPr>
              <w:t>11,357</w:t>
            </w:r>
          </w:p>
        </w:tc>
        <w:tc>
          <w:tcPr>
            <w:tcW w:w="200" w:type="dxa"/>
            <w:vAlign w:val="bottom"/>
            <w:shd w:val="clear" w:color="auto" w:fill="E5FFFF"/>
          </w:tcPr>
          <w:p>
            <w:pPr>
              <w:spacing w:after="0"/>
              <w:rPr>
                <w:sz w:val="20"/>
                <w:szCs w:val="20"/>
                <w:color w:val="auto"/>
              </w:rPr>
            </w:pPr>
          </w:p>
        </w:tc>
        <w:tc>
          <w:tcPr>
            <w:tcW w:w="13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Interest expense on loans and realized loss on cash flow</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hedges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17,977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color w:val="auto"/>
              </w:rPr>
              <w:t>21,099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36,290</w:t>
            </w:r>
          </w:p>
        </w:tc>
        <w:tc>
          <w:tcPr>
            <w:tcW w:w="2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43,581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6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w w:val="93"/>
              </w:rPr>
              <w:t>Interest expense on senior unsecured notes and realized loss</w:t>
            </w:r>
          </w:p>
        </w:tc>
        <w:tc>
          <w:tcPr>
            <w:tcW w:w="1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on cross-currency swaps</w:t>
            </w:r>
          </w:p>
        </w:tc>
        <w:tc>
          <w:tcPr>
            <w:tcW w:w="1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2,831</w:t>
            </w:r>
          </w:p>
        </w:tc>
        <w:tc>
          <w:tcPr>
            <w:tcW w:w="3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ind w:right="290"/>
              <w:spacing w:after="0"/>
              <w:rPr>
                <w:sz w:val="20"/>
                <w:szCs w:val="20"/>
                <w:color w:val="auto"/>
              </w:rPr>
            </w:pPr>
            <w:r>
              <w:rPr>
                <w:rFonts w:ascii="Arial" w:cs="Arial" w:eastAsia="Arial" w:hAnsi="Arial"/>
                <w:sz w:val="18"/>
                <w:szCs w:val="18"/>
                <w:color w:val="auto"/>
              </w:rPr>
              <w:t>8,451</w:t>
            </w:r>
          </w:p>
        </w:tc>
        <w:tc>
          <w:tcPr>
            <w:tcW w:w="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380" w:type="dxa"/>
            <w:vAlign w:val="bottom"/>
            <w:gridSpan w:val="3"/>
            <w:shd w:val="clear" w:color="auto" w:fill="E5FFFF"/>
          </w:tcPr>
          <w:p>
            <w:pPr>
              <w:jc w:val="right"/>
              <w:ind w:right="130"/>
              <w:spacing w:after="0"/>
              <w:rPr>
                <w:sz w:val="20"/>
                <w:szCs w:val="20"/>
                <w:color w:val="auto"/>
              </w:rPr>
            </w:pPr>
            <w:r>
              <w:rPr>
                <w:rFonts w:ascii="Arial" w:cs="Arial" w:eastAsia="Arial" w:hAnsi="Arial"/>
                <w:sz w:val="18"/>
                <w:szCs w:val="18"/>
                <w:color w:val="auto"/>
              </w:rPr>
              <w:t>5,656</w:t>
            </w:r>
          </w:p>
        </w:tc>
        <w:tc>
          <w:tcPr>
            <w:tcW w:w="200" w:type="dxa"/>
            <w:vAlign w:val="bottom"/>
            <w:shd w:val="clear" w:color="auto" w:fill="E5FFFF"/>
          </w:tcPr>
          <w:p>
            <w:pPr>
              <w:spacing w:after="0"/>
              <w:rPr>
                <w:sz w:val="20"/>
                <w:szCs w:val="20"/>
                <w:color w:val="auto"/>
              </w:rPr>
            </w:pPr>
          </w:p>
        </w:tc>
        <w:tc>
          <w:tcPr>
            <w:tcW w:w="13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Finance lease charge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2,720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color w:val="auto"/>
              </w:rPr>
              <w:t>2,722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3,787</w:t>
            </w:r>
          </w:p>
        </w:tc>
        <w:tc>
          <w:tcPr>
            <w:tcW w:w="2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4"/>
              </w:rPr>
              <w:t>Loss arising on NOK bond repurchase at a premium (Note 7)</w:t>
            </w: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2,120</w:t>
            </w: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290"/>
              <w:spacing w:after="0"/>
              <w:rPr>
                <w:sz w:val="20"/>
                <w:szCs w:val="20"/>
                <w:color w:val="auto"/>
              </w:rPr>
            </w:pPr>
            <w:r>
              <w:rPr>
                <w:rFonts w:ascii="Arial" w:cs="Arial" w:eastAsia="Arial" w:hAnsi="Arial"/>
                <w:sz w:val="18"/>
                <w:szCs w:val="18"/>
                <w:color w:val="auto"/>
              </w:rPr>
              <w:t>1,459</w:t>
            </w:r>
          </w:p>
        </w:tc>
        <w:tc>
          <w:tcPr>
            <w:tcW w:w="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380" w:type="dxa"/>
            <w:vAlign w:val="bottom"/>
            <w:gridSpan w:val="3"/>
            <w:shd w:val="clear" w:color="auto" w:fill="E5FFFF"/>
          </w:tcPr>
          <w:p>
            <w:pPr>
              <w:jc w:val="right"/>
              <w:ind w:right="130"/>
              <w:spacing w:after="0"/>
              <w:rPr>
                <w:sz w:val="20"/>
                <w:szCs w:val="20"/>
                <w:color w:val="auto"/>
              </w:rPr>
            </w:pPr>
            <w:r>
              <w:rPr>
                <w:rFonts w:ascii="Arial" w:cs="Arial" w:eastAsia="Arial" w:hAnsi="Arial"/>
                <w:sz w:val="18"/>
                <w:szCs w:val="18"/>
                <w:color w:val="auto"/>
              </w:rPr>
              <w:t>2,120</w:t>
            </w:r>
          </w:p>
        </w:tc>
        <w:tc>
          <w:tcPr>
            <w:tcW w:w="200" w:type="dxa"/>
            <w:vAlign w:val="bottom"/>
            <w:shd w:val="clear" w:color="auto" w:fill="E5FFFF"/>
          </w:tcPr>
          <w:p>
            <w:pPr>
              <w:spacing w:after="0"/>
              <w:rPr>
                <w:sz w:val="18"/>
                <w:szCs w:val="18"/>
                <w:color w:val="auto"/>
              </w:rPr>
            </w:pPr>
          </w:p>
        </w:tc>
        <w:tc>
          <w:tcPr>
            <w:tcW w:w="13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financial costs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19"/>
                <w:szCs w:val="19"/>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Total financial costs</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440" w:type="dxa"/>
            <w:vAlign w:val="bottom"/>
            <w:tcBorders>
              <w:top w:val="single" w:sz="8" w:color="auto"/>
              <w:bottom w:val="single" w:sz="8" w:color="auto"/>
            </w:tcBorders>
            <w:shd w:val="clear" w:color="auto" w:fill="E5FF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31,483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spacing w:after="0"/>
              <w:rPr>
                <w:sz w:val="19"/>
                <w:szCs w:val="19"/>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37,078</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60" w:type="dxa"/>
            <w:vAlign w:val="bottom"/>
            <w:tcBorders>
              <w:top w:val="single" w:sz="8" w:color="auto"/>
              <w:bottom w:val="single" w:sz="8" w:color="auto"/>
            </w:tcBorders>
            <w:shd w:val="clear" w:color="auto" w:fill="E5FF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60,662</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69,602</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color w:val="auto"/>
                <w:w w:val="99"/>
              </w:rPr>
              <w:t>Unrealized loss on derivative financial instruments held for</w:t>
            </w: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0" w:type="dxa"/>
            <w:vAlign w:val="bottom"/>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trading (Note 13)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1,372</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color w:val="auto"/>
              </w:rPr>
              <w:t>3,487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9,509</w:t>
            </w:r>
          </w:p>
        </w:tc>
        <w:tc>
          <w:tcPr>
            <w:tcW w:w="2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Realized loss on derivative financial instruments held for</w:t>
            </w:r>
          </w:p>
        </w:tc>
        <w:tc>
          <w:tcPr>
            <w:tcW w:w="1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1,740</w:t>
            </w:r>
          </w:p>
        </w:tc>
        <w:tc>
          <w:tcPr>
            <w:tcW w:w="3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ind w:right="290"/>
              <w:spacing w:after="0"/>
              <w:rPr>
                <w:sz w:val="20"/>
                <w:szCs w:val="20"/>
                <w:color w:val="auto"/>
              </w:rPr>
            </w:pPr>
            <w:r>
              <w:rPr>
                <w:rFonts w:ascii="Arial" w:cs="Arial" w:eastAsia="Arial" w:hAnsi="Arial"/>
                <w:sz w:val="18"/>
                <w:szCs w:val="18"/>
                <w:color w:val="auto"/>
              </w:rPr>
              <w:t>1,865</w:t>
            </w:r>
          </w:p>
        </w:tc>
        <w:tc>
          <w:tcPr>
            <w:tcW w:w="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380" w:type="dxa"/>
            <w:vAlign w:val="bottom"/>
            <w:gridSpan w:val="3"/>
            <w:shd w:val="clear" w:color="auto" w:fill="E5FFFF"/>
          </w:tcPr>
          <w:p>
            <w:pPr>
              <w:jc w:val="right"/>
              <w:ind w:right="130"/>
              <w:spacing w:after="0"/>
              <w:rPr>
                <w:sz w:val="20"/>
                <w:szCs w:val="20"/>
                <w:color w:val="auto"/>
              </w:rPr>
            </w:pPr>
            <w:r>
              <w:rPr>
                <w:rFonts w:ascii="Arial" w:cs="Arial" w:eastAsia="Arial" w:hAnsi="Arial"/>
                <w:sz w:val="18"/>
                <w:szCs w:val="18"/>
                <w:color w:val="auto"/>
              </w:rPr>
              <w:t>3,668</w:t>
            </w:r>
          </w:p>
        </w:tc>
        <w:tc>
          <w:tcPr>
            <w:tcW w:w="200" w:type="dxa"/>
            <w:vAlign w:val="bottom"/>
            <w:shd w:val="clear" w:color="auto" w:fill="E5FFFF"/>
          </w:tcPr>
          <w:p>
            <w:pPr>
              <w:spacing w:after="0"/>
              <w:rPr>
                <w:sz w:val="20"/>
                <w:szCs w:val="20"/>
                <w:color w:val="auto"/>
              </w:rPr>
            </w:pPr>
          </w:p>
        </w:tc>
        <w:tc>
          <w:tcPr>
            <w:tcW w:w="13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390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4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38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9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09" w:right="239" w:bottom="0" w:gutter="0" w:footer="0" w:header="0"/>
        </w:sectPr>
      </w:pPr>
    </w:p>
    <w:bookmarkStart w:id="44" w:name="page45"/>
    <w:bookmarkEnd w:id="44"/>
    <w:p>
      <w:pPr>
        <w:ind w:left="180"/>
        <w:spacing w:after="0"/>
        <w:rPr>
          <w:sz w:val="20"/>
          <w:szCs w:val="20"/>
          <w:color w:val="auto"/>
        </w:rPr>
      </w:pPr>
      <w:r>
        <w:rPr>
          <w:rFonts w:ascii="Arial" w:cs="Arial" w:eastAsia="Arial" w:hAnsi="Arial"/>
          <w:sz w:val="18"/>
          <w:szCs w:val="18"/>
          <w:color w:val="auto"/>
        </w:rPr>
        <w:t>trading</w:t>
      </w:r>
    </w:p>
    <w:p>
      <w:pPr>
        <w:spacing w:after="0" w:line="23"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Recycled loss of cash flow hedges reclassified to profit or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loss on swaps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820"/>
              <w:spacing w:after="0"/>
              <w:rPr>
                <w:sz w:val="20"/>
                <w:szCs w:val="20"/>
                <w:color w:val="auto"/>
              </w:rPr>
            </w:pPr>
            <w:r>
              <w:rPr>
                <w:rFonts w:ascii="Arial" w:cs="Arial" w:eastAsia="Arial" w:hAnsi="Arial"/>
                <w:sz w:val="18"/>
                <w:szCs w:val="18"/>
                <w:color w:val="auto"/>
              </w:rPr>
              <w:t>5,927</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4,368</w:t>
            </w: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6,276</w:t>
            </w:r>
          </w:p>
        </w:tc>
        <w:tc>
          <w:tcPr>
            <w:tcW w:w="120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23"/>
        </w:trPr>
        <w:tc>
          <w:tcPr>
            <w:tcW w:w="12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b w:val="1"/>
                <w:bCs w:val="1"/>
                <w:color w:val="auto"/>
                <w:w w:val="84"/>
              </w:rPr>
              <w:t>9,039</w:t>
            </w:r>
          </w:p>
        </w:tc>
        <w:tc>
          <w:tcPr>
            <w:tcW w:w="4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9,720</w:t>
            </w:r>
          </w:p>
        </w:tc>
        <w:tc>
          <w:tcPr>
            <w:tcW w:w="4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19,453</w:t>
            </w:r>
          </w:p>
        </w:tc>
        <w:tc>
          <w:tcPr>
            <w:tcW w:w="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9,722</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-599440</wp:posOffset>
            </wp:positionV>
            <wp:extent cx="70237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3735" cy="13716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-179705</wp:posOffset>
            </wp:positionV>
            <wp:extent cx="702373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3735" cy="163195"/>
                    </a:xfrm>
                    <a:prstGeom prst="rect">
                      <a:avLst/>
                    </a:prstGeom>
                    <a:noFill/>
                  </pic:spPr>
                </pic:pic>
              </a:graphicData>
            </a:graphic>
          </wp:anchor>
        </w:drawing>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160" w:space="600"/>
            <w:col w:w="6180"/>
          </w:cols>
          <w:pgMar w:left="580" w:top="12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15. Non-cash Items on Statements of Cash Flows</w:t>
      </w:r>
    </w:p>
    <w:p>
      <w:pPr>
        <w:spacing w:after="0" w:line="22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As of June 30, 2017, there are capital expenditures for vessels and vessels under construction of $4,805 that have not been paid during the six months ended June 30, 2017 and are included in current liabilities (December 31, 2016: $2,038). Also, as of June 30, 2016, there were capital expenditures of $4,096 that had not been paid during the nine months ended June 30, 2016 and were included in current liabilities (December 31, 2015: $12,576).</w:t>
      </w:r>
    </w:p>
    <w:p>
      <w:pPr>
        <w:spacing w:after="0" w:line="14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As of June 30, 2017, there are equity raising costs of $955 that have not been paid during the six months ended June 30, 2017 and are included in current liabilities (December 31, 2016: $5). Also, as of June 30, 2016, there were equity raising costs of $17 that had not been paid during the six months ended June 30, 2016 and were included in current liabilities (December 31, 2015: $59).</w:t>
      </w:r>
    </w:p>
    <w:p>
      <w:pPr>
        <w:spacing w:after="0" w:line="1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June 30, 2017, there are loan issuance costs of $57 that have not been paid during the six months ended June 30, 2017 and are included in current liabilities (December 31, 2016: $0). Also, as of June 30, 2016, there were loan issuance costs of $5,103 that had not been paid during the six months ended June 30, 2016 and were included in current liabilities (December 31, 2015: $247).</w:t>
      </w:r>
    </w:p>
    <w:p>
      <w:pPr>
        <w:spacing w:after="0" w:line="18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June 30, 2017, there are dividends declared of $2,516 that have not been paid during the six months ended June 30, 2017 and are included in current liabilities (December 31, 2016: $0).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there are receivables from stock options of $0 included in current assets (December 31, 2016: $108).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2016.</w:t>
      </w:r>
    </w:p>
    <w:p>
      <w:pPr>
        <w:spacing w:after="0" w:line="181" w:lineRule="exact"/>
        <w:rPr>
          <w:sz w:val="20"/>
          <w:szCs w:val="20"/>
          <w:color w:val="auto"/>
        </w:rPr>
      </w:pPr>
    </w:p>
    <w:p>
      <w:pPr>
        <w:ind w:right="60" w:firstLine="357"/>
        <w:spacing w:after="0" w:line="312" w:lineRule="auto"/>
        <w:rPr>
          <w:sz w:val="20"/>
          <w:szCs w:val="20"/>
          <w:color w:val="auto"/>
        </w:rPr>
      </w:pPr>
      <w:r>
        <w:rPr>
          <w:rFonts w:ascii="Arial" w:cs="Arial" w:eastAsia="Arial" w:hAnsi="Arial"/>
          <w:sz w:val="16"/>
          <w:szCs w:val="16"/>
          <w:color w:val="auto"/>
        </w:rPr>
        <w:t>On April 3, 2017, GasLog granted to executives, managers and certain employees of the Group, 144,142 RSUs and 448,045 SARs in accordance with the Plan. The RSUs will vest on April 3, 2020 while the SARs will vest incrementally with one-third of the SARs vesting on each of April 3, 2018, 2019 and 2020. The compensation cost for the SARs is recognized on an accelerated basis as though each separately vesting portion of the SARs is a separate award.</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Exercise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Awards</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Number</w:t>
            </w:r>
          </w:p>
        </w:tc>
        <w:tc>
          <w:tcPr>
            <w:tcW w:w="1960" w:type="dxa"/>
            <w:vAlign w:val="bottom"/>
            <w:gridSpan w:val="2"/>
          </w:tcPr>
          <w:p>
            <w:pPr>
              <w:ind w:left="320"/>
              <w:spacing w:after="0"/>
              <w:rPr>
                <w:sz w:val="20"/>
                <w:szCs w:val="20"/>
                <w:color w:val="auto"/>
              </w:rPr>
            </w:pPr>
            <w:r>
              <w:rPr>
                <w:rFonts w:ascii="Arial" w:cs="Arial" w:eastAsia="Arial" w:hAnsi="Arial"/>
                <w:sz w:val="18"/>
                <w:szCs w:val="18"/>
                <w:b w:val="1"/>
                <w:bCs w:val="1"/>
                <w:color w:val="auto"/>
              </w:rPr>
              <w:t>Grant date</w:t>
            </w: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Expiry date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grant date</w:t>
            </w:r>
          </w:p>
        </w:tc>
      </w:tr>
      <w:tr>
        <w:trPr>
          <w:trHeight w:val="210"/>
        </w:trPr>
        <w:tc>
          <w:tcPr>
            <w:tcW w:w="13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RSUs</w:t>
            </w:r>
          </w:p>
        </w:tc>
        <w:tc>
          <w:tcPr>
            <w:tcW w:w="3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144,142</w:t>
            </w:r>
          </w:p>
        </w:tc>
        <w:tc>
          <w:tcPr>
            <w:tcW w:w="32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April 3, 2017</w:t>
            </w:r>
          </w:p>
        </w:tc>
        <w:tc>
          <w:tcPr>
            <w:tcW w:w="22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top w:val="single" w:sz="8" w:color="E5FFFF"/>
            </w:tcBorders>
            <w:shd w:val="clear" w:color="auto" w:fill="E5FFFF"/>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SARs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448,045</w:t>
            </w:r>
          </w:p>
        </w:tc>
        <w:tc>
          <w:tcPr>
            <w:tcW w:w="1960" w:type="dxa"/>
            <w:vAlign w:val="bottom"/>
            <w:gridSpan w:val="2"/>
          </w:tcPr>
          <w:p>
            <w:pPr>
              <w:ind w:left="320"/>
              <w:spacing w:after="0"/>
              <w:rPr>
                <w:sz w:val="20"/>
                <w:szCs w:val="20"/>
                <w:color w:val="auto"/>
              </w:rPr>
            </w:pPr>
            <w:r>
              <w:rPr>
                <w:rFonts w:ascii="Arial" w:cs="Arial" w:eastAsia="Arial" w:hAnsi="Arial"/>
                <w:sz w:val="18"/>
                <w:szCs w:val="18"/>
                <w:color w:val="auto"/>
              </w:rPr>
              <w:t>April 3, 2017</w:t>
            </w:r>
          </w:p>
        </w:tc>
        <w:tc>
          <w:tcPr>
            <w:tcW w:w="1760" w:type="dxa"/>
            <w:vAlign w:val="bottom"/>
            <w:gridSpan w:val="2"/>
          </w:tcPr>
          <w:p>
            <w:pPr>
              <w:ind w:left="220"/>
              <w:spacing w:after="0"/>
              <w:rPr>
                <w:sz w:val="20"/>
                <w:szCs w:val="20"/>
                <w:color w:val="auto"/>
              </w:rPr>
            </w:pPr>
            <w:r>
              <w:rPr>
                <w:rFonts w:ascii="Arial" w:cs="Arial" w:eastAsia="Arial" w:hAnsi="Arial"/>
                <w:sz w:val="18"/>
                <w:szCs w:val="18"/>
                <w:color w:val="auto"/>
              </w:rPr>
              <w:t>April 3, 2027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5.0021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420" w:firstLine="357"/>
        <w:spacing w:after="0" w:line="259"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7" w:lineRule="exact"/>
        <w:rPr>
          <w:sz w:val="20"/>
          <w:szCs w:val="20"/>
          <w:color w:val="auto"/>
        </w:rPr>
      </w:pPr>
    </w:p>
    <w:p>
      <w:pPr>
        <w:jc w:val="both"/>
        <w:ind w:firstLine="436"/>
        <w:spacing w:after="0" w:line="342"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Inputs into the model</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69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Grant date share closing price</w:t>
            </w:r>
          </w:p>
        </w:tc>
        <w:tc>
          <w:tcPr>
            <w:tcW w:w="2480" w:type="dxa"/>
            <w:vAlign w:val="bottom"/>
            <w:tcBorders>
              <w:top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FFFF"/>
          </w:tcPr>
          <w:p>
            <w:pPr>
              <w:jc w:val="right"/>
              <w:ind w:right="170"/>
              <w:spacing w:after="0"/>
              <w:rPr>
                <w:sz w:val="20"/>
                <w:szCs w:val="20"/>
                <w:color w:val="auto"/>
              </w:rPr>
            </w:pPr>
            <w:r>
              <w:rPr>
                <w:rFonts w:ascii="Arial" w:cs="Arial" w:eastAsia="Arial" w:hAnsi="Arial"/>
                <w:sz w:val="18"/>
                <w:szCs w:val="18"/>
                <w:color w:val="auto"/>
              </w:rPr>
              <w:t>15.55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Exercise price</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15.55</w:t>
            </w:r>
          </w:p>
        </w:tc>
      </w:tr>
      <w:tr>
        <w:trPr>
          <w:trHeight w:val="216"/>
        </w:trPr>
        <w:tc>
          <w:tcPr>
            <w:tcW w:w="6920" w:type="dxa"/>
            <w:vAlign w:val="bottom"/>
            <w:shd w:val="clear" w:color="auto" w:fill="E5FFFF"/>
          </w:tcPr>
          <w:p>
            <w:pPr>
              <w:spacing w:after="0"/>
              <w:rPr>
                <w:sz w:val="20"/>
                <w:szCs w:val="20"/>
                <w:color w:val="auto"/>
              </w:rPr>
            </w:pPr>
            <w:r>
              <w:rPr>
                <w:rFonts w:ascii="Arial" w:cs="Arial" w:eastAsia="Arial" w:hAnsi="Arial"/>
                <w:sz w:val="18"/>
                <w:szCs w:val="18"/>
                <w:color w:val="auto"/>
              </w:rPr>
              <w:t>Expected volatility</w:t>
            </w:r>
          </w:p>
        </w:tc>
        <w:tc>
          <w:tcPr>
            <w:tcW w:w="248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46.0%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Expected term</w:t>
            </w:r>
          </w:p>
        </w:tc>
        <w:tc>
          <w:tcPr>
            <w:tcW w:w="24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 years</w:t>
            </w:r>
          </w:p>
        </w:tc>
      </w:tr>
      <w:tr>
        <w:trPr>
          <w:trHeight w:val="216"/>
        </w:trPr>
        <w:tc>
          <w:tcPr>
            <w:tcW w:w="6920" w:type="dxa"/>
            <w:vAlign w:val="bottom"/>
            <w:shd w:val="clear" w:color="auto" w:fill="E5FFFF"/>
          </w:tcPr>
          <w:p>
            <w:pPr>
              <w:spacing w:after="0"/>
              <w:rPr>
                <w:sz w:val="20"/>
                <w:szCs w:val="20"/>
                <w:color w:val="auto"/>
              </w:rPr>
            </w:pPr>
            <w:r>
              <w:rPr>
                <w:rFonts w:ascii="Arial" w:cs="Arial" w:eastAsia="Arial" w:hAnsi="Arial"/>
                <w:sz w:val="18"/>
                <w:szCs w:val="18"/>
                <w:color w:val="auto"/>
              </w:rPr>
              <w:t>Risk-free interest rate for the period similar to the expected term</w:t>
            </w:r>
          </w:p>
        </w:tc>
        <w:tc>
          <w:tcPr>
            <w:tcW w:w="248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1.99%</w:t>
            </w:r>
          </w:p>
        </w:tc>
      </w:tr>
    </w:tbl>
    <w:p>
      <w:pPr>
        <w:spacing w:after="0" w:line="202" w:lineRule="exact"/>
        <w:rPr>
          <w:sz w:val="20"/>
          <w:szCs w:val="20"/>
          <w:color w:val="auto"/>
        </w:rPr>
      </w:pPr>
    </w:p>
    <w:p>
      <w:pPr>
        <w:ind w:right="480" w:firstLine="357"/>
        <w:spacing w:after="0" w:line="277" w:lineRule="auto"/>
        <w:rPr>
          <w:sz w:val="20"/>
          <w:szCs w:val="20"/>
          <w:color w:val="auto"/>
        </w:rPr>
      </w:pPr>
      <w:r>
        <w:rPr>
          <w:rFonts w:ascii="Arial" w:cs="Arial" w:eastAsia="Arial" w:hAnsi="Arial"/>
          <w:sz w:val="18"/>
          <w:szCs w:val="18"/>
          <w:color w:val="auto"/>
        </w:rPr>
        <w:t>The fair value of the RSUs was determined by using the grant date closing price of $15.55 per common unit and was not further adjusted since the holders are entitled to dividends.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Movement in RSUs and SARs during the period</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40" w:type="dxa"/>
            <w:vAlign w:val="bottom"/>
            <w:gridSpan w:val="2"/>
          </w:tcPr>
          <w:p>
            <w:pPr>
              <w:ind w:left="360"/>
              <w:spacing w:after="0"/>
              <w:rPr>
                <w:sz w:val="20"/>
                <w:szCs w:val="20"/>
                <w:color w:val="auto"/>
              </w:rPr>
            </w:pPr>
            <w:r>
              <w:rPr>
                <w:rFonts w:ascii="Arial" w:cs="Arial" w:eastAsia="Arial" w:hAnsi="Arial"/>
                <w:sz w:val="18"/>
                <w:szCs w:val="18"/>
                <w:color w:val="auto"/>
                <w:w w:val="92"/>
              </w:rPr>
              <w:t>The summary of RSUs and SARs is presented below:</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3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share price at</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Number of</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3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the date of</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Aggregate fair</w:t>
            </w:r>
          </w:p>
        </w:tc>
      </w:tr>
      <w:tr>
        <w:trPr>
          <w:trHeight w:val="234"/>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awards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3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life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r>
      <w:tr>
        <w:trPr>
          <w:trHeight w:val="210"/>
        </w:trPr>
        <w:tc>
          <w:tcPr>
            <w:tcW w:w="580" w:type="dxa"/>
            <w:vAlign w:val="bottom"/>
          </w:tcPr>
          <w:p>
            <w:pPr>
              <w:spacing w:after="0"/>
              <w:rPr>
                <w:sz w:val="18"/>
                <w:szCs w:val="18"/>
                <w:color w:val="auto"/>
              </w:rPr>
            </w:pPr>
          </w:p>
        </w:tc>
        <w:tc>
          <w:tcPr>
            <w:tcW w:w="3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RSUs</w:t>
            </w:r>
          </w:p>
        </w:tc>
        <w:tc>
          <w:tcPr>
            <w:tcW w:w="102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368,437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5,225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144,142</w:t>
            </w: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E5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(1,795)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580" w:type="dxa"/>
            <w:vAlign w:val="bottom"/>
          </w:tcPr>
          <w:p>
            <w:pPr>
              <w:spacing w:after="0"/>
              <w:rPr>
                <w:sz w:val="19"/>
                <w:szCs w:val="19"/>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Vested during the period</w:t>
            </w: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(72,189)</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(1,630)</w:t>
            </w:r>
          </w:p>
        </w:tc>
      </w:tr>
      <w:tr>
        <w:trPr>
          <w:trHeight w:val="263"/>
        </w:trPr>
        <w:tc>
          <w:tcPr>
            <w:tcW w:w="580" w:type="dxa"/>
            <w:vAlign w:val="bottom"/>
          </w:tcPr>
          <w:p>
            <w:pPr>
              <w:spacing w:after="0"/>
              <w:rPr>
                <w:sz w:val="22"/>
                <w:szCs w:val="22"/>
                <w:color w:val="auto"/>
              </w:rPr>
            </w:pPr>
          </w:p>
        </w:tc>
        <w:tc>
          <w:tcPr>
            <w:tcW w:w="3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June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438,595</w:t>
            </w:r>
          </w:p>
        </w:tc>
        <w:tc>
          <w:tcPr>
            <w:tcW w:w="300" w:type="dxa"/>
            <w:vAlign w:val="bottom"/>
            <w:tcBorders>
              <w:bottom w:val="single" w:sz="8" w:color="E5FF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E5FF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E5FF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300" w:type="dxa"/>
            <w:vAlign w:val="bottom"/>
            <w:tcBorders>
              <w:bottom w:val="single" w:sz="8" w:color="E5FF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w:t>
            </w:r>
          </w:p>
        </w:tc>
        <w:tc>
          <w:tcPr>
            <w:tcW w:w="100" w:type="dxa"/>
            <w:vAlign w:val="bottom"/>
            <w:tcBorders>
              <w:bottom w:val="single" w:sz="8" w:color="E5FFFF"/>
            </w:tcBorders>
          </w:tcPr>
          <w:p>
            <w:pPr>
              <w:spacing w:after="0"/>
              <w:rPr>
                <w:sz w:val="22"/>
                <w:szCs w:val="22"/>
                <w:color w:val="auto"/>
              </w:rPr>
            </w:pPr>
          </w:p>
        </w:tc>
      </w:tr>
      <w:tr>
        <w:trPr>
          <w:trHeight w:val="197"/>
        </w:trPr>
        <w:tc>
          <w:tcPr>
            <w:tcW w:w="580" w:type="dxa"/>
            <w:vAlign w:val="bottom"/>
          </w:tcPr>
          <w:p>
            <w:pPr>
              <w:spacing w:after="0"/>
              <w:rPr>
                <w:sz w:val="17"/>
                <w:szCs w:val="17"/>
                <w:color w:val="auto"/>
              </w:rPr>
            </w:pPr>
          </w:p>
        </w:tc>
        <w:tc>
          <w:tcPr>
            <w:tcW w:w="37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SARs</w:t>
            </w:r>
          </w:p>
        </w:tc>
        <w:tc>
          <w:tcPr>
            <w:tcW w:w="10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1,713,702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6,010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448,045</w:t>
            </w: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E5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(3,145)</w:t>
            </w: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80" w:type="dxa"/>
            <w:vAlign w:val="bottom"/>
          </w:tcPr>
          <w:p>
            <w:pPr>
              <w:spacing w:after="0"/>
              <w:rPr>
                <w:sz w:val="19"/>
                <w:szCs w:val="19"/>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Forfeited during the period</w:t>
            </w: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(5,578)</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Outstanding as of June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2,153,024</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8,216</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2017, 1,048,442 SARs have vested but have not been exercised.</w:t>
      </w:r>
    </w:p>
    <w:p>
      <w:pPr>
        <w:spacing w:after="0" w:line="225" w:lineRule="exact"/>
        <w:rPr>
          <w:sz w:val="20"/>
          <w:szCs w:val="20"/>
          <w:color w:val="auto"/>
        </w:rPr>
      </w:pPr>
    </w:p>
    <w:p>
      <w:pPr>
        <w:jc w:val="both"/>
        <w:ind w:right="240" w:firstLine="357"/>
        <w:spacing w:after="0" w:line="264" w:lineRule="auto"/>
        <w:rPr>
          <w:sz w:val="20"/>
          <w:szCs w:val="20"/>
          <w:color w:val="auto"/>
        </w:rPr>
      </w:pPr>
      <w:r>
        <w:rPr>
          <w:rFonts w:ascii="Arial" w:cs="Arial" w:eastAsia="Arial" w:hAnsi="Arial"/>
          <w:sz w:val="18"/>
          <w:szCs w:val="18"/>
          <w:color w:val="auto"/>
        </w:rPr>
        <w:t>The terms of the 2015 GasLog Partners’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2016.</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April 3, 2017, GasLog Partners granted to its executives 26,097 RCUs and 26,097 PCUs in accordance with the GasLog Partners’ Plan. The RCUs and PCUs will vest on April 3, 2020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50th-75th percentile of the peer group results in 50% of award vesting; TUR below the 50th percentile of the peer group results in none of the award vesting. The holders are entitled to cash distributions that will be accrued and settled on vesting.</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Awards</w:t>
            </w:r>
          </w:p>
        </w:tc>
        <w:tc>
          <w:tcPr>
            <w:tcW w:w="2160" w:type="dxa"/>
            <w:vAlign w:val="bottom"/>
            <w:gridSpan w:val="2"/>
          </w:tcPr>
          <w:p>
            <w:pPr>
              <w:ind w:left="540"/>
              <w:spacing w:after="0"/>
              <w:rPr>
                <w:sz w:val="20"/>
                <w:szCs w:val="20"/>
                <w:color w:val="auto"/>
              </w:rPr>
            </w:pPr>
            <w:r>
              <w:rPr>
                <w:rFonts w:ascii="Arial" w:cs="Arial" w:eastAsia="Arial" w:hAnsi="Arial"/>
                <w:sz w:val="18"/>
                <w:szCs w:val="18"/>
                <w:b w:val="1"/>
                <w:bCs w:val="1"/>
                <w:color w:val="auto"/>
              </w:rPr>
              <w:t>Number</w:t>
            </w:r>
          </w:p>
        </w:tc>
        <w:tc>
          <w:tcPr>
            <w:tcW w:w="2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Grant date</w:t>
            </w: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Expiry date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grant date</w:t>
            </w:r>
          </w:p>
        </w:tc>
      </w:tr>
      <w:tr>
        <w:trPr>
          <w:trHeight w:val="210"/>
        </w:trPr>
        <w:tc>
          <w:tcPr>
            <w:tcW w:w="16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RCUs</w:t>
            </w:r>
          </w:p>
        </w:tc>
        <w:tc>
          <w:tcPr>
            <w:tcW w:w="420" w:type="dxa"/>
            <w:vAlign w:val="bottom"/>
            <w:tcBorders>
              <w:top w:val="single" w:sz="8" w:color="E5FFFF"/>
            </w:tcBorders>
            <w:shd w:val="clear" w:color="auto" w:fill="E5FFFF"/>
          </w:tcPr>
          <w:p>
            <w:pPr>
              <w:spacing w:after="0"/>
              <w:rPr>
                <w:sz w:val="18"/>
                <w:szCs w:val="18"/>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26,097</w:t>
            </w:r>
          </w:p>
        </w:tc>
        <w:tc>
          <w:tcPr>
            <w:tcW w:w="400" w:type="dxa"/>
            <w:vAlign w:val="bottom"/>
            <w:tcBorders>
              <w:top w:val="single" w:sz="8" w:color="E5FFFF"/>
            </w:tcBorders>
            <w:shd w:val="clear" w:color="auto" w:fill="E5FFFF"/>
          </w:tcPr>
          <w:p>
            <w:pPr>
              <w:spacing w:after="0"/>
              <w:rPr>
                <w:sz w:val="18"/>
                <w:szCs w:val="18"/>
                <w:color w:val="auto"/>
              </w:rPr>
            </w:pPr>
          </w:p>
        </w:tc>
        <w:tc>
          <w:tcPr>
            <w:tcW w:w="1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April 3, 2017</w:t>
            </w:r>
          </w:p>
        </w:tc>
        <w:tc>
          <w:tcPr>
            <w:tcW w:w="30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ind w:left="1520"/>
              <w:spacing w:after="0"/>
              <w:rPr>
                <w:sz w:val="20"/>
                <w:szCs w:val="20"/>
                <w:color w:val="auto"/>
              </w:rPr>
            </w:pPr>
            <w:r>
              <w:rPr>
                <w:rFonts w:ascii="Arial" w:cs="Arial" w:eastAsia="Arial" w:hAnsi="Arial"/>
                <w:sz w:val="18"/>
                <w:szCs w:val="18"/>
                <w:color w:val="auto"/>
                <w:w w:val="79"/>
              </w:rPr>
              <w:t>n/a</w:t>
            </w:r>
          </w:p>
        </w:tc>
        <w:tc>
          <w:tcPr>
            <w:tcW w:w="3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top w:val="single" w:sz="8" w:color="E5FFFF"/>
            </w:tcBorders>
            <w:shd w:val="clear" w:color="auto" w:fill="E5FFFF"/>
          </w:tcPr>
          <w:p>
            <w:pPr>
              <w:spacing w:after="0"/>
              <w:rPr>
                <w:sz w:val="18"/>
                <w:szCs w:val="18"/>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PCUs</w:t>
            </w:r>
          </w:p>
        </w:tc>
        <w:tc>
          <w:tcPr>
            <w:tcW w:w="1760" w:type="dxa"/>
            <w:vAlign w:val="bottom"/>
          </w:tcPr>
          <w:p>
            <w:pPr>
              <w:jc w:val="right"/>
              <w:spacing w:after="0"/>
              <w:rPr>
                <w:sz w:val="20"/>
                <w:szCs w:val="20"/>
                <w:color w:val="auto"/>
              </w:rPr>
            </w:pPr>
            <w:r>
              <w:rPr>
                <w:rFonts w:ascii="Arial" w:cs="Arial" w:eastAsia="Arial" w:hAnsi="Arial"/>
                <w:sz w:val="18"/>
                <w:szCs w:val="18"/>
                <w:color w:val="auto"/>
              </w:rPr>
              <w:t>26,097</w:t>
            </w:r>
          </w:p>
        </w:tc>
        <w:tc>
          <w:tcPr>
            <w:tcW w:w="400" w:type="dxa"/>
            <w:vAlign w:val="bottom"/>
          </w:tcPr>
          <w:p>
            <w:pPr>
              <w:spacing w:after="0"/>
              <w:rPr>
                <w:sz w:val="20"/>
                <w:szCs w:val="20"/>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April 3, 2017</w:t>
            </w:r>
          </w:p>
        </w:tc>
        <w:tc>
          <w:tcPr>
            <w:tcW w:w="1740" w:type="dxa"/>
            <w:vAlign w:val="bottom"/>
          </w:tcPr>
          <w:p>
            <w:pPr>
              <w:ind w:left="1520"/>
              <w:spacing w:after="0"/>
              <w:rPr>
                <w:sz w:val="20"/>
                <w:szCs w:val="20"/>
                <w:color w:val="auto"/>
              </w:rPr>
            </w:pPr>
            <w:r>
              <w:rPr>
                <w:rFonts w:ascii="Arial" w:cs="Arial" w:eastAsia="Arial" w:hAnsi="Arial"/>
                <w:sz w:val="18"/>
                <w:szCs w:val="18"/>
                <w:color w:val="auto"/>
                <w:w w:val="79"/>
              </w:rPr>
              <w:t>n/a</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0"/>
                <w:szCs w:val="20"/>
                <w:color w:val="auto"/>
              </w:rPr>
            </w:pPr>
          </w:p>
        </w:tc>
      </w:tr>
    </w:tbl>
    <w:p>
      <w:pPr>
        <w:spacing w:after="0" w:line="376" w:lineRule="exact"/>
        <w:rPr>
          <w:sz w:val="20"/>
          <w:szCs w:val="20"/>
          <w:color w:val="auto"/>
        </w:rPr>
      </w:pPr>
    </w:p>
    <w:p>
      <w:pPr>
        <w:ind w:right="220" w:firstLine="357"/>
        <w:spacing w:after="0" w:line="264"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41"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of $23.85 per common unit and was not further adjusted since the holders are entitled to cash distributions.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The summary of RCUs and PCUs is presented below:</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1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11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awards</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contractual life</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160" w:type="dxa"/>
            <w:vAlign w:val="bottom"/>
          </w:tcPr>
          <w:p>
            <w:pPr>
              <w:spacing w:after="0"/>
              <w:rPr>
                <w:sz w:val="18"/>
                <w:szCs w:val="18"/>
                <w:color w:val="auto"/>
              </w:rPr>
            </w:pPr>
          </w:p>
        </w:tc>
        <w:tc>
          <w:tcPr>
            <w:tcW w:w="4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RCUs</w:t>
            </w:r>
          </w:p>
        </w:tc>
        <w:tc>
          <w:tcPr>
            <w:tcW w:w="1200" w:type="dxa"/>
            <w:vAlign w:val="bottom"/>
            <w:tcBorders>
              <w:top w:val="single" w:sz="8" w:color="auto"/>
            </w:tcBorders>
            <w:shd w:val="clear" w:color="auto" w:fill="E5FFFF"/>
          </w:tcPr>
          <w:p>
            <w:pPr>
              <w:spacing w:after="0"/>
              <w:rPr>
                <w:sz w:val="18"/>
                <w:szCs w:val="18"/>
                <w:color w:val="auto"/>
              </w:rPr>
            </w:pPr>
          </w:p>
        </w:tc>
        <w:tc>
          <w:tcPr>
            <w:tcW w:w="3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41,924</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26,097</w:t>
            </w:r>
          </w:p>
        </w:tc>
        <w:tc>
          <w:tcPr>
            <w:tcW w:w="38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E5FFFF"/>
          </w:tcPr>
          <w:p>
            <w:pPr>
              <w:spacing w:after="0"/>
              <w:rPr>
                <w:sz w:val="19"/>
                <w:szCs w:val="19"/>
                <w:color w:val="auto"/>
              </w:rPr>
            </w:pPr>
          </w:p>
        </w:tc>
      </w:tr>
      <w:tr>
        <w:trPr>
          <w:trHeight w:val="263"/>
        </w:trPr>
        <w:tc>
          <w:tcPr>
            <w:tcW w:w="1160" w:type="dxa"/>
            <w:vAlign w:val="bottom"/>
          </w:tcPr>
          <w:p>
            <w:pPr>
              <w:spacing w:after="0"/>
              <w:rPr>
                <w:sz w:val="22"/>
                <w:szCs w:val="22"/>
                <w:color w:val="auto"/>
              </w:rPr>
            </w:pPr>
          </w:p>
        </w:tc>
        <w:tc>
          <w:tcPr>
            <w:tcW w:w="45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June 30, 2017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380" w:type="dxa"/>
            <w:vAlign w:val="bottom"/>
            <w:tcBorders>
              <w:bottom w:val="single" w:sz="8" w:color="E5FF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340" w:type="dxa"/>
            <w:vAlign w:val="bottom"/>
            <w:tcBorders>
              <w:bottom w:val="single" w:sz="8" w:color="E5FF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80" w:type="dxa"/>
            <w:vAlign w:val="bottom"/>
            <w:tcBorders>
              <w:bottom w:val="single" w:sz="8" w:color="E5FFFF"/>
            </w:tcBorders>
          </w:tcPr>
          <w:p>
            <w:pPr>
              <w:spacing w:after="0"/>
              <w:rPr>
                <w:sz w:val="22"/>
                <w:szCs w:val="22"/>
                <w:color w:val="auto"/>
              </w:rPr>
            </w:pPr>
          </w:p>
        </w:tc>
      </w:tr>
      <w:tr>
        <w:trPr>
          <w:trHeight w:val="197"/>
        </w:trPr>
        <w:tc>
          <w:tcPr>
            <w:tcW w:w="1160" w:type="dxa"/>
            <w:vAlign w:val="bottom"/>
          </w:tcPr>
          <w:p>
            <w:pPr>
              <w:spacing w:after="0"/>
              <w:rPr>
                <w:sz w:val="17"/>
                <w:szCs w:val="17"/>
                <w:color w:val="auto"/>
              </w:rPr>
            </w:pPr>
          </w:p>
        </w:tc>
        <w:tc>
          <w:tcPr>
            <w:tcW w:w="45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12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41,924</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26,097</w:t>
            </w:r>
          </w:p>
        </w:tc>
        <w:tc>
          <w:tcPr>
            <w:tcW w:w="38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E5FF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Outstanding as of June 30, 2017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3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3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6"/>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three and six months ended June 30, 2017 was $1,223 and $2,235 (for the three and six months ended June 30, 2016: $1,037 and $1,800). The total accrued cash distribution as of June 30, 2017 is $565 (December 31, 2016: $353) and is included under “Other non-current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Earnings/(losses) per Share (“EPS”)</w:t>
      </w:r>
    </w:p>
    <w:p>
      <w:pPr>
        <w:spacing w:after="0" w:line="229" w:lineRule="exact"/>
        <w:rPr>
          <w:sz w:val="20"/>
          <w:szCs w:val="20"/>
          <w:color w:val="auto"/>
        </w:rPr>
      </w:pPr>
    </w:p>
    <w:p>
      <w:pPr>
        <w:ind w:right="40" w:firstLine="356"/>
        <w:spacing w:after="0" w:line="308" w:lineRule="auto"/>
        <w:rPr>
          <w:sz w:val="20"/>
          <w:szCs w:val="20"/>
          <w:color w:val="auto"/>
        </w:rPr>
      </w:pPr>
      <w:r>
        <w:rPr>
          <w:rFonts w:ascii="Arial" w:cs="Arial" w:eastAsia="Arial" w:hAnsi="Arial"/>
          <w:sz w:val="17"/>
          <w:szCs w:val="17"/>
          <w:color w:val="auto"/>
        </w:rPr>
        <w:t>Basic earnings/(losses) per share was calculated by dividing the profit for the period attributable to the owners of the common shares after deducting the dividend on preference shares by the weighted average number of common shares issued and outstanding during the period.</w:t>
      </w:r>
    </w:p>
    <w:p>
      <w:pPr>
        <w:sectPr>
          <w:pgSz w:w="11900" w:h="16838" w:orient="portrait"/>
          <w:cols w:equalWidth="0" w:num="1">
            <w:col w:w="11360"/>
          </w:cols>
          <w:pgMar w:left="240" w:top="405" w:right="299" w:bottom="21" w:gutter="0" w:footer="0" w:header="0"/>
        </w:sectPr>
      </w:pPr>
    </w:p>
    <w:bookmarkStart w:id="47" w:name="page48"/>
    <w:bookmarkEnd w:id="47"/>
    <w:p>
      <w:pPr>
        <w:ind w:firstLine="356"/>
        <w:spacing w:after="0" w:line="264" w:lineRule="auto"/>
        <w:rPr>
          <w:sz w:val="20"/>
          <w:szCs w:val="20"/>
          <w:color w:val="auto"/>
        </w:rPr>
      </w:pPr>
      <w:r>
        <w:rPr>
          <w:rFonts w:ascii="Arial" w:cs="Arial" w:eastAsia="Arial" w:hAnsi="Arial"/>
          <w:sz w:val="18"/>
          <w:szCs w:val="18"/>
          <w:color w:val="auto"/>
        </w:rPr>
        <w:t>Diluted earnings/(losses) per share is calculated by dividing the profit for the period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8" w:name="page49"/>
    <w:bookmarkEnd w:id="48"/>
    <w:p>
      <w:pPr>
        <w:ind w:left="40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Basic loss per share</w:t>
            </w: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Loss for the period attributable to owners of the Group</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(7,864)</w:t>
            </w:r>
          </w:p>
        </w:tc>
        <w:tc>
          <w:tcPr>
            <w:tcW w:w="3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Plus: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 on preference shares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(2,516)</w:t>
            </w:r>
          </w:p>
        </w:tc>
        <w:tc>
          <w:tcPr>
            <w:tcW w:w="34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Loss for the period available to owners of the Group</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80" w:type="dxa"/>
            <w:vAlign w:val="bottom"/>
            <w:tcBorders>
              <w:bottom w:val="single" w:sz="8" w:color="E5FF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80,624,124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Basic loss per share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80" w:type="dxa"/>
            <w:vAlign w:val="bottom"/>
            <w:tcBorders>
              <w:bottom w:val="single" w:sz="8" w:color="E5FF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Diluted loss per share</w:t>
            </w:r>
          </w:p>
        </w:tc>
        <w:tc>
          <w:tcPr>
            <w:tcW w:w="15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w w:val="99"/>
              </w:rPr>
              <w:t>Loss for the period available to owners of the Group used in the calculation of diluted loss per share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(10,380)</w:t>
            </w:r>
          </w:p>
        </w:tc>
        <w:tc>
          <w:tcPr>
            <w:tcW w:w="3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80,624,124</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Dilutive potential ordinary shares</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used in the calculation of diluted loss per share</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80,624,124</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98"/>
        <w:spacing w:after="0" w:line="277" w:lineRule="auto"/>
        <w:rPr>
          <w:sz w:val="20"/>
          <w:szCs w:val="20"/>
          <w:color w:val="auto"/>
        </w:rPr>
      </w:pPr>
      <w:r>
        <w:rPr>
          <w:rFonts w:ascii="Arial" w:cs="Arial" w:eastAsia="Arial" w:hAnsi="Arial"/>
          <w:sz w:val="18"/>
          <w:szCs w:val="18"/>
          <w:color w:val="auto"/>
        </w:rPr>
        <w:t>The Group excluded the dilutive effect of 2,153,024 SARs and 438,595 RSUs in calculating diluted EPS for the three months ended June 30, 2017, as they were anti-dilutive (June 30, 2016: 1,721,817 SARs and 368,437 RSUs).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7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Basic (loss)/earnings per share</w:t>
            </w: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(Loss)/profit for the period attributable to owners of the Group</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(23,762)</w:t>
            </w:r>
          </w:p>
        </w:tc>
        <w:tc>
          <w:tcPr>
            <w:tcW w:w="340" w:type="dxa"/>
            <w:vAlign w:val="bottom"/>
            <w:shd w:val="clear" w:color="auto" w:fill="E5FFFF"/>
          </w:tcPr>
          <w:p>
            <w:pPr>
              <w:spacing w:after="0"/>
              <w:rPr>
                <w:sz w:val="18"/>
                <w:szCs w:val="18"/>
                <w:color w:val="auto"/>
              </w:rPr>
            </w:pPr>
          </w:p>
        </w:tc>
        <w:tc>
          <w:tcPr>
            <w:tcW w:w="15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Plus: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 on preference shares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(5,031)</w:t>
            </w:r>
          </w:p>
        </w:tc>
        <w:tc>
          <w:tcPr>
            <w:tcW w:w="34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Loss for the period available to owners of the Group</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80" w:type="dxa"/>
            <w:vAlign w:val="bottom"/>
            <w:tcBorders>
              <w:bottom w:val="single" w:sz="8" w:color="E5FF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80,592,912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Basic loss per share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80" w:type="dxa"/>
            <w:vAlign w:val="bottom"/>
            <w:tcBorders>
              <w:bottom w:val="single" w:sz="8" w:color="E5FF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Diluted loss per share</w:t>
            </w:r>
          </w:p>
        </w:tc>
        <w:tc>
          <w:tcPr>
            <w:tcW w:w="15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w w:val="99"/>
              </w:rPr>
              <w:t>Loss for the period available to owners of the Group used in the calculation of diluted loss per share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(28,793)</w:t>
            </w:r>
          </w:p>
        </w:tc>
        <w:tc>
          <w:tcPr>
            <w:tcW w:w="3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80,592,912</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Dilutive potential ordinary shares</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used in the calculation of diluted loss per share</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80,592,912</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8"/>
          <w:szCs w:val="18"/>
          <w:color w:val="auto"/>
        </w:rPr>
        <w:t>The Group excluded the dilutive effect of 2,153,024 SARs and 438,595 RSUs in calculating diluted EPS for the six months ended June 30, 2017, as they were anti-dilutive (June 30, 2016: 1,721,817 SARs and 368,437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right="420" w:firstLine="396"/>
        <w:spacing w:after="0" w:line="277" w:lineRule="auto"/>
        <w:rPr>
          <w:sz w:val="20"/>
          <w:szCs w:val="20"/>
          <w:color w:val="auto"/>
        </w:rPr>
      </w:pPr>
      <w:r>
        <w:rPr>
          <w:rFonts w:ascii="Arial" w:cs="Arial" w:eastAsia="Arial" w:hAnsi="Arial"/>
          <w:sz w:val="18"/>
          <w:szCs w:val="18"/>
          <w:color w:val="auto"/>
        </w:rPr>
        <w:t xml:space="preserve">On July 3, 2017, GasLog completed the sale of 100% of the ownership interest in GAS-thirteen Ltd., the entity which owns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to GasLog Partners, for an aggregate purchase price of $211,000, including $1,000 of positive working capital.</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on the same date, GasLog repaid $41,641 of the revolving credit facility of the Legacy Facility Refinancing.</w:t>
      </w:r>
    </w:p>
    <w:p>
      <w:pPr>
        <w:spacing w:after="0" w:line="225" w:lineRule="exact"/>
        <w:rPr>
          <w:sz w:val="20"/>
          <w:szCs w:val="20"/>
          <w:color w:val="auto"/>
        </w:rPr>
      </w:pPr>
    </w:p>
    <w:p>
      <w:pPr>
        <w:ind w:right="440" w:firstLine="396"/>
        <w:spacing w:after="0" w:line="277" w:lineRule="auto"/>
        <w:rPr>
          <w:sz w:val="20"/>
          <w:szCs w:val="20"/>
          <w:color w:val="auto"/>
        </w:rPr>
      </w:pPr>
      <w:r>
        <w:rPr>
          <w:rFonts w:ascii="Arial" w:cs="Arial" w:eastAsia="Arial" w:hAnsi="Arial"/>
          <w:sz w:val="18"/>
          <w:szCs w:val="18"/>
          <w:color w:val="auto"/>
        </w:rPr>
        <w:t>On July 10, 2017, GasLog and Keppel entered into an agreement for the detailed engineering in relation to an FSRU conversion of one vessel for a provisional cost of approximately $7,000.</w:t>
      </w:r>
    </w:p>
    <w:p>
      <w:pPr>
        <w:spacing w:after="0" w:line="170"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On August 2, 2017, the board of directors declared a quarterly cash dividend of $0.14 per common share payable on August 24, 2017 to shareholders of record as of August 14,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lowerLetter"/>
      <w:start w:val="4"/>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2019-12-07T17:12:12Z</dcterms:created>
  <dcterms:modified xsi:type="dcterms:W3CDTF">2019-12-07T17:12:12Z</dcterms:modified>
</cp:coreProperties>
</file>