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For the month of November 2018</w:t>
            </w:r>
          </w:p>
        </w:tc>
        <w:tc>
          <w:tcPr>
            <w:tcW w:w="2220" w:type="dxa"/>
            <w:vAlign w:val="bottom"/>
          </w:tcPr>
          <w:p>
            <w:pPr>
              <w:spacing w:after="0"/>
              <w:rPr>
                <w:sz w:val="20"/>
                <w:szCs w:val="20"/>
                <w:color w:val="auto"/>
              </w:rPr>
            </w:pPr>
          </w:p>
        </w:tc>
      </w:tr>
      <w:tr>
        <w:trPr>
          <w:trHeight w:val="432"/>
        </w:trPr>
        <w:tc>
          <w:tcPr>
            <w:tcW w:w="924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2220" w:type="dxa"/>
            <w:vAlign w:val="bottom"/>
          </w:tcPr>
          <w:p>
            <w:pPr>
              <w:spacing w:after="0"/>
              <w:rPr>
                <w:sz w:val="24"/>
                <w:szCs w:val="24"/>
                <w:color w:val="auto"/>
              </w:rPr>
            </w:pPr>
          </w:p>
        </w:tc>
      </w:tr>
      <w:tr>
        <w:trPr>
          <w:trHeight w:val="418"/>
        </w:trPr>
        <w:tc>
          <w:tcPr>
            <w:tcW w:w="924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GasLog Ltd</w:t>
            </w:r>
          </w:p>
        </w:tc>
        <w:tc>
          <w:tcPr>
            <w:tcW w:w="2220" w:type="dxa"/>
            <w:vAlign w:val="bottom"/>
          </w:tcPr>
          <w:p>
            <w:pPr>
              <w:spacing w:after="0"/>
              <w:rPr>
                <w:sz w:val="24"/>
                <w:szCs w:val="24"/>
                <w:color w:val="auto"/>
              </w:rPr>
            </w:pPr>
          </w:p>
        </w:tc>
      </w:tr>
      <w:tr>
        <w:trPr>
          <w:trHeight w:val="230"/>
        </w:trPr>
        <w:tc>
          <w:tcPr>
            <w:tcW w:w="9240" w:type="dxa"/>
            <w:vAlign w:val="bottom"/>
          </w:tcPr>
          <w:p>
            <w:pPr>
              <w:jc w:val="center"/>
              <w:ind w:left="2110"/>
              <w:spacing w:after="0"/>
              <w:rPr>
                <w:sz w:val="20"/>
                <w:szCs w:val="20"/>
                <w:color w:val="auto"/>
              </w:rPr>
            </w:pPr>
            <w:r>
              <w:rPr>
                <w:rFonts w:ascii="Arial" w:cs="Arial" w:eastAsia="Arial" w:hAnsi="Arial"/>
                <w:sz w:val="18"/>
                <w:szCs w:val="18"/>
                <w:color w:val="auto"/>
                <w:w w:val="91"/>
              </w:rPr>
              <w:t>(Translation of registrant’s name into English)</w:t>
            </w:r>
          </w:p>
        </w:tc>
        <w:tc>
          <w:tcPr>
            <w:tcW w:w="2220" w:type="dxa"/>
            <w:vAlign w:val="bottom"/>
          </w:tcPr>
          <w:p>
            <w:pPr>
              <w:spacing w:after="0"/>
              <w:rPr>
                <w:sz w:val="20"/>
                <w:szCs w:val="20"/>
                <w:color w:val="auto"/>
              </w:rPr>
            </w:pPr>
          </w:p>
        </w:tc>
      </w:tr>
      <w:tr>
        <w:trPr>
          <w:trHeight w:val="418"/>
        </w:trPr>
        <w:tc>
          <w:tcPr>
            <w:tcW w:w="9240" w:type="dxa"/>
            <w:vAlign w:val="bottom"/>
          </w:tcPr>
          <w:p>
            <w:pPr>
              <w:jc w:val="center"/>
              <w:ind w:left="2090"/>
              <w:spacing w:after="0"/>
              <w:rPr>
                <w:sz w:val="20"/>
                <w:szCs w:val="20"/>
                <w:color w:val="auto"/>
              </w:rPr>
            </w:pPr>
            <w:r>
              <w:rPr>
                <w:rFonts w:ascii="Arial" w:cs="Arial" w:eastAsia="Arial" w:hAnsi="Arial"/>
                <w:sz w:val="18"/>
                <w:szCs w:val="18"/>
                <w:color w:val="auto"/>
                <w:w w:val="89"/>
              </w:rPr>
              <w:t>Gildo Pastor Center</w:t>
            </w:r>
          </w:p>
        </w:tc>
        <w:tc>
          <w:tcPr>
            <w:tcW w:w="2220" w:type="dxa"/>
            <w:vAlign w:val="bottom"/>
          </w:tcPr>
          <w:p>
            <w:pPr>
              <w:spacing w:after="0"/>
              <w:rPr>
                <w:sz w:val="24"/>
                <w:szCs w:val="24"/>
                <w:color w:val="auto"/>
              </w:rPr>
            </w:pPr>
          </w:p>
        </w:tc>
      </w:tr>
      <w:tr>
        <w:trPr>
          <w:trHeight w:val="216"/>
        </w:trPr>
        <w:tc>
          <w:tcPr>
            <w:tcW w:w="9240" w:type="dxa"/>
            <w:vAlign w:val="bottom"/>
          </w:tcPr>
          <w:p>
            <w:pPr>
              <w:jc w:val="center"/>
              <w:ind w:left="2090"/>
              <w:spacing w:after="0"/>
              <w:rPr>
                <w:sz w:val="20"/>
                <w:szCs w:val="20"/>
                <w:color w:val="auto"/>
              </w:rPr>
            </w:pPr>
            <w:r>
              <w:rPr>
                <w:rFonts w:ascii="Arial" w:cs="Arial" w:eastAsia="Arial" w:hAnsi="Arial"/>
                <w:sz w:val="18"/>
                <w:szCs w:val="18"/>
                <w:color w:val="auto"/>
                <w:w w:val="89"/>
              </w:rPr>
              <w:t>7 Rue du Gabian</w:t>
            </w:r>
          </w:p>
        </w:tc>
        <w:tc>
          <w:tcPr>
            <w:tcW w:w="2220" w:type="dxa"/>
            <w:vAlign w:val="bottom"/>
          </w:tcPr>
          <w:p>
            <w:pPr>
              <w:spacing w:after="0"/>
              <w:rPr>
                <w:sz w:val="18"/>
                <w:szCs w:val="18"/>
                <w:color w:val="auto"/>
              </w:rPr>
            </w:pPr>
          </w:p>
        </w:tc>
      </w:tr>
      <w:tr>
        <w:trPr>
          <w:trHeight w:val="216"/>
        </w:trPr>
        <w:tc>
          <w:tcPr>
            <w:tcW w:w="9240" w:type="dxa"/>
            <w:vAlign w:val="bottom"/>
          </w:tcPr>
          <w:p>
            <w:pPr>
              <w:jc w:val="center"/>
              <w:ind w:left="2090"/>
              <w:spacing w:after="0"/>
              <w:rPr>
                <w:sz w:val="20"/>
                <w:szCs w:val="20"/>
                <w:color w:val="auto"/>
              </w:rPr>
            </w:pPr>
            <w:r>
              <w:rPr>
                <w:rFonts w:ascii="Arial" w:cs="Arial" w:eastAsia="Arial" w:hAnsi="Arial"/>
                <w:sz w:val="18"/>
                <w:szCs w:val="18"/>
                <w:color w:val="auto"/>
                <w:w w:val="92"/>
              </w:rPr>
              <w:t>MC 98000, Monaco</w:t>
            </w:r>
          </w:p>
        </w:tc>
        <w:tc>
          <w:tcPr>
            <w:tcW w:w="2220" w:type="dxa"/>
            <w:vAlign w:val="bottom"/>
          </w:tcPr>
          <w:p>
            <w:pPr>
              <w:spacing w:after="0"/>
              <w:rPr>
                <w:sz w:val="18"/>
                <w:szCs w:val="18"/>
                <w:color w:val="auto"/>
              </w:rPr>
            </w:pPr>
          </w:p>
        </w:tc>
      </w:tr>
      <w:tr>
        <w:trPr>
          <w:trHeight w:val="230"/>
        </w:trPr>
        <w:tc>
          <w:tcPr>
            <w:tcW w:w="9240" w:type="dxa"/>
            <w:vAlign w:val="bottom"/>
          </w:tcPr>
          <w:p>
            <w:pPr>
              <w:jc w:val="center"/>
              <w:ind w:left="2090"/>
              <w:spacing w:after="0"/>
              <w:rPr>
                <w:sz w:val="20"/>
                <w:szCs w:val="20"/>
                <w:color w:val="auto"/>
              </w:rPr>
            </w:pPr>
            <w:r>
              <w:rPr>
                <w:rFonts w:ascii="Arial" w:cs="Arial" w:eastAsia="Arial" w:hAnsi="Arial"/>
                <w:sz w:val="18"/>
                <w:szCs w:val="18"/>
                <w:color w:val="auto"/>
                <w:w w:val="92"/>
              </w:rPr>
              <w:t>(Address of principal executive office)</w:t>
            </w:r>
          </w:p>
        </w:tc>
        <w:tc>
          <w:tcPr>
            <w:tcW w:w="2220" w:type="dxa"/>
            <w:vAlign w:val="bottom"/>
          </w:tcPr>
          <w:p>
            <w:pPr>
              <w:spacing w:after="0"/>
              <w:rPr>
                <w:sz w:val="20"/>
                <w:szCs w:val="20"/>
                <w:color w:val="auto"/>
              </w:rPr>
            </w:pPr>
          </w:p>
        </w:tc>
      </w:tr>
      <w:tr>
        <w:trPr>
          <w:trHeight w:val="432"/>
        </w:trPr>
        <w:tc>
          <w:tcPr>
            <w:tcW w:w="9240" w:type="dxa"/>
            <w:vAlign w:val="bottom"/>
          </w:tcPr>
          <w:p>
            <w:pPr>
              <w:spacing w:after="0"/>
              <w:rPr>
                <w:sz w:val="20"/>
                <w:szCs w:val="20"/>
                <w:color w:val="auto"/>
              </w:rPr>
            </w:pPr>
            <w:r>
              <w:rPr>
                <w:rFonts w:ascii="Arial" w:cs="Arial" w:eastAsia="Arial" w:hAnsi="Arial"/>
                <w:sz w:val="18"/>
                <w:szCs w:val="18"/>
                <w:color w:val="auto"/>
                <w:w w:val="99"/>
              </w:rPr>
              <w:t>Indicate by check mark whether the registrant files or will file annual reports under cover of Form 20-F or Form 40-F.</w:t>
            </w:r>
          </w:p>
        </w:tc>
        <w:tc>
          <w:tcPr>
            <w:tcW w:w="2220" w:type="dxa"/>
            <w:vAlign w:val="bottom"/>
          </w:tcPr>
          <w:p>
            <w:pPr>
              <w:spacing w:after="0"/>
              <w:rPr>
                <w:sz w:val="24"/>
                <w:szCs w:val="24"/>
                <w:color w:val="auto"/>
              </w:rPr>
            </w:pPr>
          </w:p>
        </w:tc>
      </w:tr>
      <w:tr>
        <w:trPr>
          <w:trHeight w:val="452"/>
        </w:trPr>
        <w:tc>
          <w:tcPr>
            <w:tcW w:w="924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2220" w:type="dxa"/>
            <w:vAlign w:val="bottom"/>
          </w:tcPr>
          <w:p>
            <w:pPr>
              <w:spacing w:after="0"/>
              <w:rPr>
                <w:sz w:val="24"/>
                <w:szCs w:val="24"/>
                <w:color w:val="auto"/>
              </w:rPr>
            </w:pPr>
          </w:p>
        </w:tc>
      </w:tr>
      <w:tr>
        <w:trPr>
          <w:trHeight w:val="412"/>
        </w:trPr>
        <w:tc>
          <w:tcPr>
            <w:tcW w:w="924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101(b)(1):</w:t>
            </w:r>
          </w:p>
        </w:tc>
        <w:tc>
          <w:tcPr>
            <w:tcW w:w="2220" w:type="dxa"/>
            <w:vAlign w:val="bottom"/>
          </w:tcPr>
          <w:p>
            <w:pPr>
              <w:ind w:left="300"/>
              <w:spacing w:after="0"/>
              <w:rPr>
                <w:sz w:val="20"/>
                <w:szCs w:val="20"/>
                <w:color w:val="auto"/>
              </w:rPr>
            </w:pPr>
            <w:r>
              <w:rPr>
                <w:rFonts w:ascii="Arial" w:cs="Arial" w:eastAsia="Arial" w:hAnsi="Arial"/>
                <w:sz w:val="18"/>
                <w:szCs w:val="18"/>
                <w:color w:val="auto"/>
              </w:rPr>
              <w:t>o</w:t>
            </w:r>
          </w:p>
        </w:tc>
      </w:tr>
      <w:tr>
        <w:trPr>
          <w:trHeight w:val="432"/>
        </w:trPr>
        <w:tc>
          <w:tcPr>
            <w:tcW w:w="924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101(b)(7):</w:t>
            </w:r>
          </w:p>
        </w:tc>
        <w:tc>
          <w:tcPr>
            <w:tcW w:w="2220" w:type="dxa"/>
            <w:vAlign w:val="bottom"/>
          </w:tcPr>
          <w:p>
            <w:pPr>
              <w:ind w:left="300"/>
              <w:spacing w:after="0"/>
              <w:rPr>
                <w:sz w:val="20"/>
                <w:szCs w:val="20"/>
                <w:color w:val="auto"/>
              </w:rPr>
            </w:pPr>
            <w:r>
              <w:rPr>
                <w:rFonts w:ascii="Arial" w:cs="Arial" w:eastAsia="Arial" w:hAnsi="Arial"/>
                <w:sz w:val="18"/>
                <w:szCs w:val="18"/>
                <w:color w:val="auto"/>
              </w:rPr>
              <w:t>o</w:t>
            </w:r>
          </w:p>
        </w:tc>
      </w:tr>
      <w:tr>
        <w:trPr>
          <w:trHeight w:val="348"/>
        </w:trPr>
        <w:tc>
          <w:tcPr>
            <w:tcW w:w="924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ind w:firstLine="383"/>
        <w:spacing w:after="0" w:line="277" w:lineRule="auto"/>
        <w:rPr>
          <w:sz w:val="20"/>
          <w:szCs w:val="20"/>
          <w:color w:val="auto"/>
        </w:rPr>
      </w:pPr>
      <w:r>
        <w:rPr>
          <w:rFonts w:ascii="Arial" w:cs="Arial" w:eastAsia="Arial" w:hAnsi="Arial"/>
          <w:sz w:val="18"/>
          <w:szCs w:val="18"/>
          <w:color w:val="auto"/>
        </w:rPr>
        <w:t>The press release issued by GasLog Ltd. on November 28, 2018 announcing a special dividend of $0.40 per common share and the authorization of a share repurchase program is attached hereto as Exhibit 99.1.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INCORPORATION BY REFERENCE</w:t>
      </w:r>
    </w:p>
    <w:p>
      <w:pPr>
        <w:spacing w:after="0" w:line="200" w:lineRule="exact"/>
        <w:rPr>
          <w:sz w:val="20"/>
          <w:szCs w:val="20"/>
          <w:color w:val="auto"/>
        </w:rPr>
      </w:pPr>
    </w:p>
    <w:p>
      <w:pPr>
        <w:spacing w:after="0" w:line="241"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28,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28,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gridSpan w:val="2"/>
          </w:tcPr>
          <w:p>
            <w:pPr>
              <w:ind w:left="5720"/>
              <w:spacing w:after="0"/>
              <w:rPr>
                <w:sz w:val="20"/>
                <w:szCs w:val="20"/>
                <w:color w:val="auto"/>
              </w:rPr>
            </w:pPr>
            <w:r>
              <w:rPr>
                <w:rFonts w:ascii="Arial" w:cs="Arial" w:eastAsia="Arial" w:hAnsi="Arial"/>
                <w:sz w:val="18"/>
                <w:szCs w:val="18"/>
                <w:color w:val="auto"/>
              </w:rPr>
              <w:t>GASLOG LTD</w:t>
            </w:r>
          </w:p>
        </w:tc>
        <w:tc>
          <w:tcPr>
            <w:tcW w:w="4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640" w:type="dxa"/>
            <w:vAlign w:val="bottom"/>
          </w:tcPr>
          <w:p>
            <w:pPr>
              <w:ind w:left="608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A. Wogan</w:t>
            </w:r>
          </w:p>
        </w:tc>
        <w:tc>
          <w:tcPr>
            <w:tcW w:w="40" w:type="dxa"/>
            <w:vAlign w:val="bottom"/>
          </w:tcPr>
          <w:p>
            <w:pPr>
              <w:spacing w:after="0"/>
              <w:rPr>
                <w:sz w:val="24"/>
                <w:szCs w:val="24"/>
                <w:color w:val="auto"/>
              </w:rPr>
            </w:pPr>
          </w:p>
        </w:tc>
      </w:tr>
      <w:tr>
        <w:trPr>
          <w:trHeight w:val="195"/>
        </w:trPr>
        <w:tc>
          <w:tcPr>
            <w:tcW w:w="66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80" w:type="dxa"/>
            <w:vAlign w:val="bottom"/>
          </w:tcPr>
          <w:p>
            <w:pPr>
              <w:ind w:left="120"/>
              <w:spacing w:after="0" w:line="195" w:lineRule="exact"/>
              <w:rPr>
                <w:sz w:val="20"/>
                <w:szCs w:val="20"/>
                <w:color w:val="auto"/>
              </w:rPr>
            </w:pPr>
            <w:r>
              <w:rPr>
                <w:rFonts w:ascii="Arial" w:cs="Arial" w:eastAsia="Arial" w:hAnsi="Arial"/>
                <w:sz w:val="18"/>
                <w:szCs w:val="18"/>
                <w:color w:val="auto"/>
              </w:rPr>
              <w:t>Paul A. Wogan</w:t>
            </w:r>
          </w:p>
        </w:tc>
        <w:tc>
          <w:tcPr>
            <w:tcW w:w="40" w:type="dxa"/>
            <w:vAlign w:val="bottom"/>
          </w:tcPr>
          <w:p>
            <w:pPr>
              <w:spacing w:after="0"/>
              <w:rPr>
                <w:sz w:val="16"/>
                <w:szCs w:val="16"/>
                <w:color w:val="auto"/>
              </w:rPr>
            </w:pPr>
          </w:p>
        </w:tc>
      </w:tr>
      <w:tr>
        <w:trPr>
          <w:trHeight w:val="230"/>
        </w:trPr>
        <w:tc>
          <w:tcPr>
            <w:tcW w:w="66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18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6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1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ind w:left="10580"/>
        <w:spacing w:after="0"/>
        <w:rPr>
          <w:sz w:val="20"/>
          <w:szCs w:val="20"/>
          <w:color w:val="auto"/>
        </w:rPr>
      </w:pPr>
      <w:r>
        <w:rPr>
          <w:rFonts w:ascii="Arial" w:cs="Arial" w:eastAsia="Arial" w:hAnsi="Arial"/>
          <w:sz w:val="15"/>
          <w:szCs w:val="15"/>
          <w:b w:val="1"/>
          <w:bCs w:val="1"/>
          <w:color w:val="auto"/>
        </w:rPr>
        <w:t>Exhibit 99.1</w:t>
      </w:r>
    </w:p>
    <w:p>
      <w:pPr>
        <w:spacing w:after="0" w:line="233" w:lineRule="exact"/>
        <w:rPr>
          <w:sz w:val="20"/>
          <w:szCs w:val="20"/>
          <w:color w:val="auto"/>
        </w:rPr>
      </w:pPr>
    </w:p>
    <w:p>
      <w:pPr>
        <w:jc w:val="center"/>
        <w:ind w:left="260" w:right="400"/>
        <w:spacing w:after="0" w:line="256" w:lineRule="auto"/>
        <w:rPr>
          <w:sz w:val="20"/>
          <w:szCs w:val="20"/>
          <w:color w:val="auto"/>
        </w:rPr>
      </w:pPr>
      <w:r>
        <w:rPr>
          <w:rFonts w:ascii="Arial" w:cs="Arial" w:eastAsia="Arial" w:hAnsi="Arial"/>
          <w:sz w:val="22"/>
          <w:szCs w:val="22"/>
          <w:b w:val="1"/>
          <w:bCs w:val="1"/>
          <w:color w:val="auto"/>
        </w:rPr>
        <w:t>GasLog Ltd. Announces Special Dividend Of $0.40 Per Common Share And Authorization Of A Share Repurchase Program</w:t>
      </w:r>
    </w:p>
    <w:p>
      <w:pPr>
        <w:spacing w:after="0" w:line="50"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b w:val="1"/>
          <w:bCs w:val="1"/>
          <w:color w:val="auto"/>
        </w:rPr>
        <w:t xml:space="preserve">Monaco, November 28, 2018 - </w:t>
      </w:r>
      <w:r>
        <w:rPr>
          <w:rFonts w:ascii="Arial" w:cs="Arial" w:eastAsia="Arial" w:hAnsi="Arial"/>
          <w:sz w:val="16"/>
          <w:szCs w:val="16"/>
          <w:color w:val="auto"/>
        </w:rPr>
        <w:t>GasLog Ltd. (“GasLog” or the “Company”) (NYSE:GLOG) is pleased to announce that its Board of Directors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has approved the payment of a special dividend. In addition, the Board has authorized the Company to establish a share repurchase program.</w:t>
      </w:r>
    </w:p>
    <w:p>
      <w:pPr>
        <w:spacing w:after="0" w:line="120" w:lineRule="exact"/>
        <w:rPr>
          <w:sz w:val="20"/>
          <w:szCs w:val="20"/>
          <w:color w:val="auto"/>
        </w:rPr>
      </w:pPr>
    </w:p>
    <w:p>
      <w:pPr>
        <w:ind w:left="660" w:right="140" w:hanging="328"/>
        <w:spacing w:after="0" w:line="258" w:lineRule="auto"/>
        <w:tabs>
          <w:tab w:leader="none" w:pos="61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Payment of a special dividend in the amount of $0.40 per common share, payable on December 17, 2018 to shareholders of record on December 10, 2018</w:t>
      </w:r>
    </w:p>
    <w:p>
      <w:pPr>
        <w:spacing w:after="0" w:line="1" w:lineRule="exact"/>
        <w:rPr>
          <w:rFonts w:ascii="Arial" w:cs="Arial" w:eastAsia="Arial" w:hAnsi="Arial"/>
          <w:sz w:val="18"/>
          <w:szCs w:val="18"/>
          <w:color w:val="auto"/>
        </w:rPr>
      </w:pPr>
    </w:p>
    <w:p>
      <w:pPr>
        <w:ind w:left="600" w:hanging="268"/>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Authorization of a share repurchase program of up to $50 million covering the period January 1, 2019 to December 31, 2021</w:t>
      </w:r>
    </w:p>
    <w:p>
      <w:pPr>
        <w:spacing w:after="0" w:line="224"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In approving the special dividend, the Board considered GasLog’s liquidity following recent financing and corporate transactions by and with GasLog Partners LP, forecast debt amortization and capex commitments. The Board believes that the LNG shipping market is in the early stages of a multi-year upcycle underpinned by positive LNG supply and demand fundamentals.</w:t>
      </w:r>
    </w:p>
    <w:p>
      <w:pPr>
        <w:spacing w:after="0" w:line="18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Paul Wogan, Chief Executive Officer of GasLog, stated, “The payment of the special dividend and the authorization of a share repurchase program enables the Company to deliver on the prospect of enhanced shareholder returns communicated at our Investor Day in April and reiterated at our recent quarterly results. The special dividend underscores our positive outlook for LNG shipping markets and rewards shareholders for their trust in the GasLog investment case. Continued execution of our strategy against a strong market backdrop is expected to deliver the financial capacity to fund charter-backed fleet growth and to consider the scope for further special dividends and share repurchases”.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GasLog is an international owner, operator and manager of LNG carriers providing support to international energy companies as part of their LNG logistics chain. GasLog’s consolidated owned fleet consists of 32 LNG carriers (including 25 ships on the water and seven on order). GasLog also has an additional LNG carrier which was sold to a subsidiary of Mitsui Co., Ltd. and leased back under a long-term bareboat charter. GasLog’s consolidated fleet includes 14 LNG carriers in operation owned by GasLog’s subsidiary, GasLog Partners. GasLog’s principal executive offices are at Gildo Pastor Center, 7 Rue du Gabian, MC 98000, Monaco. Visit GasLog’s website at </w:t>
      </w:r>
      <w:r>
        <w:rPr>
          <w:rFonts w:ascii="Arial" w:cs="Arial" w:eastAsia="Arial" w:hAnsi="Arial"/>
          <w:sz w:val="17"/>
          <w:szCs w:val="17"/>
          <w:u w:val="single" w:color="auto"/>
          <w:color w:val="auto"/>
        </w:rPr>
        <w:t>http://www.gaslogltd.com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 Program</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Under the terms of the repurchase program, the Company may repurchase common shares from time to time, at the Company’s discretion, on the open market or in privately negotiated transactions. Any repurchases are subject to market conditions,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 w:name="page5"/>
    <w:bookmarkEnd w:id="4"/>
    <w:p>
      <w:pPr>
        <w:spacing w:after="0" w:line="264" w:lineRule="auto"/>
        <w:rPr>
          <w:sz w:val="20"/>
          <w:szCs w:val="20"/>
          <w:color w:val="auto"/>
        </w:rPr>
      </w:pPr>
      <w:r>
        <w:rPr>
          <w:rFonts w:ascii="Arial" w:cs="Arial" w:eastAsia="Arial" w:hAnsi="Arial"/>
          <w:sz w:val="18"/>
          <w:szCs w:val="18"/>
          <w:color w:val="auto"/>
        </w:rPr>
        <w:t>legal requirements and other considerations. The Company is not obligated under the repurchase program to repurchase any specific dollar amount or number of common shares, and the repurchase program may be modified, suspended or discontinued at any time or never utilized. Any common shares repurchased by the Company under the program will be held in treasury.</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right="160" w:hanging="331"/>
        <w:spacing w:after="0" w:line="274" w:lineRule="auto"/>
        <w:tabs>
          <w:tab w:leader="none" w:pos="627"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spot and long-term charter hire rates and vessel values;</w:t>
      </w:r>
    </w:p>
    <w:p>
      <w:pPr>
        <w:spacing w:after="0" w:line="4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4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61" w:lineRule="exact"/>
        <w:rPr>
          <w:rFonts w:ascii="Arial" w:cs="Arial" w:eastAsia="Arial" w:hAnsi="Arial"/>
          <w:sz w:val="17"/>
          <w:szCs w:val="17"/>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49" w:lineRule="exact"/>
        <w:rPr>
          <w:rFonts w:ascii="Arial" w:cs="Arial" w:eastAsia="Arial" w:hAnsi="Arial"/>
          <w:sz w:val="18"/>
          <w:szCs w:val="18"/>
          <w:color w:val="auto"/>
        </w:rPr>
      </w:pPr>
    </w:p>
    <w:p>
      <w:pPr>
        <w:ind w:left="660" w:right="460" w:hanging="328"/>
        <w:spacing w:after="0" w:line="264"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no longer under long-term time charter commitments, including the risk that certain of our vessels may no longer have the latest technology at such time, which may impact the rate at which we can charter such vessels;</w:t>
      </w:r>
    </w:p>
    <w:p>
      <w:pPr>
        <w:spacing w:after="0" w:line="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long term relationships and enter into time charters with new and existing customers;</w:t>
      </w:r>
    </w:p>
    <w:p>
      <w:pPr>
        <w:spacing w:after="0" w:line="4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4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 including LNG;</w:t>
      </w:r>
    </w:p>
    <w:p>
      <w:pPr>
        <w:spacing w:after="0" w:line="4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4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4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49" w:lineRule="exact"/>
        <w:rPr>
          <w:rFonts w:ascii="Arial" w:cs="Arial" w:eastAsia="Arial" w:hAnsi="Arial"/>
          <w:sz w:val="18"/>
          <w:szCs w:val="18"/>
          <w:color w:val="auto"/>
        </w:rPr>
      </w:pPr>
    </w:p>
    <w:p>
      <w:pPr>
        <w:ind w:left="660" w:right="920" w:hanging="328"/>
        <w:spacing w:after="0" w:line="274"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660" w:right="600" w:hanging="328"/>
        <w:spacing w:after="0" w:line="274"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4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49" w:lineRule="exact"/>
        <w:rPr>
          <w:rFonts w:ascii="Arial" w:cs="Arial" w:eastAsia="Arial" w:hAnsi="Arial"/>
          <w:sz w:val="18"/>
          <w:szCs w:val="18"/>
          <w:color w:val="auto"/>
        </w:rPr>
      </w:pPr>
    </w:p>
    <w:p>
      <w:pPr>
        <w:ind w:left="660" w:right="320" w:hanging="328"/>
        <w:spacing w:after="0" w:line="264"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inherent in ship operation, including the risk of accidents, collisions and the discharge of pollutants;</w:t>
      </w:r>
    </w:p>
    <w:p>
      <w:pPr>
        <w:spacing w:after="0" w:line="4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labour, ship crews and management;</w:t>
      </w:r>
    </w:p>
    <w:p>
      <w:pPr>
        <w:spacing w:after="0" w:line="4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4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49" w:lineRule="exact"/>
        <w:rPr>
          <w:rFonts w:ascii="Arial" w:cs="Arial" w:eastAsia="Arial" w:hAnsi="Arial"/>
          <w:sz w:val="18"/>
          <w:szCs w:val="18"/>
          <w:color w:val="auto"/>
        </w:rPr>
      </w:pPr>
    </w:p>
    <w:p>
      <w:pPr>
        <w:ind w:left="660" w:right="14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ind w:left="660" w:right="38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the Company’s Annual Report on Form 20-F filed with the SEC on February 28, 2018 and available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34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2019-12-08T02:00:41Z</dcterms:created>
  <dcterms:modified xsi:type="dcterms:W3CDTF">2019-12-08T02:00:41Z</dcterms:modified>
</cp:coreProperties>
</file>