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Form 6-K</w:t>
      </w:r>
    </w:p>
    <w:p>
      <w:pPr>
        <w:spacing w:after="0" w:line="238"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REPORT OF FOREIGN PRIVATE ISSUER PURSUANT TO RULE 13a-16 OR 15d-16 UNDER THE SECURITIES</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EXCHANGE ACT OF 1934</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For the month of August 2019</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Commission File Number 001-35466</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GasLog Ltd.</w:t>
      </w:r>
    </w:p>
    <w:p>
      <w:pPr>
        <w:spacing w:after="0" w:line="29"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(Translation of registrant’s name into English)</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Gildo Pastor Center</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7 Rue du Gabian</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MC 98000, Monaco</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0560" w:type="dxa"/>
            <w:vAlign w:val="bottom"/>
          </w:tcPr>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tc>
        <w:tc>
          <w:tcPr>
            <w:tcW w:w="1480" w:type="dxa"/>
            <w:vAlign w:val="bottom"/>
          </w:tcPr>
          <w:p>
            <w:pPr>
              <w:spacing w:after="0"/>
              <w:rPr>
                <w:sz w:val="20"/>
                <w:szCs w:val="20"/>
                <w:color w:val="auto"/>
              </w:rPr>
            </w:pPr>
          </w:p>
        </w:tc>
      </w:tr>
      <w:tr>
        <w:trPr>
          <w:trHeight w:val="456"/>
        </w:trPr>
        <w:tc>
          <w:tcPr>
            <w:tcW w:w="10560" w:type="dxa"/>
            <w:vAlign w:val="bottom"/>
          </w:tcPr>
          <w:p>
            <w:pPr>
              <w:spacing w:after="0"/>
              <w:rPr>
                <w:sz w:val="20"/>
                <w:szCs w:val="20"/>
                <w:color w:val="auto"/>
              </w:rPr>
            </w:pPr>
            <w:r>
              <w:rPr>
                <w:rFonts w:ascii="Arial" w:cs="Arial" w:eastAsia="Arial" w:hAnsi="Arial"/>
                <w:sz w:val="19"/>
                <w:szCs w:val="19"/>
                <w:color w:val="auto"/>
              </w:rPr>
              <w:t>Form 20-F þ   Form 40-F o</w:t>
            </w:r>
          </w:p>
        </w:tc>
        <w:tc>
          <w:tcPr>
            <w:tcW w:w="1480" w:type="dxa"/>
            <w:vAlign w:val="bottom"/>
          </w:tcPr>
          <w:p>
            <w:pPr>
              <w:spacing w:after="0"/>
              <w:rPr>
                <w:sz w:val="24"/>
                <w:szCs w:val="24"/>
                <w:color w:val="auto"/>
              </w:rPr>
            </w:pPr>
          </w:p>
        </w:tc>
      </w:tr>
      <w:tr>
        <w:trPr>
          <w:trHeight w:val="456"/>
        </w:trPr>
        <w:tc>
          <w:tcPr>
            <w:tcW w:w="105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tc>
        <w:tc>
          <w:tcPr>
            <w:tcW w:w="1480" w:type="dxa"/>
            <w:vAlign w:val="bottom"/>
          </w:tcPr>
          <w:p>
            <w:pPr>
              <w:ind w:left="1120"/>
              <w:spacing w:after="0"/>
              <w:rPr>
                <w:sz w:val="20"/>
                <w:szCs w:val="20"/>
                <w:color w:val="auto"/>
              </w:rPr>
            </w:pPr>
            <w:r>
              <w:rPr>
                <w:rFonts w:ascii="Arial" w:cs="Arial" w:eastAsia="Arial" w:hAnsi="Arial"/>
                <w:sz w:val="19"/>
                <w:szCs w:val="19"/>
                <w:color w:val="auto"/>
              </w:rPr>
              <w:t>o</w:t>
            </w:r>
          </w:p>
        </w:tc>
      </w:tr>
      <w:tr>
        <w:trPr>
          <w:trHeight w:val="456"/>
        </w:trPr>
        <w:tc>
          <w:tcPr>
            <w:tcW w:w="10560" w:type="dxa"/>
            <w:vAlign w:val="bottom"/>
          </w:tcPr>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tc>
        <w:tc>
          <w:tcPr>
            <w:tcW w:w="1480" w:type="dxa"/>
            <w:vAlign w:val="bottom"/>
          </w:tcPr>
          <w:p>
            <w:pPr>
              <w:ind w:left="1120"/>
              <w:spacing w:after="0"/>
              <w:rPr>
                <w:sz w:val="20"/>
                <w:szCs w:val="20"/>
                <w:color w:val="auto"/>
              </w:rPr>
            </w:pPr>
            <w:r>
              <w:rPr>
                <w:rFonts w:ascii="Arial" w:cs="Arial" w:eastAsia="Arial" w:hAnsi="Arial"/>
                <w:sz w:val="19"/>
                <w:szCs w:val="19"/>
                <w:color w:val="auto"/>
              </w:rPr>
              <w:t>o</w:t>
            </w:r>
          </w:p>
        </w:tc>
      </w:tr>
      <w:tr>
        <w:trPr>
          <w:trHeight w:val="369"/>
        </w:trPr>
        <w:tc>
          <w:tcPr>
            <w:tcW w:w="105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322" w:right="80" w:bottom="1440" w:gutter="0" w:footer="0" w:header="0"/>
        </w:sectPr>
      </w:pPr>
    </w:p>
    <w:bookmarkStart w:id="1" w:name="page2"/>
    <w:bookmarkEnd w:id="1"/>
    <w:p>
      <w:pPr>
        <w:ind w:right="460" w:firstLine="376"/>
        <w:spacing w:after="0" w:line="288" w:lineRule="auto"/>
        <w:rPr>
          <w:sz w:val="20"/>
          <w:szCs w:val="20"/>
          <w:color w:val="auto"/>
        </w:rPr>
      </w:pPr>
      <w:r>
        <w:rPr>
          <w:rFonts w:ascii="Arial" w:cs="Arial" w:eastAsia="Arial" w:hAnsi="Arial"/>
          <w:sz w:val="17"/>
          <w:szCs w:val="17"/>
          <w:color w:val="auto"/>
        </w:rPr>
        <w:t>The press release issued by GasLog Ltd. on August 1, 2019 relating to its results for the three-month period ended June 30, 2019 and the related financial report are attached hereto as Exhibits 99.1 and 99.2, respectively.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INCORPORATION BY REFERENCE</w:t>
      </w:r>
    </w:p>
    <w:p>
      <w:pPr>
        <w:spacing w:after="0" w:line="247" w:lineRule="exact"/>
        <w:rPr>
          <w:sz w:val="20"/>
          <w:szCs w:val="20"/>
          <w:color w:val="auto"/>
        </w:rPr>
      </w:pPr>
    </w:p>
    <w:p>
      <w:pPr>
        <w:ind w:right="80" w:firstLine="397"/>
        <w:spacing w:after="0" w:line="269" w:lineRule="auto"/>
        <w:rPr>
          <w:sz w:val="20"/>
          <w:szCs w:val="20"/>
          <w:color w:val="auto"/>
        </w:rPr>
      </w:pPr>
      <w:r>
        <w:rPr>
          <w:rFonts w:ascii="Arial" w:cs="Arial" w:eastAsia="Arial" w:hAnsi="Arial"/>
          <w:sz w:val="17"/>
          <w:szCs w:val="17"/>
          <w:color w:val="auto"/>
        </w:rPr>
        <w:t>Exhibit 99.2 to this Report on Form 6-K shall be incorporated by reference into our registration statements on Form F-3 (File Nos. 333-194894 and 333-230205), initially filed with the Securities and Exchange Commission (the “SEC”) on March 28, 2014 and March 12, 2019,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520" w:type="dxa"/>
            <w:vAlign w:val="bottom"/>
            <w:gridSpan w:val="2"/>
          </w:tcPr>
          <w:p>
            <w:pPr>
              <w:ind w:left="1940"/>
              <w:spacing w:after="0"/>
              <w:rPr>
                <w:sz w:val="20"/>
                <w:szCs w:val="20"/>
                <w:color w:val="auto"/>
              </w:rPr>
            </w:pPr>
            <w:r>
              <w:rPr>
                <w:rFonts w:ascii="Arial" w:cs="Arial" w:eastAsia="Arial" w:hAnsi="Arial"/>
                <w:sz w:val="17"/>
                <w:szCs w:val="17"/>
                <w:color w:val="auto"/>
              </w:rPr>
              <w:t>EXHIBIT LIST</w:t>
            </w:r>
          </w:p>
        </w:tc>
      </w:tr>
      <w:tr>
        <w:trPr>
          <w:trHeight w:val="442"/>
        </w:trPr>
        <w:tc>
          <w:tcPr>
            <w:tcW w:w="1080" w:type="dxa"/>
            <w:vAlign w:val="bottom"/>
          </w:tcPr>
          <w:p>
            <w:pPr>
              <w:spacing w:after="0"/>
              <w:rPr>
                <w:sz w:val="20"/>
                <w:szCs w:val="20"/>
                <w:color w:val="auto"/>
              </w:rPr>
            </w:pPr>
            <w:r>
              <w:rPr>
                <w:rFonts w:ascii="Arial" w:cs="Arial" w:eastAsia="Arial" w:hAnsi="Arial"/>
                <w:sz w:val="17"/>
                <w:szCs w:val="17"/>
                <w:color w:val="auto"/>
              </w:rPr>
              <w:t>Exhibit</w:t>
            </w:r>
          </w:p>
        </w:tc>
        <w:tc>
          <w:tcPr>
            <w:tcW w:w="10960" w:type="dxa"/>
            <w:vAlign w:val="bottom"/>
            <w:gridSpan w:val="3"/>
          </w:tcPr>
          <w:p>
            <w:pPr>
              <w:spacing w:after="0"/>
              <w:rPr>
                <w:sz w:val="20"/>
                <w:szCs w:val="20"/>
                <w:color w:val="auto"/>
              </w:rPr>
            </w:pPr>
            <w:r>
              <w:rPr>
                <w:rFonts w:ascii="Arial" w:cs="Arial" w:eastAsia="Arial" w:hAnsi="Arial"/>
                <w:sz w:val="17"/>
                <w:szCs w:val="17"/>
                <w:color w:val="auto"/>
              </w:rPr>
              <w:t>Description</w:t>
            </w:r>
          </w:p>
        </w:tc>
      </w:tr>
      <w:tr>
        <w:trPr>
          <w:trHeight w:val="392"/>
        </w:trPr>
        <w:tc>
          <w:tcPr>
            <w:tcW w:w="1080" w:type="dxa"/>
            <w:vAlign w:val="bottom"/>
          </w:tcPr>
          <w:p>
            <w:pPr>
              <w:spacing w:after="0"/>
              <w:rPr>
                <w:sz w:val="20"/>
                <w:szCs w:val="20"/>
                <w:color w:val="auto"/>
              </w:rPr>
            </w:pPr>
            <w:r>
              <w:rPr>
                <w:rFonts w:ascii="Arial" w:cs="Arial" w:eastAsia="Arial" w:hAnsi="Arial"/>
                <w:sz w:val="17"/>
                <w:szCs w:val="17"/>
                <w:color w:val="auto"/>
              </w:rPr>
              <w:t>99.1</w:t>
            </w:r>
          </w:p>
        </w:tc>
        <w:tc>
          <w:tcPr>
            <w:tcW w:w="10960" w:type="dxa"/>
            <w:vAlign w:val="bottom"/>
            <w:gridSpan w:val="3"/>
          </w:tcPr>
          <w:p>
            <w:pPr>
              <w:spacing w:after="0"/>
              <w:rPr>
                <w:rFonts w:ascii="Arial" w:cs="Arial" w:eastAsia="Arial" w:hAnsi="Arial"/>
                <w:sz w:val="17"/>
                <w:szCs w:val="17"/>
                <w:color w:val="0000EE"/>
              </w:rPr>
            </w:pPr>
            <w:hyperlink r:id="rId10">
              <w:r>
                <w:rPr>
                  <w:rFonts w:ascii="Arial" w:cs="Arial" w:eastAsia="Arial" w:hAnsi="Arial"/>
                  <w:sz w:val="17"/>
                  <w:szCs w:val="17"/>
                  <w:color w:val="0000EE"/>
                </w:rPr>
                <w:t>Press Release dated August 1, 2019</w:t>
              </w:r>
            </w:hyperlink>
          </w:p>
        </w:tc>
      </w:tr>
      <w:tr>
        <w:trPr>
          <w:trHeight w:val="20"/>
        </w:trPr>
        <w:tc>
          <w:tcPr>
            <w:tcW w:w="108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408"/>
        </w:trPr>
        <w:tc>
          <w:tcPr>
            <w:tcW w:w="1080" w:type="dxa"/>
            <w:vAlign w:val="bottom"/>
          </w:tcPr>
          <w:p>
            <w:pPr>
              <w:spacing w:after="0"/>
              <w:rPr>
                <w:sz w:val="20"/>
                <w:szCs w:val="20"/>
                <w:color w:val="auto"/>
              </w:rPr>
            </w:pPr>
            <w:r>
              <w:rPr>
                <w:rFonts w:ascii="Arial" w:cs="Arial" w:eastAsia="Arial" w:hAnsi="Arial"/>
                <w:sz w:val="17"/>
                <w:szCs w:val="17"/>
                <w:color w:val="auto"/>
              </w:rPr>
              <w:t>99.2</w:t>
            </w:r>
          </w:p>
        </w:tc>
        <w:tc>
          <w:tcPr>
            <w:tcW w:w="10960" w:type="dxa"/>
            <w:vAlign w:val="bottom"/>
            <w:gridSpan w:val="3"/>
          </w:tcPr>
          <w:p>
            <w:pPr>
              <w:spacing w:after="0"/>
              <w:rPr>
                <w:rFonts w:ascii="Arial" w:cs="Arial" w:eastAsia="Arial" w:hAnsi="Arial"/>
                <w:sz w:val="17"/>
                <w:szCs w:val="17"/>
                <w:color w:val="0000EE"/>
              </w:rPr>
            </w:pPr>
            <w:hyperlink r:id="rId11">
              <w:r>
                <w:rPr>
                  <w:rFonts w:ascii="Arial" w:cs="Arial" w:eastAsia="Arial" w:hAnsi="Arial"/>
                  <w:sz w:val="17"/>
                  <w:szCs w:val="17"/>
                  <w:color w:val="0000EE"/>
                </w:rPr>
                <w:t>Financial Report for the Three and Six Months Ended June 30, 2019</w:t>
              </w:r>
            </w:hyperlink>
          </w:p>
        </w:tc>
      </w:tr>
      <w:tr>
        <w:trPr>
          <w:trHeight w:val="20"/>
        </w:trPr>
        <w:tc>
          <w:tcPr>
            <w:tcW w:w="1080" w:type="dxa"/>
            <w:vAlign w:val="bottom"/>
          </w:tcPr>
          <w:p>
            <w:pPr>
              <w:spacing w:after="0" w:line="20" w:lineRule="exact"/>
              <w:rPr>
                <w:sz w:val="1"/>
                <w:szCs w:val="1"/>
                <w:color w:val="auto"/>
              </w:rPr>
            </w:pPr>
          </w:p>
        </w:tc>
        <w:tc>
          <w:tcPr>
            <w:tcW w:w="4680" w:type="dxa"/>
            <w:vAlign w:val="bottom"/>
            <w:gridSpan w:val="2"/>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444"/>
        </w:trPr>
        <w:tc>
          <w:tcPr>
            <w:tcW w:w="1080" w:type="dxa"/>
            <w:vAlign w:val="bottom"/>
          </w:tcPr>
          <w:p>
            <w:pPr>
              <w:spacing w:after="0"/>
              <w:rPr>
                <w:sz w:val="24"/>
                <w:szCs w:val="24"/>
                <w:color w:val="auto"/>
              </w:rPr>
            </w:pPr>
          </w:p>
        </w:tc>
        <w:tc>
          <w:tcPr>
            <w:tcW w:w="10960" w:type="dxa"/>
            <w:vAlign w:val="bottom"/>
            <w:gridSpan w:val="3"/>
          </w:tcPr>
          <w:p>
            <w:pPr>
              <w:spacing w:after="0"/>
              <w:rPr>
                <w:sz w:val="20"/>
                <w:szCs w:val="20"/>
                <w:color w:val="auto"/>
              </w:rPr>
            </w:pPr>
            <w:r>
              <w:rPr>
                <w:rFonts w:ascii="Arial" w:cs="Arial" w:eastAsia="Arial" w:hAnsi="Arial"/>
                <w:sz w:val="17"/>
                <w:szCs w:val="17"/>
                <w:color w:val="auto"/>
              </w:rPr>
              <w:t>Management’s Discussion and Analysis of Financial Condition and Results of Operation</w:t>
            </w:r>
          </w:p>
        </w:tc>
      </w:tr>
      <w:tr>
        <w:trPr>
          <w:trHeight w:val="428"/>
        </w:trPr>
        <w:tc>
          <w:tcPr>
            <w:tcW w:w="1080" w:type="dxa"/>
            <w:vAlign w:val="bottom"/>
          </w:tcPr>
          <w:p>
            <w:pPr>
              <w:spacing w:after="0"/>
              <w:rPr>
                <w:sz w:val="24"/>
                <w:szCs w:val="24"/>
                <w:color w:val="auto"/>
              </w:rPr>
            </w:pPr>
          </w:p>
        </w:tc>
        <w:tc>
          <w:tcPr>
            <w:tcW w:w="10960" w:type="dxa"/>
            <w:vAlign w:val="bottom"/>
            <w:gridSpan w:val="3"/>
          </w:tcPr>
          <w:p>
            <w:pPr>
              <w:spacing w:after="0"/>
              <w:rPr>
                <w:sz w:val="20"/>
                <w:szCs w:val="20"/>
                <w:color w:val="auto"/>
              </w:rPr>
            </w:pPr>
            <w:r>
              <w:rPr>
                <w:rFonts w:ascii="Arial" w:cs="Arial" w:eastAsia="Arial" w:hAnsi="Arial"/>
                <w:sz w:val="17"/>
                <w:szCs w:val="17"/>
                <w:color w:val="auto"/>
              </w:rPr>
              <w:t>Unaudited Condensed Consolidated Financial Statements</w:t>
            </w:r>
          </w:p>
        </w:tc>
      </w:tr>
      <w:tr>
        <w:trPr>
          <w:trHeight w:val="428"/>
        </w:trPr>
        <w:tc>
          <w:tcPr>
            <w:tcW w:w="1080" w:type="dxa"/>
            <w:vAlign w:val="bottom"/>
          </w:tcPr>
          <w:p>
            <w:pPr>
              <w:spacing w:after="0"/>
              <w:rPr>
                <w:sz w:val="20"/>
                <w:szCs w:val="20"/>
                <w:color w:val="auto"/>
              </w:rPr>
            </w:pPr>
            <w:r>
              <w:rPr>
                <w:rFonts w:ascii="Arial" w:cs="Arial" w:eastAsia="Arial" w:hAnsi="Arial"/>
                <w:sz w:val="17"/>
                <w:szCs w:val="17"/>
                <w:color w:val="auto"/>
              </w:rPr>
              <w:t>101.INS</w:t>
            </w:r>
          </w:p>
        </w:tc>
        <w:tc>
          <w:tcPr>
            <w:tcW w:w="10960" w:type="dxa"/>
            <w:vAlign w:val="bottom"/>
            <w:gridSpan w:val="3"/>
          </w:tcPr>
          <w:p>
            <w:pPr>
              <w:spacing w:after="0"/>
              <w:rPr>
                <w:sz w:val="20"/>
                <w:szCs w:val="20"/>
                <w:color w:val="auto"/>
              </w:rPr>
            </w:pPr>
            <w:r>
              <w:rPr>
                <w:rFonts w:ascii="Arial" w:cs="Arial" w:eastAsia="Arial" w:hAnsi="Arial"/>
                <w:sz w:val="17"/>
                <w:szCs w:val="17"/>
                <w:color w:val="auto"/>
              </w:rPr>
              <w:t>XBRL Instance Document</w:t>
            </w:r>
          </w:p>
        </w:tc>
      </w:tr>
      <w:tr>
        <w:trPr>
          <w:trHeight w:val="428"/>
        </w:trPr>
        <w:tc>
          <w:tcPr>
            <w:tcW w:w="1080" w:type="dxa"/>
            <w:vAlign w:val="bottom"/>
          </w:tcPr>
          <w:p>
            <w:pPr>
              <w:spacing w:after="0"/>
              <w:rPr>
                <w:sz w:val="20"/>
                <w:szCs w:val="20"/>
                <w:color w:val="auto"/>
              </w:rPr>
            </w:pPr>
            <w:r>
              <w:rPr>
                <w:rFonts w:ascii="Arial" w:cs="Arial" w:eastAsia="Arial" w:hAnsi="Arial"/>
                <w:sz w:val="17"/>
                <w:szCs w:val="17"/>
                <w:color w:val="auto"/>
              </w:rPr>
              <w:t>101.SCH</w:t>
            </w:r>
          </w:p>
        </w:tc>
        <w:tc>
          <w:tcPr>
            <w:tcW w:w="10960" w:type="dxa"/>
            <w:vAlign w:val="bottom"/>
            <w:gridSpan w:val="3"/>
          </w:tcPr>
          <w:p>
            <w:pPr>
              <w:spacing w:after="0"/>
              <w:rPr>
                <w:sz w:val="20"/>
                <w:szCs w:val="20"/>
                <w:color w:val="auto"/>
              </w:rPr>
            </w:pPr>
            <w:r>
              <w:rPr>
                <w:rFonts w:ascii="Arial" w:cs="Arial" w:eastAsia="Arial" w:hAnsi="Arial"/>
                <w:sz w:val="17"/>
                <w:szCs w:val="17"/>
                <w:color w:val="auto"/>
              </w:rPr>
              <w:t>XBRL Taxonomy Extension Schema</w:t>
            </w:r>
          </w:p>
        </w:tc>
      </w:tr>
      <w:tr>
        <w:trPr>
          <w:trHeight w:val="428"/>
        </w:trPr>
        <w:tc>
          <w:tcPr>
            <w:tcW w:w="1080" w:type="dxa"/>
            <w:vAlign w:val="bottom"/>
          </w:tcPr>
          <w:p>
            <w:pPr>
              <w:spacing w:after="0"/>
              <w:rPr>
                <w:sz w:val="20"/>
                <w:szCs w:val="20"/>
                <w:color w:val="auto"/>
              </w:rPr>
            </w:pPr>
            <w:r>
              <w:rPr>
                <w:rFonts w:ascii="Arial" w:cs="Arial" w:eastAsia="Arial" w:hAnsi="Arial"/>
                <w:sz w:val="17"/>
                <w:szCs w:val="17"/>
                <w:color w:val="auto"/>
              </w:rPr>
              <w:t>101.CAL</w:t>
            </w:r>
          </w:p>
        </w:tc>
        <w:tc>
          <w:tcPr>
            <w:tcW w:w="10960" w:type="dxa"/>
            <w:vAlign w:val="bottom"/>
            <w:gridSpan w:val="3"/>
          </w:tcPr>
          <w:p>
            <w:pPr>
              <w:spacing w:after="0"/>
              <w:rPr>
                <w:sz w:val="20"/>
                <w:szCs w:val="20"/>
                <w:color w:val="auto"/>
              </w:rPr>
            </w:pPr>
            <w:r>
              <w:rPr>
                <w:rFonts w:ascii="Arial" w:cs="Arial" w:eastAsia="Arial" w:hAnsi="Arial"/>
                <w:sz w:val="17"/>
                <w:szCs w:val="17"/>
                <w:color w:val="auto"/>
              </w:rPr>
              <w:t>XBRL Taxonomy Extension Scheme Calculation Linkbase</w:t>
            </w:r>
          </w:p>
        </w:tc>
      </w:tr>
      <w:tr>
        <w:trPr>
          <w:trHeight w:val="428"/>
        </w:trPr>
        <w:tc>
          <w:tcPr>
            <w:tcW w:w="1080" w:type="dxa"/>
            <w:vAlign w:val="bottom"/>
          </w:tcPr>
          <w:p>
            <w:pPr>
              <w:spacing w:after="0"/>
              <w:rPr>
                <w:sz w:val="20"/>
                <w:szCs w:val="20"/>
                <w:color w:val="auto"/>
              </w:rPr>
            </w:pPr>
            <w:r>
              <w:rPr>
                <w:rFonts w:ascii="Arial" w:cs="Arial" w:eastAsia="Arial" w:hAnsi="Arial"/>
                <w:sz w:val="17"/>
                <w:szCs w:val="17"/>
                <w:color w:val="auto"/>
              </w:rPr>
              <w:t>101.DEF</w:t>
            </w:r>
          </w:p>
        </w:tc>
        <w:tc>
          <w:tcPr>
            <w:tcW w:w="10960" w:type="dxa"/>
            <w:vAlign w:val="bottom"/>
            <w:gridSpan w:val="3"/>
          </w:tcPr>
          <w:p>
            <w:pPr>
              <w:spacing w:after="0"/>
              <w:rPr>
                <w:sz w:val="20"/>
                <w:szCs w:val="20"/>
                <w:color w:val="auto"/>
              </w:rPr>
            </w:pPr>
            <w:r>
              <w:rPr>
                <w:rFonts w:ascii="Arial" w:cs="Arial" w:eastAsia="Arial" w:hAnsi="Arial"/>
                <w:sz w:val="17"/>
                <w:szCs w:val="17"/>
                <w:color w:val="auto"/>
              </w:rPr>
              <w:t>XBRL Taxonomy Extension Scheme Definition Linkbase</w:t>
            </w:r>
          </w:p>
        </w:tc>
      </w:tr>
      <w:tr>
        <w:trPr>
          <w:trHeight w:val="428"/>
        </w:trPr>
        <w:tc>
          <w:tcPr>
            <w:tcW w:w="1080" w:type="dxa"/>
            <w:vAlign w:val="bottom"/>
          </w:tcPr>
          <w:p>
            <w:pPr>
              <w:spacing w:after="0"/>
              <w:rPr>
                <w:sz w:val="20"/>
                <w:szCs w:val="20"/>
                <w:color w:val="auto"/>
              </w:rPr>
            </w:pPr>
            <w:r>
              <w:rPr>
                <w:rFonts w:ascii="Arial" w:cs="Arial" w:eastAsia="Arial" w:hAnsi="Arial"/>
                <w:sz w:val="17"/>
                <w:szCs w:val="17"/>
                <w:color w:val="auto"/>
              </w:rPr>
              <w:t>101.LAB</w:t>
            </w:r>
          </w:p>
        </w:tc>
        <w:tc>
          <w:tcPr>
            <w:tcW w:w="10960" w:type="dxa"/>
            <w:vAlign w:val="bottom"/>
            <w:gridSpan w:val="3"/>
          </w:tcPr>
          <w:p>
            <w:pPr>
              <w:spacing w:after="0"/>
              <w:rPr>
                <w:sz w:val="20"/>
                <w:szCs w:val="20"/>
                <w:color w:val="auto"/>
              </w:rPr>
            </w:pPr>
            <w:r>
              <w:rPr>
                <w:rFonts w:ascii="Arial" w:cs="Arial" w:eastAsia="Arial" w:hAnsi="Arial"/>
                <w:sz w:val="17"/>
                <w:szCs w:val="17"/>
                <w:color w:val="auto"/>
              </w:rPr>
              <w:t>XBRL Taxonomy Extension Scheme Label Linkbase</w:t>
            </w:r>
          </w:p>
        </w:tc>
      </w:tr>
      <w:tr>
        <w:trPr>
          <w:trHeight w:val="428"/>
        </w:trPr>
        <w:tc>
          <w:tcPr>
            <w:tcW w:w="1080" w:type="dxa"/>
            <w:vAlign w:val="bottom"/>
          </w:tcPr>
          <w:p>
            <w:pPr>
              <w:spacing w:after="0"/>
              <w:rPr>
                <w:sz w:val="20"/>
                <w:szCs w:val="20"/>
                <w:color w:val="auto"/>
              </w:rPr>
            </w:pPr>
            <w:r>
              <w:rPr>
                <w:rFonts w:ascii="Arial" w:cs="Arial" w:eastAsia="Arial" w:hAnsi="Arial"/>
                <w:sz w:val="17"/>
                <w:szCs w:val="17"/>
                <w:color w:val="auto"/>
              </w:rPr>
              <w:t>101.PRE</w:t>
            </w:r>
          </w:p>
        </w:tc>
        <w:tc>
          <w:tcPr>
            <w:tcW w:w="10960" w:type="dxa"/>
            <w:vAlign w:val="bottom"/>
            <w:gridSpan w:val="3"/>
          </w:tcPr>
          <w:p>
            <w:pPr>
              <w:spacing w:after="0"/>
              <w:rPr>
                <w:sz w:val="20"/>
                <w:szCs w:val="20"/>
                <w:color w:val="auto"/>
              </w:rPr>
            </w:pPr>
            <w:r>
              <w:rPr>
                <w:rFonts w:ascii="Arial" w:cs="Arial" w:eastAsia="Arial" w:hAnsi="Arial"/>
                <w:sz w:val="17"/>
                <w:szCs w:val="17"/>
                <w:color w:val="auto"/>
              </w:rPr>
              <w:t>XBRL Taxonomy Extension Scheme Presentation Linkbase</w:t>
            </w:r>
          </w:p>
        </w:tc>
      </w:tr>
      <w:tr>
        <w:trPr>
          <w:trHeight w:val="408"/>
        </w:trPr>
        <w:tc>
          <w:tcPr>
            <w:tcW w:w="1080" w:type="dxa"/>
            <w:vAlign w:val="bottom"/>
          </w:tcPr>
          <w:p>
            <w:pPr>
              <w:spacing w:after="0"/>
              <w:rPr>
                <w:sz w:val="24"/>
                <w:szCs w:val="24"/>
                <w:color w:val="auto"/>
              </w:rPr>
            </w:pPr>
          </w:p>
        </w:tc>
        <w:tc>
          <w:tcPr>
            <w:tcW w:w="10960" w:type="dxa"/>
            <w:vAlign w:val="bottom"/>
            <w:gridSpan w:val="3"/>
          </w:tcPr>
          <w:p>
            <w:pPr>
              <w:ind w:left="4880"/>
              <w:spacing w:after="0"/>
              <w:rPr>
                <w:sz w:val="20"/>
                <w:szCs w:val="20"/>
                <w:color w:val="auto"/>
              </w:rPr>
            </w:pPr>
            <w:r>
              <w:rPr>
                <w:rFonts w:ascii="Arial" w:cs="Arial" w:eastAsia="Arial" w:hAnsi="Arial"/>
                <w:sz w:val="15"/>
                <w:szCs w:val="15"/>
                <w:color w:val="auto"/>
              </w:rPr>
              <w:t>2</w:t>
            </w:r>
          </w:p>
        </w:tc>
      </w:tr>
      <w:tr>
        <w:trPr>
          <w:trHeight w:val="124"/>
        </w:trPr>
        <w:tc>
          <w:tcPr>
            <w:tcW w:w="10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6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8" w:right="8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7"/>
          <w:szCs w:val="17"/>
          <w:color w:val="auto"/>
        </w:rPr>
        <w:t>SIGNATURES</w:t>
      </w:r>
    </w:p>
    <w:p>
      <w:pPr>
        <w:spacing w:after="0" w:line="247" w:lineRule="exact"/>
        <w:rPr>
          <w:sz w:val="20"/>
          <w:szCs w:val="20"/>
          <w:color w:val="auto"/>
        </w:rPr>
      </w:pPr>
    </w:p>
    <w:p>
      <w:pPr>
        <w:ind w:right="280" w:firstLine="376"/>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Date: August 1, 2019</w:t>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GASLOG LTD.,</w:t>
      </w:r>
    </w:p>
    <w:p>
      <w:pPr>
        <w:spacing w:after="0" w:line="232" w:lineRule="exact"/>
        <w:rPr>
          <w:sz w:val="20"/>
          <w:szCs w:val="20"/>
          <w:color w:val="auto"/>
        </w:rPr>
      </w:pPr>
    </w:p>
    <w:p>
      <w:pPr>
        <w:ind w:left="6420"/>
        <w:spacing w:after="0"/>
        <w:tabs>
          <w:tab w:leader="none" w:pos="68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Paul Wogan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60" w:type="dxa"/>
            <w:vAlign w:val="bottom"/>
          </w:tcPr>
          <w:p>
            <w:pPr>
              <w:spacing w:after="0"/>
              <w:rPr>
                <w:sz w:val="17"/>
                <w:szCs w:val="17"/>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38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Paul Wogan</w:t>
            </w:r>
          </w:p>
        </w:tc>
        <w:tc>
          <w:tcPr>
            <w:tcW w:w="800" w:type="dxa"/>
            <w:vAlign w:val="bottom"/>
          </w:tcPr>
          <w:p>
            <w:pPr>
              <w:spacing w:after="0"/>
              <w:rPr>
                <w:sz w:val="17"/>
                <w:szCs w:val="17"/>
                <w:color w:val="auto"/>
              </w:rPr>
            </w:pPr>
          </w:p>
        </w:tc>
      </w:tr>
      <w:tr>
        <w:trPr>
          <w:trHeight w:val="216"/>
        </w:trPr>
        <w:tc>
          <w:tcPr>
            <w:tcW w:w="68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3820" w:type="dxa"/>
            <w:vAlign w:val="bottom"/>
          </w:tcPr>
          <w:p>
            <w:pPr>
              <w:ind w:left="100"/>
              <w:spacing w:after="0"/>
              <w:rPr>
                <w:sz w:val="20"/>
                <w:szCs w:val="20"/>
                <w:color w:val="auto"/>
              </w:rPr>
            </w:pPr>
            <w:r>
              <w:rPr>
                <w:rFonts w:ascii="Arial" w:cs="Arial" w:eastAsia="Arial" w:hAnsi="Arial"/>
                <w:sz w:val="17"/>
                <w:szCs w:val="17"/>
                <w:color w:val="auto"/>
              </w:rPr>
              <w:t>Chief Executive Officer</w:t>
            </w:r>
          </w:p>
        </w:tc>
        <w:tc>
          <w:tcPr>
            <w:tcW w:w="800" w:type="dxa"/>
            <w:vAlign w:val="bottom"/>
          </w:tcPr>
          <w:p>
            <w:pPr>
              <w:spacing w:after="0"/>
              <w:rPr>
                <w:sz w:val="18"/>
                <w:szCs w:val="18"/>
                <w:color w:val="auto"/>
              </w:rPr>
            </w:pPr>
          </w:p>
        </w:tc>
      </w:tr>
      <w:tr>
        <w:trPr>
          <w:trHeight w:val="408"/>
        </w:trPr>
        <w:tc>
          <w:tcPr>
            <w:tcW w:w="6860" w:type="dxa"/>
            <w:vAlign w:val="bottom"/>
          </w:tcPr>
          <w:p>
            <w:pPr>
              <w:jc w:val="right"/>
              <w:ind w:right="744"/>
              <w:spacing w:after="0"/>
              <w:rPr>
                <w:sz w:val="20"/>
                <w:szCs w:val="20"/>
                <w:color w:val="auto"/>
              </w:rPr>
            </w:pPr>
            <w:r>
              <w:rPr>
                <w:rFonts w:ascii="Arial" w:cs="Arial" w:eastAsia="Arial" w:hAnsi="Arial"/>
                <w:sz w:val="15"/>
                <w:szCs w:val="15"/>
                <w:color w:val="auto"/>
              </w:rPr>
              <w:t>3</w:t>
            </w:r>
          </w:p>
        </w:tc>
        <w:tc>
          <w:tcPr>
            <w:tcW w:w="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4"/>
        </w:trPr>
        <w:tc>
          <w:tcPr>
            <w:tcW w:w="68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8" w:right="80"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ind w:right="-5"/>
        <w:spacing w:after="0"/>
        <w:rPr>
          <w:sz w:val="20"/>
          <w:szCs w:val="20"/>
          <w:color w:val="auto"/>
        </w:rPr>
      </w:pPr>
      <w:r>
        <w:rPr>
          <w:rFonts w:ascii="Arial" w:cs="Arial" w:eastAsia="Arial" w:hAnsi="Arial"/>
          <w:sz w:val="17"/>
          <w:szCs w:val="17"/>
          <w:u w:val="single" w:color="auto"/>
          <w:color w:val="auto"/>
        </w:rPr>
        <w:t>Press Release</w:t>
      </w:r>
    </w:p>
    <w:p>
      <w:pPr>
        <w:spacing w:after="0" w:line="241" w:lineRule="exact"/>
        <w:rPr>
          <w:sz w:val="20"/>
          <w:szCs w:val="20"/>
          <w:color w:val="auto"/>
        </w:rPr>
      </w:pPr>
    </w:p>
    <w:p>
      <w:pPr>
        <w:jc w:val="center"/>
        <w:ind w:right="-5"/>
        <w:spacing w:after="0"/>
        <w:rPr>
          <w:sz w:val="20"/>
          <w:szCs w:val="20"/>
          <w:color w:val="auto"/>
        </w:rPr>
      </w:pPr>
      <w:r>
        <w:rPr>
          <w:rFonts w:ascii="Arial" w:cs="Arial" w:eastAsia="Arial" w:hAnsi="Arial"/>
          <w:sz w:val="17"/>
          <w:szCs w:val="17"/>
          <w:b w:val="1"/>
          <w:bCs w:val="1"/>
          <w:color w:val="auto"/>
        </w:rPr>
        <w:t>GasLog Ltd. Reports Financial Results for the Three-Month Period Ended June 30, 2019</w:t>
      </w:r>
    </w:p>
    <w:p>
      <w:pPr>
        <w:spacing w:after="0" w:line="247" w:lineRule="exact"/>
        <w:rPr>
          <w:sz w:val="20"/>
          <w:szCs w:val="20"/>
          <w:color w:val="auto"/>
        </w:rPr>
      </w:pPr>
    </w:p>
    <w:p>
      <w:pPr>
        <w:ind w:left="6"/>
        <w:spacing w:after="0" w:line="295" w:lineRule="auto"/>
        <w:rPr>
          <w:sz w:val="20"/>
          <w:szCs w:val="20"/>
          <w:color w:val="auto"/>
        </w:rPr>
      </w:pPr>
      <w:r>
        <w:rPr>
          <w:rFonts w:ascii="Arial" w:cs="Arial" w:eastAsia="Arial" w:hAnsi="Arial"/>
          <w:sz w:val="17"/>
          <w:szCs w:val="17"/>
          <w:b w:val="1"/>
          <w:bCs w:val="1"/>
          <w:color w:val="auto"/>
        </w:rPr>
        <w:t>Monaco, August 1, 2019, GasLog Ltd. and its subsidiaries (“GasLog” or “Group” or “Company”) (NYSE: GLOG)</w:t>
      </w:r>
      <w:r>
        <w:rPr>
          <w:rFonts w:ascii="Arial" w:cs="Arial" w:eastAsia="Arial" w:hAnsi="Arial"/>
          <w:sz w:val="17"/>
          <w:szCs w:val="17"/>
          <w:color w:val="auto"/>
        </w:rPr>
        <w:t>, an international owner, operator and manager of</w:t>
      </w:r>
      <w:r>
        <w:rPr>
          <w:rFonts w:ascii="Arial" w:cs="Arial" w:eastAsia="Arial" w:hAnsi="Arial"/>
          <w:sz w:val="17"/>
          <w:szCs w:val="17"/>
          <w:b w:val="1"/>
          <w:bCs w:val="1"/>
          <w:color w:val="auto"/>
        </w:rPr>
        <w:t xml:space="preserve"> </w:t>
      </w:r>
      <w:r>
        <w:rPr>
          <w:rFonts w:ascii="Arial" w:cs="Arial" w:eastAsia="Arial" w:hAnsi="Arial"/>
          <w:sz w:val="17"/>
          <w:szCs w:val="17"/>
          <w:color w:val="auto"/>
        </w:rPr>
        <w:t>liquefied natural gas (“LNG”) carriers, today reported its financial results for the three-month period ended June 30, 2019.</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Highlights</w:t>
      </w:r>
    </w:p>
    <w:p>
      <w:pPr>
        <w:spacing w:after="0" w:line="253" w:lineRule="exact"/>
        <w:rPr>
          <w:sz w:val="20"/>
          <w:szCs w:val="20"/>
          <w:color w:val="auto"/>
        </w:rPr>
      </w:pPr>
    </w:p>
    <w:p>
      <w:pPr>
        <w:ind w:left="786" w:right="140" w:hanging="786"/>
        <w:spacing w:after="0" w:line="263" w:lineRule="auto"/>
        <w:tabs>
          <w:tab w:leader="none" w:pos="786"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Delivery of the </w:t>
      </w:r>
      <w:r>
        <w:rPr>
          <w:rFonts w:ascii="Arial" w:cs="Arial" w:eastAsia="Arial" w:hAnsi="Arial"/>
          <w:sz w:val="17"/>
          <w:szCs w:val="17"/>
          <w:i w:val="1"/>
          <w:iCs w:val="1"/>
          <w:color w:val="auto"/>
        </w:rPr>
        <w:t>GasLog Warsaw</w:t>
      </w:r>
      <w:r>
        <w:rPr>
          <w:rFonts w:ascii="Arial" w:cs="Arial" w:eastAsia="Arial" w:hAnsi="Arial"/>
          <w:sz w:val="17"/>
          <w:szCs w:val="17"/>
          <w:color w:val="auto"/>
        </w:rPr>
        <w:t xml:space="preserve"> on July 31, 2019, a 180,000 cubic meter (“cbm”) Mark III Flex Plus carrier with low pressure dual fuel two-stroke (“X-DF”) propulsion. The vessel was immediately delivered into a new charter with a wholly-owned subsidiary of Cheniere Energy Inc. (“Cheniere”) for the period prior to the commencement of her long-term charter with a subsidiary of Endesa S.A. (“Endesa”) in May 2021.</w:t>
      </w:r>
    </w:p>
    <w:p>
      <w:pPr>
        <w:spacing w:after="0" w:line="1" w:lineRule="exact"/>
        <w:rPr>
          <w:rFonts w:ascii="Arial" w:cs="Arial" w:eastAsia="Arial" w:hAnsi="Arial"/>
          <w:sz w:val="17"/>
          <w:szCs w:val="17"/>
          <w:color w:val="auto"/>
        </w:rPr>
      </w:pPr>
    </w:p>
    <w:p>
      <w:pPr>
        <w:ind w:left="786" w:right="100" w:hanging="786"/>
        <w:spacing w:after="0" w:line="262" w:lineRule="auto"/>
        <w:tabs>
          <w:tab w:leader="none" w:pos="786" w:val="left"/>
        </w:tabs>
        <w:numPr>
          <w:ilvl w:val="0"/>
          <w:numId w:val="1"/>
        </w:numPr>
        <w:rPr>
          <w:rFonts w:ascii="Arial" w:cs="Arial" w:eastAsia="Arial" w:hAnsi="Arial"/>
          <w:sz w:val="17"/>
          <w:szCs w:val="17"/>
          <w:color w:val="auto"/>
        </w:rPr>
      </w:pPr>
      <w:r>
        <w:rPr>
          <w:rFonts w:ascii="Arial" w:cs="Arial" w:eastAsia="Arial" w:hAnsi="Arial"/>
          <w:sz w:val="17"/>
          <w:szCs w:val="17"/>
          <w:color w:val="auto"/>
        </w:rPr>
        <w:t>Closed a follow-on issue of $75.0 million aggregate principal value of the 8.875% senior unsecured notes due 2022 (the “8.875% Senior Notes”) priced at 102.5% of par with a yield to maturity of 7.89%.</w:t>
      </w:r>
    </w:p>
    <w:p>
      <w:pPr>
        <w:spacing w:after="0" w:line="1" w:lineRule="exact"/>
        <w:rPr>
          <w:rFonts w:ascii="Arial" w:cs="Arial" w:eastAsia="Arial" w:hAnsi="Arial"/>
          <w:sz w:val="17"/>
          <w:szCs w:val="17"/>
          <w:color w:val="auto"/>
        </w:rPr>
      </w:pPr>
    </w:p>
    <w:p>
      <w:pPr>
        <w:ind w:left="786" w:right="200" w:hanging="786"/>
        <w:spacing w:after="0" w:line="262" w:lineRule="auto"/>
        <w:tabs>
          <w:tab w:leader="none" w:pos="786"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Exited the Cool Pool (the “Cool Pool”) to assume commercial control of the vessels operating in the LNG carrier spot market and subsequently signed two time charter agreements with a subsidiary of Gunvor Group Ltd. (“Gunvor”)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Salem</w:t>
      </w:r>
      <w:r>
        <w:rPr>
          <w:rFonts w:ascii="Arial" w:cs="Arial" w:eastAsia="Arial" w:hAnsi="Arial"/>
          <w:sz w:val="17"/>
          <w:szCs w:val="17"/>
          <w:color w:val="auto"/>
        </w:rPr>
        <w:t xml:space="preserve"> for three and a half years and up to nine months, respectively.</w:t>
      </w:r>
    </w:p>
    <w:p>
      <w:pPr>
        <w:spacing w:after="0" w:line="1" w:lineRule="exact"/>
        <w:rPr>
          <w:rFonts w:ascii="Arial" w:cs="Arial" w:eastAsia="Arial" w:hAnsi="Arial"/>
          <w:sz w:val="17"/>
          <w:szCs w:val="17"/>
          <w:color w:val="auto"/>
        </w:rPr>
      </w:pPr>
    </w:p>
    <w:p>
      <w:pPr>
        <w:ind w:left="786" w:right="100" w:hanging="786"/>
        <w:spacing w:after="0" w:line="262" w:lineRule="auto"/>
        <w:tabs>
          <w:tab w:leader="none" w:pos="786" w:val="left"/>
        </w:tabs>
        <w:numPr>
          <w:ilvl w:val="0"/>
          <w:numId w:val="1"/>
        </w:numPr>
        <w:rPr>
          <w:rFonts w:ascii="Arial" w:cs="Arial" w:eastAsia="Arial" w:hAnsi="Arial"/>
          <w:sz w:val="17"/>
          <w:szCs w:val="17"/>
          <w:color w:val="auto"/>
        </w:rPr>
      </w:pPr>
      <w:r>
        <w:rPr>
          <w:rFonts w:ascii="Arial" w:cs="Arial" w:eastAsia="Arial" w:hAnsi="Arial"/>
          <w:sz w:val="17"/>
          <w:szCs w:val="17"/>
          <w:color w:val="auto"/>
        </w:rPr>
        <w:t>Amended the Partnership Agreement to eliminate GasLog’s incentive distribution rights (“IDRs”), effective June 30, 2019, in order to reduce the cost of capital of GasLog Partners LP (“GasLog Partners” or the “Partnership”) and to simplify the Group’s financial structure and reporting.</w:t>
      </w:r>
    </w:p>
    <w:p>
      <w:pPr>
        <w:spacing w:after="0" w:line="1" w:lineRule="exact"/>
        <w:rPr>
          <w:rFonts w:ascii="Arial" w:cs="Arial" w:eastAsia="Arial" w:hAnsi="Arial"/>
          <w:sz w:val="17"/>
          <w:szCs w:val="17"/>
          <w:color w:val="auto"/>
        </w:rPr>
      </w:pPr>
    </w:p>
    <w:p>
      <w:pPr>
        <w:ind w:left="786" w:right="520" w:hanging="786"/>
        <w:spacing w:after="0" w:line="262" w:lineRule="auto"/>
        <w:tabs>
          <w:tab w:leader="none" w:pos="786"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Completed the sale of the </w:t>
      </w:r>
      <w:r>
        <w:rPr>
          <w:rFonts w:ascii="Arial" w:cs="Arial" w:eastAsia="Arial" w:hAnsi="Arial"/>
          <w:sz w:val="17"/>
          <w:szCs w:val="17"/>
          <w:i w:val="1"/>
          <w:iCs w:val="1"/>
          <w:color w:val="auto"/>
        </w:rPr>
        <w:t>GasLog Glasgow</w:t>
      </w:r>
      <w:r>
        <w:rPr>
          <w:rFonts w:ascii="Arial" w:cs="Arial" w:eastAsia="Arial" w:hAnsi="Arial"/>
          <w:sz w:val="17"/>
          <w:szCs w:val="17"/>
          <w:color w:val="auto"/>
        </w:rPr>
        <w:t xml:space="preserve"> to GasLog Partners for $214.0 million, with attached multi-year charter to a subsidiary of Royal Dutch Shell plc (“Shell”).</w:t>
      </w:r>
    </w:p>
    <w:p>
      <w:pPr>
        <w:spacing w:after="0" w:line="1" w:lineRule="exact"/>
        <w:rPr>
          <w:rFonts w:ascii="Arial" w:cs="Arial" w:eastAsia="Arial" w:hAnsi="Arial"/>
          <w:sz w:val="17"/>
          <w:szCs w:val="17"/>
          <w:color w:val="auto"/>
        </w:rPr>
      </w:pPr>
    </w:p>
    <w:p>
      <w:pPr>
        <w:ind w:left="786" w:right="40" w:hanging="786"/>
        <w:spacing w:after="0" w:line="228" w:lineRule="auto"/>
        <w:tabs>
          <w:tab w:leader="none" w:pos="786" w:val="left"/>
        </w:tabs>
        <w:numPr>
          <w:ilvl w:val="0"/>
          <w:numId w:val="1"/>
        </w:numPr>
        <w:rPr>
          <w:rFonts w:ascii="Arial" w:cs="Arial" w:eastAsia="Arial" w:hAnsi="Arial"/>
          <w:sz w:val="17"/>
          <w:szCs w:val="17"/>
          <w:color w:val="auto"/>
        </w:rPr>
      </w:pPr>
      <w:r>
        <w:rPr>
          <w:rFonts w:ascii="Arial" w:cs="Arial" w:eastAsia="Arial" w:hAnsi="Arial"/>
          <w:sz w:val="17"/>
          <w:szCs w:val="17"/>
          <w:color w:val="auto"/>
        </w:rPr>
        <w:t>Revenues of $154.3 million, Loss of ($10.5) million and Loss per share of ($0.35)</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for the three-month period ended June 30, 2019 ($132.8 million, $14.2 million and ($0.08), respectively, for the three-month period ended June 30, 2018).</w:t>
      </w:r>
    </w:p>
    <w:p>
      <w:pPr>
        <w:spacing w:after="0" w:line="1" w:lineRule="exact"/>
        <w:rPr>
          <w:rFonts w:ascii="Arial" w:cs="Arial" w:eastAsia="Arial" w:hAnsi="Arial"/>
          <w:sz w:val="17"/>
          <w:szCs w:val="17"/>
          <w:color w:val="auto"/>
        </w:rPr>
      </w:pPr>
    </w:p>
    <w:p>
      <w:pPr>
        <w:ind w:left="786" w:right="240" w:hanging="786"/>
        <w:spacing w:after="0" w:line="262" w:lineRule="auto"/>
        <w:tabs>
          <w:tab w:leader="none" w:pos="786" w:val="left"/>
        </w:tabs>
        <w:numPr>
          <w:ilvl w:val="0"/>
          <w:numId w:val="1"/>
        </w:numPr>
        <w:rPr>
          <w:rFonts w:ascii="Arial" w:cs="Arial" w:eastAsia="Arial" w:hAnsi="Arial"/>
          <w:sz w:val="15"/>
          <w:szCs w:val="15"/>
          <w:color w:val="auto"/>
        </w:rPr>
      </w:pPr>
      <w:r>
        <w:rPr>
          <w:rFonts w:ascii="Arial" w:cs="Arial" w:eastAsia="Arial" w:hAnsi="Arial"/>
          <w:sz w:val="15"/>
          <w:szCs w:val="15"/>
          <w:color w:val="auto"/>
        </w:rPr>
        <w:t>EBITDA</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$106.8 million, Adjusted EBITDA</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$107.0 million, Adjusted Profit</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$20.5 million and Adjusted Earnings per share</w:t>
      </w:r>
      <w:r>
        <w:rPr>
          <w:rFonts w:ascii="Arial" w:cs="Arial" w:eastAsia="Arial" w:hAnsi="Arial"/>
          <w:sz w:val="19"/>
          <w:szCs w:val="19"/>
          <w:color w:val="auto"/>
          <w:vertAlign w:val="superscript"/>
        </w:rPr>
        <w:t>(2)</w:t>
      </w:r>
      <w:r>
        <w:rPr>
          <w:rFonts w:ascii="Arial" w:cs="Arial" w:eastAsia="Arial" w:hAnsi="Arial"/>
          <w:sz w:val="15"/>
          <w:szCs w:val="15"/>
          <w:color w:val="auto"/>
        </w:rPr>
        <w:t xml:space="preserve"> of $0.03</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for the three-month period ended June 30, 2019 ($92.6 million, $92.9 million, $14.8 million and ($0.07), respectively, for the three-month period ended June 30, 2018).</w:t>
      </w:r>
    </w:p>
    <w:p>
      <w:pPr>
        <w:spacing w:after="0" w:line="1" w:lineRule="exact"/>
        <w:rPr>
          <w:rFonts w:ascii="Arial" w:cs="Arial" w:eastAsia="Arial" w:hAnsi="Arial"/>
          <w:sz w:val="15"/>
          <w:szCs w:val="15"/>
          <w:color w:val="auto"/>
        </w:rPr>
      </w:pPr>
    </w:p>
    <w:p>
      <w:pPr>
        <w:ind w:left="786" w:hanging="786"/>
        <w:spacing w:after="0"/>
        <w:tabs>
          <w:tab w:leader="none" w:pos="786"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dividend of $0.15 per common share payable on August 22, 2019.</w:t>
      </w:r>
    </w:p>
    <w:p>
      <w:pPr>
        <w:spacing w:after="0" w:line="377" w:lineRule="exact"/>
        <w:rPr>
          <w:sz w:val="20"/>
          <w:szCs w:val="20"/>
          <w:color w:val="auto"/>
        </w:rPr>
      </w:pPr>
    </w:p>
    <w:p>
      <w:pPr>
        <w:ind w:left="126" w:right="60" w:hanging="126"/>
        <w:spacing w:after="0" w:line="234" w:lineRule="auto"/>
        <w:tabs>
          <w:tab w:leader="none" w:pos="140"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Earnings/(loss) per share (“EPS”) and Adjusted EPS is net of the profit attributable to non-controlling interests of $15.5 million and the dividend on preferred stock of $2.5 million for the quarter ended June 30, 2019 ($17.8 million and $2.5 million, respectively, for the quarter ended June 30, 2018).</w:t>
      </w:r>
    </w:p>
    <w:p>
      <w:pPr>
        <w:spacing w:after="0" w:line="123" w:lineRule="exact"/>
        <w:rPr>
          <w:rFonts w:ascii="Arial" w:cs="Arial" w:eastAsia="Arial" w:hAnsi="Arial"/>
          <w:sz w:val="17"/>
          <w:szCs w:val="17"/>
          <w:color w:val="auto"/>
          <w:vertAlign w:val="superscript"/>
        </w:rPr>
      </w:pPr>
    </w:p>
    <w:p>
      <w:pPr>
        <w:jc w:val="both"/>
        <w:ind w:left="126" w:hanging="126"/>
        <w:spacing w:after="0" w:line="234" w:lineRule="auto"/>
        <w:tabs>
          <w:tab w:leader="none" w:pos="144" w:val="left"/>
        </w:tabs>
        <w:numPr>
          <w:ilvl w:val="0"/>
          <w:numId w:val="2"/>
        </w:numPr>
        <w:rPr>
          <w:rFonts w:ascii="Arial" w:cs="Arial" w:eastAsia="Arial" w:hAnsi="Arial"/>
          <w:sz w:val="17"/>
          <w:szCs w:val="17"/>
          <w:color w:val="auto"/>
          <w:vertAlign w:val="superscript"/>
        </w:rPr>
      </w:pPr>
      <w:r>
        <w:rPr>
          <w:rFonts w:ascii="Arial" w:cs="Arial" w:eastAsia="Arial" w:hAnsi="Arial"/>
          <w:sz w:val="14"/>
          <w:szCs w:val="14"/>
          <w:color w:val="auto"/>
        </w:rPr>
        <w:t>EBITDA,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397"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CEO Statement</w:t>
      </w:r>
    </w:p>
    <w:p>
      <w:pPr>
        <w:spacing w:after="0" w:line="253" w:lineRule="exact"/>
        <w:rPr>
          <w:sz w:val="20"/>
          <w:szCs w:val="20"/>
          <w:color w:val="auto"/>
        </w:rPr>
      </w:pPr>
    </w:p>
    <w:p>
      <w:pPr>
        <w:ind w:left="6" w:right="120"/>
        <w:spacing w:after="0" w:line="293" w:lineRule="auto"/>
        <w:rPr>
          <w:sz w:val="20"/>
          <w:szCs w:val="20"/>
          <w:color w:val="auto"/>
        </w:rPr>
      </w:pPr>
      <w:r>
        <w:rPr>
          <w:rFonts w:ascii="Arial" w:cs="Arial" w:eastAsia="Arial" w:hAnsi="Arial"/>
          <w:sz w:val="16"/>
          <w:szCs w:val="16"/>
          <w:color w:val="auto"/>
        </w:rPr>
        <w:t xml:space="preserve">Paul Wogan, Chief Executive Officer, stated: “GasLog’s revenues from our year-on-year fleet expansion and our time charter earnings supported our financial performance against a back drop of relatively weak LNG shipping rates in the second quarter, further validating our strategy of maximising our fleet’s multi-year charter coverage. We continued to execute on this strategy during the quarter by withdrawing our vessels from the Cool Pool, subsequently chartering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GasLog Salem</w:t>
      </w:r>
      <w:r>
        <w:rPr>
          <w:rFonts w:ascii="Arial" w:cs="Arial" w:eastAsia="Arial" w:hAnsi="Arial"/>
          <w:sz w:val="16"/>
          <w:szCs w:val="16"/>
          <w:color w:val="auto"/>
        </w:rPr>
        <w:t xml:space="preserve"> to Gunvor for three and a half years and up to nine months, respectively, securing full utilisation for these vessels.</w:t>
      </w:r>
    </w:p>
    <w:p>
      <w:pPr>
        <w:spacing w:after="0" w:line="185" w:lineRule="exact"/>
        <w:rPr>
          <w:sz w:val="20"/>
          <w:szCs w:val="20"/>
          <w:color w:val="auto"/>
        </w:rPr>
      </w:pPr>
    </w:p>
    <w:p>
      <w:pPr>
        <w:ind w:left="6" w:right="260"/>
        <w:spacing w:after="0" w:line="269" w:lineRule="auto"/>
        <w:rPr>
          <w:sz w:val="20"/>
          <w:szCs w:val="20"/>
          <w:color w:val="auto"/>
        </w:rPr>
      </w:pPr>
      <w:r>
        <w:rPr>
          <w:rFonts w:ascii="Arial" w:cs="Arial" w:eastAsia="Arial" w:hAnsi="Arial"/>
          <w:sz w:val="17"/>
          <w:szCs w:val="17"/>
          <w:color w:val="auto"/>
        </w:rPr>
        <w:t xml:space="preserve">During the second quarter, we continued to source attractive financing to fund our committed newbuild programme. We closed the financing of the </w:t>
      </w:r>
      <w:r>
        <w:rPr>
          <w:rFonts w:ascii="Arial" w:cs="Arial" w:eastAsia="Arial" w:hAnsi="Arial"/>
          <w:sz w:val="17"/>
          <w:szCs w:val="17"/>
          <w:i w:val="1"/>
          <w:iCs w:val="1"/>
          <w:color w:val="auto"/>
        </w:rPr>
        <w:t>GasLog Warsaw</w:t>
      </w:r>
      <w:r>
        <w:rPr>
          <w:rFonts w:ascii="Arial" w:cs="Arial" w:eastAsia="Arial" w:hAnsi="Arial"/>
          <w:sz w:val="17"/>
          <w:szCs w:val="17"/>
          <w:color w:val="auto"/>
        </w:rPr>
        <w:t>, which delivered earlier this week into a multi-month charter with Cheniere that covers the whole of the available period before the vessel commences her eight-year charter with Endesa, in May 2021. We also raised gross proceeds of $76.9 million through tapping our existing U.S. dollar bonds at a premium to par. Finally, we improved GasLog Partners’ cost of capital by eliminating the incentive distribution rights. This increased our stake in the Partnership and simplified both our corporate structure and the investment case for our investors.</w:t>
      </w:r>
    </w:p>
    <w:p>
      <w:pPr>
        <w:spacing w:after="0" w:line="202" w:lineRule="exact"/>
        <w:rPr>
          <w:sz w:val="20"/>
          <w:szCs w:val="20"/>
          <w:color w:val="auto"/>
        </w:rPr>
      </w:pPr>
    </w:p>
    <w:p>
      <w:pPr>
        <w:ind w:left="6" w:right="300"/>
        <w:spacing w:after="0" w:line="293" w:lineRule="auto"/>
        <w:rPr>
          <w:sz w:val="20"/>
          <w:szCs w:val="20"/>
          <w:color w:val="auto"/>
        </w:rPr>
      </w:pPr>
      <w:r>
        <w:rPr>
          <w:rFonts w:ascii="Arial" w:cs="Arial" w:eastAsia="Arial" w:hAnsi="Arial"/>
          <w:sz w:val="16"/>
          <w:szCs w:val="16"/>
          <w:color w:val="auto"/>
        </w:rPr>
        <w:t>We are seeing increasing customer interest in multi-month and multi-year charters, underpinning the long-term growth prospects for LNG and supporting our view that the second quarter weakness in LNG shipping markets is temporary. We expect shipping availability to tighten during the second half of 2019 and beyond based on new LNG supply additions, predominantly from the U.S. and almost all of which is secured by long-term off-take contracts, and continued global growth in LNG demand. This underpins our confidence in the outlook for our business and our ambition to deliver enhanced returns to shareholders.”</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LNG Market Update and Outlook</w:t>
      </w:r>
    </w:p>
    <w:p>
      <w:pPr>
        <w:spacing w:after="0" w:line="253" w:lineRule="exact"/>
        <w:rPr>
          <w:sz w:val="20"/>
          <w:szCs w:val="20"/>
          <w:color w:val="auto"/>
        </w:rPr>
      </w:pPr>
    </w:p>
    <w:p>
      <w:pPr>
        <w:ind w:left="6"/>
        <w:spacing w:after="0" w:line="287" w:lineRule="auto"/>
        <w:rPr>
          <w:sz w:val="20"/>
          <w:szCs w:val="20"/>
          <w:color w:val="auto"/>
        </w:rPr>
      </w:pPr>
      <w:r>
        <w:rPr>
          <w:rFonts w:ascii="Arial" w:cs="Arial" w:eastAsia="Arial" w:hAnsi="Arial"/>
          <w:sz w:val="16"/>
          <w:szCs w:val="16"/>
          <w:color w:val="auto"/>
        </w:rPr>
        <w:t>Global LNG demand was 86 million tonnes (“mt”) in the second quarter, compared with 74 mt in the second quarter of 2018, an increase of 16%. Higher European imports (up 110% year-on-year) accounted for most of the growth, while demand from Northeast Asia (Japan, China, South Korea and Taiwan) was flat year-on-year, according to Poten. Natural gas prices were at multi-year lows in the second quarter of 2019 as the leveling off in demand growth from key LNG consumers in Northeast Asia coupled with elevated inventories and new LNG supply depressed LNG prices in Asia and Europe. However, low European gas prices and rising carbon prices have incentivized coal-to-gas switching in power generation, with Platts reporting that Germany’s and Italy’s gas-fired power generation has increased 54% and 37%, respectively, in 2019 to date. Global LNG demand for 2019 is estimated at 351 mt, an increase of over 37 mt, or 12%, over 2018, according to Wood Mackenzie.</w:t>
      </w:r>
    </w:p>
    <w:p>
      <w:pPr>
        <w:sectPr>
          <w:pgSz w:w="12240" w:h="15840" w:orient="portrait"/>
          <w:cols w:equalWidth="0" w:num="1">
            <w:col w:w="12006"/>
          </w:cols>
          <w:pgMar w:left="114" w:top="0" w:right="120" w:bottom="1440" w:gutter="0" w:footer="0" w:header="0"/>
        </w:sectPr>
      </w:pPr>
    </w:p>
    <w:p>
      <w:pPr>
        <w:spacing w:after="0" w:line="182" w:lineRule="exact"/>
        <w:rPr>
          <w:sz w:val="20"/>
          <w:szCs w:val="20"/>
          <w:color w:val="auto"/>
        </w:rPr>
      </w:pPr>
    </w:p>
    <w:p>
      <w:pPr>
        <w:jc w:val="center"/>
        <w:ind w:right="-5"/>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80010</wp:posOffset>
            </wp:positionV>
            <wp:extent cx="764667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type w:val="continuous"/>
        </w:sectPr>
      </w:pPr>
    </w:p>
    <w:bookmarkStart w:id="4" w:name="page5"/>
    <w:bookmarkEnd w:id="4"/>
    <w:p>
      <w:pPr>
        <w:ind w:right="240"/>
        <w:spacing w:after="0" w:line="312" w:lineRule="auto"/>
        <w:rPr>
          <w:sz w:val="20"/>
          <w:szCs w:val="20"/>
          <w:color w:val="auto"/>
        </w:rPr>
      </w:pPr>
      <w:r>
        <w:rPr>
          <w:rFonts w:ascii="Arial" w:cs="Arial" w:eastAsia="Arial" w:hAnsi="Arial"/>
          <w:sz w:val="15"/>
          <w:szCs w:val="15"/>
          <w:color w:val="auto"/>
        </w:rPr>
        <w:t>Global LNG supply totaled 87 mt in the second quarter of 2019, an increase of 13 mt or 17% over the second quarter of 2018, principally driven by new supply additions in the U.S., Australia and Russia, according to Poten. Wood Mackenzie estimates that 2019 supply will be 365 mt, or 38 mt (12%), higher year-on-year as 2018’s supply additions continue to ramp up production and new projects begin production in the U.S. and Australia. The second quarter also saw significant additions to future supply growth as Cheniere reached a final investment decision (“FID”) on Sabine Pass Train 6 while Anadarko Petroleum took FID on Mozambique LNG (Area 1), in aggregate representing 17 mt of new liquefaction capacity according to Wood Mackenzie. In 2019, nearly 34 mt of new liquefaction capacity has reached FID to date.</w:t>
      </w:r>
    </w:p>
    <w:p>
      <w:pPr>
        <w:spacing w:after="0" w:line="17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Headline spot rates for tri-fuel diesel electric (“TFDE”) LNG carriers (“LNGCs”) averaged approximately $49,000 per day in the second quarter of 2019, compared to $58,000 per day in the second quarter of 2018, as reported by Clarksons. The year-over-year decline in headline TFDE spot rates is primarily attributed to the low global natural gas prices referenced above, which limited opportunities for inter-basin LNG trading, start-up delays of new liquefaction projects, particularly in the U.S., as well as fleet growth. Despite these headwinds, 18 charters greater than 6 months in duration were fixed during the second quarter of 2019, compared with 20 in the first quarter and 24 in the second quarter of 2018. Poten currently estimates the one-year time charter rate for TFDE LNGCs at $85,000 per day as compared with their headline spot rates of $60,000 per day, which may indicate a potentially tightening shipping market in the quarters ahead as customers look to secure their shipping ahead of the seasonally strong winter months and through 2020.</w:t>
      </w: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expect multi-month and multi-year chartering activity and shipping rates to increase from current levels during the second half of 2019 and into 2020, with the magnitude and duration dependent on the pace and location of demand growth, the continued ramp-up in new LNG supply additions and cooling and heating demand during the Northern Hemisphere summer and winter, respectively. In 2021 and beyond, we continue to see a balanced market for LNG shipping relative to supply and demand for the LNG commodity.</w:t>
      </w:r>
    </w:p>
    <w:p>
      <w:pPr>
        <w:spacing w:after="0" w:line="201" w:lineRule="exact"/>
        <w:rPr>
          <w:sz w:val="20"/>
          <w:szCs w:val="20"/>
          <w:color w:val="auto"/>
        </w:rPr>
      </w:pPr>
    </w:p>
    <w:p>
      <w:pPr>
        <w:ind w:right="160"/>
        <w:spacing w:after="0" w:line="328" w:lineRule="auto"/>
        <w:rPr>
          <w:sz w:val="20"/>
          <w:szCs w:val="20"/>
          <w:color w:val="auto"/>
        </w:rPr>
      </w:pPr>
      <w:r>
        <w:rPr>
          <w:rFonts w:ascii="Arial" w:cs="Arial" w:eastAsia="Arial" w:hAnsi="Arial"/>
          <w:sz w:val="15"/>
          <w:szCs w:val="15"/>
          <w:color w:val="auto"/>
        </w:rPr>
        <w:t>As of July 11, 2019, the LNG fleet and orderbook (excluding floating storage and regasification units (“FSRUs”) and vessels with capacity below 100,000 cbm) stood at 498 and 109 vessels respectively, as estimated by Poten. Of the LNGCs in the orderbook, 63, or 58%, are chartered on multi-year contracts. There have been 25 vessels ordered thus far in 2019, including nine during the second quarter, and against a total of 63 for all of 2018, suggesting the pace of newbuild ordering has declined.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Cool Pool Exit</w:t>
      </w:r>
    </w:p>
    <w:p>
      <w:pPr>
        <w:spacing w:after="0" w:line="253" w:lineRule="exact"/>
        <w:rPr>
          <w:sz w:val="20"/>
          <w:szCs w:val="20"/>
          <w:color w:val="auto"/>
        </w:rPr>
      </w:pPr>
    </w:p>
    <w:p>
      <w:pPr>
        <w:jc w:val="both"/>
        <w:ind w:right="280"/>
        <w:spacing w:after="0" w:line="275" w:lineRule="auto"/>
        <w:rPr>
          <w:sz w:val="20"/>
          <w:szCs w:val="20"/>
          <w:color w:val="auto"/>
        </w:rPr>
      </w:pPr>
      <w:r>
        <w:rPr>
          <w:rFonts w:ascii="Arial" w:cs="Arial" w:eastAsia="Arial" w:hAnsi="Arial"/>
          <w:sz w:val="17"/>
          <w:szCs w:val="17"/>
          <w:color w:val="auto"/>
        </w:rPr>
        <w:t>On June 6, 2019, GasLog entered into a termination agreement with the Cool Pool and Golar LNG Ltd. (“Golar”), whereby GasLog assumed commercial control of its six vessels operating in the LNG carrier spot market through the Cool Pool. As of June 30, 2019, four of the GasLog vessels had exited the Cool Pool while the remaining two vessels were withdrawn in July 2019.</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 xml:space="preserve">Financing and Delivery of the </w:t>
      </w:r>
      <w:r>
        <w:rPr>
          <w:rFonts w:ascii="Arial" w:cs="Arial" w:eastAsia="Arial" w:hAnsi="Arial"/>
          <w:sz w:val="17"/>
          <w:szCs w:val="17"/>
          <w:b w:val="1"/>
          <w:bCs w:val="1"/>
          <w:i w:val="1"/>
          <w:iCs w:val="1"/>
          <w:u w:val="single" w:color="auto"/>
          <w:color w:val="auto"/>
        </w:rPr>
        <w:t>GasLog Warsaw</w:t>
      </w:r>
    </w:p>
    <w:p>
      <w:pPr>
        <w:spacing w:after="0" w:line="15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 xml:space="preserve">On June 25, 2019, GasLog entered into a loan agreement with ABN AMRO BANK N.V. and Oversea-Chinese Banking Corporation Limited for the financing of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Warsaw</w:t>
      </w:r>
      <w:r>
        <w:rPr>
          <w:rFonts w:ascii="Arial" w:cs="Arial" w:eastAsia="Arial" w:hAnsi="Arial"/>
          <w:sz w:val="15"/>
          <w:szCs w:val="15"/>
          <w:color w:val="auto"/>
        </w:rPr>
        <w:t>, a 180,000 cbm Mark III Flex Plus carrier with X-DF propulsion constructed by Samsung Heavy Industries Co., Ltd. (“Samsung”). The agreement provides for a</w:t>
      </w:r>
      <w:r>
        <w:rPr>
          <w:rFonts w:ascii="Arial" w:cs="Arial" w:eastAsia="Arial" w:hAnsi="Arial"/>
          <w:sz w:val="15"/>
          <w:szCs w:val="15"/>
          <w:i w:val="1"/>
          <w:iCs w:val="1"/>
          <w:color w:val="auto"/>
        </w:rPr>
        <w:t xml:space="preserve"> </w:t>
      </w:r>
      <w:r>
        <w:rPr>
          <w:rFonts w:ascii="Arial" w:cs="Arial" w:eastAsia="Arial" w:hAnsi="Arial"/>
          <w:sz w:val="15"/>
          <w:szCs w:val="15"/>
          <w:color w:val="auto"/>
        </w:rPr>
        <w:t>single tranche of $129.5 million that was drawn on July 25, 2019 and is repayable in 28 equal quarterly installments of $1.6 million each and a final balloon payment of $84.2 million payable concurrently with the last quarterly installment in June 2026. The loan bears interest at the London Interbank Offered Rate (“LIBOR”) plus a margin.</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 xml:space="preserve">On July 31, 2019, GasLog took delivery of the </w:t>
      </w:r>
      <w:r>
        <w:rPr>
          <w:rFonts w:ascii="Arial" w:cs="Arial" w:eastAsia="Arial" w:hAnsi="Arial"/>
          <w:sz w:val="17"/>
          <w:szCs w:val="17"/>
          <w:i w:val="1"/>
          <w:iCs w:val="1"/>
          <w:color w:val="auto"/>
        </w:rPr>
        <w:t>GasLog Warsaw</w:t>
      </w:r>
      <w:r>
        <w:rPr>
          <w:rFonts w:ascii="Arial" w:cs="Arial" w:eastAsia="Arial" w:hAnsi="Arial"/>
          <w:sz w:val="17"/>
          <w:szCs w:val="17"/>
          <w:color w:val="auto"/>
        </w:rPr>
        <w:t>. Upon delivery, the vessel immediately commenced a time charter with Cheniere until May 2021, when the vessel is contracted to commence an eight-year time charter with Endesa.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Bond Issuance</w:t>
      </w:r>
    </w:p>
    <w:p>
      <w:pPr>
        <w:spacing w:after="0" w:line="153"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May 16, 2019, GasLog closed a follow-on issue of $75.0 million aggregate principal amount of the 8.875% Senior Notes priced at 102.5% of par with a yield to maturity of 7.89%. The gross proceeds from this offering were $76.9 million, including a $1.9 million premium, while the net proceeds, after deducting the underwriting discount and offering expenses, were $75.4 million. GasLog plans to use these proceeds to partially fund its committed newbuild program and for general corporate purposes, including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Amendment of the Partnership Agreement</w:t>
      </w:r>
    </w:p>
    <w:p>
      <w:pPr>
        <w:spacing w:after="0" w:line="253"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On June 24, 2019, the Partnership Agreement was amended to eliminate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allocation of GasLog’s profit to non-controlling interests is based on the revised distribution policy for available cash stated in the Partnership Agreement as amended, effective June 30, 2019, and under which 98.0% of the available cash is distributed to the common unitholders and 2.0% is distributed to the general partner.</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Charter Agreements</w:t>
      </w:r>
    </w:p>
    <w:p>
      <w:pPr>
        <w:spacing w:after="0" w:line="253"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 xml:space="preserve">As announced on June 14, 2019, GasLog Partners entered into a three-and-a-half-year time charter agreement with Gunvor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charter commenced on June 24, 2019 and has a variable rate of hire within an agreed range during the charter period. In addition, GasLog has entered into a time charter agreement for a period of up to nine months with Gunvor for the </w:t>
      </w:r>
      <w:r>
        <w:rPr>
          <w:rFonts w:ascii="Arial" w:cs="Arial" w:eastAsia="Arial" w:hAnsi="Arial"/>
          <w:sz w:val="17"/>
          <w:szCs w:val="17"/>
          <w:i w:val="1"/>
          <w:iCs w:val="1"/>
          <w:color w:val="auto"/>
        </w:rPr>
        <w:t>GasLog Salem</w:t>
      </w:r>
      <w:r>
        <w:rPr>
          <w:rFonts w:ascii="Arial" w:cs="Arial" w:eastAsia="Arial" w:hAnsi="Arial"/>
          <w:sz w:val="17"/>
          <w:szCs w:val="17"/>
          <w:color w:val="auto"/>
        </w:rPr>
        <w:t>. The charter commenced on June 27, 2019 and also has a variable rate of hire within an agreed range during the charter period.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8" w:right="120" w:bottom="1440" w:gutter="0" w:footer="0" w:header="0"/>
        </w:sectPr>
      </w:pPr>
    </w:p>
    <w:bookmarkStart w:id="5" w:name="page6"/>
    <w:bookmarkEnd w:id="5"/>
    <w:p>
      <w:pPr>
        <w:ind w:left="6"/>
        <w:spacing w:after="0"/>
        <w:rPr>
          <w:sz w:val="20"/>
          <w:szCs w:val="20"/>
          <w:color w:val="auto"/>
        </w:rPr>
      </w:pPr>
      <w:r>
        <w:rPr>
          <w:rFonts w:ascii="Arial" w:cs="Arial" w:eastAsia="Arial" w:hAnsi="Arial"/>
          <w:sz w:val="17"/>
          <w:szCs w:val="17"/>
          <w:b w:val="1"/>
          <w:bCs w:val="1"/>
          <w:u w:val="single" w:color="auto"/>
          <w:color w:val="auto"/>
        </w:rPr>
        <w:t xml:space="preserve">Completion of the Sale of the </w:t>
      </w:r>
      <w:r>
        <w:rPr>
          <w:rFonts w:ascii="Arial" w:cs="Arial" w:eastAsia="Arial" w:hAnsi="Arial"/>
          <w:sz w:val="17"/>
          <w:szCs w:val="17"/>
          <w:b w:val="1"/>
          <w:bCs w:val="1"/>
          <w:i w:val="1"/>
          <w:iCs w:val="1"/>
          <w:u w:val="single" w:color="auto"/>
          <w:color w:val="auto"/>
        </w:rPr>
        <w:t>GasLog Glasgow</w:t>
      </w:r>
    </w:p>
    <w:p>
      <w:pPr>
        <w:spacing w:after="0" w:line="253" w:lineRule="exact"/>
        <w:rPr>
          <w:sz w:val="20"/>
          <w:szCs w:val="20"/>
          <w:color w:val="auto"/>
        </w:rPr>
      </w:pPr>
    </w:p>
    <w:p>
      <w:pPr>
        <w:ind w:left="6"/>
        <w:spacing w:after="0" w:line="288" w:lineRule="auto"/>
        <w:rPr>
          <w:sz w:val="20"/>
          <w:szCs w:val="20"/>
          <w:color w:val="auto"/>
        </w:rPr>
      </w:pPr>
      <w:r>
        <w:rPr>
          <w:rFonts w:ascii="Arial" w:cs="Arial" w:eastAsia="Arial" w:hAnsi="Arial"/>
          <w:sz w:val="17"/>
          <w:szCs w:val="17"/>
          <w:color w:val="auto"/>
        </w:rPr>
        <w:t xml:space="preserve">On April 1, 2019, GasLog completed the sale of 100% of the ownership interest in GAS-twelve Ltd., the entity that owns the </w:t>
      </w:r>
      <w:r>
        <w:rPr>
          <w:rFonts w:ascii="Arial" w:cs="Arial" w:eastAsia="Arial" w:hAnsi="Arial"/>
          <w:sz w:val="17"/>
          <w:szCs w:val="17"/>
          <w:i w:val="1"/>
          <w:iCs w:val="1"/>
          <w:color w:val="auto"/>
        </w:rPr>
        <w:t>GasLog Glasgow</w:t>
      </w:r>
      <w:r>
        <w:rPr>
          <w:rFonts w:ascii="Arial" w:cs="Arial" w:eastAsia="Arial" w:hAnsi="Arial"/>
          <w:sz w:val="17"/>
          <w:szCs w:val="17"/>
          <w:color w:val="auto"/>
        </w:rPr>
        <w:t>, to GasLog Partners for an aggregate purchase price of $214.0 million, which includes $1.0 million for positive net working capital.</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Dividend Declaration</w:t>
      </w:r>
    </w:p>
    <w:p>
      <w:pPr>
        <w:spacing w:after="0" w:line="253" w:lineRule="exact"/>
        <w:rPr>
          <w:sz w:val="20"/>
          <w:szCs w:val="20"/>
          <w:color w:val="auto"/>
        </w:rPr>
      </w:pPr>
    </w:p>
    <w:p>
      <w:pPr>
        <w:ind w:left="6" w:right="300"/>
        <w:spacing w:after="0" w:line="288" w:lineRule="auto"/>
        <w:rPr>
          <w:sz w:val="20"/>
          <w:szCs w:val="20"/>
          <w:color w:val="auto"/>
        </w:rPr>
      </w:pPr>
      <w:r>
        <w:rPr>
          <w:rFonts w:ascii="Arial" w:cs="Arial" w:eastAsia="Arial" w:hAnsi="Arial"/>
          <w:sz w:val="17"/>
          <w:szCs w:val="17"/>
          <w:color w:val="auto"/>
        </w:rPr>
        <w:t>On May 10, 2019, the board of directors declared a dividend on the Series A Preference Shares of $0.546875 per share, or $2.5 million in the aggregate, payable on July 1, 2019 to holders of record as of June 28, 2019. GasLog paid the declared dividend to the transfer agent on June 28, 2019.</w:t>
      </w:r>
    </w:p>
    <w:p>
      <w:pPr>
        <w:spacing w:after="0" w:line="187" w:lineRule="exact"/>
        <w:rPr>
          <w:sz w:val="20"/>
          <w:szCs w:val="20"/>
          <w:color w:val="auto"/>
        </w:rPr>
      </w:pPr>
    </w:p>
    <w:p>
      <w:pPr>
        <w:ind w:left="6" w:right="440"/>
        <w:spacing w:after="0" w:line="288" w:lineRule="auto"/>
        <w:rPr>
          <w:sz w:val="20"/>
          <w:szCs w:val="20"/>
          <w:color w:val="auto"/>
        </w:rPr>
      </w:pPr>
      <w:r>
        <w:rPr>
          <w:rFonts w:ascii="Arial" w:cs="Arial" w:eastAsia="Arial" w:hAnsi="Arial"/>
          <w:sz w:val="17"/>
          <w:szCs w:val="17"/>
          <w:color w:val="auto"/>
        </w:rPr>
        <w:t>On July 31, 2019, the board of directors declared a quarterly cash dividend of $0.15 per common share, or $12.1 million in the aggregate, payable on August 22, 2019 to shareholders of record as of August 12, 2019.</w:t>
      </w:r>
    </w:p>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195"/>
        </w:trPr>
        <w:tc>
          <w:tcPr>
            <w:tcW w:w="8480" w:type="dxa"/>
            <w:vAlign w:val="bottom"/>
            <w:gridSpan w:val="2"/>
          </w:tcPr>
          <w:p>
            <w:pPr>
              <w:spacing w:after="0"/>
              <w:rPr>
                <w:sz w:val="20"/>
                <w:szCs w:val="20"/>
                <w:color w:val="auto"/>
              </w:rPr>
            </w:pPr>
            <w:r>
              <w:rPr>
                <w:rFonts w:ascii="Arial" w:cs="Arial" w:eastAsia="Arial" w:hAnsi="Arial"/>
                <w:sz w:val="17"/>
                <w:szCs w:val="17"/>
                <w:b w:val="1"/>
                <w:bCs w:val="1"/>
                <w:color w:val="auto"/>
              </w:rPr>
              <w:t>Financial Summary</w:t>
            </w: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60" w:type="dxa"/>
            <w:vAlign w:val="bottom"/>
            <w:gridSpan w:val="5"/>
            <w:vMerge w:val="restart"/>
          </w:tcPr>
          <w:p>
            <w:pPr>
              <w:ind w:left="200"/>
              <w:spacing w:after="0"/>
              <w:rPr>
                <w:sz w:val="20"/>
                <w:szCs w:val="20"/>
                <w:color w:val="auto"/>
              </w:rPr>
            </w:pPr>
            <w:r>
              <w:rPr>
                <w:rFonts w:ascii="Arial" w:cs="Arial" w:eastAsia="Arial" w:hAnsi="Arial"/>
                <w:sz w:val="17"/>
                <w:szCs w:val="17"/>
                <w:b w:val="1"/>
                <w:bCs w:val="1"/>
                <w:color w:val="auto"/>
              </w:rPr>
              <w:t>For the three months ended</w:t>
            </w:r>
          </w:p>
        </w:tc>
        <w:tc>
          <w:tcPr>
            <w:tcW w:w="0" w:type="dxa"/>
            <w:vAlign w:val="bottom"/>
          </w:tcPr>
          <w:p>
            <w:pPr>
              <w:spacing w:after="0" w:line="20" w:lineRule="exact"/>
              <w:rPr>
                <w:sz w:val="1"/>
                <w:szCs w:val="1"/>
                <w:color w:val="auto"/>
              </w:rPr>
            </w:pPr>
          </w:p>
        </w:tc>
      </w:tr>
      <w:tr>
        <w:trPr>
          <w:trHeight w:val="449"/>
        </w:trPr>
        <w:tc>
          <w:tcPr>
            <w:tcW w:w="84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In thousands of U.S. dollars except per share data</w:t>
            </w:r>
          </w:p>
        </w:tc>
        <w:tc>
          <w:tcPr>
            <w:tcW w:w="500" w:type="dxa"/>
            <w:vAlign w:val="bottom"/>
          </w:tcPr>
          <w:p>
            <w:pPr>
              <w:spacing w:after="0"/>
              <w:rPr>
                <w:sz w:val="24"/>
                <w:szCs w:val="24"/>
                <w:color w:val="auto"/>
              </w:rPr>
            </w:pPr>
          </w:p>
        </w:tc>
        <w:tc>
          <w:tcPr>
            <w:tcW w:w="296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860" w:type="dxa"/>
            <w:vAlign w:val="bottom"/>
            <w:gridSpan w:val="3"/>
          </w:tcPr>
          <w:p>
            <w:pPr>
              <w:jc w:val="right"/>
              <w:ind w:right="580"/>
              <w:spacing w:after="0"/>
              <w:rPr>
                <w:sz w:val="20"/>
                <w:szCs w:val="20"/>
                <w:color w:val="auto"/>
              </w:rPr>
            </w:pPr>
            <w:r>
              <w:rPr>
                <w:rFonts w:ascii="Arial" w:cs="Arial" w:eastAsia="Arial" w:hAnsi="Arial"/>
                <w:sz w:val="17"/>
                <w:szCs w:val="17"/>
                <w:b w:val="1"/>
                <w:bCs w:val="1"/>
                <w:color w:val="auto"/>
              </w:rPr>
              <w:t>June 30, 2018</w:t>
            </w:r>
          </w:p>
        </w:tc>
        <w:tc>
          <w:tcPr>
            <w:tcW w:w="26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7"/>
                <w:szCs w:val="17"/>
                <w:b w:val="1"/>
                <w:bCs w:val="1"/>
                <w:color w:val="auto"/>
              </w:rPr>
              <w:t>June 30, 2019</w:t>
            </w:r>
          </w:p>
        </w:tc>
        <w:tc>
          <w:tcPr>
            <w:tcW w:w="0" w:type="dxa"/>
            <w:vAlign w:val="bottom"/>
          </w:tcPr>
          <w:p>
            <w:pPr>
              <w:spacing w:after="0"/>
              <w:rPr>
                <w:sz w:val="1"/>
                <w:szCs w:val="1"/>
                <w:color w:val="auto"/>
              </w:rPr>
            </w:pPr>
          </w:p>
        </w:tc>
      </w:tr>
      <w:tr>
        <w:trPr>
          <w:trHeight w:val="212"/>
        </w:trPr>
        <w:tc>
          <w:tcPr>
            <w:tcW w:w="848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7"/>
                <w:szCs w:val="17"/>
                <w:color w:val="auto"/>
              </w:rPr>
              <w:t>Revenues</w:t>
            </w:r>
          </w:p>
        </w:tc>
        <w:tc>
          <w:tcPr>
            <w:tcW w:w="500" w:type="dxa"/>
            <w:vAlign w:val="bottom"/>
            <w:tcBorders>
              <w:top w:val="single" w:sz="8" w:color="auto"/>
            </w:tcBorders>
            <w:shd w:val="clear" w:color="auto" w:fill="E5FFFF"/>
          </w:tcPr>
          <w:p>
            <w:pPr>
              <w:jc w:val="right"/>
              <w:ind w:right="94"/>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132,824</w:t>
            </w:r>
          </w:p>
        </w:tc>
        <w:tc>
          <w:tcPr>
            <w:tcW w:w="30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154,251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tcPr>
          <w:p>
            <w:pPr>
              <w:spacing w:after="0"/>
              <w:rPr>
                <w:sz w:val="20"/>
                <w:szCs w:val="20"/>
                <w:color w:val="auto"/>
              </w:rPr>
            </w:pPr>
            <w:r>
              <w:rPr>
                <w:rFonts w:ascii="Arial" w:cs="Arial" w:eastAsia="Arial" w:hAnsi="Arial"/>
                <w:sz w:val="17"/>
                <w:szCs w:val="17"/>
                <w:color w:val="auto"/>
              </w:rPr>
              <w:t>Profit/(loss) for the period</w:t>
            </w: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14,212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shd w:val="clear" w:color="auto" w:fill="E5FFFF"/>
          </w:tcPr>
          <w:p>
            <w:pPr>
              <w:spacing w:after="0" w:line="213" w:lineRule="exact"/>
              <w:rPr>
                <w:sz w:val="20"/>
                <w:szCs w:val="20"/>
                <w:color w:val="auto"/>
              </w:rPr>
            </w:pPr>
            <w:r>
              <w:rPr>
                <w:rFonts w:ascii="Arial" w:cs="Arial" w:eastAsia="Arial" w:hAnsi="Arial"/>
                <w:sz w:val="17"/>
                <w:szCs w:val="17"/>
                <w:color w:val="auto"/>
              </w:rPr>
              <w:t>Adjusted Profit</w:t>
            </w:r>
            <w:r>
              <w:rPr>
                <w:rFonts w:ascii="Arial" w:cs="Arial" w:eastAsia="Arial" w:hAnsi="Arial"/>
                <w:sz w:val="22"/>
                <w:szCs w:val="22"/>
                <w:color w:val="auto"/>
                <w:vertAlign w:val="superscript"/>
              </w:rPr>
              <w:t>(1)</w:t>
            </w:r>
          </w:p>
        </w:tc>
        <w:tc>
          <w:tcPr>
            <w:tcW w:w="50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14,788</w:t>
            </w:r>
          </w:p>
        </w:tc>
        <w:tc>
          <w:tcPr>
            <w:tcW w:w="2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20,485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tcPr>
          <w:p>
            <w:pPr>
              <w:spacing w:after="0" w:line="213" w:lineRule="exact"/>
              <w:rPr>
                <w:sz w:val="20"/>
                <w:szCs w:val="20"/>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(1)</w:t>
            </w: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300"/>
              <w:spacing w:after="0"/>
              <w:rPr>
                <w:sz w:val="20"/>
                <w:szCs w:val="20"/>
                <w:color w:val="auto"/>
              </w:rPr>
            </w:pPr>
            <w:r>
              <w:rPr>
                <w:rFonts w:ascii="Arial" w:cs="Arial" w:eastAsia="Arial" w:hAnsi="Arial"/>
                <w:sz w:val="17"/>
                <w:szCs w:val="17"/>
                <w:color w:val="auto"/>
              </w:rPr>
              <w:t>92,564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106,825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shd w:val="clear" w:color="auto" w:fill="E5FFFF"/>
          </w:tcPr>
          <w:p>
            <w:pPr>
              <w:spacing w:after="0" w:line="213"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50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92,947</w:t>
            </w:r>
          </w:p>
        </w:tc>
        <w:tc>
          <w:tcPr>
            <w:tcW w:w="2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107,043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tcPr>
          <w:p>
            <w:pPr>
              <w:spacing w:after="0"/>
              <w:rPr>
                <w:sz w:val="20"/>
                <w:szCs w:val="20"/>
                <w:color w:val="auto"/>
              </w:rPr>
            </w:pPr>
            <w:r>
              <w:rPr>
                <w:rFonts w:ascii="Arial" w:cs="Arial" w:eastAsia="Arial" w:hAnsi="Arial"/>
                <w:sz w:val="17"/>
                <w:szCs w:val="17"/>
                <w:color w:val="auto"/>
              </w:rPr>
              <w:t>Loss attributable to the owners of GasLog</w:t>
            </w: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(3,620)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8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EPS, basic</w:t>
            </w:r>
          </w:p>
        </w:tc>
        <w:tc>
          <w:tcPr>
            <w:tcW w:w="50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(0.08)</w:t>
            </w:r>
          </w:p>
        </w:tc>
        <w:tc>
          <w:tcPr>
            <w:tcW w:w="2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8480" w:type="dxa"/>
            <w:vAlign w:val="bottom"/>
            <w:gridSpan w:val="2"/>
          </w:tcPr>
          <w:p>
            <w:pPr>
              <w:spacing w:after="0"/>
              <w:rPr>
                <w:sz w:val="20"/>
                <w:szCs w:val="20"/>
                <w:color w:val="auto"/>
              </w:rPr>
            </w:pPr>
            <w:r>
              <w:rPr>
                <w:rFonts w:ascii="Arial" w:cs="Arial" w:eastAsia="Arial" w:hAnsi="Arial"/>
                <w:sz w:val="17"/>
                <w:szCs w:val="17"/>
                <w:color w:val="auto"/>
              </w:rPr>
              <w:t>Adjusted EPS</w:t>
            </w:r>
            <w:r>
              <w:rPr>
                <w:rFonts w:ascii="Arial" w:cs="Arial" w:eastAsia="Arial" w:hAnsi="Arial"/>
                <w:sz w:val="22"/>
                <w:szCs w:val="22"/>
                <w:color w:val="auto"/>
                <w:vertAlign w:val="superscript"/>
              </w:rPr>
              <w:t>(1)</w:t>
            </w: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7"/>
                <w:szCs w:val="17"/>
                <w:color w:val="auto"/>
              </w:rPr>
              <w:t>(0.07)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left="126" w:right="80" w:hanging="126"/>
        <w:spacing w:after="0" w:line="234" w:lineRule="auto"/>
        <w:tabs>
          <w:tab w:leader="none" w:pos="162" w:val="left"/>
        </w:tabs>
        <w:numPr>
          <w:ilvl w:val="0"/>
          <w:numId w:val="3"/>
        </w:numPr>
        <w:rPr>
          <w:rFonts w:ascii="Arial" w:cs="Arial" w:eastAsia="Arial" w:hAnsi="Arial"/>
          <w:sz w:val="19"/>
          <w:szCs w:val="19"/>
          <w:color w:val="auto"/>
          <w:vertAlign w:val="superscript"/>
        </w:rPr>
      </w:pPr>
      <w:r>
        <w:rPr>
          <w:rFonts w:ascii="Arial" w:cs="Arial" w:eastAsia="Arial" w:hAnsi="Arial"/>
          <w:sz w:val="13"/>
          <w:szCs w:val="13"/>
          <w:color w:val="auto"/>
        </w:rPr>
        <w:t>EBITDA, Adjusted EBITDA, Adjusted Profit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204" w:lineRule="exact"/>
        <w:rPr>
          <w:sz w:val="20"/>
          <w:szCs w:val="20"/>
          <w:color w:val="auto"/>
        </w:rPr>
      </w:pPr>
    </w:p>
    <w:p>
      <w:pPr>
        <w:jc w:val="both"/>
        <w:ind w:left="6" w:right="40"/>
        <w:spacing w:after="0" w:line="275" w:lineRule="auto"/>
        <w:rPr>
          <w:sz w:val="20"/>
          <w:szCs w:val="20"/>
          <w:color w:val="auto"/>
        </w:rPr>
      </w:pPr>
      <w:r>
        <w:rPr>
          <w:rFonts w:ascii="Arial" w:cs="Arial" w:eastAsia="Arial" w:hAnsi="Arial"/>
          <w:sz w:val="17"/>
          <w:szCs w:val="17"/>
          <w:color w:val="auto"/>
        </w:rPr>
        <w:t xml:space="preserve">There were 2,409 operating days for the quarter ended June 30, 2019, as compared to 2,249 operating days for the quarter ended June 30, 2018. The increase in operating days resulted mainly from the delivery of the </w:t>
      </w:r>
      <w:r>
        <w:rPr>
          <w:rFonts w:ascii="Arial" w:cs="Arial" w:eastAsia="Arial" w:hAnsi="Arial"/>
          <w:sz w:val="17"/>
          <w:szCs w:val="17"/>
          <w:i w:val="1"/>
          <w:iCs w:val="1"/>
          <w:color w:val="auto"/>
        </w:rPr>
        <w:t>GasLog Gladstone</w:t>
      </w:r>
      <w:r>
        <w:rPr>
          <w:rFonts w:ascii="Arial" w:cs="Arial" w:eastAsia="Arial" w:hAnsi="Arial"/>
          <w:sz w:val="17"/>
          <w:szCs w:val="17"/>
          <w:color w:val="auto"/>
        </w:rPr>
        <w:t xml:space="preserve"> on March 15, 2019, the operation for the full quarter of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and the decreased drydocking days as compared to the respective period in 2018.</w:t>
      </w:r>
    </w:p>
    <w:p>
      <w:pPr>
        <w:spacing w:after="0" w:line="198" w:lineRule="exact"/>
        <w:rPr>
          <w:sz w:val="20"/>
          <w:szCs w:val="20"/>
          <w:color w:val="auto"/>
        </w:rPr>
      </w:pPr>
    </w:p>
    <w:p>
      <w:pPr>
        <w:ind w:left="6" w:right="80"/>
        <w:spacing w:after="0" w:line="318" w:lineRule="auto"/>
        <w:rPr>
          <w:sz w:val="20"/>
          <w:szCs w:val="20"/>
          <w:color w:val="auto"/>
        </w:rPr>
      </w:pPr>
      <w:r>
        <w:rPr>
          <w:rFonts w:ascii="Arial" w:cs="Arial" w:eastAsia="Arial" w:hAnsi="Arial"/>
          <w:sz w:val="15"/>
          <w:szCs w:val="15"/>
          <w:color w:val="auto"/>
        </w:rPr>
        <w:t xml:space="preserve">Revenues were $154.3 million for the quarter ended June 30, 2019 ($132.8 million for the quarter ended June 30, 2018). The increase was mainly driven by the operation for the full quarter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in the quarter ended June 30, 2019 and the delivery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on March 15, 2019. Revenues from vessels operating in the spot market also increased due to their increased number and utilization and to the higher day rates achieved, combined with decreased off-hire days due to scheduled dry-dockings. The impact of these factors was partially offset by the expiration of the initial time charters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w:t>
      </w:r>
    </w:p>
    <w:p>
      <w:pPr>
        <w:spacing w:after="0" w:line="170" w:lineRule="exact"/>
        <w:rPr>
          <w:sz w:val="20"/>
          <w:szCs w:val="20"/>
          <w:color w:val="auto"/>
        </w:rPr>
      </w:pPr>
    </w:p>
    <w:p>
      <w:pPr>
        <w:ind w:left="6" w:right="140"/>
        <w:spacing w:after="0" w:line="287" w:lineRule="auto"/>
        <w:rPr>
          <w:sz w:val="20"/>
          <w:szCs w:val="20"/>
          <w:color w:val="auto"/>
        </w:rPr>
      </w:pPr>
      <w:r>
        <w:rPr>
          <w:rFonts w:ascii="Arial" w:cs="Arial" w:eastAsia="Arial" w:hAnsi="Arial"/>
          <w:sz w:val="16"/>
          <w:szCs w:val="16"/>
          <w:color w:val="auto"/>
        </w:rPr>
        <w:t>GasLog recognized gross revenues and gross voyage expenses and commissions of $12.8 million and $3.4 million, respectively, from the operation of its vessels in the Cool Pool during the quarter ended June 30, 2019 ($5.0 million and $2.2 million for the quarter ended June 30, 2018, respectively). Net pool allocation was a positive $2.7 million for the quarter ended June 30, 2019 (positive $7.0 million for the quarter ended June 30, 2018). The variances were attributable to the movement in the adjustment of the net pool results generated by the GasLog vessels in accordance with the pool distribution formula for the total fleet of the pool. The increase in GasLog’s total net pool performance during the quarter ended June 30, 2019 compared to the quarter ended June 30, 2018 was driven mainly by the increase in the number of GasLog vessels operating in the Cool Pool. GasLog’s total net pool performance is presented below:</w:t>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8660" w:type="dxa"/>
            <w:vAlign w:val="bottom"/>
          </w:tcPr>
          <w:p>
            <w:pPr>
              <w:spacing w:after="0"/>
              <w:rPr>
                <w:sz w:val="19"/>
                <w:szCs w:val="19"/>
                <w:color w:val="auto"/>
              </w:rPr>
            </w:pPr>
          </w:p>
        </w:tc>
        <w:tc>
          <w:tcPr>
            <w:tcW w:w="2860" w:type="dxa"/>
            <w:vAlign w:val="bottom"/>
            <w:gridSpan w:val="4"/>
          </w:tcPr>
          <w:p>
            <w:pPr>
              <w:ind w:left="360"/>
              <w:spacing w:after="0"/>
              <w:rPr>
                <w:sz w:val="20"/>
                <w:szCs w:val="20"/>
                <w:color w:val="auto"/>
              </w:rPr>
            </w:pPr>
            <w:r>
              <w:rPr>
                <w:rFonts w:ascii="Arial" w:cs="Arial" w:eastAsia="Arial" w:hAnsi="Arial"/>
                <w:sz w:val="17"/>
                <w:szCs w:val="17"/>
                <w:b w:val="1"/>
                <w:bCs w:val="1"/>
                <w:color w:val="auto"/>
              </w:rPr>
              <w:t>For the three months ended</w:t>
            </w:r>
          </w:p>
        </w:tc>
        <w:tc>
          <w:tcPr>
            <w:tcW w:w="0" w:type="dxa"/>
            <w:vAlign w:val="bottom"/>
          </w:tcPr>
          <w:p>
            <w:pPr>
              <w:spacing w:after="0"/>
              <w:rPr>
                <w:sz w:val="1"/>
                <w:szCs w:val="1"/>
                <w:color w:val="auto"/>
              </w:rPr>
            </w:pPr>
          </w:p>
        </w:tc>
      </w:tr>
      <w:tr>
        <w:trPr>
          <w:trHeight w:val="277"/>
        </w:trPr>
        <w:tc>
          <w:tcPr>
            <w:tcW w:w="866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17"/>
                <w:szCs w:val="17"/>
                <w:b w:val="1"/>
                <w:bCs w:val="1"/>
                <w:color w:val="auto"/>
              </w:rPr>
              <w:t>June 30,</w:t>
            </w:r>
          </w:p>
        </w:tc>
        <w:tc>
          <w:tcPr>
            <w:tcW w:w="1380" w:type="dxa"/>
            <w:vAlign w:val="bottom"/>
            <w:gridSpan w:val="2"/>
          </w:tcPr>
          <w:p>
            <w:pPr>
              <w:ind w:left="34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6"/>
        </w:trPr>
        <w:tc>
          <w:tcPr>
            <w:tcW w:w="866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Amounts in thousands of U.S. Dollars</w:t>
            </w: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2018</w:t>
            </w:r>
          </w:p>
        </w:tc>
        <w:tc>
          <w:tcPr>
            <w:tcW w:w="160" w:type="dxa"/>
            <w:vAlign w:val="bottom"/>
          </w:tcPr>
          <w:p>
            <w:pPr>
              <w:spacing w:after="0"/>
              <w:rPr>
                <w:sz w:val="19"/>
                <w:szCs w:val="19"/>
                <w:color w:val="auto"/>
              </w:rPr>
            </w:pPr>
          </w:p>
        </w:tc>
        <w:tc>
          <w:tcPr>
            <w:tcW w:w="12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66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660" w:type="dxa"/>
            <w:vAlign w:val="bottom"/>
            <w:shd w:val="clear" w:color="auto" w:fill="E5FFFF"/>
          </w:tcPr>
          <w:p>
            <w:pPr>
              <w:spacing w:after="0"/>
              <w:rPr>
                <w:sz w:val="20"/>
                <w:szCs w:val="20"/>
                <w:color w:val="auto"/>
              </w:rPr>
            </w:pPr>
            <w:r>
              <w:rPr>
                <w:rFonts w:ascii="Arial" w:cs="Arial" w:eastAsia="Arial" w:hAnsi="Arial"/>
                <w:sz w:val="17"/>
                <w:szCs w:val="17"/>
                <w:color w:val="auto"/>
              </w:rPr>
              <w:t>Pool gross revenues (included in Revenues)</w:t>
            </w:r>
          </w:p>
        </w:tc>
        <w:tc>
          <w:tcPr>
            <w:tcW w:w="13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5,047</w:t>
            </w:r>
          </w:p>
        </w:tc>
        <w:tc>
          <w:tcPr>
            <w:tcW w:w="160" w:type="dxa"/>
            <w:vAlign w:val="bottom"/>
            <w:shd w:val="clear" w:color="auto" w:fill="E5FFFF"/>
          </w:tcPr>
          <w:p>
            <w:pPr>
              <w:spacing w:after="0"/>
              <w:rPr>
                <w:sz w:val="19"/>
                <w:szCs w:val="19"/>
                <w:color w:val="auto"/>
              </w:rPr>
            </w:pPr>
          </w:p>
        </w:tc>
        <w:tc>
          <w:tcPr>
            <w:tcW w:w="12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12,776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60" w:type="dxa"/>
            <w:vAlign w:val="bottom"/>
          </w:tcPr>
          <w:p>
            <w:pPr>
              <w:spacing w:after="0"/>
              <w:rPr>
                <w:sz w:val="20"/>
                <w:szCs w:val="20"/>
                <w:color w:val="auto"/>
              </w:rPr>
            </w:pPr>
            <w:r>
              <w:rPr>
                <w:rFonts w:ascii="Arial" w:cs="Arial" w:eastAsia="Arial" w:hAnsi="Arial"/>
                <w:sz w:val="17"/>
                <w:szCs w:val="17"/>
                <w:color w:val="auto"/>
              </w:rPr>
              <w:t>Pool gross voyage expenses and commissions (included in Voyage expenses and commissions)</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(2,165)</w:t>
            </w:r>
          </w:p>
        </w:tc>
        <w:tc>
          <w:tcPr>
            <w:tcW w:w="1260" w:type="dxa"/>
            <w:vAlign w:val="bottom"/>
          </w:tcPr>
          <w:p>
            <w:pPr>
              <w:jc w:val="right"/>
              <w:spacing w:after="0"/>
              <w:rPr>
                <w:sz w:val="20"/>
                <w:szCs w:val="20"/>
                <w:color w:val="auto"/>
              </w:rPr>
            </w:pPr>
            <w:r>
              <w:rPr>
                <w:rFonts w:ascii="Arial" w:cs="Arial" w:eastAsia="Arial" w:hAnsi="Arial"/>
                <w:sz w:val="17"/>
                <w:szCs w:val="17"/>
                <w:color w:val="auto"/>
              </w:rPr>
              <w:t>(3,355)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660" w:type="dxa"/>
            <w:vAlign w:val="bottom"/>
            <w:shd w:val="clear" w:color="auto" w:fill="E5FFFF"/>
          </w:tcPr>
          <w:p>
            <w:pPr>
              <w:spacing w:after="0"/>
              <w:rPr>
                <w:sz w:val="20"/>
                <w:szCs w:val="20"/>
                <w:color w:val="auto"/>
              </w:rPr>
            </w:pPr>
            <w:r>
              <w:rPr>
                <w:rFonts w:ascii="Arial" w:cs="Arial" w:eastAsia="Arial" w:hAnsi="Arial"/>
                <w:sz w:val="17"/>
                <w:szCs w:val="17"/>
                <w:color w:val="auto"/>
              </w:rPr>
              <w:t>GasLog’s adjustment for net pool allocation (included in Net pool allocation)</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6,958</w:t>
            </w:r>
          </w:p>
        </w:tc>
        <w:tc>
          <w:tcPr>
            <w:tcW w:w="160" w:type="dxa"/>
            <w:vAlign w:val="bottom"/>
            <w:shd w:val="clear" w:color="auto" w:fill="E5FFFF"/>
          </w:tcPr>
          <w:p>
            <w:pPr>
              <w:spacing w:after="0"/>
              <w:rPr>
                <w:sz w:val="18"/>
                <w:szCs w:val="18"/>
                <w:color w:val="auto"/>
              </w:rPr>
            </w:pPr>
          </w:p>
        </w:tc>
        <w:tc>
          <w:tcPr>
            <w:tcW w:w="12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2,658</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660" w:type="dxa"/>
            <w:vAlign w:val="bottom"/>
          </w:tcPr>
          <w:p>
            <w:pPr>
              <w:spacing w:after="0"/>
              <w:rPr>
                <w:sz w:val="20"/>
                <w:szCs w:val="20"/>
                <w:color w:val="auto"/>
              </w:rPr>
            </w:pPr>
            <w:r>
              <w:rPr>
                <w:rFonts w:ascii="Arial" w:cs="Arial" w:eastAsia="Arial" w:hAnsi="Arial"/>
                <w:sz w:val="17"/>
                <w:szCs w:val="17"/>
                <w:b w:val="1"/>
                <w:bCs w:val="1"/>
                <w:color w:val="auto"/>
              </w:rPr>
              <w:t>GasLog’s total net pool performance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9,840</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12,079</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6" w:right="360"/>
        <w:spacing w:after="0" w:line="288" w:lineRule="auto"/>
        <w:rPr>
          <w:sz w:val="20"/>
          <w:szCs w:val="20"/>
          <w:color w:val="auto"/>
        </w:rPr>
      </w:pPr>
      <w:r>
        <w:rPr>
          <w:rFonts w:ascii="Arial" w:cs="Arial" w:eastAsia="Arial" w:hAnsi="Arial"/>
          <w:sz w:val="17"/>
          <w:szCs w:val="17"/>
          <w:color w:val="auto"/>
        </w:rPr>
        <w:t>Voyage expenses and commissions were $5.9 million for the quarter ended June 30, 2019 ($4.6 million for the quarter ended June 30, 2018). The increase resulted mainly from the increased bunkers consumption of the vessels operating in the spot market.</w:t>
      </w:r>
    </w:p>
    <w:p>
      <w:pPr>
        <w:spacing w:after="0" w:line="187" w:lineRule="exact"/>
        <w:rPr>
          <w:sz w:val="20"/>
          <w:szCs w:val="20"/>
          <w:color w:val="auto"/>
        </w:rPr>
      </w:pPr>
    </w:p>
    <w:p>
      <w:pPr>
        <w:ind w:left="6" w:right="40"/>
        <w:spacing w:after="0" w:line="271" w:lineRule="auto"/>
        <w:rPr>
          <w:sz w:val="20"/>
          <w:szCs w:val="20"/>
          <w:color w:val="auto"/>
        </w:rPr>
      </w:pPr>
      <w:r>
        <w:rPr>
          <w:rFonts w:ascii="Arial" w:cs="Arial" w:eastAsia="Arial" w:hAnsi="Arial"/>
          <w:sz w:val="17"/>
          <w:szCs w:val="17"/>
          <w:color w:val="auto"/>
        </w:rPr>
        <w:t>Vessel operating and supervision costs were $33.4 million for the quarter ended June 30, 2019 ($32.7 million for the quarter ended June 30, 2018). The increase in vessel operating and supervision costs is mainly attributable to an increase in the average number of vessels in the three months ended June 30, 2019, partially offset by the favorable movement of the EUR/USD exchange rate. Daily operating costs per vessel decreased from $14,375 per day for the three-month period ended June 30, 2018 to $14,099 per day for the three-month period ended June 30, 2019.</w:t>
      </w:r>
    </w:p>
    <w:p>
      <w:pPr>
        <w:spacing w:after="0" w:line="201" w:lineRule="exact"/>
        <w:rPr>
          <w:sz w:val="20"/>
          <w:szCs w:val="20"/>
          <w:color w:val="auto"/>
        </w:rPr>
      </w:pPr>
    </w:p>
    <w:p>
      <w:pPr>
        <w:ind w:left="6"/>
        <w:spacing w:after="0"/>
        <w:rPr>
          <w:sz w:val="20"/>
          <w:szCs w:val="20"/>
          <w:color w:val="auto"/>
        </w:rPr>
      </w:pPr>
      <w:r>
        <w:rPr>
          <w:rFonts w:ascii="Arial" w:cs="Arial" w:eastAsia="Arial" w:hAnsi="Arial"/>
          <w:sz w:val="17"/>
          <w:szCs w:val="17"/>
          <w:color w:val="auto"/>
        </w:rPr>
        <w:t>General and administrative expenses increased by 7.7%, or $0.8 million, from $10.4 million during the three-month period ended June 30, 2018 to</w:t>
      </w:r>
    </w:p>
    <w:p>
      <w:pPr>
        <w:spacing w:after="0" w:line="23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646670"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2" w:right="120" w:bottom="833" w:gutter="0" w:footer="0" w:header="0"/>
        </w:sectPr>
      </w:pPr>
    </w:p>
    <w:bookmarkStart w:id="6" w:name="page7"/>
    <w:bookmarkEnd w:id="6"/>
    <w:p>
      <w:pPr>
        <w:ind w:left="6" w:right="140"/>
        <w:spacing w:after="0" w:line="288" w:lineRule="auto"/>
        <w:rPr>
          <w:sz w:val="20"/>
          <w:szCs w:val="20"/>
          <w:color w:val="auto"/>
        </w:rPr>
      </w:pPr>
      <w:r>
        <w:rPr>
          <w:rFonts w:ascii="Arial" w:cs="Arial" w:eastAsia="Arial" w:hAnsi="Arial"/>
          <w:sz w:val="17"/>
          <w:szCs w:val="17"/>
          <w:color w:val="auto"/>
        </w:rPr>
        <w:t>$11.2 million during the three-month period ended June 30, 2019. The increase is mainly attributable to an increase of $0.4 million in employee costs and an increase of $0.4 million in legal and professional expenses.</w:t>
      </w:r>
    </w:p>
    <w:p>
      <w:pPr>
        <w:spacing w:after="0" w:line="187" w:lineRule="exact"/>
        <w:rPr>
          <w:sz w:val="20"/>
          <w:szCs w:val="20"/>
          <w:color w:val="auto"/>
        </w:rPr>
      </w:pPr>
    </w:p>
    <w:p>
      <w:pPr>
        <w:ind w:left="6" w:right="40"/>
        <w:spacing w:after="0" w:line="267" w:lineRule="auto"/>
        <w:rPr>
          <w:sz w:val="20"/>
          <w:szCs w:val="20"/>
          <w:color w:val="auto"/>
        </w:rPr>
      </w:pPr>
      <w:r>
        <w:rPr>
          <w:rFonts w:ascii="Arial" w:cs="Arial" w:eastAsia="Arial" w:hAnsi="Arial"/>
          <w:sz w:val="17"/>
          <w:szCs w:val="17"/>
          <w:color w:val="auto"/>
        </w:rPr>
        <w:t xml:space="preserve">Following the implementation of IFRS 16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on January 1, 2019, the Group’s leases on vessel equipment, office equipment and properties are recognized as a right-of-use asset and a corresponding liability on the date when the leased assets are available for use by the Group. Each lease payment is allocated between the liability and the finance cost. The finance cost is charged to profit or loss over the lease period to produce a constant periodic rate of interest on the remaining balance of the liability for each period. The right-of-use asset is depreciated over the shorter of the asset’s useful life and the lease term on a straight-line basis. Historically, the respective expenses were included in Vessel operating and supervision costs ($0.3 million for the three months ended June 30, 2018) and General and administrative expenses ($0.3 million for the three months ended June 30, 2018).</w:t>
      </w:r>
    </w:p>
    <w:p>
      <w:pPr>
        <w:spacing w:after="0" w:line="207" w:lineRule="exact"/>
        <w:rPr>
          <w:sz w:val="20"/>
          <w:szCs w:val="20"/>
          <w:color w:val="auto"/>
        </w:rPr>
      </w:pPr>
    </w:p>
    <w:p>
      <w:pPr>
        <w:ind w:left="6" w:right="60"/>
        <w:spacing w:after="0" w:line="275" w:lineRule="auto"/>
        <w:rPr>
          <w:sz w:val="20"/>
          <w:szCs w:val="20"/>
          <w:color w:val="auto"/>
        </w:rPr>
      </w:pPr>
      <w:r>
        <w:rPr>
          <w:rFonts w:ascii="Arial" w:cs="Arial" w:eastAsia="Arial" w:hAnsi="Arial"/>
          <w:sz w:val="17"/>
          <w:szCs w:val="17"/>
          <w:color w:val="auto"/>
        </w:rPr>
        <w:t xml:space="preserve">Depreciation was $41.4 million for the quarter ended June 30, 2019 ($38.8 million for the quarter ended June 30, 2018). The increase resulted mainly from an increase of $1.6 million from the delivery of the </w:t>
      </w:r>
      <w:r>
        <w:rPr>
          <w:rFonts w:ascii="Arial" w:cs="Arial" w:eastAsia="Arial" w:hAnsi="Arial"/>
          <w:sz w:val="17"/>
          <w:szCs w:val="17"/>
          <w:i w:val="1"/>
          <w:iCs w:val="1"/>
          <w:color w:val="auto"/>
        </w:rPr>
        <w:t>GasLog Gladstone</w:t>
      </w:r>
      <w:r>
        <w:rPr>
          <w:rFonts w:ascii="Arial" w:cs="Arial" w:eastAsia="Arial" w:hAnsi="Arial"/>
          <w:sz w:val="17"/>
          <w:szCs w:val="17"/>
          <w:color w:val="auto"/>
        </w:rPr>
        <w:t xml:space="preserve"> on March 15, 2019 and an increase of $0.6 million from the depreciation of the right-of-use assets deriving from the implementation of IFRS 16 mentioned above.</w:t>
      </w:r>
    </w:p>
    <w:p>
      <w:pPr>
        <w:spacing w:after="0" w:line="198" w:lineRule="exact"/>
        <w:rPr>
          <w:sz w:val="20"/>
          <w:szCs w:val="20"/>
          <w:color w:val="auto"/>
        </w:rPr>
      </w:pPr>
    </w:p>
    <w:p>
      <w:pPr>
        <w:ind w:left="6" w:right="220"/>
        <w:spacing w:after="0" w:line="275" w:lineRule="auto"/>
        <w:rPr>
          <w:sz w:val="20"/>
          <w:szCs w:val="20"/>
          <w:color w:val="auto"/>
        </w:rPr>
      </w:pPr>
      <w:r>
        <w:rPr>
          <w:rFonts w:ascii="Arial" w:cs="Arial" w:eastAsia="Arial" w:hAnsi="Arial"/>
          <w:sz w:val="17"/>
          <w:szCs w:val="17"/>
          <w:color w:val="auto"/>
        </w:rPr>
        <w:t>Financial costs were $46.9 million for the quarter ended June 30, 2019 ($42.0 million for the quarter ended June 30, 2018). The increase was mainly attributable to the increased weighted average interest rate deriving from the upward movement of the LIBOR and to the increased weighted average outstanding indebtedness. An analysis of the financial costs is presented below:</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814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All amounts expressed in thousands of U.S. dollars</w:t>
            </w: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120" w:type="dxa"/>
            <w:vAlign w:val="bottom"/>
            <w:gridSpan w:val="5"/>
          </w:tcPr>
          <w:p>
            <w:pPr>
              <w:jc w:val="right"/>
              <w:ind w:right="663"/>
              <w:spacing w:after="0"/>
              <w:rPr>
                <w:sz w:val="20"/>
                <w:szCs w:val="20"/>
                <w:color w:val="auto"/>
              </w:rPr>
            </w:pPr>
            <w:r>
              <w:rPr>
                <w:rFonts w:ascii="Arial" w:cs="Arial" w:eastAsia="Arial" w:hAnsi="Arial"/>
                <w:sz w:val="17"/>
                <w:szCs w:val="17"/>
                <w:b w:val="1"/>
                <w:bCs w:val="1"/>
                <w:color w:val="auto"/>
              </w:rPr>
              <w:t>For the three months ended</w:t>
            </w:r>
          </w:p>
        </w:tc>
        <w:tc>
          <w:tcPr>
            <w:tcW w:w="0" w:type="dxa"/>
            <w:vAlign w:val="bottom"/>
          </w:tcPr>
          <w:p>
            <w:pPr>
              <w:spacing w:after="0"/>
              <w:rPr>
                <w:sz w:val="1"/>
                <w:szCs w:val="1"/>
                <w:color w:val="auto"/>
              </w:rPr>
            </w:pPr>
          </w:p>
        </w:tc>
      </w:tr>
      <w:tr>
        <w:trPr>
          <w:trHeight w:val="229"/>
        </w:trPr>
        <w:tc>
          <w:tcPr>
            <w:tcW w:w="8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0"/>
              </w:rPr>
              <w:t>June 30, 2018</w:t>
            </w:r>
          </w:p>
        </w:tc>
        <w:tc>
          <w:tcPr>
            <w:tcW w:w="200" w:type="dxa"/>
            <w:vAlign w:val="bottom"/>
          </w:tcPr>
          <w:p>
            <w:pPr>
              <w:spacing w:after="0"/>
              <w:rPr>
                <w:sz w:val="19"/>
                <w:szCs w:val="19"/>
                <w:color w:val="auto"/>
              </w:rPr>
            </w:pPr>
          </w:p>
        </w:tc>
        <w:tc>
          <w:tcPr>
            <w:tcW w:w="1340" w:type="dxa"/>
            <w:vAlign w:val="bottom"/>
            <w:gridSpan w:val="2"/>
          </w:tcPr>
          <w:p>
            <w:pPr>
              <w:jc w:val="right"/>
              <w:ind w:right="263"/>
              <w:spacing w:after="0"/>
              <w:rPr>
                <w:sz w:val="20"/>
                <w:szCs w:val="20"/>
                <w:color w:val="auto"/>
              </w:rPr>
            </w:pPr>
            <w:r>
              <w:rPr>
                <w:rFonts w:ascii="Arial" w:cs="Arial" w:eastAsia="Arial" w:hAnsi="Arial"/>
                <w:sz w:val="17"/>
                <w:szCs w:val="17"/>
                <w:b w:val="1"/>
                <w:bCs w:val="1"/>
                <w:color w:val="auto"/>
                <w:w w:val="92"/>
              </w:rPr>
              <w:t>June 30, 2019</w:t>
            </w:r>
          </w:p>
        </w:tc>
        <w:tc>
          <w:tcPr>
            <w:tcW w:w="0" w:type="dxa"/>
            <w:vAlign w:val="bottom"/>
          </w:tcPr>
          <w:p>
            <w:pPr>
              <w:spacing w:after="0"/>
              <w:rPr>
                <w:sz w:val="1"/>
                <w:szCs w:val="1"/>
                <w:color w:val="auto"/>
              </w:rPr>
            </w:pPr>
          </w:p>
        </w:tc>
      </w:tr>
      <w:tr>
        <w:trPr>
          <w:trHeight w:val="200"/>
        </w:trPr>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Financial costs</w:t>
            </w:r>
          </w:p>
        </w:tc>
        <w:tc>
          <w:tcPr>
            <w:tcW w:w="22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right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40" w:type="dxa"/>
            <w:vAlign w:val="bottom"/>
          </w:tcPr>
          <w:p>
            <w:pPr>
              <w:spacing w:after="0"/>
              <w:rPr>
                <w:sz w:val="20"/>
                <w:szCs w:val="20"/>
                <w:color w:val="auto"/>
              </w:rPr>
            </w:pPr>
            <w:r>
              <w:rPr>
                <w:rFonts w:ascii="Arial" w:cs="Arial" w:eastAsia="Arial" w:hAnsi="Arial"/>
                <w:sz w:val="17"/>
                <w:szCs w:val="17"/>
                <w:color w:val="auto"/>
              </w:rPr>
              <w:t>Amortization and write-off of deferred loan/bond issuance costs/premium</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(3,232)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shd w:val="clear" w:color="auto" w:fill="E5FFFF"/>
          </w:tcPr>
          <w:p>
            <w:pPr>
              <w:spacing w:after="0"/>
              <w:rPr>
                <w:sz w:val="20"/>
                <w:szCs w:val="20"/>
                <w:color w:val="auto"/>
              </w:rPr>
            </w:pPr>
            <w:r>
              <w:rPr>
                <w:rFonts w:ascii="Arial" w:cs="Arial" w:eastAsia="Arial" w:hAnsi="Arial"/>
                <w:sz w:val="17"/>
                <w:szCs w:val="17"/>
                <w:color w:val="auto"/>
              </w:rPr>
              <w:t>Interest expense on loans</w:t>
            </w:r>
          </w:p>
        </w:tc>
        <w:tc>
          <w:tcPr>
            <w:tcW w:w="2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(28,066)</w:t>
            </w:r>
          </w:p>
        </w:tc>
        <w:tc>
          <w:tcPr>
            <w:tcW w:w="200" w:type="dxa"/>
            <w:vAlign w:val="bottom"/>
            <w:shd w:val="clear" w:color="auto" w:fill="E5FFFF"/>
          </w:tcPr>
          <w:p>
            <w:pPr>
              <w:spacing w:after="0"/>
              <w:rPr>
                <w:sz w:val="18"/>
                <w:szCs w:val="18"/>
                <w:color w:val="auto"/>
              </w:rPr>
            </w:pPr>
          </w:p>
        </w:tc>
        <w:tc>
          <w:tcPr>
            <w:tcW w:w="13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(32,383)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tcPr>
          <w:p>
            <w:pPr>
              <w:spacing w:after="0"/>
              <w:rPr>
                <w:sz w:val="20"/>
                <w:szCs w:val="20"/>
                <w:color w:val="auto"/>
              </w:rPr>
            </w:pPr>
            <w:r>
              <w:rPr>
                <w:rFonts w:ascii="Arial" w:cs="Arial" w:eastAsia="Arial" w:hAnsi="Arial"/>
                <w:sz w:val="17"/>
                <w:szCs w:val="17"/>
                <w:color w:val="auto"/>
              </w:rPr>
              <w:t>Interest expense on bonds and realized loss on cross-currency swaps</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(7,442)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shd w:val="clear" w:color="auto" w:fill="E5FFFF"/>
          </w:tcPr>
          <w:p>
            <w:pPr>
              <w:spacing w:after="0"/>
              <w:rPr>
                <w:sz w:val="20"/>
                <w:szCs w:val="20"/>
                <w:color w:val="auto"/>
              </w:rPr>
            </w:pPr>
            <w:r>
              <w:rPr>
                <w:rFonts w:ascii="Arial" w:cs="Arial" w:eastAsia="Arial" w:hAnsi="Arial"/>
                <w:sz w:val="17"/>
                <w:szCs w:val="17"/>
                <w:color w:val="auto"/>
              </w:rPr>
              <w:t>Lease charge</w:t>
            </w:r>
          </w:p>
        </w:tc>
        <w:tc>
          <w:tcPr>
            <w:tcW w:w="2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(2,634)</w:t>
            </w:r>
          </w:p>
        </w:tc>
        <w:tc>
          <w:tcPr>
            <w:tcW w:w="200" w:type="dxa"/>
            <w:vAlign w:val="bottom"/>
            <w:shd w:val="clear" w:color="auto" w:fill="E5FFFF"/>
          </w:tcPr>
          <w:p>
            <w:pPr>
              <w:spacing w:after="0"/>
              <w:rPr>
                <w:sz w:val="18"/>
                <w:szCs w:val="18"/>
                <w:color w:val="auto"/>
              </w:rPr>
            </w:pPr>
          </w:p>
        </w:tc>
        <w:tc>
          <w:tcPr>
            <w:tcW w:w="13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(2,635)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tcPr>
          <w:p>
            <w:pPr>
              <w:spacing w:after="0"/>
              <w:rPr>
                <w:sz w:val="20"/>
                <w:szCs w:val="20"/>
                <w:color w:val="auto"/>
              </w:rPr>
            </w:pPr>
            <w:r>
              <w:rPr>
                <w:rFonts w:ascii="Arial" w:cs="Arial" w:eastAsia="Arial" w:hAnsi="Arial"/>
                <w:sz w:val="17"/>
                <w:szCs w:val="17"/>
                <w:color w:val="auto"/>
              </w:rPr>
              <w:t>Other financial costs</w:t>
            </w:r>
          </w:p>
        </w:tc>
        <w:tc>
          <w:tcPr>
            <w:tcW w:w="2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(626)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(399)</w:t>
            </w:r>
          </w:p>
        </w:tc>
        <w:tc>
          <w:tcPr>
            <w:tcW w:w="40" w:type="dxa"/>
            <w:vAlign w:val="bottom"/>
            <w:vMerge w:val="restart"/>
          </w:tcPr>
          <w:p>
            <w:pPr>
              <w:jc w:val="right"/>
              <w:spacing w:after="0"/>
              <w:rPr>
                <w:sz w:val="20"/>
                <w:szCs w:val="20"/>
                <w:color w:val="auto"/>
              </w:rPr>
            </w:pPr>
            <w:r>
              <w:rPr>
                <w:rFonts w:ascii="Arial" w:cs="Arial" w:eastAsia="Arial" w:hAnsi="Arial"/>
                <w:sz w:val="7"/>
                <w:szCs w:val="7"/>
                <w:b w:val="1"/>
                <w:bCs w:val="1"/>
                <w:color w:val="auto"/>
                <w:w w:val="83"/>
              </w:rPr>
              <w:t>)</w:t>
            </w:r>
          </w:p>
        </w:tc>
        <w:tc>
          <w:tcPr>
            <w:tcW w:w="0" w:type="dxa"/>
            <w:vAlign w:val="bottom"/>
          </w:tcPr>
          <w:p>
            <w:pPr>
              <w:spacing w:after="0"/>
              <w:rPr>
                <w:sz w:val="1"/>
                <w:szCs w:val="1"/>
                <w:color w:val="auto"/>
              </w:rPr>
            </w:pPr>
          </w:p>
        </w:tc>
      </w:tr>
      <w:tr>
        <w:trPr>
          <w:trHeight w:val="222"/>
        </w:trPr>
        <w:tc>
          <w:tcPr>
            <w:tcW w:w="8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w:t>
            </w:r>
          </w:p>
        </w:tc>
        <w:tc>
          <w:tcPr>
            <w:tcW w:w="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(42,000</w:t>
            </w:r>
          </w:p>
        </w:tc>
        <w:tc>
          <w:tcPr>
            <w:tcW w:w="300" w:type="dxa"/>
            <w:vAlign w:val="bottom"/>
            <w:tcBorders>
              <w:top w:val="single" w:sz="8" w:color="E5FFFF"/>
              <w:bottom w:val="single" w:sz="8" w:color="E5FFFF"/>
            </w:tcBorders>
            <w:shd w:val="clear" w:color="auto" w:fill="E5FFFF"/>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top w:val="single" w:sz="8" w:color="auto"/>
              <w:bottom w:val="single" w:sz="8" w:color="auto"/>
              <w:right w:val="single" w:sz="8" w:color="E5FFFF"/>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(46,897</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6" w:right="260"/>
        <w:spacing w:after="0" w:line="271" w:lineRule="auto"/>
        <w:rPr>
          <w:sz w:val="20"/>
          <w:szCs w:val="20"/>
          <w:color w:val="auto"/>
        </w:rPr>
      </w:pPr>
      <w:r>
        <w:rPr>
          <w:rFonts w:ascii="Arial" w:cs="Arial" w:eastAsia="Arial" w:hAnsi="Arial"/>
          <w:sz w:val="17"/>
          <w:szCs w:val="17"/>
          <w:color w:val="auto"/>
        </w:rPr>
        <w:t>Loss on derivatives was $30.8 million for the quarter ended June 30, 2019 ($1.2 million gain for the quarter ended June 30, 2018). The increase in loss on derivatives in the second quarter of 2019, as compared to the second quarter of 2018, is mainly attributable to an increase of $30.9 million in loss from mark-to-market valuation of our derivative financial instruments carried at fair value through profit or loss, derived mainly from changes in the LIBOR curve. An analysis of gain/(loss) on derivatives is presented below:</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814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All amounts expressed in thousands of U.S. dollars</w:t>
            </w: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3120" w:type="dxa"/>
            <w:vAlign w:val="bottom"/>
            <w:gridSpan w:val="6"/>
          </w:tcPr>
          <w:p>
            <w:pPr>
              <w:jc w:val="right"/>
              <w:ind w:right="700"/>
              <w:spacing w:after="0"/>
              <w:rPr>
                <w:sz w:val="20"/>
                <w:szCs w:val="20"/>
                <w:color w:val="auto"/>
              </w:rPr>
            </w:pPr>
            <w:r>
              <w:rPr>
                <w:rFonts w:ascii="Arial" w:cs="Arial" w:eastAsia="Arial" w:hAnsi="Arial"/>
                <w:sz w:val="17"/>
                <w:szCs w:val="17"/>
                <w:b w:val="1"/>
                <w:bCs w:val="1"/>
                <w:color w:val="auto"/>
              </w:rPr>
              <w:t>For the three months ended</w:t>
            </w:r>
          </w:p>
        </w:tc>
        <w:tc>
          <w:tcPr>
            <w:tcW w:w="0" w:type="dxa"/>
            <w:vAlign w:val="bottom"/>
          </w:tcPr>
          <w:p>
            <w:pPr>
              <w:spacing w:after="0"/>
              <w:rPr>
                <w:sz w:val="1"/>
                <w:szCs w:val="1"/>
                <w:color w:val="auto"/>
              </w:rPr>
            </w:pPr>
          </w:p>
        </w:tc>
      </w:tr>
      <w:tr>
        <w:trPr>
          <w:trHeight w:val="229"/>
        </w:trPr>
        <w:tc>
          <w:tcPr>
            <w:tcW w:w="8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w w:val="90"/>
              </w:rPr>
              <w:t>June 30, 2018</w:t>
            </w:r>
          </w:p>
        </w:tc>
        <w:tc>
          <w:tcPr>
            <w:tcW w:w="200" w:type="dxa"/>
            <w:vAlign w:val="bottom"/>
          </w:tcPr>
          <w:p>
            <w:pPr>
              <w:spacing w:after="0"/>
              <w:rPr>
                <w:sz w:val="19"/>
                <w:szCs w:val="19"/>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2"/>
              </w:rPr>
              <w:t>June 30, 2019</w:t>
            </w:r>
          </w:p>
        </w:tc>
        <w:tc>
          <w:tcPr>
            <w:tcW w:w="0" w:type="dxa"/>
            <w:vAlign w:val="bottom"/>
          </w:tcPr>
          <w:p>
            <w:pPr>
              <w:spacing w:after="0"/>
              <w:rPr>
                <w:sz w:val="1"/>
                <w:szCs w:val="1"/>
                <w:color w:val="auto"/>
              </w:rPr>
            </w:pPr>
          </w:p>
        </w:tc>
      </w:tr>
      <w:tr>
        <w:trPr>
          <w:trHeight w:val="200"/>
        </w:trPr>
        <w:tc>
          <w:tcPr>
            <w:tcW w:w="8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Gain/(loss) on derivatives</w:t>
            </w:r>
          </w:p>
        </w:tc>
        <w:tc>
          <w:tcPr>
            <w:tcW w:w="220" w:type="dxa"/>
            <w:vAlign w:val="bottom"/>
            <w:tcBorders>
              <w:top w:val="single" w:sz="8" w:color="auto"/>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auto"/>
            </w:tcBorders>
            <w:shd w:val="clear" w:color="auto" w:fill="E5FFFF"/>
          </w:tcPr>
          <w:p>
            <w:pPr>
              <w:spacing w:after="0"/>
              <w:rPr>
                <w:sz w:val="17"/>
                <w:szCs w:val="17"/>
                <w:color w:val="auto"/>
              </w:rPr>
            </w:pPr>
          </w:p>
        </w:tc>
        <w:tc>
          <w:tcPr>
            <w:tcW w:w="1300" w:type="dxa"/>
            <w:vAlign w:val="bottom"/>
            <w:tcBorders>
              <w:top w:val="single" w:sz="8" w:color="auto"/>
              <w:right w:val="single" w:sz="8" w:color="E5FFFF"/>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40" w:type="dxa"/>
            <w:vAlign w:val="bottom"/>
          </w:tcPr>
          <w:p>
            <w:pPr>
              <w:spacing w:after="0"/>
              <w:rPr>
                <w:sz w:val="20"/>
                <w:szCs w:val="20"/>
                <w:color w:val="auto"/>
              </w:rPr>
            </w:pPr>
            <w:r>
              <w:rPr>
                <w:rFonts w:ascii="Arial" w:cs="Arial" w:eastAsia="Arial" w:hAnsi="Arial"/>
                <w:sz w:val="17"/>
                <w:szCs w:val="17"/>
                <w:color w:val="auto"/>
              </w:rPr>
              <w:t>Realized gain on derivatives held for trading</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1,003</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shd w:val="clear" w:color="auto" w:fill="E5FFFF"/>
          </w:tcPr>
          <w:p>
            <w:pPr>
              <w:spacing w:after="0"/>
              <w:rPr>
                <w:sz w:val="20"/>
                <w:szCs w:val="20"/>
                <w:color w:val="auto"/>
              </w:rPr>
            </w:pPr>
            <w:r>
              <w:rPr>
                <w:rFonts w:ascii="Arial" w:cs="Arial" w:eastAsia="Arial" w:hAnsi="Arial"/>
                <w:sz w:val="17"/>
                <w:szCs w:val="17"/>
                <w:color w:val="auto"/>
              </w:rPr>
              <w:t>Realized gain/(loss) on forward foreign exchange contracts held for trading</w:t>
            </w:r>
          </w:p>
        </w:tc>
        <w:tc>
          <w:tcPr>
            <w:tcW w:w="220" w:type="dxa"/>
            <w:vAlign w:val="bottom"/>
            <w:shd w:val="clear" w:color="auto" w:fill="E5FFFF"/>
          </w:tcPr>
          <w:p>
            <w:pPr>
              <w:spacing w:after="0"/>
              <w:rPr>
                <w:sz w:val="18"/>
                <w:szCs w:val="18"/>
                <w:color w:val="auto"/>
              </w:rPr>
            </w:pPr>
          </w:p>
        </w:tc>
        <w:tc>
          <w:tcPr>
            <w:tcW w:w="12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357</w:t>
            </w:r>
          </w:p>
        </w:tc>
        <w:tc>
          <w:tcPr>
            <w:tcW w:w="3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(1,246)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tcPr>
          <w:p>
            <w:pPr>
              <w:spacing w:after="0"/>
              <w:rPr>
                <w:sz w:val="20"/>
                <w:szCs w:val="20"/>
                <w:color w:val="auto"/>
              </w:rPr>
            </w:pPr>
            <w:r>
              <w:rPr>
                <w:rFonts w:ascii="Arial" w:cs="Arial" w:eastAsia="Arial" w:hAnsi="Arial"/>
                <w:sz w:val="17"/>
                <w:szCs w:val="17"/>
                <w:color w:val="auto"/>
              </w:rPr>
              <w:t>Unrealized gain/(loss) on derivative financial instruments held for trading</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(30,781)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40" w:type="dxa"/>
            <w:vAlign w:val="bottom"/>
            <w:shd w:val="clear" w:color="auto" w:fill="E5FFFF"/>
          </w:tcPr>
          <w:p>
            <w:pPr>
              <w:spacing w:after="0"/>
              <w:rPr>
                <w:sz w:val="20"/>
                <w:szCs w:val="20"/>
                <w:color w:val="auto"/>
              </w:rPr>
            </w:pPr>
            <w:r>
              <w:rPr>
                <w:rFonts w:ascii="Arial" w:cs="Arial" w:eastAsia="Arial" w:hAnsi="Arial"/>
                <w:sz w:val="17"/>
                <w:szCs w:val="17"/>
                <w:color w:val="auto"/>
              </w:rPr>
              <w:t>Ineffective portion of cash flow hedges</w:t>
            </w:r>
          </w:p>
        </w:tc>
        <w:tc>
          <w:tcPr>
            <w:tcW w:w="22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(267)</w:t>
            </w:r>
          </w:p>
        </w:tc>
        <w:tc>
          <w:tcPr>
            <w:tcW w:w="200" w:type="dxa"/>
            <w:vAlign w:val="bottom"/>
            <w:shd w:val="clear" w:color="auto" w:fill="E5FFFF"/>
          </w:tcPr>
          <w:p>
            <w:pPr>
              <w:spacing w:after="0"/>
              <w:rPr>
                <w:sz w:val="18"/>
                <w:szCs w:val="18"/>
                <w:color w:val="auto"/>
              </w:rPr>
            </w:pPr>
          </w:p>
        </w:tc>
        <w:tc>
          <w:tcPr>
            <w:tcW w:w="130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2</w:t>
            </w:r>
          </w:p>
        </w:tc>
        <w:tc>
          <w:tcPr>
            <w:tcW w:w="40" w:type="dxa"/>
            <w:vAlign w:val="bottom"/>
            <w:gridSpan w:val="2"/>
            <w:vMerge w:val="restart"/>
          </w:tcPr>
          <w:p>
            <w:pPr>
              <w:jc w:val="right"/>
              <w:spacing w:after="0"/>
              <w:rPr>
                <w:sz w:val="20"/>
                <w:szCs w:val="20"/>
                <w:color w:val="auto"/>
              </w:rPr>
            </w:pPr>
            <w:r>
              <w:rPr>
                <w:rFonts w:ascii="Arial" w:cs="Arial" w:eastAsia="Arial" w:hAnsi="Arial"/>
                <w:sz w:val="7"/>
                <w:szCs w:val="7"/>
                <w:b w:val="1"/>
                <w:bCs w:val="1"/>
                <w:color w:val="auto"/>
                <w:w w:val="83"/>
              </w:rPr>
              <w:t>)</w:t>
            </w:r>
          </w:p>
        </w:tc>
        <w:tc>
          <w:tcPr>
            <w:tcW w:w="0" w:type="dxa"/>
            <w:vAlign w:val="bottom"/>
          </w:tcPr>
          <w:p>
            <w:pPr>
              <w:spacing w:after="0"/>
              <w:rPr>
                <w:sz w:val="1"/>
                <w:szCs w:val="1"/>
                <w:color w:val="auto"/>
              </w:rPr>
            </w:pPr>
          </w:p>
        </w:tc>
      </w:tr>
      <w:tr>
        <w:trPr>
          <w:trHeight w:val="222"/>
        </w:trPr>
        <w:tc>
          <w:tcPr>
            <w:tcW w:w="814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1,167</w:t>
            </w:r>
          </w:p>
        </w:tc>
        <w:tc>
          <w:tcPr>
            <w:tcW w:w="3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(30,799</w:t>
            </w:r>
          </w:p>
        </w:tc>
        <w:tc>
          <w:tcPr>
            <w:tcW w:w="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6" w:right="120"/>
        <w:spacing w:after="0" w:line="275" w:lineRule="auto"/>
        <w:rPr>
          <w:sz w:val="20"/>
          <w:szCs w:val="20"/>
          <w:color w:val="auto"/>
        </w:rPr>
      </w:pPr>
      <w:r>
        <w:rPr>
          <w:rFonts w:ascii="Arial" w:cs="Arial" w:eastAsia="Arial" w:hAnsi="Arial"/>
          <w:sz w:val="17"/>
          <w:szCs w:val="17"/>
          <w:color w:val="auto"/>
        </w:rPr>
        <w:t>Loss was $10.5 million for the quarter ended June 30, 2019 (profit of $14.2 million for the quarter ended June 30, 2018). This decrease in profit is mainly attributable to the unfavorable movement in mark-to-market valuations of our derivative financial instruments in the second quarter of 2019 and the increase in finance costs, partially offset by the increased profit from operations, due to the factors mentioned above.</w:t>
      </w:r>
    </w:p>
    <w:p>
      <w:pPr>
        <w:spacing w:after="0" w:line="196" w:lineRule="exact"/>
        <w:rPr>
          <w:sz w:val="20"/>
          <w:szCs w:val="20"/>
          <w:color w:val="auto"/>
        </w:rPr>
      </w:pPr>
    </w:p>
    <w:p>
      <w:pPr>
        <w:ind w:left="6" w:right="180"/>
        <w:spacing w:after="0" w:line="231" w:lineRule="auto"/>
        <w:rPr>
          <w:sz w:val="20"/>
          <w:szCs w:val="20"/>
          <w:color w:val="auto"/>
        </w:rPr>
      </w:pPr>
      <w:r>
        <w:rPr>
          <w:rFonts w:ascii="Arial" w:cs="Arial" w:eastAsia="Arial" w:hAnsi="Arial"/>
          <w:sz w:val="17"/>
          <w:szCs w:val="17"/>
          <w:color w:val="auto"/>
        </w:rPr>
        <w:t>Adjusted Profit</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was $20.5 million for the quarter ended June 30, 2019 ($14.8 million for the quarter ended June 30, 2018) adjusted for the effects of the non-cash loss/gain on derivatives and the net foreign exchange losses.</w:t>
      </w:r>
    </w:p>
    <w:p>
      <w:pPr>
        <w:spacing w:after="0" w:line="227" w:lineRule="exact"/>
        <w:rPr>
          <w:sz w:val="20"/>
          <w:szCs w:val="20"/>
          <w:color w:val="auto"/>
        </w:rPr>
      </w:pPr>
    </w:p>
    <w:p>
      <w:pPr>
        <w:ind w:left="6" w:right="160"/>
        <w:spacing w:after="0" w:line="275" w:lineRule="auto"/>
        <w:rPr>
          <w:sz w:val="20"/>
          <w:szCs w:val="20"/>
          <w:color w:val="auto"/>
        </w:rPr>
      </w:pPr>
      <w:r>
        <w:rPr>
          <w:rFonts w:ascii="Arial" w:cs="Arial" w:eastAsia="Arial" w:hAnsi="Arial"/>
          <w:sz w:val="17"/>
          <w:szCs w:val="17"/>
          <w:color w:val="auto"/>
        </w:rPr>
        <w:t>Loss attributable to the owners of GasLog was $26.0 million for the quarter ended June 30, 2019 ($3.6 million loss for the quarter ended June 30, 2018). The increase in loss attributable to the owners of GasLog resulted mainly from the respective movements in profit mentioned above, partially offset by the decreased amount allocated to third parties following the decreased Partnership’s profit.</w:t>
      </w:r>
    </w:p>
    <w:p>
      <w:pPr>
        <w:spacing w:after="0" w:line="196" w:lineRule="exact"/>
        <w:rPr>
          <w:sz w:val="20"/>
          <w:szCs w:val="20"/>
          <w:color w:val="auto"/>
        </w:rPr>
      </w:pPr>
    </w:p>
    <w:p>
      <w:pPr>
        <w:ind w:left="6" w:right="300"/>
        <w:spacing w:after="0" w:line="249" w:lineRule="auto"/>
        <w:rPr>
          <w:sz w:val="20"/>
          <w:szCs w:val="20"/>
          <w:color w:val="auto"/>
        </w:rPr>
      </w:pPr>
      <w:r>
        <w:rPr>
          <w:rFonts w:ascii="Arial" w:cs="Arial" w:eastAsia="Arial" w:hAnsi="Arial"/>
          <w:sz w:val="16"/>
          <w:szCs w:val="16"/>
          <w:color w:val="auto"/>
        </w:rPr>
        <w:t>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was $106.8 million for the quarter ended June 30, 2019 ($92.6 million for the quarter ended June 30, 2018). The increase in EBITDA was mainly driven by the increase in revenues, partially offset by the decrease in the net pool allocation and the increase in voyage expenses and commissions as discussed above.</w:t>
      </w:r>
    </w:p>
    <w:p>
      <w:pPr>
        <w:spacing w:after="0" w:line="215" w:lineRule="exact"/>
        <w:rPr>
          <w:sz w:val="20"/>
          <w:szCs w:val="20"/>
          <w:color w:val="auto"/>
        </w:rPr>
      </w:pPr>
    </w:p>
    <w:p>
      <w:pPr>
        <w:ind w:left="6"/>
        <w:spacing w:after="0"/>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was $107.0 million for the quarter ended June 30, 2019 ($92.9 million for the quarter ended June 30, 2018).</w:t>
      </w:r>
    </w:p>
    <w:p>
      <w:pPr>
        <w:spacing w:after="0" w:line="191" w:lineRule="exact"/>
        <w:rPr>
          <w:sz w:val="20"/>
          <w:szCs w:val="20"/>
          <w:color w:val="auto"/>
        </w:rPr>
      </w:pPr>
    </w:p>
    <w:p>
      <w:pPr>
        <w:ind w:left="6" w:right="20"/>
        <w:spacing w:after="0" w:line="288" w:lineRule="auto"/>
        <w:rPr>
          <w:sz w:val="20"/>
          <w:szCs w:val="20"/>
          <w:color w:val="auto"/>
        </w:rPr>
      </w:pPr>
      <w:r>
        <w:rPr>
          <w:rFonts w:ascii="Arial" w:cs="Arial" w:eastAsia="Arial" w:hAnsi="Arial"/>
          <w:sz w:val="17"/>
          <w:szCs w:val="17"/>
          <w:color w:val="auto"/>
        </w:rPr>
        <w:t>EPS was a loss of $0.35 for the quarter ended June 30, 2019 ($0.08 loss for the quarter ended June 30, 2018). The decrease in earnings per share is mainly attributable to the respective movements in profit attributable to the owners of GasLog discussed above.</w:t>
      </w:r>
    </w:p>
    <w:p>
      <w:pPr>
        <w:spacing w:after="0" w:line="185" w:lineRule="exact"/>
        <w:rPr>
          <w:sz w:val="20"/>
          <w:szCs w:val="20"/>
          <w:color w:val="auto"/>
        </w:rPr>
      </w:pPr>
    </w:p>
    <w:p>
      <w:pPr>
        <w:ind w:left="6"/>
        <w:spacing w:after="0" w:line="231" w:lineRule="auto"/>
        <w:rPr>
          <w:sz w:val="20"/>
          <w:szCs w:val="20"/>
          <w:color w:val="auto"/>
        </w:rPr>
      </w:pPr>
      <w:r>
        <w:rPr>
          <w:rFonts w:ascii="Arial" w:cs="Arial" w:eastAsia="Arial" w:hAnsi="Arial"/>
          <w:sz w:val="17"/>
          <w:szCs w:val="17"/>
          <w:color w:val="auto"/>
        </w:rPr>
        <w:t>Adjusted EPS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was $0.03 for the quarter ended June 30, 2019 (loss of $0.07 for the quarter ended June 30, 2018), adjusted for the effects of the non-cash loss on derivatives and the net foreign exchange losses.</w:t>
      </w:r>
    </w:p>
    <w:p>
      <w:pPr>
        <w:spacing w:after="0" w:line="217" w:lineRule="exact"/>
        <w:rPr>
          <w:sz w:val="20"/>
          <w:szCs w:val="20"/>
          <w:color w:val="auto"/>
        </w:rPr>
      </w:pPr>
    </w:p>
    <w:p>
      <w:pPr>
        <w:jc w:val="both"/>
        <w:ind w:left="126" w:right="100" w:hanging="126"/>
        <w:spacing w:after="0"/>
        <w:tabs>
          <w:tab w:leader="none" w:pos="154"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Adjusted Profit, EBITDA, Adjusted EBITDA and Adjusted EPS are non-GAAP financial measures and should not be used in isolation or as a substitute for GasLog’s financial results presented in accordance with IFRS. For definitions and reconciliations of these measurements to the most directly comparable financial measures calculated and presented in accordance with IFRS, please refer to Exhibit II at the end of this press release.</w:t>
      </w:r>
    </w:p>
    <w:p>
      <w:pPr>
        <w:spacing w:after="0" w:line="35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646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8" w:right="120" w:bottom="134" w:gutter="0" w:footer="0" w:header="0"/>
        </w:sectPr>
      </w:pPr>
    </w:p>
    <w:bookmarkStart w:id="7" w:name="page8"/>
    <w:bookmarkEnd w:id="7"/>
    <w:p>
      <w:pPr>
        <w:ind w:left="6"/>
        <w:spacing w:after="0"/>
        <w:rPr>
          <w:sz w:val="20"/>
          <w:szCs w:val="20"/>
          <w:color w:val="auto"/>
        </w:rPr>
      </w:pPr>
      <w:r>
        <w:rPr>
          <w:rFonts w:ascii="Arial" w:cs="Arial" w:eastAsia="Arial" w:hAnsi="Arial"/>
          <w:sz w:val="17"/>
          <w:szCs w:val="17"/>
          <w:b w:val="1"/>
          <w:bCs w:val="1"/>
          <w:u w:val="single" w:color="auto"/>
          <w:color w:val="auto"/>
        </w:rPr>
        <w:t>Contracted Charter Revenues</w:t>
      </w:r>
    </w:p>
    <w:p>
      <w:pPr>
        <w:spacing w:after="0" w:line="250" w:lineRule="exact"/>
        <w:rPr>
          <w:sz w:val="20"/>
          <w:szCs w:val="20"/>
          <w:color w:val="auto"/>
        </w:rPr>
      </w:pPr>
    </w:p>
    <w:p>
      <w:pPr>
        <w:ind w:left="6" w:right="40"/>
        <w:spacing w:after="0" w:line="231" w:lineRule="auto"/>
        <w:rPr>
          <w:sz w:val="20"/>
          <w:szCs w:val="20"/>
          <w:color w:val="auto"/>
        </w:rPr>
      </w:pPr>
      <w:r>
        <w:rPr>
          <w:rFonts w:ascii="Arial" w:cs="Arial" w:eastAsia="Arial" w:hAnsi="Arial"/>
          <w:sz w:val="17"/>
          <w:szCs w:val="17"/>
          <w:color w:val="auto"/>
        </w:rPr>
        <w:t>As of June 30, 2019, the total future firm minimum contracted revenue stood at $3.9 billion</w:t>
      </w:r>
      <w:r>
        <w:rPr>
          <w:rFonts w:ascii="Arial" w:cs="Arial" w:eastAsia="Arial" w:hAnsi="Arial"/>
          <w:sz w:val="22"/>
          <w:szCs w:val="22"/>
          <w:color w:val="auto"/>
          <w:vertAlign w:val="superscript"/>
        </w:rPr>
        <w:t>(1)</w:t>
      </w:r>
      <w:r>
        <w:rPr>
          <w:rFonts w:ascii="Arial" w:cs="Arial" w:eastAsia="Arial" w:hAnsi="Arial"/>
          <w:sz w:val="17"/>
          <w:szCs w:val="17"/>
          <w:color w:val="auto"/>
        </w:rPr>
        <w:t>, including the 15 vessels currently owned by GasLog Partners, but excluding the vessels operating in the spot market.</w:t>
      </w:r>
    </w:p>
    <w:p>
      <w:pPr>
        <w:spacing w:after="0" w:line="217" w:lineRule="exact"/>
        <w:rPr>
          <w:sz w:val="20"/>
          <w:szCs w:val="20"/>
          <w:color w:val="auto"/>
        </w:rPr>
      </w:pPr>
    </w:p>
    <w:p>
      <w:pPr>
        <w:ind w:left="6" w:right="160" w:hanging="6"/>
        <w:spacing w:after="0" w:line="234" w:lineRule="auto"/>
        <w:tabs>
          <w:tab w:leader="none" w:pos="14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Contracted revenue calculations assume: (a) 365 revenue days per annum, with 30 off-hire days when the ship undergoes scheduled dry-docking; (b) all LNG carriers on order are delivered on schedule; (c) no exercise of any option to extend the terms of charters; and (d) where charters are based on a variable rate of hire within an agreed range during the charter period, the lower end of the range.</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53" w:lineRule="exact"/>
        <w:rPr>
          <w:sz w:val="20"/>
          <w:szCs w:val="20"/>
          <w:color w:val="auto"/>
        </w:rPr>
      </w:pPr>
    </w:p>
    <w:p>
      <w:pPr>
        <w:ind w:left="6" w:right="340"/>
        <w:spacing w:after="0" w:line="275" w:lineRule="auto"/>
        <w:rPr>
          <w:sz w:val="20"/>
          <w:szCs w:val="20"/>
          <w:color w:val="auto"/>
        </w:rPr>
      </w:pPr>
      <w:r>
        <w:rPr>
          <w:rFonts w:ascii="Arial" w:cs="Arial" w:eastAsia="Arial" w:hAnsi="Arial"/>
          <w:sz w:val="17"/>
          <w:szCs w:val="17"/>
          <w:color w:val="auto"/>
        </w:rPr>
        <w:t>As of June 30, 2019, GasLog had $295.8 million of cash and cash equivalents, of which $186.8 million was held in time deposits and the remaining balance in current accounts. In addition, as of June 30, 2019, GasLog had $44.0 million held in time deposits with an initial duration of more than three months but less than a year that have been classified as short-term investments.</w:t>
      </w:r>
    </w:p>
    <w:p>
      <w:pPr>
        <w:spacing w:after="0" w:line="198" w:lineRule="exact"/>
        <w:rPr>
          <w:sz w:val="20"/>
          <w:szCs w:val="20"/>
          <w:color w:val="auto"/>
        </w:rPr>
      </w:pPr>
    </w:p>
    <w:p>
      <w:pPr>
        <w:ind w:left="6" w:right="60"/>
        <w:spacing w:after="0" w:line="267" w:lineRule="auto"/>
        <w:rPr>
          <w:sz w:val="20"/>
          <w:szCs w:val="20"/>
          <w:color w:val="auto"/>
        </w:rPr>
      </w:pPr>
      <w:r>
        <w:rPr>
          <w:rFonts w:ascii="Arial" w:cs="Arial" w:eastAsia="Arial" w:hAnsi="Arial"/>
          <w:sz w:val="17"/>
          <w:szCs w:val="17"/>
          <w:color w:val="auto"/>
        </w:rPr>
        <w:t xml:space="preserve">On March 6, 2019, the respective subsidiaries of GasLog Partners drew down $360.0 million under a new five-year amortizing revolving credit facility entered into on February 20, 2019 (the “2019 Partnership Facility”) and prepaid in full their aggregate outstanding debt of $354.5 million, which would have been due in November 2019. On April 1, 2019, the Partnership drew down an additional $75.0 million under the 2019 Partnership Facility. In addition, in March 2019, GasLog drew down $165.8 million to partially finance the delivery of the </w:t>
      </w:r>
      <w:r>
        <w:rPr>
          <w:rFonts w:ascii="Arial" w:cs="Arial" w:eastAsia="Arial" w:hAnsi="Arial"/>
          <w:sz w:val="17"/>
          <w:szCs w:val="17"/>
          <w:i w:val="1"/>
          <w:iCs w:val="1"/>
          <w:color w:val="auto"/>
        </w:rPr>
        <w:t>GasLog Gladstone</w:t>
      </w:r>
      <w:r>
        <w:rPr>
          <w:rFonts w:ascii="Arial" w:cs="Arial" w:eastAsia="Arial" w:hAnsi="Arial"/>
          <w:sz w:val="17"/>
          <w:szCs w:val="17"/>
          <w:color w:val="auto"/>
        </w:rPr>
        <w:t xml:space="preserve"> and repaid $91.2 million in accordance with the repayment terms under its loan facilities. On May 16, 2019, GasLog closed a follow-on issue of the 8.875% Senior Notes with net proceeds of $75.4 million. GasLog plans to use these proceeds to partially fund its committed newbuild program and for general corporate purposes, including working capital.</w:t>
      </w:r>
    </w:p>
    <w:p>
      <w:pPr>
        <w:spacing w:after="0" w:line="207" w:lineRule="exact"/>
        <w:rPr>
          <w:sz w:val="20"/>
          <w:szCs w:val="20"/>
          <w:color w:val="auto"/>
        </w:rPr>
      </w:pPr>
    </w:p>
    <w:p>
      <w:pPr>
        <w:ind w:left="6" w:right="580"/>
        <w:spacing w:after="0" w:line="288" w:lineRule="auto"/>
        <w:rPr>
          <w:sz w:val="20"/>
          <w:szCs w:val="20"/>
          <w:color w:val="auto"/>
        </w:rPr>
      </w:pPr>
      <w:r>
        <w:rPr>
          <w:rFonts w:ascii="Arial" w:cs="Arial" w:eastAsia="Arial" w:hAnsi="Arial"/>
          <w:sz w:val="17"/>
          <w:szCs w:val="17"/>
          <w:color w:val="auto"/>
        </w:rPr>
        <w:t>As of June 30, 2019, GasLog had an aggregate of $3.1 billion of indebtedness outstanding under its credit facilities and bond agreements, of which $196.6 million was repayable within one year, and $209.6 million of lease liabilities</w:t>
      </w:r>
      <w:r>
        <w:rPr>
          <w:rFonts w:ascii="Arial" w:cs="Arial" w:eastAsia="Arial" w:hAnsi="Arial"/>
          <w:sz w:val="17"/>
          <w:szCs w:val="17"/>
          <w:i w:val="1"/>
          <w:iCs w:val="1"/>
          <w:color w:val="auto"/>
        </w:rPr>
        <w:t>,</w:t>
      </w:r>
      <w:r>
        <w:rPr>
          <w:rFonts w:ascii="Arial" w:cs="Arial" w:eastAsia="Arial" w:hAnsi="Arial"/>
          <w:sz w:val="17"/>
          <w:szCs w:val="17"/>
          <w:color w:val="auto"/>
        </w:rPr>
        <w:t xml:space="preserve"> of which $9.1 million was payable within one year.</w:t>
      </w:r>
    </w:p>
    <w:p>
      <w:pPr>
        <w:spacing w:after="0" w:line="187" w:lineRule="exact"/>
        <w:rPr>
          <w:sz w:val="20"/>
          <w:szCs w:val="20"/>
          <w:color w:val="auto"/>
        </w:rPr>
      </w:pPr>
    </w:p>
    <w:p>
      <w:pPr>
        <w:ind w:left="6" w:right="300"/>
        <w:spacing w:after="0" w:line="321" w:lineRule="auto"/>
        <w:rPr>
          <w:sz w:val="20"/>
          <w:szCs w:val="20"/>
          <w:color w:val="auto"/>
        </w:rPr>
      </w:pPr>
      <w:r>
        <w:rPr>
          <w:rFonts w:ascii="Arial" w:cs="Arial" w:eastAsia="Arial" w:hAnsi="Arial"/>
          <w:sz w:val="16"/>
          <w:szCs w:val="16"/>
          <w:color w:val="auto"/>
        </w:rPr>
        <w:t>As of June 30, 2019, there was undrawn available capacity of $100.0 million under the revolving credit facility of the credit agreement of up to $1.1 billion entered into on July 19, 2016 (the “Legacy Facility Refinancing”). In addition, there was unused availability of $7.6 million under the 2019 Partnership Facility.</w:t>
      </w:r>
    </w:p>
    <w:p>
      <w:pPr>
        <w:spacing w:after="0" w:line="164" w:lineRule="exact"/>
        <w:rPr>
          <w:sz w:val="20"/>
          <w:szCs w:val="20"/>
          <w:color w:val="auto"/>
        </w:rPr>
      </w:pPr>
    </w:p>
    <w:p>
      <w:pPr>
        <w:ind w:left="6" w:right="100"/>
        <w:spacing w:after="0" w:line="288" w:lineRule="auto"/>
        <w:rPr>
          <w:sz w:val="20"/>
          <w:szCs w:val="20"/>
          <w:color w:val="auto"/>
        </w:rPr>
      </w:pPr>
      <w:r>
        <w:rPr>
          <w:rFonts w:ascii="Arial" w:cs="Arial" w:eastAsia="Arial" w:hAnsi="Arial"/>
          <w:sz w:val="17"/>
          <w:szCs w:val="17"/>
          <w:color w:val="auto"/>
        </w:rPr>
        <w:t>As of June 30, 2019, the total remaining balance of the contract prices of the eight LNG carriers on order was $1,315.9 million, which GasLog expects to be funded with cash balances, cash from operations and borrowings under new debt agreements.</w:t>
      </w:r>
    </w:p>
    <w:p>
      <w:pPr>
        <w:spacing w:after="0" w:line="187" w:lineRule="exact"/>
        <w:rPr>
          <w:sz w:val="20"/>
          <w:szCs w:val="20"/>
          <w:color w:val="auto"/>
        </w:rPr>
      </w:pPr>
    </w:p>
    <w:p>
      <w:pPr>
        <w:ind w:left="6" w:right="240"/>
        <w:spacing w:after="0" w:line="288" w:lineRule="auto"/>
        <w:rPr>
          <w:sz w:val="20"/>
          <w:szCs w:val="20"/>
          <w:color w:val="auto"/>
        </w:rPr>
      </w:pPr>
      <w:r>
        <w:rPr>
          <w:rFonts w:ascii="Arial" w:cs="Arial" w:eastAsia="Arial" w:hAnsi="Arial"/>
          <w:sz w:val="17"/>
          <w:szCs w:val="17"/>
          <w:color w:val="auto"/>
        </w:rPr>
        <w:t>As of June 30, 2019, GasLog’s current assets totaled $384.8 million, while current liabilities totaled $306.8 million, resulting in a positive working capital position of $78.0 million.</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7"/>
          <w:szCs w:val="17"/>
          <w:color w:val="auto"/>
        </w:rPr>
        <w:t>GasLog has hedged 45.3% of its expected floating interest rate exposure on its outstanding debt (excluding the lease liability) as of June 30, 2019.</w:t>
      </w:r>
    </w:p>
    <w:p>
      <w:pPr>
        <w:spacing w:after="0" w:line="241"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Future Deliveries</w:t>
      </w:r>
    </w:p>
    <w:p>
      <w:pPr>
        <w:spacing w:after="0" w:line="253" w:lineRule="exact"/>
        <w:rPr>
          <w:sz w:val="20"/>
          <w:szCs w:val="20"/>
          <w:color w:val="auto"/>
        </w:rPr>
      </w:pPr>
    </w:p>
    <w:p>
      <w:pPr>
        <w:ind w:left="6"/>
        <w:spacing w:after="0"/>
        <w:rPr>
          <w:sz w:val="20"/>
          <w:szCs w:val="20"/>
          <w:color w:val="auto"/>
        </w:rPr>
      </w:pPr>
      <w:r>
        <w:rPr>
          <w:rFonts w:ascii="Arial" w:cs="Arial" w:eastAsia="Arial" w:hAnsi="Arial"/>
          <w:sz w:val="17"/>
          <w:szCs w:val="17"/>
          <w:color w:val="auto"/>
        </w:rPr>
        <w:t>As of August 1, 2019, GasLog has seven newbuildings on order at Samsung which are on schedule and within budget:</w:t>
      </w:r>
    </w:p>
    <w:p>
      <w:pPr>
        <w:spacing w:after="0" w:line="241"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Cargo</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4"/>
        </w:trPr>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Capacity</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7"/>
                <w:szCs w:val="17"/>
                <w:b w:val="1"/>
                <w:bCs w:val="1"/>
                <w:color w:val="auto"/>
                <w:w w:val="94"/>
              </w:rPr>
              <w:t>Estimated Charter</w:t>
            </w:r>
          </w:p>
        </w:tc>
      </w:tr>
      <w:tr>
        <w:trPr>
          <w:trHeight w:val="230"/>
        </w:trPr>
        <w:tc>
          <w:tcPr>
            <w:tcW w:w="21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LNG Carrier</w:t>
            </w:r>
          </w:p>
        </w:tc>
        <w:tc>
          <w:tcPr>
            <w:tcW w:w="1760" w:type="dxa"/>
            <w:vAlign w:val="bottom"/>
            <w:gridSpan w:val="2"/>
          </w:tcPr>
          <w:p>
            <w:pPr>
              <w:jc w:val="center"/>
              <w:ind w:right="320"/>
              <w:spacing w:after="0" w:line="229" w:lineRule="exact"/>
              <w:rPr>
                <w:sz w:val="20"/>
                <w:szCs w:val="20"/>
                <w:color w:val="auto"/>
              </w:rPr>
            </w:pPr>
            <w:r>
              <w:rPr>
                <w:rFonts w:ascii="Arial" w:cs="Arial" w:eastAsia="Arial" w:hAnsi="Arial"/>
                <w:sz w:val="17"/>
                <w:szCs w:val="17"/>
                <w:b w:val="1"/>
                <w:bCs w:val="1"/>
                <w:color w:val="auto"/>
                <w:w w:val="90"/>
              </w:rPr>
              <w:t>Year Built</w:t>
            </w:r>
            <w:r>
              <w:rPr>
                <w:rFonts w:ascii="Arial" w:cs="Arial" w:eastAsia="Arial" w:hAnsi="Arial"/>
                <w:sz w:val="22"/>
                <w:szCs w:val="22"/>
                <w:b w:val="1"/>
                <w:bCs w:val="1"/>
                <w:color w:val="auto"/>
                <w:w w:val="90"/>
                <w:vertAlign w:val="superscript"/>
              </w:rPr>
              <w:t>(1)</w:t>
            </w:r>
          </w:p>
        </w:tc>
        <w:tc>
          <w:tcPr>
            <w:tcW w:w="15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Shipyard</w:t>
            </w:r>
          </w:p>
        </w:tc>
        <w:tc>
          <w:tcPr>
            <w:tcW w:w="14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(cbm)</w:t>
            </w: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Charterer</w:t>
            </w: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0"/>
              </w:rPr>
              <w:t>Propulsion</w:t>
            </w:r>
          </w:p>
        </w:tc>
        <w:tc>
          <w:tcPr>
            <w:tcW w:w="1900" w:type="dxa"/>
            <w:vAlign w:val="bottom"/>
          </w:tcPr>
          <w:p>
            <w:pPr>
              <w:jc w:val="center"/>
              <w:spacing w:after="0" w:line="229" w:lineRule="exact"/>
              <w:rPr>
                <w:sz w:val="20"/>
                <w:szCs w:val="20"/>
                <w:color w:val="auto"/>
              </w:rPr>
            </w:pPr>
            <w:r>
              <w:rPr>
                <w:rFonts w:ascii="Arial" w:cs="Arial" w:eastAsia="Arial" w:hAnsi="Arial"/>
                <w:sz w:val="17"/>
                <w:szCs w:val="17"/>
                <w:b w:val="1"/>
                <w:bCs w:val="1"/>
                <w:color w:val="auto"/>
                <w:w w:val="90"/>
              </w:rPr>
              <w:t>Expiration</w:t>
            </w:r>
            <w:r>
              <w:rPr>
                <w:rFonts w:ascii="Arial" w:cs="Arial" w:eastAsia="Arial" w:hAnsi="Arial"/>
                <w:sz w:val="22"/>
                <w:szCs w:val="22"/>
                <w:b w:val="1"/>
                <w:bCs w:val="1"/>
                <w:color w:val="auto"/>
                <w:w w:val="90"/>
                <w:vertAlign w:val="superscript"/>
              </w:rPr>
              <w:t>(2)</w:t>
            </w:r>
          </w:p>
        </w:tc>
      </w:tr>
      <w:tr>
        <w:trPr>
          <w:trHeight w:val="208"/>
        </w:trPr>
        <w:tc>
          <w:tcPr>
            <w:tcW w:w="18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Hull No. 2213</w:t>
            </w:r>
          </w:p>
        </w:tc>
        <w:tc>
          <w:tcPr>
            <w:tcW w:w="32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Q2 2020</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6"/>
              </w:rPr>
              <w:t>Samsung</w:t>
            </w:r>
          </w:p>
        </w:tc>
        <w:tc>
          <w:tcPr>
            <w:tcW w:w="300" w:type="dxa"/>
            <w:vAlign w:val="bottom"/>
            <w:tcBorders>
              <w:top w:val="single" w:sz="8" w:color="E5FFFF"/>
            </w:tcBorders>
            <w:shd w:val="clear" w:color="auto" w:fill="E5FFFF"/>
          </w:tcPr>
          <w:p>
            <w:pPr>
              <w:spacing w:after="0"/>
              <w:rPr>
                <w:sz w:val="18"/>
                <w:szCs w:val="18"/>
                <w:color w:val="auto"/>
              </w:rPr>
            </w:pPr>
          </w:p>
        </w:tc>
        <w:tc>
          <w:tcPr>
            <w:tcW w:w="11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7"/>
              </w:rPr>
              <w:t>180,000</w:t>
            </w:r>
          </w:p>
        </w:tc>
        <w:tc>
          <w:tcPr>
            <w:tcW w:w="3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center"/>
              <w:spacing w:after="0" w:line="208" w:lineRule="exact"/>
              <w:rPr>
                <w:sz w:val="20"/>
                <w:szCs w:val="20"/>
                <w:color w:val="auto"/>
              </w:rPr>
            </w:pPr>
            <w:r>
              <w:rPr>
                <w:rFonts w:ascii="Arial" w:cs="Arial" w:eastAsia="Arial" w:hAnsi="Arial"/>
                <w:sz w:val="17"/>
                <w:szCs w:val="17"/>
                <w:color w:val="auto"/>
                <w:w w:val="88"/>
              </w:rPr>
              <w:t>Centrica</w:t>
            </w:r>
            <w:r>
              <w:rPr>
                <w:rFonts w:ascii="Arial" w:cs="Arial" w:eastAsia="Arial" w:hAnsi="Arial"/>
                <w:sz w:val="22"/>
                <w:szCs w:val="22"/>
                <w:color w:val="auto"/>
                <w:w w:val="88"/>
                <w:vertAlign w:val="superscript"/>
              </w:rPr>
              <w:t>(3)</w:t>
            </w:r>
          </w:p>
        </w:tc>
        <w:tc>
          <w:tcPr>
            <w:tcW w:w="3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rPr>
              <w:t>X-DF</w:t>
            </w:r>
          </w:p>
        </w:tc>
        <w:tc>
          <w:tcPr>
            <w:tcW w:w="300" w:type="dxa"/>
            <w:vAlign w:val="bottom"/>
            <w:tcBorders>
              <w:top w:val="single" w:sz="8" w:color="E5FFFF"/>
            </w:tcBorders>
            <w:shd w:val="clear" w:color="auto" w:fill="E5FFFF"/>
          </w:tcPr>
          <w:p>
            <w:pPr>
              <w:spacing w:after="0"/>
              <w:rPr>
                <w:sz w:val="18"/>
                <w:szCs w:val="18"/>
                <w:color w:val="auto"/>
              </w:rPr>
            </w:pPr>
          </w:p>
        </w:tc>
        <w:tc>
          <w:tcPr>
            <w:tcW w:w="19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9"/>
              </w:rPr>
              <w:t>2027</w:t>
            </w:r>
          </w:p>
        </w:tc>
      </w:tr>
      <w:tr>
        <w:trPr>
          <w:trHeight w:val="214"/>
        </w:trPr>
        <w:tc>
          <w:tcPr>
            <w:tcW w:w="2120" w:type="dxa"/>
            <w:vAlign w:val="bottom"/>
            <w:gridSpan w:val="2"/>
          </w:tcPr>
          <w:p>
            <w:pPr>
              <w:spacing w:after="0"/>
              <w:rPr>
                <w:sz w:val="20"/>
                <w:szCs w:val="20"/>
                <w:color w:val="auto"/>
              </w:rPr>
            </w:pPr>
            <w:r>
              <w:rPr>
                <w:rFonts w:ascii="Arial" w:cs="Arial" w:eastAsia="Arial" w:hAnsi="Arial"/>
                <w:sz w:val="17"/>
                <w:szCs w:val="17"/>
                <w:color w:val="auto"/>
              </w:rPr>
              <w:t>Hull No. 2274</w:t>
            </w:r>
          </w:p>
        </w:tc>
        <w:tc>
          <w:tcPr>
            <w:tcW w:w="17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Q2 2020</w:t>
            </w:r>
          </w:p>
        </w:tc>
        <w:tc>
          <w:tcPr>
            <w:tcW w:w="1500" w:type="dxa"/>
            <w:vAlign w:val="bottom"/>
            <w:gridSpan w:val="2"/>
          </w:tcPr>
          <w:p>
            <w:pPr>
              <w:jc w:val="center"/>
              <w:ind w:right="320"/>
              <w:spacing w:after="0"/>
              <w:rPr>
                <w:sz w:val="20"/>
                <w:szCs w:val="20"/>
                <w:color w:val="auto"/>
              </w:rPr>
            </w:pPr>
            <w:r>
              <w:rPr>
                <w:rFonts w:ascii="Arial" w:cs="Arial" w:eastAsia="Arial" w:hAnsi="Arial"/>
                <w:sz w:val="17"/>
                <w:szCs w:val="17"/>
                <w:color w:val="auto"/>
                <w:w w:val="86"/>
              </w:rPr>
              <w:t>Samsung</w:t>
            </w: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180,000</w:t>
            </w:r>
          </w:p>
        </w:tc>
        <w:tc>
          <w:tcPr>
            <w:tcW w:w="300" w:type="dxa"/>
            <w:vAlign w:val="bottom"/>
          </w:tcPr>
          <w:p>
            <w:pPr>
              <w:spacing w:after="0"/>
              <w:rPr>
                <w:sz w:val="18"/>
                <w:szCs w:val="18"/>
                <w:color w:val="auto"/>
              </w:rPr>
            </w:pPr>
          </w:p>
        </w:tc>
        <w:tc>
          <w:tcPr>
            <w:tcW w:w="1620" w:type="dxa"/>
            <w:vAlign w:val="bottom"/>
            <w:gridSpan w:val="2"/>
          </w:tcPr>
          <w:p>
            <w:pPr>
              <w:jc w:val="center"/>
              <w:ind w:right="280"/>
              <w:spacing w:after="0" w:line="213" w:lineRule="exact"/>
              <w:rPr>
                <w:sz w:val="20"/>
                <w:szCs w:val="20"/>
                <w:color w:val="auto"/>
              </w:rPr>
            </w:pPr>
            <w:r>
              <w:rPr>
                <w:rFonts w:ascii="Arial" w:cs="Arial" w:eastAsia="Arial" w:hAnsi="Arial"/>
                <w:sz w:val="17"/>
                <w:szCs w:val="17"/>
                <w:color w:val="auto"/>
                <w:w w:val="87"/>
              </w:rPr>
              <w:t>JERA</w:t>
            </w:r>
            <w:r>
              <w:rPr>
                <w:rFonts w:ascii="Arial" w:cs="Arial" w:eastAsia="Arial" w:hAnsi="Arial"/>
                <w:sz w:val="22"/>
                <w:szCs w:val="22"/>
                <w:color w:val="auto"/>
                <w:w w:val="87"/>
                <w:vertAlign w:val="superscript"/>
              </w:rPr>
              <w:t>(4)</w:t>
            </w: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color w:val="auto"/>
              </w:rPr>
              <w:t>X-DF</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2032</w:t>
            </w:r>
          </w:p>
        </w:tc>
      </w:tr>
      <w:tr>
        <w:trPr>
          <w:trHeight w:val="214"/>
        </w:trPr>
        <w:tc>
          <w:tcPr>
            <w:tcW w:w="21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Hull No. 2262</w:t>
            </w:r>
          </w:p>
        </w:tc>
        <w:tc>
          <w:tcPr>
            <w:tcW w:w="1760" w:type="dxa"/>
            <w:vAlign w:val="bottom"/>
            <w:gridSpan w:val="2"/>
            <w:shd w:val="clear" w:color="auto" w:fill="E5FFFF"/>
          </w:tcPr>
          <w:p>
            <w:pPr>
              <w:jc w:val="center"/>
              <w:ind w:right="320"/>
              <w:spacing w:after="0"/>
              <w:rPr>
                <w:sz w:val="20"/>
                <w:szCs w:val="20"/>
                <w:color w:val="auto"/>
              </w:rPr>
            </w:pPr>
            <w:r>
              <w:rPr>
                <w:rFonts w:ascii="Arial" w:cs="Arial" w:eastAsia="Arial" w:hAnsi="Arial"/>
                <w:sz w:val="17"/>
                <w:szCs w:val="17"/>
                <w:color w:val="auto"/>
                <w:w w:val="91"/>
              </w:rPr>
              <w:t>Q3 2020</w:t>
            </w:r>
          </w:p>
        </w:tc>
        <w:tc>
          <w:tcPr>
            <w:tcW w:w="1500" w:type="dxa"/>
            <w:vAlign w:val="bottom"/>
            <w:gridSpan w:val="2"/>
            <w:shd w:val="clear" w:color="auto" w:fill="E5FFFF"/>
          </w:tcPr>
          <w:p>
            <w:pPr>
              <w:jc w:val="center"/>
              <w:ind w:right="320"/>
              <w:spacing w:after="0"/>
              <w:rPr>
                <w:sz w:val="20"/>
                <w:szCs w:val="20"/>
                <w:color w:val="auto"/>
              </w:rPr>
            </w:pPr>
            <w:r>
              <w:rPr>
                <w:rFonts w:ascii="Arial" w:cs="Arial" w:eastAsia="Arial" w:hAnsi="Arial"/>
                <w:sz w:val="17"/>
                <w:szCs w:val="17"/>
                <w:color w:val="auto"/>
                <w:w w:val="86"/>
              </w:rPr>
              <w:t>Samsung</w:t>
            </w:r>
          </w:p>
        </w:tc>
        <w:tc>
          <w:tcPr>
            <w:tcW w:w="11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7"/>
              </w:rPr>
              <w:t>180,000</w:t>
            </w:r>
          </w:p>
        </w:tc>
        <w:tc>
          <w:tcPr>
            <w:tcW w:w="3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center"/>
              <w:ind w:right="300"/>
              <w:spacing w:after="0" w:line="213" w:lineRule="exact"/>
              <w:rPr>
                <w:sz w:val="20"/>
                <w:szCs w:val="20"/>
                <w:color w:val="auto"/>
              </w:rPr>
            </w:pPr>
            <w:r>
              <w:rPr>
                <w:rFonts w:ascii="Arial" w:cs="Arial" w:eastAsia="Arial" w:hAnsi="Arial"/>
                <w:sz w:val="17"/>
                <w:szCs w:val="17"/>
                <w:color w:val="auto"/>
                <w:w w:val="88"/>
              </w:rPr>
              <w:t>Centrica</w:t>
            </w:r>
            <w:r>
              <w:rPr>
                <w:rFonts w:ascii="Arial" w:cs="Arial" w:eastAsia="Arial" w:hAnsi="Arial"/>
                <w:sz w:val="22"/>
                <w:szCs w:val="22"/>
                <w:color w:val="auto"/>
                <w:w w:val="88"/>
                <w:vertAlign w:val="superscript"/>
              </w:rPr>
              <w:t>(3)</w:t>
            </w:r>
          </w:p>
        </w:tc>
        <w:tc>
          <w:tcPr>
            <w:tcW w:w="16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rPr>
              <w:t>X-DF</w:t>
            </w:r>
          </w:p>
        </w:tc>
        <w:tc>
          <w:tcPr>
            <w:tcW w:w="19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2027</w:t>
            </w:r>
          </w:p>
        </w:tc>
      </w:tr>
      <w:tr>
        <w:trPr>
          <w:trHeight w:val="214"/>
        </w:trPr>
        <w:tc>
          <w:tcPr>
            <w:tcW w:w="2120" w:type="dxa"/>
            <w:vAlign w:val="bottom"/>
            <w:gridSpan w:val="2"/>
          </w:tcPr>
          <w:p>
            <w:pPr>
              <w:spacing w:after="0"/>
              <w:rPr>
                <w:sz w:val="20"/>
                <w:szCs w:val="20"/>
                <w:color w:val="auto"/>
              </w:rPr>
            </w:pPr>
            <w:r>
              <w:rPr>
                <w:rFonts w:ascii="Arial" w:cs="Arial" w:eastAsia="Arial" w:hAnsi="Arial"/>
                <w:sz w:val="17"/>
                <w:szCs w:val="17"/>
                <w:color w:val="auto"/>
              </w:rPr>
              <w:t>Hull No. 2300</w:t>
            </w:r>
          </w:p>
        </w:tc>
        <w:tc>
          <w:tcPr>
            <w:tcW w:w="17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Q4 2020</w:t>
            </w:r>
          </w:p>
        </w:tc>
        <w:tc>
          <w:tcPr>
            <w:tcW w:w="1500" w:type="dxa"/>
            <w:vAlign w:val="bottom"/>
            <w:gridSpan w:val="2"/>
          </w:tcPr>
          <w:p>
            <w:pPr>
              <w:jc w:val="center"/>
              <w:ind w:right="320"/>
              <w:spacing w:after="0"/>
              <w:rPr>
                <w:sz w:val="20"/>
                <w:szCs w:val="20"/>
                <w:color w:val="auto"/>
              </w:rPr>
            </w:pPr>
            <w:r>
              <w:rPr>
                <w:rFonts w:ascii="Arial" w:cs="Arial" w:eastAsia="Arial" w:hAnsi="Arial"/>
                <w:sz w:val="17"/>
                <w:szCs w:val="17"/>
                <w:color w:val="auto"/>
                <w:w w:val="86"/>
              </w:rPr>
              <w:t>Samsung</w:t>
            </w: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174,000</w:t>
            </w:r>
          </w:p>
        </w:tc>
        <w:tc>
          <w:tcPr>
            <w:tcW w:w="300" w:type="dxa"/>
            <w:vAlign w:val="bottom"/>
          </w:tcPr>
          <w:p>
            <w:pPr>
              <w:spacing w:after="0"/>
              <w:rPr>
                <w:sz w:val="18"/>
                <w:szCs w:val="18"/>
                <w:color w:val="auto"/>
              </w:rPr>
            </w:pPr>
          </w:p>
        </w:tc>
        <w:tc>
          <w:tcPr>
            <w:tcW w:w="1620" w:type="dxa"/>
            <w:vAlign w:val="bottom"/>
            <w:gridSpan w:val="2"/>
          </w:tcPr>
          <w:p>
            <w:pPr>
              <w:jc w:val="center"/>
              <w:ind w:right="300"/>
              <w:spacing w:after="0" w:line="213" w:lineRule="exact"/>
              <w:rPr>
                <w:sz w:val="20"/>
                <w:szCs w:val="20"/>
                <w:color w:val="auto"/>
              </w:rPr>
            </w:pPr>
            <w:r>
              <w:rPr>
                <w:rFonts w:ascii="Arial" w:cs="Arial" w:eastAsia="Arial" w:hAnsi="Arial"/>
                <w:sz w:val="17"/>
                <w:szCs w:val="17"/>
                <w:color w:val="auto"/>
                <w:w w:val="87"/>
              </w:rPr>
              <w:t>Cheniere</w:t>
            </w:r>
            <w:r>
              <w:rPr>
                <w:rFonts w:ascii="Arial" w:cs="Arial" w:eastAsia="Arial" w:hAnsi="Arial"/>
                <w:sz w:val="22"/>
                <w:szCs w:val="22"/>
                <w:color w:val="auto"/>
                <w:w w:val="87"/>
                <w:vertAlign w:val="superscript"/>
              </w:rPr>
              <w:t>(5)</w:t>
            </w: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color w:val="auto"/>
              </w:rPr>
              <w:t>X-DF</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2027</w:t>
            </w:r>
          </w:p>
        </w:tc>
      </w:tr>
      <w:tr>
        <w:trPr>
          <w:trHeight w:val="214"/>
        </w:trPr>
        <w:tc>
          <w:tcPr>
            <w:tcW w:w="21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Hull No. 2301</w:t>
            </w:r>
          </w:p>
        </w:tc>
        <w:tc>
          <w:tcPr>
            <w:tcW w:w="1760" w:type="dxa"/>
            <w:vAlign w:val="bottom"/>
            <w:gridSpan w:val="2"/>
            <w:shd w:val="clear" w:color="auto" w:fill="E5FFFF"/>
          </w:tcPr>
          <w:p>
            <w:pPr>
              <w:jc w:val="center"/>
              <w:ind w:right="320"/>
              <w:spacing w:after="0"/>
              <w:rPr>
                <w:sz w:val="20"/>
                <w:szCs w:val="20"/>
                <w:color w:val="auto"/>
              </w:rPr>
            </w:pPr>
            <w:r>
              <w:rPr>
                <w:rFonts w:ascii="Arial" w:cs="Arial" w:eastAsia="Arial" w:hAnsi="Arial"/>
                <w:sz w:val="17"/>
                <w:szCs w:val="17"/>
                <w:color w:val="auto"/>
                <w:w w:val="91"/>
              </w:rPr>
              <w:t>Q4 2020</w:t>
            </w:r>
          </w:p>
        </w:tc>
        <w:tc>
          <w:tcPr>
            <w:tcW w:w="1500" w:type="dxa"/>
            <w:vAlign w:val="bottom"/>
            <w:gridSpan w:val="2"/>
            <w:shd w:val="clear" w:color="auto" w:fill="E5FFFF"/>
          </w:tcPr>
          <w:p>
            <w:pPr>
              <w:jc w:val="center"/>
              <w:ind w:right="320"/>
              <w:spacing w:after="0"/>
              <w:rPr>
                <w:sz w:val="20"/>
                <w:szCs w:val="20"/>
                <w:color w:val="auto"/>
              </w:rPr>
            </w:pPr>
            <w:r>
              <w:rPr>
                <w:rFonts w:ascii="Arial" w:cs="Arial" w:eastAsia="Arial" w:hAnsi="Arial"/>
                <w:sz w:val="17"/>
                <w:szCs w:val="17"/>
                <w:color w:val="auto"/>
                <w:w w:val="86"/>
              </w:rPr>
              <w:t>Samsung</w:t>
            </w:r>
          </w:p>
        </w:tc>
        <w:tc>
          <w:tcPr>
            <w:tcW w:w="11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7"/>
              </w:rPr>
              <w:t>174,000</w:t>
            </w:r>
          </w:p>
        </w:tc>
        <w:tc>
          <w:tcPr>
            <w:tcW w:w="3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center"/>
              <w:ind w:right="300"/>
              <w:spacing w:after="0" w:line="213" w:lineRule="exact"/>
              <w:rPr>
                <w:sz w:val="20"/>
                <w:szCs w:val="20"/>
                <w:color w:val="auto"/>
              </w:rPr>
            </w:pPr>
            <w:r>
              <w:rPr>
                <w:rFonts w:ascii="Arial" w:cs="Arial" w:eastAsia="Arial" w:hAnsi="Arial"/>
                <w:sz w:val="17"/>
                <w:szCs w:val="17"/>
                <w:color w:val="auto"/>
                <w:w w:val="87"/>
              </w:rPr>
              <w:t>Cheniere</w:t>
            </w:r>
            <w:r>
              <w:rPr>
                <w:rFonts w:ascii="Arial" w:cs="Arial" w:eastAsia="Arial" w:hAnsi="Arial"/>
                <w:sz w:val="22"/>
                <w:szCs w:val="22"/>
                <w:color w:val="auto"/>
                <w:w w:val="87"/>
                <w:vertAlign w:val="superscript"/>
              </w:rPr>
              <w:t>(5)</w:t>
            </w:r>
          </w:p>
        </w:tc>
        <w:tc>
          <w:tcPr>
            <w:tcW w:w="16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rPr>
              <w:t>X-DF</w:t>
            </w:r>
          </w:p>
        </w:tc>
        <w:tc>
          <w:tcPr>
            <w:tcW w:w="19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2027</w:t>
            </w:r>
          </w:p>
        </w:tc>
      </w:tr>
      <w:tr>
        <w:trPr>
          <w:trHeight w:val="214"/>
        </w:trPr>
        <w:tc>
          <w:tcPr>
            <w:tcW w:w="2120" w:type="dxa"/>
            <w:vAlign w:val="bottom"/>
            <w:gridSpan w:val="2"/>
          </w:tcPr>
          <w:p>
            <w:pPr>
              <w:spacing w:after="0"/>
              <w:rPr>
                <w:sz w:val="20"/>
                <w:szCs w:val="20"/>
                <w:color w:val="auto"/>
              </w:rPr>
            </w:pPr>
            <w:r>
              <w:rPr>
                <w:rFonts w:ascii="Arial" w:cs="Arial" w:eastAsia="Arial" w:hAnsi="Arial"/>
                <w:sz w:val="17"/>
                <w:szCs w:val="17"/>
                <w:color w:val="auto"/>
              </w:rPr>
              <w:t>Hull No. 2311</w:t>
            </w:r>
          </w:p>
        </w:tc>
        <w:tc>
          <w:tcPr>
            <w:tcW w:w="176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Q2 2021</w:t>
            </w:r>
          </w:p>
        </w:tc>
        <w:tc>
          <w:tcPr>
            <w:tcW w:w="1500" w:type="dxa"/>
            <w:vAlign w:val="bottom"/>
            <w:gridSpan w:val="2"/>
          </w:tcPr>
          <w:p>
            <w:pPr>
              <w:jc w:val="center"/>
              <w:ind w:right="320"/>
              <w:spacing w:after="0"/>
              <w:rPr>
                <w:sz w:val="20"/>
                <w:szCs w:val="20"/>
                <w:color w:val="auto"/>
              </w:rPr>
            </w:pPr>
            <w:r>
              <w:rPr>
                <w:rFonts w:ascii="Arial" w:cs="Arial" w:eastAsia="Arial" w:hAnsi="Arial"/>
                <w:sz w:val="17"/>
                <w:szCs w:val="17"/>
                <w:color w:val="auto"/>
                <w:w w:val="86"/>
              </w:rPr>
              <w:t>Samsung</w:t>
            </w:r>
          </w:p>
        </w:tc>
        <w:tc>
          <w:tcPr>
            <w:tcW w:w="1180" w:type="dxa"/>
            <w:vAlign w:val="bottom"/>
          </w:tcPr>
          <w:p>
            <w:pPr>
              <w:jc w:val="center"/>
              <w:spacing w:after="0"/>
              <w:rPr>
                <w:sz w:val="20"/>
                <w:szCs w:val="20"/>
                <w:color w:val="auto"/>
              </w:rPr>
            </w:pPr>
            <w:r>
              <w:rPr>
                <w:rFonts w:ascii="Arial" w:cs="Arial" w:eastAsia="Arial" w:hAnsi="Arial"/>
                <w:sz w:val="17"/>
                <w:szCs w:val="17"/>
                <w:color w:val="auto"/>
                <w:w w:val="87"/>
              </w:rPr>
              <w:t>180,000</w:t>
            </w:r>
          </w:p>
        </w:tc>
        <w:tc>
          <w:tcPr>
            <w:tcW w:w="300" w:type="dxa"/>
            <w:vAlign w:val="bottom"/>
          </w:tcPr>
          <w:p>
            <w:pPr>
              <w:spacing w:after="0"/>
              <w:rPr>
                <w:sz w:val="18"/>
                <w:szCs w:val="18"/>
                <w:color w:val="auto"/>
              </w:rPr>
            </w:pPr>
          </w:p>
        </w:tc>
        <w:tc>
          <w:tcPr>
            <w:tcW w:w="1620" w:type="dxa"/>
            <w:vAlign w:val="bottom"/>
            <w:gridSpan w:val="2"/>
          </w:tcPr>
          <w:p>
            <w:pPr>
              <w:jc w:val="center"/>
              <w:ind w:right="300"/>
              <w:spacing w:after="0" w:line="213" w:lineRule="exact"/>
              <w:rPr>
                <w:sz w:val="20"/>
                <w:szCs w:val="20"/>
                <w:color w:val="auto"/>
              </w:rPr>
            </w:pPr>
            <w:r>
              <w:rPr>
                <w:rFonts w:ascii="Arial" w:cs="Arial" w:eastAsia="Arial" w:hAnsi="Arial"/>
                <w:sz w:val="17"/>
                <w:szCs w:val="17"/>
                <w:color w:val="auto"/>
                <w:w w:val="87"/>
              </w:rPr>
              <w:t>Cheniere</w:t>
            </w:r>
            <w:r>
              <w:rPr>
                <w:rFonts w:ascii="Arial" w:cs="Arial" w:eastAsia="Arial" w:hAnsi="Arial"/>
                <w:sz w:val="22"/>
                <w:szCs w:val="22"/>
                <w:color w:val="auto"/>
                <w:w w:val="87"/>
                <w:vertAlign w:val="superscript"/>
              </w:rPr>
              <w:t>(5)</w:t>
            </w: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color w:val="auto"/>
              </w:rPr>
              <w:t>X-DF</w:t>
            </w:r>
          </w:p>
        </w:tc>
        <w:tc>
          <w:tcPr>
            <w:tcW w:w="1900" w:type="dxa"/>
            <w:vAlign w:val="bottom"/>
          </w:tcPr>
          <w:p>
            <w:pPr>
              <w:jc w:val="center"/>
              <w:spacing w:after="0"/>
              <w:rPr>
                <w:sz w:val="20"/>
                <w:szCs w:val="20"/>
                <w:color w:val="auto"/>
              </w:rPr>
            </w:pPr>
            <w:r>
              <w:rPr>
                <w:rFonts w:ascii="Arial" w:cs="Arial" w:eastAsia="Arial" w:hAnsi="Arial"/>
                <w:sz w:val="17"/>
                <w:szCs w:val="17"/>
                <w:color w:val="auto"/>
                <w:w w:val="89"/>
              </w:rPr>
              <w:t>2028</w:t>
            </w:r>
          </w:p>
        </w:tc>
      </w:tr>
      <w:tr>
        <w:trPr>
          <w:trHeight w:val="214"/>
        </w:trPr>
        <w:tc>
          <w:tcPr>
            <w:tcW w:w="21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Hull No. 2312</w:t>
            </w:r>
          </w:p>
        </w:tc>
        <w:tc>
          <w:tcPr>
            <w:tcW w:w="1760" w:type="dxa"/>
            <w:vAlign w:val="bottom"/>
            <w:gridSpan w:val="2"/>
            <w:shd w:val="clear" w:color="auto" w:fill="E5FFFF"/>
          </w:tcPr>
          <w:p>
            <w:pPr>
              <w:jc w:val="center"/>
              <w:ind w:right="320"/>
              <w:spacing w:after="0"/>
              <w:rPr>
                <w:sz w:val="20"/>
                <w:szCs w:val="20"/>
                <w:color w:val="auto"/>
              </w:rPr>
            </w:pPr>
            <w:r>
              <w:rPr>
                <w:rFonts w:ascii="Arial" w:cs="Arial" w:eastAsia="Arial" w:hAnsi="Arial"/>
                <w:sz w:val="17"/>
                <w:szCs w:val="17"/>
                <w:color w:val="auto"/>
                <w:w w:val="91"/>
              </w:rPr>
              <w:t>Q3 2021</w:t>
            </w:r>
          </w:p>
        </w:tc>
        <w:tc>
          <w:tcPr>
            <w:tcW w:w="1500" w:type="dxa"/>
            <w:vAlign w:val="bottom"/>
            <w:gridSpan w:val="2"/>
            <w:shd w:val="clear" w:color="auto" w:fill="E5FFFF"/>
          </w:tcPr>
          <w:p>
            <w:pPr>
              <w:jc w:val="center"/>
              <w:ind w:right="320"/>
              <w:spacing w:after="0"/>
              <w:rPr>
                <w:sz w:val="20"/>
                <w:szCs w:val="20"/>
                <w:color w:val="auto"/>
              </w:rPr>
            </w:pPr>
            <w:r>
              <w:rPr>
                <w:rFonts w:ascii="Arial" w:cs="Arial" w:eastAsia="Arial" w:hAnsi="Arial"/>
                <w:sz w:val="17"/>
                <w:szCs w:val="17"/>
                <w:color w:val="auto"/>
                <w:w w:val="86"/>
              </w:rPr>
              <w:t>Samsung</w:t>
            </w:r>
          </w:p>
        </w:tc>
        <w:tc>
          <w:tcPr>
            <w:tcW w:w="11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7"/>
              </w:rPr>
              <w:t>180,000</w:t>
            </w:r>
          </w:p>
        </w:tc>
        <w:tc>
          <w:tcPr>
            <w:tcW w:w="30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center"/>
              <w:ind w:right="300"/>
              <w:spacing w:after="0" w:line="213" w:lineRule="exact"/>
              <w:rPr>
                <w:sz w:val="20"/>
                <w:szCs w:val="20"/>
                <w:color w:val="auto"/>
              </w:rPr>
            </w:pPr>
            <w:r>
              <w:rPr>
                <w:rFonts w:ascii="Arial" w:cs="Arial" w:eastAsia="Arial" w:hAnsi="Arial"/>
                <w:sz w:val="17"/>
                <w:szCs w:val="17"/>
                <w:color w:val="auto"/>
                <w:w w:val="87"/>
              </w:rPr>
              <w:t>Cheniere</w:t>
            </w:r>
            <w:r>
              <w:rPr>
                <w:rFonts w:ascii="Arial" w:cs="Arial" w:eastAsia="Arial" w:hAnsi="Arial"/>
                <w:sz w:val="22"/>
                <w:szCs w:val="22"/>
                <w:color w:val="auto"/>
                <w:w w:val="87"/>
                <w:vertAlign w:val="superscript"/>
              </w:rPr>
              <w:t>(5)</w:t>
            </w:r>
          </w:p>
        </w:tc>
        <w:tc>
          <w:tcPr>
            <w:tcW w:w="1620" w:type="dxa"/>
            <w:vAlign w:val="bottom"/>
            <w:gridSpan w:val="2"/>
            <w:shd w:val="clear" w:color="auto" w:fill="E5FFFF"/>
          </w:tcPr>
          <w:p>
            <w:pPr>
              <w:jc w:val="center"/>
              <w:ind w:right="300"/>
              <w:spacing w:after="0"/>
              <w:rPr>
                <w:sz w:val="20"/>
                <w:szCs w:val="20"/>
                <w:color w:val="auto"/>
              </w:rPr>
            </w:pPr>
            <w:r>
              <w:rPr>
                <w:rFonts w:ascii="Arial" w:cs="Arial" w:eastAsia="Arial" w:hAnsi="Arial"/>
                <w:sz w:val="17"/>
                <w:szCs w:val="17"/>
                <w:color w:val="auto"/>
              </w:rPr>
              <w:t>X-DF</w:t>
            </w:r>
          </w:p>
        </w:tc>
        <w:tc>
          <w:tcPr>
            <w:tcW w:w="19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33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3730" cy="8890"/>
                    </a:xfrm>
                    <a:prstGeom prst="rect">
                      <a:avLst/>
                    </a:prstGeom>
                    <a:noFill/>
                  </pic:spPr>
                </pic:pic>
              </a:graphicData>
            </a:graphic>
          </wp:anchor>
        </w:drawing>
      </w:r>
    </w:p>
    <w:p>
      <w:pPr>
        <w:spacing w:after="0" w:line="139" w:lineRule="exact"/>
        <w:rPr>
          <w:sz w:val="20"/>
          <w:szCs w:val="20"/>
          <w:color w:val="auto"/>
        </w:rPr>
      </w:pPr>
    </w:p>
    <w:p>
      <w:pPr>
        <w:ind w:left="266" w:hanging="266"/>
        <w:spacing w:after="0"/>
        <w:tabs>
          <w:tab w:leader="none" w:pos="26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Expected delivery quarters are presented.</w:t>
      </w:r>
    </w:p>
    <w:p>
      <w:pPr>
        <w:ind w:left="266" w:hanging="266"/>
        <w:spacing w:after="0" w:line="181" w:lineRule="auto"/>
        <w:tabs>
          <w:tab w:leader="none" w:pos="26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Charter expiration to be determined based upon actual date of delivery.</w:t>
      </w:r>
    </w:p>
    <w:p>
      <w:pPr>
        <w:ind w:left="266" w:hanging="266"/>
        <w:spacing w:after="0" w:line="181" w:lineRule="auto"/>
        <w:tabs>
          <w:tab w:leader="none" w:pos="26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Pioneer Shipping Limited, a wholly owned subsidiary of Centrica plc (“Centrica”).</w:t>
      </w:r>
    </w:p>
    <w:p>
      <w:pPr>
        <w:ind w:left="266" w:hanging="266"/>
        <w:spacing w:after="0" w:line="181" w:lineRule="auto"/>
        <w:tabs>
          <w:tab w:leader="none" w:pos="266"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vessel is chartered to the principal LNG shipping entity of JERA Co., Inc (“JERA”).</w:t>
      </w:r>
    </w:p>
    <w:p>
      <w:pPr>
        <w:ind w:left="266" w:hanging="266"/>
        <w:spacing w:after="0" w:line="197" w:lineRule="auto"/>
        <w:tabs>
          <w:tab w:leader="none" w:pos="26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The vessel is chartered to a wholly owned subsidiary of Cheniere.</w:t>
      </w:r>
    </w:p>
    <w:p>
      <w:pPr>
        <w:spacing w:after="0" w:line="197" w:lineRule="exact"/>
        <w:rPr>
          <w:sz w:val="20"/>
          <w:szCs w:val="20"/>
          <w:color w:val="auto"/>
        </w:rPr>
      </w:pPr>
    </w:p>
    <w:p>
      <w:pPr>
        <w:ind w:left="6"/>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253" w:lineRule="exact"/>
        <w:rPr>
          <w:sz w:val="20"/>
          <w:szCs w:val="20"/>
          <w:color w:val="auto"/>
        </w:rPr>
      </w:pPr>
    </w:p>
    <w:p>
      <w:pPr>
        <w:ind w:left="6" w:right="20"/>
        <w:spacing w:after="0" w:line="275" w:lineRule="auto"/>
        <w:rPr>
          <w:sz w:val="20"/>
          <w:szCs w:val="20"/>
          <w:color w:val="auto"/>
        </w:rPr>
      </w:pPr>
      <w:r>
        <w:rPr>
          <w:rFonts w:ascii="Arial" w:cs="Arial" w:eastAsia="Arial" w:hAnsi="Arial"/>
          <w:sz w:val="17"/>
          <w:szCs w:val="17"/>
          <w:color w:val="auto"/>
        </w:rPr>
        <w:t>GasLog will host a conference call to discuss its results for the second quarter of 2019 at 8:30 a.m. EDT (1:30 p.m. BST) on Thursday, August 1, 2019. Paul Wogan, Chief Executive Officer, and Alastair Maxwell, Chief Financial Officer, will review the Company’s operational and financial performance for the period. Management’s presentation will be followed by a Q&amp;A session.</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dial-in numbers for the conference call are as follows:</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7"/>
          <w:szCs w:val="17"/>
          <w:color w:val="auto"/>
        </w:rPr>
        <w:t>+1 855 253 8928 (USA)</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7"/>
          <w:szCs w:val="17"/>
          <w:color w:val="auto"/>
        </w:rPr>
        <w:t>+44 20 3107 0289 (United Kingdom)</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7"/>
          <w:szCs w:val="17"/>
          <w:color w:val="auto"/>
        </w:rPr>
        <w:t>+33 1 70 80 71 53 (France)</w:t>
      </w:r>
    </w:p>
    <w:p>
      <w:pPr>
        <w:spacing w:after="0" w:line="235"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64667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2" w:right="120" w:bottom="305"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+852 3011 4522 (Hong Kong)</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Conference ID: 5519819</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also be available on the Investor Relations page of the Company’s website at </w:t>
      </w:r>
      <w:r>
        <w:rPr>
          <w:rFonts w:ascii="Arial" w:cs="Arial" w:eastAsia="Arial" w:hAnsi="Arial"/>
          <w:sz w:val="16"/>
          <w:szCs w:val="16"/>
          <w:u w:val="single" w:color="auto"/>
          <w:color w:val="0000FF"/>
        </w:rPr>
        <w:t>http://www.gaslogltd.com/investor-relations</w:t>
      </w:r>
      <w:r>
        <w:rPr>
          <w:rFonts w:ascii="Arial" w:cs="Arial" w:eastAsia="Arial" w:hAnsi="Arial"/>
          <w:sz w:val="16"/>
          <w:szCs w:val="16"/>
          <w:color w:val="auto"/>
        </w:rPr>
        <w:t>.</w:t>
      </w:r>
    </w:p>
    <w:p>
      <w:pPr>
        <w:spacing w:after="0" w:line="258" w:lineRule="exact"/>
        <w:rPr>
          <w:sz w:val="20"/>
          <w:szCs w:val="20"/>
          <w:color w:val="auto"/>
        </w:rPr>
      </w:pPr>
    </w:p>
    <w:p>
      <w:pPr>
        <w:ind w:right="1420"/>
        <w:spacing w:after="0" w:line="288" w:lineRule="auto"/>
        <w:rPr>
          <w:sz w:val="20"/>
          <w:szCs w:val="20"/>
          <w:color w:val="auto"/>
        </w:rPr>
      </w:pPr>
      <w:r>
        <w:rPr>
          <w:rFonts w:ascii="Arial" w:cs="Arial" w:eastAsia="Arial" w:hAnsi="Arial"/>
          <w:sz w:val="17"/>
          <w:szCs w:val="17"/>
          <w:color w:val="auto"/>
        </w:rPr>
        <w:t xml:space="preserve">For those unable to participate in the conference call, a replay of the webcast will be available on the Investor Relations page of the Company’s website at </w:t>
      </w:r>
      <w:r>
        <w:rPr>
          <w:rFonts w:ascii="Arial" w:cs="Arial" w:eastAsia="Arial" w:hAnsi="Arial"/>
          <w:sz w:val="17"/>
          <w:szCs w:val="17"/>
          <w:u w:val="single" w:color="auto"/>
          <w:color w:val="0000FF"/>
        </w:rPr>
        <w:t>http://www.gaslogltd.com/investor-relations</w:t>
      </w:r>
      <w:r>
        <w:rPr>
          <w:rFonts w:ascii="Arial" w:cs="Arial" w:eastAsia="Arial" w:hAnsi="Arial"/>
          <w:sz w:val="17"/>
          <w:szCs w:val="17"/>
          <w:color w:val="000000"/>
        </w:rPr>
        <w: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GasLog</w:t>
      </w:r>
    </w:p>
    <w:p>
      <w:pPr>
        <w:spacing w:after="0" w:line="253"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 xml:space="preserve">GasLog is an international owner, operator and manager of LNG carriers providing support to international energy companies as part of their LNG logistics chain. GasLog’s consolidated owned fleet consists of 35 LNG carriers. Of these vessels, 19 (12 on the water and seven on order) are owned by GasLog, one has been sold to a subsidiary of Mitsui &amp; Co., Ltd. and leased back to GasLog under a long-term bareboat charter and the remaining 15 LNG carriers are owned by the Company’s subsidiary, GasLog Partners. GasLog’s principal executive offices are at Gildo Pastor Center, 7 Rue du Gabian, MC 98000, Monaco. Visit GasLog’s website at </w:t>
      </w:r>
      <w:r>
        <w:rPr>
          <w:rFonts w:ascii="Arial" w:cs="Arial" w:eastAsia="Arial" w:hAnsi="Arial"/>
          <w:sz w:val="15"/>
          <w:szCs w:val="15"/>
          <w:u w:val="single" w:color="auto"/>
          <w:color w:val="0000FF"/>
        </w:rPr>
        <w:t>http://www.gaslogltd.com</w:t>
      </w:r>
      <w:r>
        <w:rPr>
          <w:rFonts w:ascii="Arial" w:cs="Arial" w:eastAsia="Arial" w:hAnsi="Arial"/>
          <w:sz w:val="13"/>
          <w:szCs w:val="13"/>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 Looking Statements</w:t>
      </w:r>
    </w:p>
    <w:p>
      <w:pPr>
        <w:spacing w:after="0" w:line="25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Factors that might cause future results and outcomes to differ include, but are not limited to, the following:</w:t>
      </w:r>
    </w:p>
    <w:p>
      <w:pPr>
        <w:spacing w:after="0" w:line="247" w:lineRule="exact"/>
        <w:rPr>
          <w:sz w:val="20"/>
          <w:szCs w:val="20"/>
          <w:color w:val="auto"/>
        </w:rPr>
      </w:pPr>
    </w:p>
    <w:p>
      <w:pPr>
        <w:ind w:left="600" w:right="120" w:hanging="264"/>
        <w:spacing w:after="0" w:line="264"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spot and multi-year charter hire rates and vessel values;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exposure to the spot market and fluctuations in spot charter rates;</w:t>
      </w:r>
    </w:p>
    <w:p>
      <w:pPr>
        <w:spacing w:after="0" w:line="18" w:lineRule="exact"/>
        <w:rPr>
          <w:rFonts w:ascii="Arial" w:cs="Arial" w:eastAsia="Arial" w:hAnsi="Arial"/>
          <w:sz w:val="17"/>
          <w:szCs w:val="17"/>
          <w:color w:val="auto"/>
        </w:rPr>
      </w:pPr>
    </w:p>
    <w:p>
      <w:pPr>
        <w:ind w:left="600" w:right="200" w:hanging="264"/>
        <w:spacing w:after="0" w:line="279"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our operating expenses, including crew wages, maintenance, dry-docking and insurance costs and bunker prices;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planned capital expenditures and availability of capital resources to fund capital expenditures;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maintain long-term relationships and enter into time charters with new and existing customers;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prices for crude oil, petroleum products and natural gas, including LNG;</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the ownership of our charterers;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customers’ performance of their obligations under our time charters and other contracts;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future operating performance and expenses, financial condition, liquidity and cash available for dividends and distributions;</w:t>
      </w:r>
    </w:p>
    <w:p>
      <w:pPr>
        <w:spacing w:after="0" w:line="18" w:lineRule="exact"/>
        <w:rPr>
          <w:rFonts w:ascii="Arial" w:cs="Arial" w:eastAsia="Arial" w:hAnsi="Arial"/>
          <w:sz w:val="17"/>
          <w:szCs w:val="17"/>
          <w:color w:val="auto"/>
        </w:rPr>
      </w:pPr>
    </w:p>
    <w:p>
      <w:pPr>
        <w:ind w:left="600" w:right="380" w:hanging="264"/>
        <w:spacing w:after="0" w:line="262"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29" w:lineRule="exact"/>
        <w:rPr>
          <w:rFonts w:ascii="Arial" w:cs="Arial" w:eastAsia="Arial" w:hAnsi="Arial"/>
          <w:sz w:val="16"/>
          <w:szCs w:val="16"/>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time that it may take to construct and deliver newbuildings and the useful lives of our ships;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fluctuations in currencies and interest rates;</w:t>
      </w:r>
    </w:p>
    <w:p>
      <w:pPr>
        <w:spacing w:after="0" w:line="18" w:lineRule="exact"/>
        <w:rPr>
          <w:rFonts w:ascii="Arial" w:cs="Arial" w:eastAsia="Arial" w:hAnsi="Arial"/>
          <w:sz w:val="17"/>
          <w:szCs w:val="17"/>
          <w:color w:val="auto"/>
        </w:rPr>
      </w:pPr>
    </w:p>
    <w:p>
      <w:pPr>
        <w:ind w:left="600" w:right="760" w:hanging="264"/>
        <w:spacing w:after="0" w:line="297" w:lineRule="auto"/>
        <w:tabs>
          <w:tab w:leader="none" w:pos="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inherent in ship operation, including the discharge of pollutants;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retain key employees and the availability of skilled labour, ship crews and management;</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potential disruption of shipping routes due to accidents, political events, piracy or acts by terrorists;</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potential liability from future litigation;</w:t>
      </w:r>
    </w:p>
    <w:p>
      <w:pPr>
        <w:spacing w:after="0" w:line="18" w:lineRule="exact"/>
        <w:rPr>
          <w:rFonts w:ascii="Arial" w:cs="Arial" w:eastAsia="Arial" w:hAnsi="Arial"/>
          <w:sz w:val="17"/>
          <w:szCs w:val="17"/>
          <w:color w:val="auto"/>
        </w:rPr>
      </w:pPr>
    </w:p>
    <w:p>
      <w:pPr>
        <w:ind w:left="600" w:hanging="264"/>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malfunction or disruption of information technology systems and networks that our operations rely on or any impact of a possible cybersecurity event; and</w:t>
      </w:r>
    </w:p>
    <w:p>
      <w:pPr>
        <w:spacing w:after="0" w:line="29" w:lineRule="exact"/>
        <w:rPr>
          <w:rFonts w:ascii="Arial" w:cs="Arial" w:eastAsia="Arial" w:hAnsi="Arial"/>
          <w:sz w:val="16"/>
          <w:szCs w:val="16"/>
          <w:color w:val="auto"/>
        </w:rPr>
      </w:pPr>
    </w:p>
    <w:p>
      <w:pPr>
        <w:ind w:left="600" w:hanging="264"/>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other risks and uncertainties described in the Company’s Annual Report on Form 20-F filed with the SEC on March 5, 2019 and available at </w:t>
      </w:r>
      <w:r>
        <w:rPr>
          <w:rFonts w:ascii="Arial" w:cs="Arial" w:eastAsia="Arial" w:hAnsi="Arial"/>
          <w:sz w:val="16"/>
          <w:szCs w:val="16"/>
          <w:u w:val="single" w:color="auto"/>
          <w:color w:val="0000FF"/>
        </w:rPr>
        <w:t>http://www.sec.gov</w:t>
      </w:r>
      <w:r>
        <w:rPr>
          <w:rFonts w:ascii="Arial" w:cs="Arial" w:eastAsia="Arial" w:hAnsi="Arial"/>
          <w:sz w:val="16"/>
          <w:szCs w:val="16"/>
          <w:color w:val="auto"/>
        </w:rPr>
        <w:t>.</w:t>
      </w:r>
    </w:p>
    <w:p>
      <w:pPr>
        <w:spacing w:after="0" w:line="25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18" w:right="160" w:bottom="1440" w:gutter="0" w:footer="0" w:header="0"/>
        </w:sectPr>
      </w:pPr>
    </w:p>
    <w:bookmarkStart w:id="9" w:name="page10"/>
    <w:bookmarkEnd w:id="9"/>
    <w:p>
      <w:pPr>
        <w:spacing w:after="0" w:line="321" w:lineRule="auto"/>
        <w:rPr>
          <w:sz w:val="20"/>
          <w:szCs w:val="20"/>
          <w:color w:val="auto"/>
        </w:rPr>
      </w:pPr>
      <w:r>
        <w:rPr>
          <w:rFonts w:ascii="Arial" w:cs="Arial" w:eastAsia="Arial" w:hAnsi="Arial"/>
          <w:sz w:val="16"/>
          <w:szCs w:val="16"/>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Alastair Maxwell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Phone: +44-203-388-3100</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Phil Corbett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Head of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Phone: +44-203-388-3116</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Joseph Nelson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Deputy Head of Investor Relations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Phone: +1-212-223-0643</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0000FF"/>
        </w:rPr>
        <w:t>ir@gaslogltd.com</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00"/>
          </w:cols>
          <w:pgMar w:left="120" w:top="218" w:right="32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7"/>
                <w:szCs w:val="17"/>
                <w:b w:val="1"/>
                <w:bCs w:val="1"/>
                <w:color w:val="auto"/>
              </w:rPr>
              <w:t>EXHIBIT I - Unaudited Interim Financial Information</w:t>
            </w:r>
          </w:p>
        </w:tc>
        <w:tc>
          <w:tcPr>
            <w:tcW w:w="2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5380" w:type="dxa"/>
            <w:vAlign w:val="bottom"/>
          </w:tcPr>
          <w:p>
            <w:pPr>
              <w:spacing w:after="0"/>
              <w:rPr>
                <w:sz w:val="20"/>
                <w:szCs w:val="20"/>
                <w:color w:val="auto"/>
              </w:rPr>
            </w:pPr>
            <w:r>
              <w:rPr>
                <w:rFonts w:ascii="Arial" w:cs="Arial" w:eastAsia="Arial" w:hAnsi="Arial"/>
                <w:sz w:val="17"/>
                <w:szCs w:val="17"/>
                <w:b w:val="1"/>
                <w:bCs w:val="1"/>
                <w:color w:val="auto"/>
                <w:w w:val="97"/>
              </w:rPr>
              <w:t>Unaudited condensed consolidated statements of financial position</w:t>
            </w:r>
          </w:p>
        </w:tc>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b w:val="1"/>
                <w:bCs w:val="1"/>
                <w:color w:val="auto"/>
              </w:rPr>
              <w:t>As of December 31, 2018 and June 30, 2019</w:t>
            </w:r>
          </w:p>
        </w:tc>
        <w:tc>
          <w:tcPr>
            <w:tcW w:w="2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20"/>
                <w:szCs w:val="20"/>
                <w:color w:val="auto"/>
              </w:rPr>
            </w:pPr>
            <w:r>
              <w:rPr>
                <w:rFonts w:ascii="Arial" w:cs="Arial" w:eastAsia="Arial" w:hAnsi="Arial"/>
                <w:sz w:val="17"/>
                <w:szCs w:val="17"/>
                <w:b w:val="1"/>
                <w:bCs w:val="1"/>
                <w:color w:val="auto"/>
              </w:rPr>
              <w:t>(Amounts expressed in thousands of U.S. Dollars)</w:t>
            </w:r>
          </w:p>
        </w:tc>
        <w:tc>
          <w:tcPr>
            <w:tcW w:w="23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2"/>
        </w:trPr>
        <w:tc>
          <w:tcPr>
            <w:tcW w:w="53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December 31, 2018</w:t>
            </w:r>
          </w:p>
        </w:tc>
        <w:tc>
          <w:tcPr>
            <w:tcW w:w="20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June 30,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Assets</w:t>
            </w:r>
          </w:p>
        </w:tc>
        <w:tc>
          <w:tcPr>
            <w:tcW w:w="2380" w:type="dxa"/>
            <w:vAlign w:val="bottom"/>
            <w:tcBorders>
              <w:top w:val="single" w:sz="8" w:color="E5FFFF"/>
            </w:tcBorders>
            <w:shd w:val="clear" w:color="auto" w:fill="E5FFFF"/>
          </w:tcPr>
          <w:p>
            <w:pPr>
              <w:spacing w:after="0"/>
              <w:rPr>
                <w:sz w:val="17"/>
                <w:szCs w:val="17"/>
                <w:color w:val="auto"/>
              </w:rPr>
            </w:pPr>
          </w:p>
        </w:tc>
        <w:tc>
          <w:tcPr>
            <w:tcW w:w="192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90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b w:val="1"/>
                <w:bCs w:val="1"/>
                <w:color w:val="auto"/>
              </w:rPr>
              <w:t>Non-current assets</w:t>
            </w:r>
          </w:p>
        </w:tc>
        <w:tc>
          <w:tcPr>
            <w:tcW w:w="2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Goodwill</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9,511</w:t>
            </w:r>
          </w:p>
        </w:tc>
        <w:tc>
          <w:tcPr>
            <w:tcW w:w="2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9,511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Investment in associates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20,713</w:t>
            </w:r>
          </w:p>
        </w:tc>
        <w:tc>
          <w:tcPr>
            <w:tcW w:w="1900" w:type="dxa"/>
            <w:vAlign w:val="bottom"/>
          </w:tcPr>
          <w:p>
            <w:pPr>
              <w:jc w:val="right"/>
              <w:spacing w:after="0"/>
              <w:rPr>
                <w:sz w:val="20"/>
                <w:szCs w:val="20"/>
                <w:color w:val="auto"/>
              </w:rPr>
            </w:pPr>
            <w:r>
              <w:rPr>
                <w:rFonts w:ascii="Arial" w:cs="Arial" w:eastAsia="Arial" w:hAnsi="Arial"/>
                <w:sz w:val="17"/>
                <w:szCs w:val="17"/>
                <w:color w:val="auto"/>
              </w:rPr>
              <w:t>21,001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Deferred financing costs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4,576</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1,520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2,543</w:t>
            </w:r>
          </w:p>
        </w:tc>
        <w:tc>
          <w:tcPr>
            <w:tcW w:w="1900" w:type="dxa"/>
            <w:vAlign w:val="bottom"/>
          </w:tcPr>
          <w:p>
            <w:pPr>
              <w:jc w:val="right"/>
              <w:spacing w:after="0"/>
              <w:rPr>
                <w:sz w:val="20"/>
                <w:szCs w:val="20"/>
                <w:color w:val="auto"/>
              </w:rPr>
            </w:pPr>
            <w:r>
              <w:rPr>
                <w:rFonts w:ascii="Arial" w:cs="Arial" w:eastAsia="Arial" w:hAnsi="Arial"/>
                <w:sz w:val="17"/>
                <w:szCs w:val="17"/>
                <w:color w:val="auto"/>
              </w:rPr>
              <w:t>24,028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8,966</w:t>
            </w:r>
          </w:p>
        </w:tc>
        <w:tc>
          <w:tcPr>
            <w:tcW w:w="20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Tangible fixed assets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4,323,582</w:t>
            </w:r>
          </w:p>
        </w:tc>
        <w:tc>
          <w:tcPr>
            <w:tcW w:w="1900" w:type="dxa"/>
            <w:vAlign w:val="bottom"/>
          </w:tcPr>
          <w:p>
            <w:pPr>
              <w:jc w:val="right"/>
              <w:spacing w:after="0"/>
              <w:rPr>
                <w:sz w:val="20"/>
                <w:szCs w:val="20"/>
                <w:color w:val="auto"/>
              </w:rPr>
            </w:pPr>
            <w:r>
              <w:rPr>
                <w:rFonts w:ascii="Arial" w:cs="Arial" w:eastAsia="Arial" w:hAnsi="Arial"/>
                <w:sz w:val="17"/>
                <w:szCs w:val="17"/>
                <w:color w:val="auto"/>
              </w:rPr>
              <w:t>4,465,279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Vessels under construction</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159,275</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185,723</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Right-of-use assets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206,753</w:t>
            </w:r>
          </w:p>
        </w:tc>
        <w:tc>
          <w:tcPr>
            <w:tcW w:w="1900" w:type="dxa"/>
            <w:vAlign w:val="bottom"/>
          </w:tcPr>
          <w:p>
            <w:pPr>
              <w:jc w:val="right"/>
              <w:spacing w:after="0"/>
              <w:rPr>
                <w:sz w:val="20"/>
                <w:szCs w:val="20"/>
                <w:color w:val="auto"/>
              </w:rPr>
            </w:pPr>
            <w:r>
              <w:rPr>
                <w:rFonts w:ascii="Arial" w:cs="Arial" w:eastAsia="Arial" w:hAnsi="Arial"/>
                <w:sz w:val="17"/>
                <w:szCs w:val="17"/>
                <w:color w:val="auto"/>
              </w:rPr>
              <w:t>210,606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non-current assets</w:t>
            </w:r>
          </w:p>
        </w:tc>
        <w:tc>
          <w:tcPr>
            <w:tcW w:w="2380" w:type="dxa"/>
            <w:vAlign w:val="bottom"/>
            <w:tcBorders>
              <w:top w:val="single" w:sz="8" w:color="E5FFFF"/>
            </w:tcBorders>
            <w:shd w:val="clear" w:color="auto" w:fill="E5FFFF"/>
          </w:tcPr>
          <w:p>
            <w:pPr>
              <w:spacing w:after="0"/>
              <w:rPr>
                <w:sz w:val="18"/>
                <w:szCs w:val="18"/>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4,735,919</w:t>
            </w:r>
          </w:p>
        </w:tc>
        <w:tc>
          <w:tcPr>
            <w:tcW w:w="300" w:type="dxa"/>
            <w:vAlign w:val="bottom"/>
            <w:tcBorders>
              <w:top w:val="single" w:sz="8" w:color="E5FFFF"/>
            </w:tcBorders>
            <w:shd w:val="clear" w:color="auto" w:fill="E5FFFF"/>
          </w:tcPr>
          <w:p>
            <w:pPr>
              <w:spacing w:after="0"/>
              <w:rPr>
                <w:sz w:val="18"/>
                <w:szCs w:val="18"/>
                <w:color w:val="auto"/>
              </w:rPr>
            </w:pPr>
          </w:p>
        </w:tc>
        <w:tc>
          <w:tcPr>
            <w:tcW w:w="1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4,917,668</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b w:val="1"/>
                <w:bCs w:val="1"/>
                <w:color w:val="auto"/>
              </w:rPr>
              <w:t>Current assets</w:t>
            </w:r>
          </w:p>
        </w:tc>
        <w:tc>
          <w:tcPr>
            <w:tcW w:w="2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Trade and other receivables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20,244</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19,937</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Dividends receivable and other amounts due from related parties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33,395</w:t>
            </w:r>
          </w:p>
        </w:tc>
        <w:tc>
          <w:tcPr>
            <w:tcW w:w="1900" w:type="dxa"/>
            <w:vAlign w:val="bottom"/>
          </w:tcPr>
          <w:p>
            <w:pPr>
              <w:jc w:val="right"/>
              <w:spacing w:after="0"/>
              <w:rPr>
                <w:sz w:val="20"/>
                <w:szCs w:val="20"/>
                <w:color w:val="auto"/>
              </w:rPr>
            </w:pPr>
            <w:r>
              <w:rPr>
                <w:rFonts w:ascii="Arial" w:cs="Arial" w:eastAsia="Arial" w:hAnsi="Arial"/>
                <w:sz w:val="17"/>
                <w:szCs w:val="17"/>
                <w:color w:val="auto"/>
              </w:rPr>
              <w:t>9,789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6,222</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452</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Inventories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7,753</w:t>
            </w:r>
          </w:p>
        </w:tc>
        <w:tc>
          <w:tcPr>
            <w:tcW w:w="1900" w:type="dxa"/>
            <w:vAlign w:val="bottom"/>
          </w:tcPr>
          <w:p>
            <w:pPr>
              <w:jc w:val="right"/>
              <w:spacing w:after="0"/>
              <w:rPr>
                <w:sz w:val="20"/>
                <w:szCs w:val="20"/>
                <w:color w:val="auto"/>
              </w:rPr>
            </w:pPr>
            <w:r>
              <w:rPr>
                <w:rFonts w:ascii="Arial" w:cs="Arial" w:eastAsia="Arial" w:hAnsi="Arial"/>
                <w:sz w:val="17"/>
                <w:szCs w:val="17"/>
                <w:color w:val="auto"/>
              </w:rPr>
              <w:t>8,152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Prepayments and other current assets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3,680</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6,631</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Short-term investments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25,000</w:t>
            </w:r>
          </w:p>
        </w:tc>
        <w:tc>
          <w:tcPr>
            <w:tcW w:w="1900" w:type="dxa"/>
            <w:vAlign w:val="bottom"/>
          </w:tcPr>
          <w:p>
            <w:pPr>
              <w:jc w:val="right"/>
              <w:spacing w:after="0"/>
              <w:rPr>
                <w:sz w:val="20"/>
                <w:szCs w:val="20"/>
                <w:color w:val="auto"/>
              </w:rPr>
            </w:pPr>
            <w:r>
              <w:rPr>
                <w:rFonts w:ascii="Arial" w:cs="Arial" w:eastAsia="Arial" w:hAnsi="Arial"/>
                <w:sz w:val="17"/>
                <w:szCs w:val="17"/>
                <w:color w:val="auto"/>
              </w:rPr>
              <w:t>44,000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Cash and cash equivalents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342,594</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295,791</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current assets</w:t>
            </w:r>
          </w:p>
        </w:tc>
        <w:tc>
          <w:tcPr>
            <w:tcW w:w="2380" w:type="dxa"/>
            <w:vAlign w:val="bottom"/>
            <w:tcBorders>
              <w:bottom w:val="single" w:sz="8" w:color="E5FF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438,888</w:t>
            </w:r>
          </w:p>
        </w:tc>
        <w:tc>
          <w:tcPr>
            <w:tcW w:w="300" w:type="dxa"/>
            <w:vAlign w:val="bottom"/>
            <w:tcBorders>
              <w:bottom w:val="single" w:sz="8" w:color="E5FFFF"/>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384,752</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assets</w:t>
            </w:r>
          </w:p>
        </w:tc>
        <w:tc>
          <w:tcPr>
            <w:tcW w:w="2380" w:type="dxa"/>
            <w:vAlign w:val="bottom"/>
            <w:tcBorders>
              <w:bottom w:val="single" w:sz="8" w:color="E5FFFF"/>
            </w:tcBorders>
            <w:shd w:val="clear" w:color="auto" w:fill="E5FFFF"/>
          </w:tcPr>
          <w:p>
            <w:pPr>
              <w:spacing w:after="0"/>
              <w:rPr>
                <w:sz w:val="18"/>
                <w:szCs w:val="18"/>
                <w:color w:val="auto"/>
              </w:rPr>
            </w:pPr>
          </w:p>
        </w:tc>
        <w:tc>
          <w:tcPr>
            <w:tcW w:w="19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5,174,807</w:t>
            </w:r>
          </w:p>
        </w:tc>
        <w:tc>
          <w:tcPr>
            <w:tcW w:w="300" w:type="dxa"/>
            <w:vAlign w:val="bottom"/>
            <w:tcBorders>
              <w:bottom w:val="single" w:sz="8" w:color="E5FFFF"/>
            </w:tcBorders>
            <w:shd w:val="clear" w:color="auto" w:fill="E5FFFF"/>
          </w:tcPr>
          <w:p>
            <w:pPr>
              <w:spacing w:after="0"/>
              <w:rPr>
                <w:sz w:val="18"/>
                <w:szCs w:val="18"/>
                <w:color w:val="auto"/>
              </w:rPr>
            </w:pPr>
          </w:p>
        </w:tc>
        <w:tc>
          <w:tcPr>
            <w:tcW w:w="1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5,302,420</w:t>
            </w:r>
          </w:p>
        </w:tc>
        <w:tc>
          <w:tcPr>
            <w:tcW w:w="120" w:type="dxa"/>
            <w:vAlign w:val="bottom"/>
            <w:tcBorders>
              <w:bottom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7"/>
                <w:szCs w:val="17"/>
                <w:b w:val="1"/>
                <w:bCs w:val="1"/>
                <w:color w:val="auto"/>
              </w:rPr>
              <w:t>Equity and liabilities</w:t>
            </w:r>
          </w:p>
        </w:tc>
        <w:tc>
          <w:tcPr>
            <w:tcW w:w="23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Equity</w:t>
            </w:r>
          </w:p>
        </w:tc>
        <w:tc>
          <w:tcPr>
            <w:tcW w:w="2380" w:type="dxa"/>
            <w:vAlign w:val="bottom"/>
            <w:shd w:val="clear" w:color="auto" w:fill="E5FFFF"/>
          </w:tcPr>
          <w:p>
            <w:pPr>
              <w:spacing w:after="0"/>
              <w:rPr>
                <w:sz w:val="18"/>
                <w:szCs w:val="18"/>
                <w:color w:val="auto"/>
              </w:rPr>
            </w:pPr>
          </w:p>
        </w:tc>
        <w:tc>
          <w:tcPr>
            <w:tcW w:w="19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9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Preference shares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46</w:t>
            </w:r>
          </w:p>
        </w:tc>
        <w:tc>
          <w:tcPr>
            <w:tcW w:w="190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Share capital</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810</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810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Contributed surplus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850,576</w:t>
            </w:r>
          </w:p>
        </w:tc>
        <w:tc>
          <w:tcPr>
            <w:tcW w:w="1900" w:type="dxa"/>
            <w:vAlign w:val="bottom"/>
          </w:tcPr>
          <w:p>
            <w:pPr>
              <w:jc w:val="right"/>
              <w:spacing w:after="0"/>
              <w:rPr>
                <w:sz w:val="20"/>
                <w:szCs w:val="20"/>
                <w:color w:val="auto"/>
              </w:rPr>
            </w:pPr>
            <w:r>
              <w:rPr>
                <w:rFonts w:ascii="Arial" w:cs="Arial" w:eastAsia="Arial" w:hAnsi="Arial"/>
                <w:sz w:val="17"/>
                <w:szCs w:val="17"/>
                <w:color w:val="auto"/>
              </w:rPr>
              <w:t>820,707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Reserves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18,962</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14,174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Treasury shares</w:t>
            </w:r>
          </w:p>
        </w:tc>
        <w:tc>
          <w:tcPr>
            <w:tcW w:w="4600" w:type="dxa"/>
            <w:vAlign w:val="bottom"/>
            <w:gridSpan w:val="3"/>
          </w:tcPr>
          <w:p>
            <w:pPr>
              <w:jc w:val="right"/>
              <w:ind w:right="240"/>
              <w:spacing w:after="0"/>
              <w:rPr>
                <w:sz w:val="20"/>
                <w:szCs w:val="20"/>
                <w:color w:val="auto"/>
              </w:rPr>
            </w:pPr>
            <w:r>
              <w:rPr>
                <w:rFonts w:ascii="Arial" w:cs="Arial" w:eastAsia="Arial" w:hAnsi="Arial"/>
                <w:sz w:val="17"/>
                <w:szCs w:val="17"/>
                <w:color w:val="auto"/>
              </w:rPr>
              <w:t>(3,266)</w:t>
            </w:r>
          </w:p>
        </w:tc>
        <w:tc>
          <w:tcPr>
            <w:tcW w:w="2020" w:type="dxa"/>
            <w:vAlign w:val="bottom"/>
            <w:gridSpan w:val="2"/>
          </w:tcPr>
          <w:p>
            <w:pPr>
              <w:jc w:val="right"/>
              <w:ind w:right="60"/>
              <w:spacing w:after="0"/>
              <w:rPr>
                <w:sz w:val="20"/>
                <w:szCs w:val="20"/>
                <w:color w:val="auto"/>
              </w:rPr>
            </w:pPr>
            <w:r>
              <w:rPr>
                <w:rFonts w:ascii="Arial" w:cs="Arial" w:eastAsia="Arial" w:hAnsi="Arial"/>
                <w:sz w:val="17"/>
                <w:szCs w:val="17"/>
                <w:color w:val="auto"/>
              </w:rPr>
              <w:t>(2,342)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Retained earnings/(Accumulated deficit)</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12,614</w:t>
            </w:r>
          </w:p>
        </w:tc>
        <w:tc>
          <w:tcPr>
            <w:tcW w:w="202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(24,116)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7"/>
                <w:szCs w:val="17"/>
                <w:b w:val="1"/>
                <w:bCs w:val="1"/>
                <w:color w:val="auto"/>
              </w:rPr>
              <w:t>Equity attributable to owners of the Group</w:t>
            </w:r>
          </w:p>
        </w:tc>
        <w:tc>
          <w:tcPr>
            <w:tcW w:w="2380" w:type="dxa"/>
            <w:vAlign w:val="bottom"/>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879,742</w:t>
            </w:r>
          </w:p>
        </w:tc>
        <w:tc>
          <w:tcPr>
            <w:tcW w:w="300" w:type="dxa"/>
            <w:vAlign w:val="bottom"/>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809,279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Non-controlling interests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1,103,380</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1,073,189</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equity</w:t>
            </w:r>
          </w:p>
        </w:tc>
        <w:tc>
          <w:tcPr>
            <w:tcW w:w="2380" w:type="dxa"/>
            <w:vAlign w:val="bottom"/>
            <w:tcBorders>
              <w:bottom w:val="single" w:sz="8" w:color="E5FF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1,983,122</w:t>
            </w:r>
          </w:p>
        </w:tc>
        <w:tc>
          <w:tcPr>
            <w:tcW w:w="300" w:type="dxa"/>
            <w:vAlign w:val="bottom"/>
            <w:tcBorders>
              <w:bottom w:val="single" w:sz="8" w:color="E5FFFF"/>
            </w:tcBorders>
          </w:tcPr>
          <w:p>
            <w:pPr>
              <w:spacing w:after="0"/>
              <w:rPr>
                <w:sz w:val="18"/>
                <w:szCs w:val="18"/>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1,882,468</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80" w:type="dxa"/>
            <w:vAlign w:val="bottom"/>
            <w:shd w:val="clear" w:color="auto" w:fill="E5FFFF"/>
          </w:tcPr>
          <w:p>
            <w:pPr>
              <w:spacing w:after="0" w:line="194" w:lineRule="exact"/>
              <w:rPr>
                <w:sz w:val="20"/>
                <w:szCs w:val="20"/>
                <w:color w:val="auto"/>
              </w:rPr>
            </w:pPr>
            <w:r>
              <w:rPr>
                <w:rFonts w:ascii="Arial" w:cs="Arial" w:eastAsia="Arial" w:hAnsi="Arial"/>
                <w:sz w:val="17"/>
                <w:szCs w:val="17"/>
                <w:b w:val="1"/>
                <w:bCs w:val="1"/>
                <w:color w:val="auto"/>
              </w:rPr>
              <w:t>Current liabilities</w:t>
            </w:r>
          </w:p>
        </w:tc>
        <w:tc>
          <w:tcPr>
            <w:tcW w:w="2380" w:type="dxa"/>
            <w:vAlign w:val="bottom"/>
            <w:shd w:val="clear" w:color="auto" w:fill="E5FFFF"/>
          </w:tcPr>
          <w:p>
            <w:pPr>
              <w:spacing w:after="0"/>
              <w:rPr>
                <w:sz w:val="16"/>
                <w:szCs w:val="16"/>
                <w:color w:val="auto"/>
              </w:rPr>
            </w:pPr>
          </w:p>
        </w:tc>
        <w:tc>
          <w:tcPr>
            <w:tcW w:w="19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90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Trade accounts payable</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11,890</w:t>
            </w:r>
          </w:p>
        </w:tc>
        <w:tc>
          <w:tcPr>
            <w:tcW w:w="1900" w:type="dxa"/>
            <w:vAlign w:val="bottom"/>
          </w:tcPr>
          <w:p>
            <w:pPr>
              <w:jc w:val="right"/>
              <w:spacing w:after="0"/>
              <w:rPr>
                <w:sz w:val="20"/>
                <w:szCs w:val="20"/>
                <w:color w:val="auto"/>
              </w:rPr>
            </w:pPr>
            <w:r>
              <w:rPr>
                <w:rFonts w:ascii="Arial" w:cs="Arial" w:eastAsia="Arial" w:hAnsi="Arial"/>
                <w:sz w:val="17"/>
                <w:szCs w:val="17"/>
                <w:color w:val="auto"/>
              </w:rPr>
              <w:t>17,488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Ship management creditors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580</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782</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Amounts due to related parties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169</w:t>
            </w:r>
          </w:p>
        </w:tc>
        <w:tc>
          <w:tcPr>
            <w:tcW w:w="190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2,091</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3,783</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Other payables and accruals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127,450</w:t>
            </w:r>
          </w:p>
        </w:tc>
        <w:tc>
          <w:tcPr>
            <w:tcW w:w="1900" w:type="dxa"/>
            <w:vAlign w:val="bottom"/>
          </w:tcPr>
          <w:p>
            <w:pPr>
              <w:jc w:val="right"/>
              <w:spacing w:after="0"/>
              <w:rPr>
                <w:sz w:val="20"/>
                <w:szCs w:val="20"/>
                <w:color w:val="auto"/>
              </w:rPr>
            </w:pPr>
            <w:r>
              <w:rPr>
                <w:rFonts w:ascii="Arial" w:cs="Arial" w:eastAsia="Arial" w:hAnsi="Arial"/>
                <w:sz w:val="17"/>
                <w:szCs w:val="17"/>
                <w:color w:val="auto"/>
              </w:rPr>
              <w:t>79,052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Borrowings, current portion</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520,550</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196,604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Lease liability, current portion</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6,675</w:t>
            </w:r>
          </w:p>
        </w:tc>
        <w:tc>
          <w:tcPr>
            <w:tcW w:w="1900" w:type="dxa"/>
            <w:vAlign w:val="bottom"/>
          </w:tcPr>
          <w:p>
            <w:pPr>
              <w:jc w:val="right"/>
              <w:spacing w:after="0"/>
              <w:rPr>
                <w:sz w:val="20"/>
                <w:szCs w:val="20"/>
                <w:color w:val="auto"/>
              </w:rPr>
            </w:pPr>
            <w:r>
              <w:rPr>
                <w:rFonts w:ascii="Arial" w:cs="Arial" w:eastAsia="Arial" w:hAnsi="Arial"/>
                <w:sz w:val="17"/>
                <w:szCs w:val="17"/>
                <w:color w:val="auto"/>
              </w:rPr>
              <w:t>9,052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current liabilities</w:t>
            </w:r>
          </w:p>
        </w:tc>
        <w:tc>
          <w:tcPr>
            <w:tcW w:w="2380" w:type="dxa"/>
            <w:vAlign w:val="bottom"/>
            <w:tcBorders>
              <w:top w:val="single" w:sz="8" w:color="E5FFFF"/>
            </w:tcBorders>
            <w:shd w:val="clear" w:color="auto" w:fill="E5FFFF"/>
          </w:tcPr>
          <w:p>
            <w:pPr>
              <w:spacing w:after="0"/>
              <w:rPr>
                <w:sz w:val="18"/>
                <w:szCs w:val="18"/>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669,405</w:t>
            </w:r>
          </w:p>
        </w:tc>
        <w:tc>
          <w:tcPr>
            <w:tcW w:w="300" w:type="dxa"/>
            <w:vAlign w:val="bottom"/>
            <w:tcBorders>
              <w:top w:val="single" w:sz="8" w:color="E5FFFF"/>
            </w:tcBorders>
            <w:shd w:val="clear" w:color="auto" w:fill="E5FFFF"/>
          </w:tcPr>
          <w:p>
            <w:pPr>
              <w:spacing w:after="0"/>
              <w:rPr>
                <w:sz w:val="18"/>
                <w:szCs w:val="18"/>
                <w:color w:val="auto"/>
              </w:rPr>
            </w:pPr>
          </w:p>
        </w:tc>
        <w:tc>
          <w:tcPr>
            <w:tcW w:w="1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306,840</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80" w:type="dxa"/>
            <w:vAlign w:val="bottom"/>
          </w:tcPr>
          <w:p>
            <w:pPr>
              <w:spacing w:after="0" w:line="194" w:lineRule="exact"/>
              <w:rPr>
                <w:sz w:val="20"/>
                <w:szCs w:val="20"/>
                <w:color w:val="auto"/>
              </w:rPr>
            </w:pPr>
            <w:r>
              <w:rPr>
                <w:rFonts w:ascii="Arial" w:cs="Arial" w:eastAsia="Arial" w:hAnsi="Arial"/>
                <w:sz w:val="17"/>
                <w:szCs w:val="17"/>
                <w:b w:val="1"/>
                <w:bCs w:val="1"/>
                <w:color w:val="auto"/>
              </w:rPr>
              <w:t>Non-current liabilities</w:t>
            </w:r>
          </w:p>
        </w:tc>
        <w:tc>
          <w:tcPr>
            <w:tcW w:w="23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10,001</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46,062</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Borrowings, non-current portion</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2,307,909</w:t>
            </w:r>
          </w:p>
        </w:tc>
        <w:tc>
          <w:tcPr>
            <w:tcW w:w="1900" w:type="dxa"/>
            <w:vAlign w:val="bottom"/>
          </w:tcPr>
          <w:p>
            <w:pPr>
              <w:jc w:val="right"/>
              <w:spacing w:after="0"/>
              <w:rPr>
                <w:sz w:val="20"/>
                <w:szCs w:val="20"/>
                <w:color w:val="auto"/>
              </w:rPr>
            </w:pPr>
            <w:r>
              <w:rPr>
                <w:rFonts w:ascii="Arial" w:cs="Arial" w:eastAsia="Arial" w:hAnsi="Arial"/>
                <w:sz w:val="17"/>
                <w:szCs w:val="17"/>
                <w:color w:val="auto"/>
              </w:rPr>
              <w:t>2,859,358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shd w:val="clear" w:color="auto" w:fill="E5FFFF"/>
          </w:tcPr>
          <w:p>
            <w:pPr>
              <w:spacing w:after="0"/>
              <w:rPr>
                <w:sz w:val="20"/>
                <w:szCs w:val="20"/>
                <w:color w:val="auto"/>
              </w:rPr>
            </w:pPr>
            <w:r>
              <w:rPr>
                <w:rFonts w:ascii="Arial" w:cs="Arial" w:eastAsia="Arial" w:hAnsi="Arial"/>
                <w:sz w:val="17"/>
                <w:szCs w:val="17"/>
                <w:color w:val="auto"/>
              </w:rPr>
              <w:t>Lease liability, non-current portion</w:t>
            </w:r>
          </w:p>
        </w:tc>
        <w:tc>
          <w:tcPr>
            <w:tcW w:w="4600" w:type="dxa"/>
            <w:vAlign w:val="bottom"/>
            <w:gridSpan w:val="3"/>
            <w:shd w:val="clear" w:color="auto" w:fill="E5FFFF"/>
          </w:tcPr>
          <w:p>
            <w:pPr>
              <w:jc w:val="right"/>
              <w:ind w:right="300"/>
              <w:spacing w:after="0"/>
              <w:rPr>
                <w:sz w:val="20"/>
                <w:szCs w:val="20"/>
                <w:color w:val="auto"/>
              </w:rPr>
            </w:pPr>
            <w:r>
              <w:rPr>
                <w:rFonts w:ascii="Arial" w:cs="Arial" w:eastAsia="Arial" w:hAnsi="Arial"/>
                <w:sz w:val="17"/>
                <w:szCs w:val="17"/>
                <w:color w:val="auto"/>
              </w:rPr>
              <w:t>199,424</w:t>
            </w:r>
          </w:p>
        </w:tc>
        <w:tc>
          <w:tcPr>
            <w:tcW w:w="19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200,585</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38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4600" w:type="dxa"/>
            <w:vAlign w:val="bottom"/>
            <w:gridSpan w:val="3"/>
          </w:tcPr>
          <w:p>
            <w:pPr>
              <w:jc w:val="right"/>
              <w:ind w:right="300"/>
              <w:spacing w:after="0"/>
              <w:rPr>
                <w:sz w:val="20"/>
                <w:szCs w:val="20"/>
                <w:color w:val="auto"/>
              </w:rPr>
            </w:pPr>
            <w:r>
              <w:rPr>
                <w:rFonts w:ascii="Arial" w:cs="Arial" w:eastAsia="Arial" w:hAnsi="Arial"/>
                <w:sz w:val="17"/>
                <w:szCs w:val="17"/>
                <w:color w:val="auto"/>
              </w:rPr>
              <w:t>4,946</w:t>
            </w:r>
          </w:p>
        </w:tc>
        <w:tc>
          <w:tcPr>
            <w:tcW w:w="1900" w:type="dxa"/>
            <w:vAlign w:val="bottom"/>
          </w:tcPr>
          <w:p>
            <w:pPr>
              <w:jc w:val="right"/>
              <w:spacing w:after="0"/>
              <w:rPr>
                <w:sz w:val="20"/>
                <w:szCs w:val="20"/>
                <w:color w:val="auto"/>
              </w:rPr>
            </w:pPr>
            <w:r>
              <w:rPr>
                <w:rFonts w:ascii="Arial" w:cs="Arial" w:eastAsia="Arial" w:hAnsi="Arial"/>
                <w:sz w:val="17"/>
                <w:szCs w:val="17"/>
                <w:color w:val="auto"/>
              </w:rPr>
              <w:t>7,107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non-current liabilities</w:t>
            </w:r>
          </w:p>
        </w:tc>
        <w:tc>
          <w:tcPr>
            <w:tcW w:w="2380" w:type="dxa"/>
            <w:vAlign w:val="bottom"/>
            <w:tcBorders>
              <w:top w:val="single" w:sz="8" w:color="E5FFFF"/>
            </w:tcBorders>
            <w:shd w:val="clear" w:color="auto" w:fill="E5FFFF"/>
          </w:tcPr>
          <w:p>
            <w:pPr>
              <w:spacing w:after="0"/>
              <w:rPr>
                <w:sz w:val="18"/>
                <w:szCs w:val="18"/>
                <w:color w:val="auto"/>
              </w:rPr>
            </w:pP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2,522,280</w:t>
            </w:r>
          </w:p>
        </w:tc>
        <w:tc>
          <w:tcPr>
            <w:tcW w:w="300" w:type="dxa"/>
            <w:vAlign w:val="bottom"/>
            <w:tcBorders>
              <w:top w:val="single" w:sz="8" w:color="E5FFFF"/>
            </w:tcBorders>
            <w:shd w:val="clear" w:color="auto" w:fill="E5FFFF"/>
          </w:tcPr>
          <w:p>
            <w:pPr>
              <w:spacing w:after="0"/>
              <w:rPr>
                <w:sz w:val="18"/>
                <w:szCs w:val="18"/>
                <w:color w:val="auto"/>
              </w:rPr>
            </w:pPr>
          </w:p>
        </w:tc>
        <w:tc>
          <w:tcPr>
            <w:tcW w:w="19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3,113,112</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80" w:type="dxa"/>
            <w:vAlign w:val="bottom"/>
          </w:tcPr>
          <w:p>
            <w:pPr>
              <w:spacing w:after="0"/>
              <w:rPr>
                <w:sz w:val="20"/>
                <w:szCs w:val="20"/>
                <w:color w:val="auto"/>
              </w:rPr>
            </w:pPr>
            <w:r>
              <w:rPr>
                <w:rFonts w:ascii="Arial" w:cs="Arial" w:eastAsia="Arial" w:hAnsi="Arial"/>
                <w:sz w:val="17"/>
                <w:szCs w:val="17"/>
                <w:b w:val="1"/>
                <w:bCs w:val="1"/>
                <w:color w:val="auto"/>
              </w:rPr>
              <w:t>Total equity and liabilities</w:t>
            </w:r>
          </w:p>
        </w:tc>
        <w:tc>
          <w:tcPr>
            <w:tcW w:w="238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5,174,807</w:t>
            </w:r>
          </w:p>
        </w:tc>
        <w:tc>
          <w:tcPr>
            <w:tcW w:w="30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5,302,420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380" w:type="dxa"/>
            <w:vAlign w:val="bottom"/>
            <w:vMerge w:val="restart"/>
          </w:tcPr>
          <w:p>
            <w:pPr>
              <w:jc w:val="right"/>
              <w:ind w:right="1595"/>
              <w:spacing w:after="0"/>
              <w:rPr>
                <w:sz w:val="20"/>
                <w:szCs w:val="20"/>
                <w:color w:val="auto"/>
              </w:rPr>
            </w:pPr>
            <w:r>
              <w:rPr>
                <w:rFonts w:ascii="Arial" w:cs="Arial" w:eastAsia="Arial" w:hAnsi="Arial"/>
                <w:sz w:val="15"/>
                <w:szCs w:val="15"/>
                <w:color w:val="auto"/>
              </w:rPr>
              <w:t>11</w:t>
            </w: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3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38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and six months ended June 30, 2018 and 2019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240" w:type="dxa"/>
            <w:vAlign w:val="bottom"/>
            <w:gridSpan w:val="5"/>
          </w:tcPr>
          <w:p>
            <w:pPr>
              <w:jc w:val="right"/>
              <w:ind w:right="760"/>
              <w:spacing w:after="0"/>
              <w:rPr>
                <w:sz w:val="20"/>
                <w:szCs w:val="20"/>
                <w:color w:val="auto"/>
              </w:rPr>
            </w:pPr>
            <w:r>
              <w:rPr>
                <w:rFonts w:ascii="Arial" w:cs="Arial" w:eastAsia="Arial" w:hAnsi="Arial"/>
                <w:sz w:val="17"/>
                <w:szCs w:val="17"/>
                <w:b w:val="1"/>
                <w:bCs w:val="1"/>
                <w:color w:val="auto"/>
              </w:rPr>
              <w:t>For the three months ended</w:t>
            </w:r>
          </w:p>
        </w:tc>
        <w:tc>
          <w:tcPr>
            <w:tcW w:w="3040" w:type="dxa"/>
            <w:vAlign w:val="bottom"/>
            <w:gridSpan w:val="5"/>
          </w:tcPr>
          <w:p>
            <w:pPr>
              <w:jc w:val="right"/>
              <w:ind w:right="580"/>
              <w:spacing w:after="0"/>
              <w:rPr>
                <w:sz w:val="20"/>
                <w:szCs w:val="20"/>
                <w:color w:val="auto"/>
              </w:rPr>
            </w:pPr>
            <w:r>
              <w:rPr>
                <w:rFonts w:ascii="Arial" w:cs="Arial" w:eastAsia="Arial" w:hAnsi="Arial"/>
                <w:sz w:val="17"/>
                <w:szCs w:val="17"/>
                <w:b w:val="1"/>
                <w:bCs w:val="1"/>
                <w:color w:val="auto"/>
              </w:rPr>
              <w:t>For the 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w w:val="86"/>
              </w:rPr>
              <w:t>June 30, 2018</w:t>
            </w:r>
          </w:p>
        </w:tc>
        <w:tc>
          <w:tcPr>
            <w:tcW w:w="174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w w:val="99"/>
              </w:rPr>
              <w:t>June 30, 2019</w:t>
            </w:r>
          </w:p>
        </w:tc>
        <w:tc>
          <w:tcPr>
            <w:tcW w:w="150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w w:val="88"/>
              </w:rPr>
              <w:t>June 30, 2018</w:t>
            </w:r>
          </w:p>
        </w:tc>
        <w:tc>
          <w:tcPr>
            <w:tcW w:w="154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w w:val="97"/>
              </w:rPr>
              <w:t>June 30, 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Revenues</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132,824</w:t>
            </w:r>
          </w:p>
        </w:tc>
        <w:tc>
          <w:tcPr>
            <w:tcW w:w="1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154,251</w:t>
            </w:r>
          </w:p>
        </w:tc>
        <w:tc>
          <w:tcPr>
            <w:tcW w:w="3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271,302</w:t>
            </w:r>
          </w:p>
        </w:tc>
        <w:tc>
          <w:tcPr>
            <w:tcW w:w="1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320,798</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Net pool allocation</w:t>
            </w:r>
          </w:p>
        </w:tc>
        <w:tc>
          <w:tcPr>
            <w:tcW w:w="1320" w:type="dxa"/>
            <w:vAlign w:val="bottom"/>
          </w:tcPr>
          <w:p>
            <w:pPr>
              <w:jc w:val="right"/>
              <w:spacing w:after="0"/>
              <w:rPr>
                <w:sz w:val="20"/>
                <w:szCs w:val="20"/>
                <w:color w:val="auto"/>
              </w:rPr>
            </w:pPr>
            <w:r>
              <w:rPr>
                <w:rFonts w:ascii="Arial" w:cs="Arial" w:eastAsia="Arial" w:hAnsi="Arial"/>
                <w:sz w:val="17"/>
                <w:szCs w:val="17"/>
                <w:color w:val="auto"/>
              </w:rPr>
              <w:t>6,958</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2,658</w:t>
            </w:r>
          </w:p>
        </w:tc>
        <w:tc>
          <w:tcPr>
            <w:tcW w:w="3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15,611</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(4,080)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E5FFFF"/>
          </w:tcPr>
          <w:p>
            <w:pPr>
              <w:spacing w:after="0"/>
              <w:rPr>
                <w:sz w:val="20"/>
                <w:szCs w:val="20"/>
                <w:color w:val="auto"/>
              </w:rPr>
            </w:pPr>
            <w:r>
              <w:rPr>
                <w:rFonts w:ascii="Arial" w:cs="Arial" w:eastAsia="Arial" w:hAnsi="Arial"/>
                <w:sz w:val="17"/>
                <w:szCs w:val="17"/>
                <w:color w:val="auto"/>
              </w:rPr>
              <w:t>Voyage expenses and commissions</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(4,634)</w:t>
            </w:r>
          </w:p>
        </w:tc>
        <w:tc>
          <w:tcPr>
            <w:tcW w:w="1740" w:type="dxa"/>
            <w:vAlign w:val="bottom"/>
            <w:gridSpan w:val="3"/>
            <w:shd w:val="clear" w:color="auto" w:fill="E5FFFF"/>
          </w:tcPr>
          <w:p>
            <w:pPr>
              <w:jc w:val="right"/>
              <w:ind w:right="240"/>
              <w:spacing w:after="0"/>
              <w:rPr>
                <w:sz w:val="20"/>
                <w:szCs w:val="20"/>
                <w:color w:val="auto"/>
              </w:rPr>
            </w:pPr>
            <w:r>
              <w:rPr>
                <w:rFonts w:ascii="Arial" w:cs="Arial" w:eastAsia="Arial" w:hAnsi="Arial"/>
                <w:sz w:val="17"/>
                <w:szCs w:val="17"/>
                <w:color w:val="auto"/>
              </w:rPr>
              <w:t>(5,867)</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(9,915)</w:t>
            </w:r>
          </w:p>
        </w:tc>
        <w:tc>
          <w:tcPr>
            <w:tcW w:w="154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(12,784)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Vessel operating and supervision costs</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(32,703)</w:t>
            </w: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(33,358)</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(67,016)</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(66,328)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E5FFFF"/>
          </w:tcPr>
          <w:p>
            <w:pPr>
              <w:spacing w:after="0"/>
              <w:rPr>
                <w:sz w:val="20"/>
                <w:szCs w:val="20"/>
                <w:color w:val="auto"/>
              </w:rPr>
            </w:pPr>
            <w:r>
              <w:rPr>
                <w:rFonts w:ascii="Arial" w:cs="Arial" w:eastAsia="Arial" w:hAnsi="Arial"/>
                <w:sz w:val="17"/>
                <w:szCs w:val="17"/>
                <w:color w:val="auto"/>
              </w:rPr>
              <w:t>Depreciation</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(38,813)</w:t>
            </w:r>
          </w:p>
        </w:tc>
        <w:tc>
          <w:tcPr>
            <w:tcW w:w="1740" w:type="dxa"/>
            <w:vAlign w:val="bottom"/>
            <w:gridSpan w:val="3"/>
            <w:shd w:val="clear" w:color="auto" w:fill="E5FFFF"/>
          </w:tcPr>
          <w:p>
            <w:pPr>
              <w:jc w:val="right"/>
              <w:ind w:right="240"/>
              <w:spacing w:after="0"/>
              <w:rPr>
                <w:sz w:val="20"/>
                <w:szCs w:val="20"/>
                <w:color w:val="auto"/>
              </w:rPr>
            </w:pPr>
            <w:r>
              <w:rPr>
                <w:rFonts w:ascii="Arial" w:cs="Arial" w:eastAsia="Arial" w:hAnsi="Arial"/>
                <w:sz w:val="17"/>
                <w:szCs w:val="17"/>
                <w:color w:val="auto"/>
              </w:rPr>
              <w:t>(41,350)</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(74,342)</w:t>
            </w:r>
          </w:p>
        </w:tc>
        <w:tc>
          <w:tcPr>
            <w:tcW w:w="154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(80,949)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(10,352)</w:t>
            </w: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(11,172)</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(22,365)</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(21,549)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 from operations</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53,280</w:t>
            </w:r>
          </w:p>
        </w:tc>
        <w:tc>
          <w:tcPr>
            <w:tcW w:w="18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65,162</w:t>
            </w:r>
          </w:p>
        </w:tc>
        <w:tc>
          <w:tcPr>
            <w:tcW w:w="3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113,275</w:t>
            </w:r>
          </w:p>
        </w:tc>
        <w:tc>
          <w:tcPr>
            <w:tcW w:w="1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135,108</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Financial costs</w:t>
            </w:r>
          </w:p>
        </w:tc>
        <w:tc>
          <w:tcPr>
            <w:tcW w:w="1320" w:type="dxa"/>
            <w:vAlign w:val="bottom"/>
          </w:tcPr>
          <w:p>
            <w:pPr>
              <w:jc w:val="right"/>
              <w:spacing w:after="0"/>
              <w:rPr>
                <w:sz w:val="20"/>
                <w:szCs w:val="20"/>
                <w:color w:val="auto"/>
              </w:rPr>
            </w:pPr>
            <w:r>
              <w:rPr>
                <w:rFonts w:ascii="Arial" w:cs="Arial" w:eastAsia="Arial" w:hAnsi="Arial"/>
                <w:sz w:val="17"/>
                <w:szCs w:val="17"/>
                <w:color w:val="auto"/>
              </w:rPr>
              <w:t>(42,000)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(46,897)</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(92,404)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E5FFFF"/>
          </w:tcPr>
          <w:p>
            <w:pPr>
              <w:spacing w:after="0"/>
              <w:rPr>
                <w:sz w:val="20"/>
                <w:szCs w:val="20"/>
                <w:color w:val="auto"/>
              </w:rPr>
            </w:pPr>
            <w:r>
              <w:rPr>
                <w:rFonts w:ascii="Arial" w:cs="Arial" w:eastAsia="Arial" w:hAnsi="Arial"/>
                <w:sz w:val="17"/>
                <w:szCs w:val="17"/>
                <w:color w:val="auto"/>
              </w:rPr>
              <w:t>Financial income</w:t>
            </w:r>
          </w:p>
        </w:tc>
        <w:tc>
          <w:tcPr>
            <w:tcW w:w="13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1,294</w:t>
            </w:r>
          </w:p>
        </w:tc>
        <w:tc>
          <w:tcPr>
            <w:tcW w:w="18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1,709</w:t>
            </w:r>
          </w:p>
        </w:tc>
        <w:tc>
          <w:tcPr>
            <w:tcW w:w="30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2,310</w:t>
            </w:r>
          </w:p>
        </w:tc>
        <w:tc>
          <w:tcPr>
            <w:tcW w:w="14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3,168</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Gain/(loss) on derivatives</w:t>
            </w:r>
          </w:p>
        </w:tc>
        <w:tc>
          <w:tcPr>
            <w:tcW w:w="1320" w:type="dxa"/>
            <w:vAlign w:val="bottom"/>
          </w:tcPr>
          <w:p>
            <w:pPr>
              <w:jc w:val="right"/>
              <w:spacing w:after="0"/>
              <w:rPr>
                <w:sz w:val="20"/>
                <w:szCs w:val="20"/>
                <w:color w:val="auto"/>
              </w:rPr>
            </w:pPr>
            <w:r>
              <w:rPr>
                <w:rFonts w:ascii="Arial" w:cs="Arial" w:eastAsia="Arial" w:hAnsi="Arial"/>
                <w:sz w:val="17"/>
                <w:szCs w:val="17"/>
                <w:color w:val="auto"/>
              </w:rPr>
              <w:t>1,167</w:t>
            </w:r>
          </w:p>
        </w:tc>
        <w:tc>
          <w:tcPr>
            <w:tcW w:w="180" w:type="dxa"/>
            <w:vAlign w:val="bottom"/>
          </w:tcPr>
          <w:p>
            <w:pPr>
              <w:spacing w:after="0"/>
              <w:rPr>
                <w:sz w:val="18"/>
                <w:szCs w:val="18"/>
                <w:color w:val="auto"/>
              </w:rPr>
            </w:pP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(30,799)</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18,938</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(51,043)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13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471</w:t>
            </w:r>
          </w:p>
        </w:tc>
        <w:tc>
          <w:tcPr>
            <w:tcW w:w="18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313</w:t>
            </w:r>
          </w:p>
        </w:tc>
        <w:tc>
          <w:tcPr>
            <w:tcW w:w="30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827</w:t>
            </w:r>
          </w:p>
        </w:tc>
        <w:tc>
          <w:tcPr>
            <w:tcW w:w="14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other expenses, net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(39,068)</w:t>
            </w:r>
          </w:p>
        </w:tc>
        <w:tc>
          <w:tcPr>
            <w:tcW w:w="18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(75,674)</w:t>
            </w:r>
          </w:p>
        </w:tc>
        <w:tc>
          <w:tcPr>
            <w:tcW w:w="300" w:type="dxa"/>
            <w:vAlign w:val="bottom"/>
            <w:tcBorders>
              <w:bottom w:val="single" w:sz="8" w:color="E5FF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(56,522)</w:t>
            </w:r>
          </w:p>
        </w:tc>
        <w:tc>
          <w:tcPr>
            <w:tcW w:w="1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(139,721)</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Profit/(loss) for the period</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14,212</w:t>
            </w:r>
          </w:p>
        </w:tc>
        <w:tc>
          <w:tcPr>
            <w:tcW w:w="180" w:type="dxa"/>
            <w:vAlign w:val="bottom"/>
            <w:tcBorders>
              <w:bottom w:val="single" w:sz="8" w:color="E5FFFF"/>
            </w:tcBorders>
            <w:shd w:val="clear" w:color="auto" w:fill="E5FFFF"/>
          </w:tcPr>
          <w:p>
            <w:pPr>
              <w:spacing w:after="0"/>
              <w:rPr>
                <w:sz w:val="18"/>
                <w:szCs w:val="18"/>
                <w:color w:val="auto"/>
              </w:rPr>
            </w:pPr>
          </w:p>
        </w:tc>
        <w:tc>
          <w:tcPr>
            <w:tcW w:w="140" w:type="dxa"/>
            <w:vAlign w:val="bottom"/>
            <w:tcBorders>
              <w:bottom w:val="single" w:sz="8" w:color="E5FFFF"/>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(10,512)</w:t>
            </w:r>
          </w:p>
        </w:tc>
        <w:tc>
          <w:tcPr>
            <w:tcW w:w="300" w:type="dxa"/>
            <w:vAlign w:val="bottom"/>
            <w:tcBorders>
              <w:bottom w:val="single" w:sz="8" w:color="E5FFFF"/>
            </w:tcBorders>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56,753</w:t>
            </w:r>
          </w:p>
        </w:tc>
        <w:tc>
          <w:tcPr>
            <w:tcW w:w="1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(4,613)</w:t>
            </w:r>
          </w:p>
        </w:tc>
        <w:tc>
          <w:tcPr>
            <w:tcW w:w="120" w:type="dxa"/>
            <w:vAlign w:val="bottom"/>
            <w:tcBorders>
              <w:bottom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spacing w:after="0"/>
              <w:rPr>
                <w:sz w:val="20"/>
                <w:szCs w:val="20"/>
                <w:color w:val="auto"/>
              </w:rPr>
            </w:pPr>
            <w:r>
              <w:rPr>
                <w:rFonts w:ascii="Arial" w:cs="Arial" w:eastAsia="Arial" w:hAnsi="Arial"/>
                <w:sz w:val="17"/>
                <w:szCs w:val="17"/>
                <w:color w:val="auto"/>
              </w:rPr>
              <w:t>Attributable to:</w:t>
            </w: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shd w:val="clear" w:color="auto" w:fill="E5FFFF"/>
          </w:tcPr>
          <w:p>
            <w:pPr>
              <w:spacing w:after="0"/>
              <w:rPr>
                <w:sz w:val="20"/>
                <w:szCs w:val="20"/>
                <w:color w:val="auto"/>
              </w:rPr>
            </w:pPr>
            <w:r>
              <w:rPr>
                <w:rFonts w:ascii="Arial" w:cs="Arial" w:eastAsia="Arial" w:hAnsi="Arial"/>
                <w:sz w:val="17"/>
                <w:szCs w:val="17"/>
                <w:color w:val="auto"/>
              </w:rPr>
              <w:t>Owners of the Group</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(3,620)</w:t>
            </w:r>
          </w:p>
        </w:tc>
        <w:tc>
          <w:tcPr>
            <w:tcW w:w="1740" w:type="dxa"/>
            <w:vAlign w:val="bottom"/>
            <w:gridSpan w:val="3"/>
            <w:shd w:val="clear" w:color="auto" w:fill="E5FFFF"/>
          </w:tcPr>
          <w:p>
            <w:pPr>
              <w:jc w:val="right"/>
              <w:ind w:right="240"/>
              <w:spacing w:after="0"/>
              <w:rPr>
                <w:sz w:val="20"/>
                <w:szCs w:val="20"/>
                <w:color w:val="auto"/>
              </w:rPr>
            </w:pPr>
            <w:r>
              <w:rPr>
                <w:rFonts w:ascii="Arial" w:cs="Arial" w:eastAsia="Arial" w:hAnsi="Arial"/>
                <w:sz w:val="17"/>
                <w:szCs w:val="17"/>
                <w:color w:val="auto"/>
              </w:rPr>
              <w:t>(25,998)</w:t>
            </w:r>
          </w:p>
        </w:tc>
        <w:tc>
          <w:tcPr>
            <w:tcW w:w="15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15,684</w:t>
            </w:r>
          </w:p>
        </w:tc>
        <w:tc>
          <w:tcPr>
            <w:tcW w:w="154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(36,945)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320" w:type="dxa"/>
            <w:vAlign w:val="bottom"/>
          </w:tcPr>
          <w:p>
            <w:pPr>
              <w:jc w:val="right"/>
              <w:spacing w:after="0"/>
              <w:rPr>
                <w:sz w:val="20"/>
                <w:szCs w:val="20"/>
                <w:color w:val="auto"/>
              </w:rPr>
            </w:pPr>
            <w:r>
              <w:rPr>
                <w:rFonts w:ascii="Arial" w:cs="Arial" w:eastAsia="Arial" w:hAnsi="Arial"/>
                <w:sz w:val="17"/>
                <w:szCs w:val="17"/>
                <w:color w:val="auto"/>
              </w:rPr>
              <w:t>17,832</w:t>
            </w:r>
          </w:p>
        </w:tc>
        <w:tc>
          <w:tcPr>
            <w:tcW w:w="1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15,486</w:t>
            </w:r>
          </w:p>
        </w:tc>
        <w:tc>
          <w:tcPr>
            <w:tcW w:w="3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41,069</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32,332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14,212</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(10,512)</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56,753</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(4,613</w:t>
            </w:r>
          </w:p>
        </w:tc>
        <w:tc>
          <w:tcPr>
            <w:tcW w:w="12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(Loss)/earnings per share – basic and diluted</w:t>
            </w: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b w:val="1"/>
                <w:bCs w:val="1"/>
                <w:color w:val="auto"/>
              </w:rPr>
              <w:t>(0.08)</w:t>
            </w:r>
          </w:p>
        </w:tc>
        <w:tc>
          <w:tcPr>
            <w:tcW w:w="1740" w:type="dxa"/>
            <w:vAlign w:val="bottom"/>
            <w:gridSpan w:val="3"/>
            <w:shd w:val="clear" w:color="auto" w:fill="E5FFFF"/>
          </w:tcPr>
          <w:p>
            <w:pPr>
              <w:jc w:val="right"/>
              <w:ind w:right="240"/>
              <w:spacing w:after="0"/>
              <w:rPr>
                <w:sz w:val="20"/>
                <w:szCs w:val="20"/>
                <w:color w:val="auto"/>
              </w:rPr>
            </w:pPr>
            <w:r>
              <w:rPr>
                <w:rFonts w:ascii="Arial" w:cs="Arial" w:eastAsia="Arial" w:hAnsi="Arial"/>
                <w:sz w:val="17"/>
                <w:szCs w:val="17"/>
                <w:b w:val="1"/>
                <w:bCs w:val="1"/>
                <w:color w:val="auto"/>
              </w:rPr>
              <w:t>(0.35)</w:t>
            </w:r>
          </w:p>
        </w:tc>
        <w:tc>
          <w:tcPr>
            <w:tcW w:w="15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b w:val="1"/>
                <w:bCs w:val="1"/>
                <w:color w:val="auto"/>
              </w:rPr>
              <w:t>0.13</w:t>
            </w:r>
          </w:p>
        </w:tc>
        <w:tc>
          <w:tcPr>
            <w:tcW w:w="1540" w:type="dxa"/>
            <w:vAlign w:val="bottom"/>
            <w:gridSpan w:val="3"/>
            <w:shd w:val="clear" w:color="auto" w:fill="E5FFFF"/>
          </w:tcPr>
          <w:p>
            <w:pPr>
              <w:jc w:val="right"/>
              <w:spacing w:after="0"/>
              <w:rPr>
                <w:sz w:val="20"/>
                <w:szCs w:val="20"/>
                <w:color w:val="auto"/>
              </w:rPr>
            </w:pPr>
            <w:r>
              <w:rPr>
                <w:rFonts w:ascii="Arial" w:cs="Arial" w:eastAsia="Arial" w:hAnsi="Arial"/>
                <w:sz w:val="17"/>
                <w:szCs w:val="17"/>
                <w:b w:val="1"/>
                <w:bCs w:val="1"/>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320" w:type="dxa"/>
            <w:vAlign w:val="bottom"/>
          </w:tcPr>
          <w:p>
            <w:pPr>
              <w:jc w:val="right"/>
              <w:ind w:right="875"/>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808080"/>
            </w:tcBorders>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six months ended June 30, 2018 and 2019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gridSpan w:val="5"/>
          </w:tcPr>
          <w:p>
            <w:pPr>
              <w:jc w:val="right"/>
              <w:ind w:right="780"/>
              <w:spacing w:after="0"/>
              <w:rPr>
                <w:sz w:val="20"/>
                <w:szCs w:val="20"/>
                <w:color w:val="auto"/>
              </w:rPr>
            </w:pPr>
            <w:r>
              <w:rPr>
                <w:rFonts w:ascii="Arial" w:cs="Arial" w:eastAsia="Arial" w:hAnsi="Arial"/>
                <w:sz w:val="17"/>
                <w:szCs w:val="17"/>
                <w:b w:val="1"/>
                <w:bCs w:val="1"/>
                <w:color w:val="auto"/>
              </w:rPr>
              <w:t>For the 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240" w:type="dxa"/>
            <w:vAlign w:val="bottom"/>
          </w:tcPr>
          <w:p>
            <w:pPr>
              <w:spacing w:after="0"/>
              <w:rPr>
                <w:sz w:val="19"/>
                <w:szCs w:val="19"/>
                <w:color w:val="auto"/>
              </w:rPr>
            </w:pPr>
          </w:p>
        </w:tc>
        <w:tc>
          <w:tcPr>
            <w:tcW w:w="200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rPr>
              <w:t>June 30, 2018</w:t>
            </w:r>
          </w:p>
        </w:tc>
        <w:tc>
          <w:tcPr>
            <w:tcW w:w="1760" w:type="dxa"/>
            <w:vAlign w:val="bottom"/>
            <w:gridSpan w:val="3"/>
          </w:tcPr>
          <w:p>
            <w:pPr>
              <w:jc w:val="right"/>
              <w:ind w:right="480"/>
              <w:spacing w:after="0"/>
              <w:rPr>
                <w:sz w:val="20"/>
                <w:szCs w:val="20"/>
                <w:color w:val="auto"/>
              </w:rPr>
            </w:pPr>
            <w:r>
              <w:rPr>
                <w:rFonts w:ascii="Arial" w:cs="Arial" w:eastAsia="Arial" w:hAnsi="Arial"/>
                <w:sz w:val="17"/>
                <w:szCs w:val="17"/>
                <w:b w:val="1"/>
                <w:bCs w:val="1"/>
                <w:color w:val="auto"/>
              </w:rPr>
              <w:t>June 30, 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Profit/(loss) for the period</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56,753</w:t>
            </w:r>
          </w:p>
        </w:tc>
        <w:tc>
          <w:tcPr>
            <w:tcW w:w="2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(4,613)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Adjustments for:</w:t>
            </w:r>
          </w:p>
        </w:tc>
        <w:tc>
          <w:tcPr>
            <w:tcW w:w="300" w:type="dxa"/>
            <w:vAlign w:val="bottom"/>
            <w:shd w:val="clear" w:color="auto" w:fill="E5FFFF"/>
          </w:tcPr>
          <w:p>
            <w:pPr>
              <w:spacing w:after="0"/>
              <w:rPr>
                <w:sz w:val="18"/>
                <w:szCs w:val="18"/>
                <w:color w:val="auto"/>
              </w:rPr>
            </w:pPr>
          </w:p>
        </w:tc>
        <w:tc>
          <w:tcPr>
            <w:tcW w:w="14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Depreciation</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74,342</w:t>
            </w:r>
          </w:p>
        </w:tc>
        <w:tc>
          <w:tcPr>
            <w:tcW w:w="2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80,949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20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(827)</w:t>
            </w:r>
          </w:p>
        </w:tc>
        <w:tc>
          <w:tcPr>
            <w:tcW w:w="17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Financial income</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color w:val="auto"/>
              </w:rPr>
              <w:t>(2,310)</w:t>
            </w: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(3,168)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Financial costs</w:t>
            </w:r>
          </w:p>
        </w:tc>
        <w:tc>
          <w:tcPr>
            <w:tcW w:w="17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78,597</w:t>
            </w:r>
          </w:p>
        </w:tc>
        <w:tc>
          <w:tcPr>
            <w:tcW w:w="26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92,404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Unrealized foreign exchange losses on cash and cash equivalents</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w w:val="96"/>
              </w:rPr>
              <w:t>Unrealized (gain)/loss on derivative financial instruments held for trading including ineffective portion of cash flow</w:t>
            </w:r>
          </w:p>
        </w:tc>
        <w:tc>
          <w:tcPr>
            <w:tcW w:w="30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240" w:type="dxa"/>
            <w:vAlign w:val="bottom"/>
            <w:shd w:val="clear" w:color="auto" w:fill="E5FFFF"/>
          </w:tcPr>
          <w:p>
            <w:pPr>
              <w:ind w:left="180"/>
              <w:spacing w:after="0"/>
              <w:rPr>
                <w:sz w:val="20"/>
                <w:szCs w:val="20"/>
                <w:color w:val="auto"/>
              </w:rPr>
            </w:pPr>
            <w:r>
              <w:rPr>
                <w:rFonts w:ascii="Arial" w:cs="Arial" w:eastAsia="Arial" w:hAnsi="Arial"/>
                <w:sz w:val="17"/>
                <w:szCs w:val="17"/>
                <w:color w:val="auto"/>
              </w:rPr>
              <w:t>hedges</w:t>
            </w:r>
          </w:p>
        </w:tc>
        <w:tc>
          <w:tcPr>
            <w:tcW w:w="20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(16,705)</w:t>
            </w:r>
          </w:p>
        </w:tc>
        <w:tc>
          <w:tcPr>
            <w:tcW w:w="16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51,882</w:t>
            </w:r>
          </w:p>
        </w:tc>
        <w:tc>
          <w:tcPr>
            <w:tcW w:w="120" w:type="dxa"/>
            <w:vAlign w:val="bottom"/>
            <w:shd w:val="clear" w:color="auto" w:fill="E5FF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2,515</w:t>
            </w:r>
          </w:p>
        </w:tc>
        <w:tc>
          <w:tcPr>
            <w:tcW w:w="2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2,587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192,428</w:t>
            </w:r>
          </w:p>
        </w:tc>
        <w:tc>
          <w:tcPr>
            <w:tcW w:w="2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219,361</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Movements in working capital</w:t>
            </w:r>
          </w:p>
        </w:tc>
        <w:tc>
          <w:tcPr>
            <w:tcW w:w="3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(1,712)</w:t>
            </w:r>
          </w:p>
        </w:tc>
        <w:tc>
          <w:tcPr>
            <w:tcW w:w="26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(37,897)</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Cash provided by operations</w:t>
            </w:r>
          </w:p>
        </w:tc>
        <w:tc>
          <w:tcPr>
            <w:tcW w:w="30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190,716</w:t>
            </w:r>
          </w:p>
        </w:tc>
        <w:tc>
          <w:tcPr>
            <w:tcW w:w="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181,464</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Interest paid</w:t>
            </w:r>
          </w:p>
        </w:tc>
        <w:tc>
          <w:tcPr>
            <w:tcW w:w="3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(63,914)</w:t>
            </w:r>
          </w:p>
        </w:tc>
        <w:tc>
          <w:tcPr>
            <w:tcW w:w="26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(82,691)</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30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126,802</w:t>
            </w:r>
          </w:p>
        </w:tc>
        <w:tc>
          <w:tcPr>
            <w:tcW w:w="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98,773</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240" w:type="dxa"/>
            <w:vAlign w:val="bottom"/>
          </w:tcPr>
          <w:p>
            <w:pPr>
              <w:spacing w:after="0" w:line="194" w:lineRule="exact"/>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Payments for tangible fixed assets and vessels under construction</w:t>
            </w:r>
          </w:p>
        </w:tc>
        <w:tc>
          <w:tcPr>
            <w:tcW w:w="20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(588,899)</w:t>
            </w:r>
          </w:p>
        </w:tc>
        <w:tc>
          <w:tcPr>
            <w:tcW w:w="17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(256,888)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Return of capital expenditures</w:t>
            </w:r>
          </w:p>
        </w:tc>
        <w:tc>
          <w:tcPr>
            <w:tcW w:w="30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5,629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Other investments</w:t>
            </w:r>
          </w:p>
        </w:tc>
        <w:tc>
          <w:tcPr>
            <w:tcW w:w="3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7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Payments for right-of-use assets</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color w:val="auto"/>
              </w:rPr>
              <w:t>(30)</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Dividends received from associate</w:t>
            </w:r>
          </w:p>
        </w:tc>
        <w:tc>
          <w:tcPr>
            <w:tcW w:w="17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500</w:t>
            </w:r>
          </w:p>
        </w:tc>
        <w:tc>
          <w:tcPr>
            <w:tcW w:w="26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538</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Purchase of short-term investments</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color w:val="auto"/>
              </w:rPr>
              <w:t>(36,000)</w:t>
            </w: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(54,000)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Maturity of short-term investments</w:t>
            </w:r>
          </w:p>
        </w:tc>
        <w:tc>
          <w:tcPr>
            <w:tcW w:w="17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10,000</w:t>
            </w:r>
          </w:p>
        </w:tc>
        <w:tc>
          <w:tcPr>
            <w:tcW w:w="26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35,000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Restricted cash</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color w:val="auto"/>
              </w:rPr>
              <w:t>(2,321)</w:t>
            </w: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Financial income received</w:t>
            </w:r>
          </w:p>
        </w:tc>
        <w:tc>
          <w:tcPr>
            <w:tcW w:w="17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2,124</w:t>
            </w:r>
          </w:p>
        </w:tc>
        <w:tc>
          <w:tcPr>
            <w:tcW w:w="260" w:type="dxa"/>
            <w:vAlign w:val="bottom"/>
            <w:shd w:val="clear" w:color="auto" w:fill="E5FFFF"/>
          </w:tcPr>
          <w:p>
            <w:pPr>
              <w:spacing w:after="0"/>
              <w:rPr>
                <w:sz w:val="18"/>
                <w:szCs w:val="18"/>
                <w:color w:val="auto"/>
              </w:rPr>
            </w:pPr>
          </w:p>
        </w:tc>
        <w:tc>
          <w:tcPr>
            <w:tcW w:w="16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2,960</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300" w:type="dxa"/>
            <w:vAlign w:val="bottom"/>
            <w:tcBorders>
              <w:bottom w:val="single" w:sz="8" w:color="E5FF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(614,626</w:t>
            </w:r>
          </w:p>
        </w:tc>
        <w:tc>
          <w:tcPr>
            <w:tcW w:w="260" w:type="dxa"/>
            <w:vAlign w:val="bottom"/>
            <w:tcBorders>
              <w:bottom w:val="single" w:sz="8" w:color="E5FFFF"/>
            </w:tcBorders>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bottom w:val="single" w:sz="8" w:color="E5FF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(266,919</w:t>
            </w:r>
          </w:p>
        </w:tc>
        <w:tc>
          <w:tcPr>
            <w:tcW w:w="12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240" w:type="dxa"/>
            <w:vAlign w:val="bottom"/>
            <w:shd w:val="clear" w:color="auto" w:fill="E5FFFF"/>
          </w:tcPr>
          <w:p>
            <w:pPr>
              <w:spacing w:after="0" w:line="194" w:lineRule="exact"/>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c>
          <w:tcPr>
            <w:tcW w:w="260" w:type="dxa"/>
            <w:vAlign w:val="bottom"/>
            <w:shd w:val="clear" w:color="auto" w:fill="E5FFFF"/>
          </w:tcPr>
          <w:p>
            <w:pPr>
              <w:spacing w:after="0"/>
              <w:rPr>
                <w:sz w:val="16"/>
                <w:szCs w:val="16"/>
                <w:color w:val="auto"/>
              </w:rPr>
            </w:pPr>
          </w:p>
        </w:tc>
        <w:tc>
          <w:tcPr>
            <w:tcW w:w="20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Proceeds from bank loans and bonds</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498,225</w:t>
            </w:r>
          </w:p>
        </w:tc>
        <w:tc>
          <w:tcPr>
            <w:tcW w:w="26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677,680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Bank loan repayments</w:t>
            </w:r>
          </w:p>
        </w:tc>
        <w:tc>
          <w:tcPr>
            <w:tcW w:w="20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(108,958)</w:t>
            </w:r>
          </w:p>
        </w:tc>
        <w:tc>
          <w:tcPr>
            <w:tcW w:w="17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(445,604)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Payment of loan issuance costs</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color w:val="auto"/>
              </w:rPr>
              <w:t>(7,295)</w:t>
            </w: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(9,175)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w w:val="98"/>
              </w:rPr>
              <w:t>Proceeds from GasLog Partners’ public common unit offerings (net of underwriting discounts and commissions)</w:t>
            </w:r>
          </w:p>
        </w:tc>
        <w:tc>
          <w:tcPr>
            <w:tcW w:w="17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24</w:t>
            </w:r>
          </w:p>
        </w:tc>
        <w:tc>
          <w:tcPr>
            <w:tcW w:w="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Proceeds from GasLog Partners’ preference unit offering (net of underwriting discounts and commissions)</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111,544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Payment of equity raising costs</w:t>
            </w:r>
          </w:p>
        </w:tc>
        <w:tc>
          <w:tcPr>
            <w:tcW w:w="20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(660)</w:t>
            </w:r>
          </w:p>
        </w:tc>
        <w:tc>
          <w:tcPr>
            <w:tcW w:w="17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(894)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Dividends paid</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color w:val="auto"/>
              </w:rPr>
              <w:t>(71,223)</w:t>
            </w: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(82,111)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Purchase of treasury shares</w:t>
            </w:r>
          </w:p>
        </w:tc>
        <w:tc>
          <w:tcPr>
            <w:tcW w:w="20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(62)</w:t>
            </w:r>
          </w:p>
        </w:tc>
        <w:tc>
          <w:tcPr>
            <w:tcW w:w="17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(13,673)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Proceeds from stock options’ exercise</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shd w:val="clear" w:color="auto" w:fill="E5FFFF"/>
          </w:tcPr>
          <w:p>
            <w:pPr>
              <w:spacing w:after="0"/>
              <w:rPr>
                <w:sz w:val="20"/>
                <w:szCs w:val="20"/>
                <w:color w:val="auto"/>
              </w:rPr>
            </w:pPr>
            <w:r>
              <w:rPr>
                <w:rFonts w:ascii="Arial" w:cs="Arial" w:eastAsia="Arial" w:hAnsi="Arial"/>
                <w:sz w:val="17"/>
                <w:szCs w:val="17"/>
                <w:color w:val="auto"/>
              </w:rPr>
              <w:t>Payments for right-of-use assets</w:t>
            </w:r>
          </w:p>
        </w:tc>
        <w:tc>
          <w:tcPr>
            <w:tcW w:w="300" w:type="dxa"/>
            <w:vAlign w:val="bottom"/>
            <w:shd w:val="clear" w:color="auto" w:fill="E5FFFF"/>
          </w:tcPr>
          <w:p>
            <w:pPr>
              <w:spacing w:after="0"/>
              <w:rPr>
                <w:sz w:val="18"/>
                <w:szCs w:val="18"/>
                <w:color w:val="auto"/>
              </w:rPr>
            </w:pPr>
          </w:p>
        </w:tc>
        <w:tc>
          <w:tcPr>
            <w:tcW w:w="17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7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Pr>
          <w:p>
            <w:pPr>
              <w:spacing w:after="0"/>
              <w:rPr>
                <w:sz w:val="20"/>
                <w:szCs w:val="20"/>
                <w:color w:val="auto"/>
              </w:rPr>
            </w:pPr>
            <w:r>
              <w:rPr>
                <w:rFonts w:ascii="Arial" w:cs="Arial" w:eastAsia="Arial" w:hAnsi="Arial"/>
                <w:sz w:val="17"/>
                <w:szCs w:val="17"/>
                <w:color w:val="auto"/>
              </w:rPr>
              <w:t>Payments for lease liability</w:t>
            </w:r>
          </w:p>
        </w:tc>
        <w:tc>
          <w:tcPr>
            <w:tcW w:w="2000" w:type="dxa"/>
            <w:vAlign w:val="bottom"/>
            <w:gridSpan w:val="3"/>
          </w:tcPr>
          <w:p>
            <w:pPr>
              <w:jc w:val="right"/>
              <w:ind w:right="120"/>
              <w:spacing w:after="0"/>
              <w:rPr>
                <w:sz w:val="20"/>
                <w:szCs w:val="20"/>
                <w:color w:val="auto"/>
              </w:rPr>
            </w:pPr>
            <w:r>
              <w:rPr>
                <w:rFonts w:ascii="Arial" w:cs="Arial" w:eastAsia="Arial" w:hAnsi="Arial"/>
                <w:sz w:val="17"/>
                <w:szCs w:val="17"/>
                <w:color w:val="auto"/>
              </w:rPr>
              <w:t>(3,588)</w:t>
            </w:r>
          </w:p>
        </w:tc>
        <w:tc>
          <w:tcPr>
            <w:tcW w:w="1760" w:type="dxa"/>
            <w:vAlign w:val="bottom"/>
            <w:gridSpan w:val="3"/>
          </w:tcPr>
          <w:p>
            <w:pPr>
              <w:jc w:val="right"/>
              <w:spacing w:after="0"/>
              <w:rPr>
                <w:sz w:val="20"/>
                <w:szCs w:val="20"/>
                <w:color w:val="auto"/>
              </w:rPr>
            </w:pPr>
            <w:r>
              <w:rPr>
                <w:rFonts w:ascii="Arial" w:cs="Arial" w:eastAsia="Arial" w:hAnsi="Arial"/>
                <w:sz w:val="17"/>
                <w:szCs w:val="17"/>
                <w:color w:val="auto"/>
              </w:rPr>
              <w:t>(4,770)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3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418,164</w:t>
            </w:r>
          </w:p>
        </w:tc>
        <w:tc>
          <w:tcPr>
            <w:tcW w:w="260" w:type="dxa"/>
            <w:vAlign w:val="bottom"/>
            <w:tcBorders>
              <w:top w:val="single" w:sz="8" w:color="E5FFFF"/>
            </w:tcBorders>
            <w:shd w:val="clear" w:color="auto" w:fill="E5FFFF"/>
          </w:tcPr>
          <w:p>
            <w:pPr>
              <w:spacing w:after="0"/>
              <w:rPr>
                <w:sz w:val="18"/>
                <w:szCs w:val="18"/>
                <w:color w:val="auto"/>
              </w:rPr>
            </w:pPr>
          </w:p>
        </w:tc>
        <w:tc>
          <w:tcPr>
            <w:tcW w:w="2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121,221</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Effects of exchange rate changes on cash and cash equivalents</w:t>
            </w:r>
          </w:p>
        </w:tc>
        <w:tc>
          <w:tcPr>
            <w:tcW w:w="3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26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Decrease in cash and cash equivalents</w:t>
            </w:r>
          </w:p>
        </w:tc>
        <w:tc>
          <w:tcPr>
            <w:tcW w:w="30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(69,723)</w:t>
            </w:r>
          </w:p>
        </w:tc>
        <w:tc>
          <w:tcPr>
            <w:tcW w:w="2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(46,803)</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Cash and cash equivalents, beginning of the period</w:t>
            </w:r>
          </w:p>
        </w:tc>
        <w:tc>
          <w:tcPr>
            <w:tcW w:w="3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384,092</w:t>
            </w:r>
          </w:p>
        </w:tc>
        <w:tc>
          <w:tcPr>
            <w:tcW w:w="260" w:type="dxa"/>
            <w:vAlign w:val="bottom"/>
            <w:tcBorders>
              <w:bottom w:val="single" w:sz="8" w:color="E5FFFF"/>
            </w:tcBorders>
          </w:tcPr>
          <w:p>
            <w:pPr>
              <w:spacing w:after="0"/>
              <w:rPr>
                <w:sz w:val="18"/>
                <w:szCs w:val="18"/>
                <w:color w:val="auto"/>
              </w:rPr>
            </w:pPr>
          </w:p>
        </w:tc>
        <w:tc>
          <w:tcPr>
            <w:tcW w:w="20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342,594</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Cash and cash equivalents, end of the period</w:t>
            </w:r>
          </w:p>
        </w:tc>
        <w:tc>
          <w:tcPr>
            <w:tcW w:w="300" w:type="dxa"/>
            <w:vAlign w:val="bottom"/>
            <w:tcBorders>
              <w:bottom w:val="single" w:sz="8" w:color="E5FFFF"/>
            </w:tcBorders>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314,369</w:t>
            </w:r>
          </w:p>
        </w:tc>
        <w:tc>
          <w:tcPr>
            <w:tcW w:w="26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295,791</w:t>
            </w:r>
          </w:p>
        </w:tc>
        <w:tc>
          <w:tcPr>
            <w:tcW w:w="120" w:type="dxa"/>
            <w:vAlign w:val="bottom"/>
            <w:tcBorders>
              <w:bottom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5920"/>
              <w:spacing w:after="0"/>
              <w:rPr>
                <w:sz w:val="20"/>
                <w:szCs w:val="20"/>
                <w:color w:val="auto"/>
              </w:rPr>
            </w:pPr>
            <w:r>
              <w:rPr>
                <w:rFonts w:ascii="Arial" w:cs="Arial" w:eastAsia="Arial" w:hAnsi="Arial"/>
                <w:sz w:val="15"/>
                <w:szCs w:val="15"/>
                <w:color w:val="auto"/>
              </w:rPr>
              <w:t>13</w:t>
            </w:r>
          </w:p>
        </w:tc>
        <w:tc>
          <w:tcPr>
            <w:tcW w:w="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82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13" w:name="page14"/>
    <w:bookmarkEnd w:id="13"/>
    <w:p>
      <w:pPr>
        <w:ind w:left="6"/>
        <w:spacing w:after="0"/>
        <w:rPr>
          <w:sz w:val="20"/>
          <w:szCs w:val="20"/>
          <w:color w:val="auto"/>
        </w:rPr>
      </w:pPr>
      <w:r>
        <w:rPr>
          <w:rFonts w:ascii="Arial" w:cs="Arial" w:eastAsia="Arial" w:hAnsi="Arial"/>
          <w:sz w:val="17"/>
          <w:szCs w:val="17"/>
          <w:b w:val="1"/>
          <w:bCs w:val="1"/>
          <w:color w:val="auto"/>
        </w:rPr>
        <w:t>EXHIBIT II</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Non-GAAP Financial Measures:</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EBITDA, Adjusted EBITDA, Adjusted Profit and Adjusted EPS</w:t>
      </w:r>
    </w:p>
    <w:p>
      <w:pPr>
        <w:spacing w:after="0" w:line="253" w:lineRule="exact"/>
        <w:rPr>
          <w:sz w:val="20"/>
          <w:szCs w:val="20"/>
          <w:color w:val="auto"/>
        </w:rPr>
      </w:pPr>
    </w:p>
    <w:p>
      <w:pPr>
        <w:ind w:left="6" w:right="340"/>
        <w:spacing w:after="0" w:line="298" w:lineRule="auto"/>
        <w:rPr>
          <w:sz w:val="20"/>
          <w:szCs w:val="20"/>
          <w:color w:val="auto"/>
        </w:rPr>
      </w:pPr>
      <w:r>
        <w:rPr>
          <w:rFonts w:ascii="Arial" w:cs="Arial" w:eastAsia="Arial" w:hAnsi="Arial"/>
          <w:sz w:val="15"/>
          <w:szCs w:val="15"/>
          <w:color w:val="auto"/>
        </w:rPr>
        <w:t>EBITDA is defined as earnings before depreciation, amortization, financial income and costs, gain/loss on derivatives and taxes. Adjusted EBITDA is defined as EBITDA before foreign exchange gains/losses. Adjusted Profit represents earnings before write-off and accelerated amortization of unamortized loan fees/bond fees and premium, foreign exchange gains/losses and non-cash gain/loss on derivatives that includes (if any) (a) unrealized gain/loss on derivative financial instruments held for trading,</w:t>
      </w:r>
    </w:p>
    <w:p>
      <w:pPr>
        <w:spacing w:after="0" w:line="2" w:lineRule="exact"/>
        <w:rPr>
          <w:sz w:val="20"/>
          <w:szCs w:val="20"/>
          <w:color w:val="auto"/>
        </w:rPr>
      </w:pPr>
    </w:p>
    <w:p>
      <w:pPr>
        <w:ind w:left="6" w:right="40" w:hanging="6"/>
        <w:spacing w:after="0" w:line="282" w:lineRule="auto"/>
        <w:tabs>
          <w:tab w:leader="none" w:pos="248"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recycled loss of cash flow hedges reclassified to profit or loss and (c) ineffective portion of cash flow hedges. Adjusted EPS represents earnings attributable to owners of the Group adjusted for non-cash gain/loss on derivatives as defined above, foreign exchange gains/losses and write-off and accelerated amortization of unamortized loan/bond fees and premium, all adjustments calculated at Group level without deduction for non-controlling interests,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and in the case of Adjusted Profit and Adjusted EPS, non-cash gain/loss on derivatives, foreign exchange gains/losses and write-off and accelerated amortization of unamortized loan fees/bond fees and premium, which items are affected by various and possibly changing financing methods, financial market conditions, capital structure and historical cost basis, and which items may significantly affect results of operations between periods.</w:t>
      </w:r>
    </w:p>
    <w:p>
      <w:pPr>
        <w:spacing w:after="0" w:line="196" w:lineRule="exact"/>
        <w:rPr>
          <w:sz w:val="20"/>
          <w:szCs w:val="20"/>
          <w:color w:val="auto"/>
        </w:rPr>
      </w:pPr>
    </w:p>
    <w:p>
      <w:pPr>
        <w:ind w:left="6" w:right="220"/>
        <w:spacing w:after="0" w:line="266" w:lineRule="auto"/>
        <w:rPr>
          <w:sz w:val="20"/>
          <w:szCs w:val="20"/>
          <w:color w:val="auto"/>
        </w:rPr>
      </w:pPr>
      <w:r>
        <w:rPr>
          <w:rFonts w:ascii="Arial" w:cs="Arial" w:eastAsia="Arial" w:hAnsi="Arial"/>
          <w:sz w:val="17"/>
          <w:szCs w:val="17"/>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206" w:lineRule="exact"/>
        <w:rPr>
          <w:sz w:val="20"/>
          <w:szCs w:val="20"/>
          <w:color w:val="auto"/>
        </w:rPr>
      </w:pPr>
    </w:p>
    <w:p>
      <w:pPr>
        <w:ind w:left="6" w:right="200"/>
        <w:spacing w:after="0" w:line="271" w:lineRule="auto"/>
        <w:rPr>
          <w:sz w:val="20"/>
          <w:szCs w:val="20"/>
          <w:color w:val="auto"/>
        </w:rPr>
      </w:pPr>
      <w:r>
        <w:rPr>
          <w:rFonts w:ascii="Arial" w:cs="Arial" w:eastAsia="Arial" w:hAnsi="Arial"/>
          <w:sz w:val="17"/>
          <w:szCs w:val="17"/>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95"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Reconciliation of Profit to EBITDA and Adjusted EBITDA:</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(Amounts expressed in thousands of U.S. Dollars)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5660" w:type="dxa"/>
            <w:vAlign w:val="bottom"/>
          </w:tcPr>
          <w:p>
            <w:pPr>
              <w:spacing w:after="0"/>
              <w:rPr>
                <w:sz w:val="19"/>
                <w:szCs w:val="19"/>
                <w:color w:val="auto"/>
              </w:rPr>
            </w:pPr>
          </w:p>
        </w:tc>
        <w:tc>
          <w:tcPr>
            <w:tcW w:w="3120" w:type="dxa"/>
            <w:vAlign w:val="bottom"/>
            <w:gridSpan w:val="4"/>
          </w:tcPr>
          <w:p>
            <w:pPr>
              <w:jc w:val="right"/>
              <w:ind w:right="640"/>
              <w:spacing w:after="0"/>
              <w:rPr>
                <w:sz w:val="20"/>
                <w:szCs w:val="20"/>
                <w:color w:val="auto"/>
              </w:rPr>
            </w:pPr>
            <w:r>
              <w:rPr>
                <w:rFonts w:ascii="Arial" w:cs="Arial" w:eastAsia="Arial" w:hAnsi="Arial"/>
                <w:sz w:val="17"/>
                <w:szCs w:val="17"/>
                <w:b w:val="1"/>
                <w:bCs w:val="1"/>
                <w:color w:val="auto"/>
              </w:rPr>
              <w:t>For the three months ended</w:t>
            </w:r>
          </w:p>
        </w:tc>
        <w:tc>
          <w:tcPr>
            <w:tcW w:w="120" w:type="dxa"/>
            <w:vAlign w:val="bottom"/>
          </w:tcPr>
          <w:p>
            <w:pPr>
              <w:spacing w:after="0"/>
              <w:rPr>
                <w:sz w:val="19"/>
                <w:szCs w:val="19"/>
                <w:color w:val="auto"/>
              </w:rPr>
            </w:pPr>
          </w:p>
        </w:tc>
        <w:tc>
          <w:tcPr>
            <w:tcW w:w="3100" w:type="dxa"/>
            <w:vAlign w:val="bottom"/>
            <w:gridSpan w:val="3"/>
          </w:tcPr>
          <w:p>
            <w:pPr>
              <w:jc w:val="right"/>
              <w:ind w:right="614"/>
              <w:spacing w:after="0"/>
              <w:rPr>
                <w:sz w:val="20"/>
                <w:szCs w:val="20"/>
                <w:color w:val="auto"/>
              </w:rPr>
            </w:pPr>
            <w:r>
              <w:rPr>
                <w:rFonts w:ascii="Arial" w:cs="Arial" w:eastAsia="Arial" w:hAnsi="Arial"/>
                <w:sz w:val="17"/>
                <w:szCs w:val="17"/>
                <w:b w:val="1"/>
                <w:bCs w:val="1"/>
                <w:color w:val="auto"/>
              </w:rPr>
              <w:t>For the six months ended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5660" w:type="dxa"/>
            <w:vAlign w:val="bottom"/>
          </w:tcPr>
          <w:p>
            <w:pPr>
              <w:spacing w:after="0"/>
              <w:rPr>
                <w:sz w:val="24"/>
                <w:szCs w:val="2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w w:val="86"/>
              </w:rPr>
              <w:t>June 30, 2018</w:t>
            </w:r>
          </w:p>
        </w:tc>
        <w:tc>
          <w:tcPr>
            <w:tcW w:w="14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w w:val="86"/>
              </w:rPr>
              <w:t>June 30, 2019</w:t>
            </w:r>
          </w:p>
        </w:tc>
        <w:tc>
          <w:tcPr>
            <w:tcW w:w="174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w w:val="99"/>
              </w:rPr>
              <w:t>June 30, 2018</w:t>
            </w:r>
          </w:p>
        </w:tc>
        <w:tc>
          <w:tcPr>
            <w:tcW w:w="1480" w:type="dxa"/>
            <w:vAlign w:val="bottom"/>
          </w:tcPr>
          <w:p>
            <w:pPr>
              <w:jc w:val="right"/>
              <w:ind w:right="394"/>
              <w:spacing w:after="0"/>
              <w:rPr>
                <w:sz w:val="20"/>
                <w:szCs w:val="20"/>
                <w:color w:val="auto"/>
              </w:rPr>
            </w:pPr>
            <w:r>
              <w:rPr>
                <w:rFonts w:ascii="Arial" w:cs="Arial" w:eastAsia="Arial" w:hAnsi="Arial"/>
                <w:sz w:val="17"/>
                <w:szCs w:val="17"/>
                <w:b w:val="1"/>
                <w:bCs w:val="1"/>
                <w:color w:val="auto"/>
                <w:w w:val="88"/>
              </w:rPr>
              <w:t>June 30,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Profit/(loss)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14,212</w:t>
            </w:r>
          </w:p>
        </w:tc>
        <w:tc>
          <w:tcPr>
            <w:tcW w:w="32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(10,512)</w:t>
            </w:r>
          </w:p>
        </w:tc>
        <w:tc>
          <w:tcPr>
            <w:tcW w:w="1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56,753</w:t>
            </w:r>
          </w:p>
        </w:tc>
        <w:tc>
          <w:tcPr>
            <w:tcW w:w="3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ind w:right="34"/>
              <w:spacing w:after="0"/>
              <w:rPr>
                <w:sz w:val="20"/>
                <w:szCs w:val="20"/>
                <w:color w:val="auto"/>
              </w:rPr>
            </w:pPr>
            <w:r>
              <w:rPr>
                <w:rFonts w:ascii="Arial" w:cs="Arial" w:eastAsia="Arial" w:hAnsi="Arial"/>
                <w:sz w:val="17"/>
                <w:szCs w:val="17"/>
                <w:color w:val="auto"/>
              </w:rPr>
              <w:t>(4,613)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Depreciation</w:t>
            </w:r>
          </w:p>
        </w:tc>
        <w:tc>
          <w:tcPr>
            <w:tcW w:w="1320" w:type="dxa"/>
            <w:vAlign w:val="bottom"/>
          </w:tcPr>
          <w:p>
            <w:pPr>
              <w:jc w:val="right"/>
              <w:spacing w:after="0"/>
              <w:rPr>
                <w:sz w:val="20"/>
                <w:szCs w:val="20"/>
                <w:color w:val="auto"/>
              </w:rPr>
            </w:pPr>
            <w:r>
              <w:rPr>
                <w:rFonts w:ascii="Arial" w:cs="Arial" w:eastAsia="Arial" w:hAnsi="Arial"/>
                <w:sz w:val="17"/>
                <w:szCs w:val="17"/>
                <w:color w:val="auto"/>
              </w:rPr>
              <w:t>38,813</w:t>
            </w: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41,350</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74,342</w:t>
            </w:r>
          </w:p>
        </w:tc>
        <w:tc>
          <w:tcPr>
            <w:tcW w:w="300" w:type="dxa"/>
            <w:vAlign w:val="bottom"/>
          </w:tcPr>
          <w:p>
            <w:pPr>
              <w:spacing w:after="0"/>
              <w:rPr>
                <w:sz w:val="18"/>
                <w:szCs w:val="18"/>
                <w:color w:val="auto"/>
              </w:rPr>
            </w:pPr>
          </w:p>
        </w:tc>
        <w:tc>
          <w:tcPr>
            <w:tcW w:w="1480" w:type="dxa"/>
            <w:vAlign w:val="bottom"/>
          </w:tcPr>
          <w:p>
            <w:pPr>
              <w:jc w:val="right"/>
              <w:ind w:right="74"/>
              <w:spacing w:after="0"/>
              <w:rPr>
                <w:sz w:val="20"/>
                <w:szCs w:val="20"/>
                <w:color w:val="auto"/>
              </w:rPr>
            </w:pPr>
            <w:r>
              <w:rPr>
                <w:rFonts w:ascii="Arial" w:cs="Arial" w:eastAsia="Arial" w:hAnsi="Arial"/>
                <w:sz w:val="17"/>
                <w:szCs w:val="17"/>
                <w:color w:val="auto"/>
              </w:rPr>
              <w:t>80,949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Financial costs</w:t>
            </w:r>
          </w:p>
        </w:tc>
        <w:tc>
          <w:tcPr>
            <w:tcW w:w="13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42,000</w:t>
            </w:r>
          </w:p>
        </w:tc>
        <w:tc>
          <w:tcPr>
            <w:tcW w:w="32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46,897</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78,597</w:t>
            </w:r>
          </w:p>
        </w:tc>
        <w:tc>
          <w:tcPr>
            <w:tcW w:w="300" w:type="dxa"/>
            <w:vAlign w:val="bottom"/>
            <w:shd w:val="clear" w:color="auto" w:fill="E5FFFF"/>
          </w:tcPr>
          <w:p>
            <w:pPr>
              <w:spacing w:after="0"/>
              <w:rPr>
                <w:sz w:val="18"/>
                <w:szCs w:val="18"/>
                <w:color w:val="auto"/>
              </w:rPr>
            </w:pPr>
          </w:p>
        </w:tc>
        <w:tc>
          <w:tcPr>
            <w:tcW w:w="1480" w:type="dxa"/>
            <w:vAlign w:val="bottom"/>
            <w:shd w:val="clear" w:color="auto" w:fill="E5FFFF"/>
          </w:tcPr>
          <w:p>
            <w:pPr>
              <w:jc w:val="right"/>
              <w:ind w:right="74"/>
              <w:spacing w:after="0"/>
              <w:rPr>
                <w:sz w:val="20"/>
                <w:szCs w:val="20"/>
                <w:color w:val="auto"/>
              </w:rPr>
            </w:pPr>
            <w:r>
              <w:rPr>
                <w:rFonts w:ascii="Arial" w:cs="Arial" w:eastAsia="Arial" w:hAnsi="Arial"/>
                <w:sz w:val="17"/>
                <w:szCs w:val="17"/>
                <w:color w:val="auto"/>
              </w:rPr>
              <w:t>92,404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Financial income</w:t>
            </w:r>
          </w:p>
        </w:tc>
        <w:tc>
          <w:tcPr>
            <w:tcW w:w="1640" w:type="dxa"/>
            <w:vAlign w:val="bottom"/>
            <w:gridSpan w:val="2"/>
          </w:tcPr>
          <w:p>
            <w:pPr>
              <w:jc w:val="right"/>
              <w:ind w:right="260"/>
              <w:spacing w:after="0"/>
              <w:rPr>
                <w:sz w:val="20"/>
                <w:szCs w:val="20"/>
                <w:color w:val="auto"/>
              </w:rPr>
            </w:pPr>
            <w:r>
              <w:rPr>
                <w:rFonts w:ascii="Arial" w:cs="Arial" w:eastAsia="Arial" w:hAnsi="Arial"/>
                <w:sz w:val="17"/>
                <w:szCs w:val="17"/>
                <w:color w:val="auto"/>
              </w:rPr>
              <w:t>(1,294)</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(1,709)</w:t>
            </w: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(2,310)</w:t>
            </w:r>
          </w:p>
        </w:tc>
        <w:tc>
          <w:tcPr>
            <w:tcW w:w="1480" w:type="dxa"/>
            <w:vAlign w:val="bottom"/>
          </w:tcPr>
          <w:p>
            <w:pPr>
              <w:jc w:val="right"/>
              <w:ind w:right="34"/>
              <w:spacing w:after="0"/>
              <w:rPr>
                <w:sz w:val="20"/>
                <w:szCs w:val="20"/>
                <w:color w:val="auto"/>
              </w:rPr>
            </w:pPr>
            <w:r>
              <w:rPr>
                <w:rFonts w:ascii="Arial" w:cs="Arial" w:eastAsia="Arial" w:hAnsi="Arial"/>
                <w:sz w:val="17"/>
                <w:szCs w:val="17"/>
                <w:color w:val="auto"/>
              </w:rPr>
              <w:t>(3,168)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(Gain)/loss on derivatives</w:t>
            </w:r>
          </w:p>
        </w:tc>
        <w:tc>
          <w:tcPr>
            <w:tcW w:w="164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(1,167)</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30,799</w:t>
            </w:r>
          </w:p>
        </w:tc>
        <w:tc>
          <w:tcPr>
            <w:tcW w:w="1740" w:type="dxa"/>
            <w:vAlign w:val="bottom"/>
            <w:gridSpan w:val="3"/>
            <w:shd w:val="clear" w:color="auto" w:fill="E5FFFF"/>
          </w:tcPr>
          <w:p>
            <w:pPr>
              <w:jc w:val="right"/>
              <w:ind w:right="240"/>
              <w:spacing w:after="0"/>
              <w:rPr>
                <w:sz w:val="20"/>
                <w:szCs w:val="20"/>
                <w:color w:val="auto"/>
              </w:rPr>
            </w:pPr>
            <w:r>
              <w:rPr>
                <w:rFonts w:ascii="Arial" w:cs="Arial" w:eastAsia="Arial" w:hAnsi="Arial"/>
                <w:sz w:val="17"/>
                <w:szCs w:val="17"/>
                <w:color w:val="auto"/>
              </w:rPr>
              <w:t>(18,938)</w:t>
            </w:r>
          </w:p>
        </w:tc>
        <w:tc>
          <w:tcPr>
            <w:tcW w:w="1480" w:type="dxa"/>
            <w:vAlign w:val="bottom"/>
            <w:shd w:val="clear" w:color="auto" w:fill="E5FFFF"/>
          </w:tcPr>
          <w:p>
            <w:pPr>
              <w:jc w:val="right"/>
              <w:ind w:right="74"/>
              <w:spacing w:after="0"/>
              <w:rPr>
                <w:sz w:val="20"/>
                <w:szCs w:val="20"/>
                <w:color w:val="auto"/>
              </w:rPr>
            </w:pPr>
            <w:r>
              <w:rPr>
                <w:rFonts w:ascii="Arial" w:cs="Arial" w:eastAsia="Arial" w:hAnsi="Arial"/>
                <w:sz w:val="17"/>
                <w:szCs w:val="17"/>
                <w:color w:val="auto"/>
              </w:rPr>
              <w:t>51,043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EBITDA</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92,564</w:t>
            </w:r>
          </w:p>
        </w:tc>
        <w:tc>
          <w:tcPr>
            <w:tcW w:w="320" w:type="dxa"/>
            <w:vAlign w:val="bottom"/>
            <w:tcBorders>
              <w:bottom w:val="single" w:sz="8" w:color="E5FF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106,825</w:t>
            </w:r>
          </w:p>
        </w:tc>
        <w:tc>
          <w:tcPr>
            <w:tcW w:w="1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188,444</w:t>
            </w:r>
          </w:p>
        </w:tc>
        <w:tc>
          <w:tcPr>
            <w:tcW w:w="30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216,615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Foreign exchange losses, net</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383</w:t>
            </w:r>
          </w:p>
        </w:tc>
        <w:tc>
          <w:tcPr>
            <w:tcW w:w="320" w:type="dxa"/>
            <w:vAlign w:val="bottom"/>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218</w:t>
            </w: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29</w:t>
            </w:r>
          </w:p>
        </w:tc>
        <w:tc>
          <w:tcPr>
            <w:tcW w:w="30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ind w:right="74"/>
              <w:spacing w:after="0"/>
              <w:rPr>
                <w:sz w:val="20"/>
                <w:szCs w:val="20"/>
                <w:color w:val="auto"/>
              </w:rPr>
            </w:pPr>
            <w:r>
              <w:rPr>
                <w:rFonts w:ascii="Arial" w:cs="Arial" w:eastAsia="Arial" w:hAnsi="Arial"/>
                <w:sz w:val="17"/>
                <w:szCs w:val="17"/>
                <w:color w:val="auto"/>
              </w:rPr>
              <w:t>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Pr>
          <w:p>
            <w:pPr>
              <w:spacing w:after="0"/>
              <w:rPr>
                <w:sz w:val="20"/>
                <w:szCs w:val="20"/>
                <w:color w:val="auto"/>
              </w:rPr>
            </w:pPr>
            <w:r>
              <w:rPr>
                <w:rFonts w:ascii="Arial" w:cs="Arial" w:eastAsia="Arial" w:hAnsi="Arial"/>
                <w:sz w:val="17"/>
                <w:szCs w:val="17"/>
                <w:b w:val="1"/>
                <w:bCs w:val="1"/>
                <w:color w:val="auto"/>
              </w:rPr>
              <w:t>Adjusted EBITDA</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92,947</w:t>
            </w:r>
          </w:p>
        </w:tc>
        <w:tc>
          <w:tcPr>
            <w:tcW w:w="3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107,043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188,473</w:t>
            </w:r>
          </w:p>
        </w:tc>
        <w:tc>
          <w:tcPr>
            <w:tcW w:w="300" w:type="dxa"/>
            <w:vAlign w:val="bottom"/>
          </w:tcPr>
          <w:p>
            <w:pPr>
              <w:spacing w:after="0"/>
              <w:rPr>
                <w:sz w:val="18"/>
                <w:szCs w:val="18"/>
                <w:color w:val="auto"/>
              </w:rPr>
            </w:pP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216,983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7"/>
                <w:szCs w:val="17"/>
                <w:b w:val="1"/>
                <w:bCs w:val="1"/>
                <w:color w:val="auto"/>
              </w:rPr>
              <w:t>Reconciliation of Profit to Adjusted Profit:</w:t>
            </w: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56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7"/>
                <w:szCs w:val="17"/>
                <w:b w:val="1"/>
                <w:bCs w:val="1"/>
                <w:color w:val="auto"/>
              </w:rPr>
              <w:t>(Amounts expressed in thousands of U.S. Dollars)</w:t>
            </w: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5660" w:type="dxa"/>
            <w:vAlign w:val="bottom"/>
          </w:tcPr>
          <w:p>
            <w:pPr>
              <w:spacing w:after="0"/>
              <w:rPr>
                <w:sz w:val="24"/>
                <w:szCs w:val="24"/>
                <w:color w:val="auto"/>
              </w:rPr>
            </w:pPr>
          </w:p>
        </w:tc>
        <w:tc>
          <w:tcPr>
            <w:tcW w:w="3120" w:type="dxa"/>
            <w:vAlign w:val="bottom"/>
            <w:gridSpan w:val="4"/>
          </w:tcPr>
          <w:p>
            <w:pPr>
              <w:jc w:val="right"/>
              <w:ind w:right="640"/>
              <w:spacing w:after="0"/>
              <w:rPr>
                <w:sz w:val="20"/>
                <w:szCs w:val="20"/>
                <w:color w:val="auto"/>
              </w:rPr>
            </w:pPr>
            <w:r>
              <w:rPr>
                <w:rFonts w:ascii="Arial" w:cs="Arial" w:eastAsia="Arial" w:hAnsi="Arial"/>
                <w:sz w:val="17"/>
                <w:szCs w:val="17"/>
                <w:b w:val="1"/>
                <w:bCs w:val="1"/>
                <w:color w:val="auto"/>
              </w:rPr>
              <w:t>For the three months ended</w:t>
            </w:r>
          </w:p>
        </w:tc>
        <w:tc>
          <w:tcPr>
            <w:tcW w:w="120" w:type="dxa"/>
            <w:vAlign w:val="bottom"/>
          </w:tcPr>
          <w:p>
            <w:pPr>
              <w:spacing w:after="0"/>
              <w:rPr>
                <w:sz w:val="24"/>
                <w:szCs w:val="24"/>
                <w:color w:val="auto"/>
              </w:rPr>
            </w:pPr>
          </w:p>
        </w:tc>
        <w:tc>
          <w:tcPr>
            <w:tcW w:w="3100" w:type="dxa"/>
            <w:vAlign w:val="bottom"/>
            <w:gridSpan w:val="3"/>
          </w:tcPr>
          <w:p>
            <w:pPr>
              <w:jc w:val="right"/>
              <w:ind w:right="614"/>
              <w:spacing w:after="0"/>
              <w:rPr>
                <w:sz w:val="20"/>
                <w:szCs w:val="20"/>
                <w:color w:val="auto"/>
              </w:rPr>
            </w:pPr>
            <w:r>
              <w:rPr>
                <w:rFonts w:ascii="Arial" w:cs="Arial" w:eastAsia="Arial" w:hAnsi="Arial"/>
                <w:sz w:val="17"/>
                <w:szCs w:val="17"/>
                <w:b w:val="1"/>
                <w:bCs w:val="1"/>
                <w:color w:val="auto"/>
              </w:rPr>
              <w:t>For the six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660" w:type="dxa"/>
            <w:vAlign w:val="bottom"/>
          </w:tcPr>
          <w:p>
            <w:pPr>
              <w:spacing w:after="0"/>
              <w:rPr>
                <w:sz w:val="24"/>
                <w:szCs w:val="2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w w:val="86"/>
              </w:rPr>
              <w:t>June 30, 2018</w:t>
            </w:r>
          </w:p>
        </w:tc>
        <w:tc>
          <w:tcPr>
            <w:tcW w:w="14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w w:val="86"/>
              </w:rPr>
              <w:t>June 30, 2019</w:t>
            </w:r>
          </w:p>
        </w:tc>
        <w:tc>
          <w:tcPr>
            <w:tcW w:w="174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w w:val="99"/>
              </w:rPr>
              <w:t>June 30, 2018</w:t>
            </w:r>
          </w:p>
        </w:tc>
        <w:tc>
          <w:tcPr>
            <w:tcW w:w="1480" w:type="dxa"/>
            <w:vAlign w:val="bottom"/>
          </w:tcPr>
          <w:p>
            <w:pPr>
              <w:jc w:val="right"/>
              <w:ind w:right="394"/>
              <w:spacing w:after="0"/>
              <w:rPr>
                <w:sz w:val="20"/>
                <w:szCs w:val="20"/>
                <w:color w:val="auto"/>
              </w:rPr>
            </w:pPr>
            <w:r>
              <w:rPr>
                <w:rFonts w:ascii="Arial" w:cs="Arial" w:eastAsia="Arial" w:hAnsi="Arial"/>
                <w:sz w:val="17"/>
                <w:szCs w:val="17"/>
                <w:b w:val="1"/>
                <w:bCs w:val="1"/>
                <w:color w:val="auto"/>
                <w:w w:val="88"/>
              </w:rPr>
              <w:t>June 30, 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Profit/(loss) for the period</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14,212</w:t>
            </w:r>
          </w:p>
        </w:tc>
        <w:tc>
          <w:tcPr>
            <w:tcW w:w="32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(10,512)</w:t>
            </w:r>
          </w:p>
        </w:tc>
        <w:tc>
          <w:tcPr>
            <w:tcW w:w="1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56,753</w:t>
            </w:r>
          </w:p>
        </w:tc>
        <w:tc>
          <w:tcPr>
            <w:tcW w:w="3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ind w:right="34"/>
              <w:spacing w:after="0"/>
              <w:rPr>
                <w:sz w:val="20"/>
                <w:szCs w:val="20"/>
                <w:color w:val="auto"/>
              </w:rPr>
            </w:pPr>
            <w:r>
              <w:rPr>
                <w:rFonts w:ascii="Arial" w:cs="Arial" w:eastAsia="Arial" w:hAnsi="Arial"/>
                <w:sz w:val="17"/>
                <w:szCs w:val="17"/>
                <w:color w:val="auto"/>
              </w:rPr>
              <w:t>(4,613)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Non-cash loss/(gain) on derivatives</w:t>
            </w:r>
          </w:p>
        </w:tc>
        <w:tc>
          <w:tcPr>
            <w:tcW w:w="1320" w:type="dxa"/>
            <w:vAlign w:val="bottom"/>
          </w:tcPr>
          <w:p>
            <w:pPr>
              <w:jc w:val="right"/>
              <w:spacing w:after="0"/>
              <w:rPr>
                <w:sz w:val="20"/>
                <w:szCs w:val="20"/>
                <w:color w:val="auto"/>
              </w:rPr>
            </w:pPr>
            <w:r>
              <w:rPr>
                <w:rFonts w:ascii="Arial" w:cs="Arial" w:eastAsia="Arial" w:hAnsi="Arial"/>
                <w:sz w:val="17"/>
                <w:szCs w:val="17"/>
                <w:color w:val="auto"/>
              </w:rPr>
              <w:t>193</w:t>
            </w: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30,779</w:t>
            </w:r>
          </w:p>
        </w:tc>
        <w:tc>
          <w:tcPr>
            <w:tcW w:w="1740" w:type="dxa"/>
            <w:vAlign w:val="bottom"/>
            <w:gridSpan w:val="3"/>
          </w:tcPr>
          <w:p>
            <w:pPr>
              <w:jc w:val="right"/>
              <w:ind w:right="240"/>
              <w:spacing w:after="0"/>
              <w:rPr>
                <w:sz w:val="20"/>
                <w:szCs w:val="20"/>
                <w:color w:val="auto"/>
              </w:rPr>
            </w:pPr>
            <w:r>
              <w:rPr>
                <w:rFonts w:ascii="Arial" w:cs="Arial" w:eastAsia="Arial" w:hAnsi="Arial"/>
                <w:sz w:val="17"/>
                <w:szCs w:val="17"/>
                <w:color w:val="auto"/>
              </w:rPr>
              <w:t>(16,705)</w:t>
            </w:r>
          </w:p>
        </w:tc>
        <w:tc>
          <w:tcPr>
            <w:tcW w:w="1480" w:type="dxa"/>
            <w:vAlign w:val="bottom"/>
          </w:tcPr>
          <w:p>
            <w:pPr>
              <w:jc w:val="right"/>
              <w:ind w:right="74"/>
              <w:spacing w:after="0"/>
              <w:rPr>
                <w:sz w:val="20"/>
                <w:szCs w:val="20"/>
                <w:color w:val="auto"/>
              </w:rPr>
            </w:pPr>
            <w:r>
              <w:rPr>
                <w:rFonts w:ascii="Arial" w:cs="Arial" w:eastAsia="Arial" w:hAnsi="Arial"/>
                <w:sz w:val="17"/>
                <w:szCs w:val="17"/>
                <w:color w:val="auto"/>
              </w:rPr>
              <w:t>51,882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Write-off and accelerated amortization of unamortized loan fees</w:t>
            </w:r>
          </w:p>
        </w:tc>
        <w:tc>
          <w:tcPr>
            <w:tcW w:w="1640" w:type="dxa"/>
            <w:vAlign w:val="bottom"/>
            <w:gridSpan w:val="2"/>
            <w:shd w:val="clear" w:color="auto" w:fill="E5FFFF"/>
          </w:tcPr>
          <w:p>
            <w:pPr>
              <w:jc w:val="right"/>
              <w:ind w:right="320"/>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w:t>
            </w:r>
          </w:p>
        </w:tc>
        <w:tc>
          <w:tcPr>
            <w:tcW w:w="1480" w:type="dxa"/>
            <w:vAlign w:val="bottom"/>
            <w:shd w:val="clear" w:color="auto" w:fill="E5FFFF"/>
          </w:tcPr>
          <w:p>
            <w:pPr>
              <w:jc w:val="right"/>
              <w:ind w:right="74"/>
              <w:spacing w:after="0"/>
              <w:rPr>
                <w:sz w:val="20"/>
                <w:szCs w:val="20"/>
                <w:color w:val="auto"/>
              </w:rPr>
            </w:pPr>
            <w:r>
              <w:rPr>
                <w:rFonts w:ascii="Arial" w:cs="Arial" w:eastAsia="Arial" w:hAnsi="Arial"/>
                <w:sz w:val="17"/>
                <w:szCs w:val="17"/>
                <w:color w:val="auto"/>
              </w:rPr>
              <w:t>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Foreign exchange losses, net</w:t>
            </w:r>
          </w:p>
        </w:tc>
        <w:tc>
          <w:tcPr>
            <w:tcW w:w="1320" w:type="dxa"/>
            <w:vAlign w:val="bottom"/>
          </w:tcPr>
          <w:p>
            <w:pPr>
              <w:jc w:val="right"/>
              <w:spacing w:after="0"/>
              <w:rPr>
                <w:sz w:val="20"/>
                <w:szCs w:val="20"/>
                <w:color w:val="auto"/>
              </w:rPr>
            </w:pPr>
            <w:r>
              <w:rPr>
                <w:rFonts w:ascii="Arial" w:cs="Arial" w:eastAsia="Arial" w:hAnsi="Arial"/>
                <w:sz w:val="17"/>
                <w:szCs w:val="17"/>
                <w:color w:val="auto"/>
              </w:rPr>
              <w:t>383</w:t>
            </w: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218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18"/>
                <w:szCs w:val="18"/>
                <w:color w:val="auto"/>
              </w:rPr>
            </w:pPr>
          </w:p>
        </w:tc>
        <w:tc>
          <w:tcPr>
            <w:tcW w:w="1480" w:type="dxa"/>
            <w:vAlign w:val="bottom"/>
          </w:tcPr>
          <w:p>
            <w:pPr>
              <w:jc w:val="right"/>
              <w:ind w:right="74"/>
              <w:spacing w:after="0"/>
              <w:rPr>
                <w:sz w:val="20"/>
                <w:szCs w:val="20"/>
                <w:color w:val="auto"/>
              </w:rPr>
            </w:pPr>
            <w:r>
              <w:rPr>
                <w:rFonts w:ascii="Arial" w:cs="Arial" w:eastAsia="Arial" w:hAnsi="Arial"/>
                <w:sz w:val="17"/>
                <w:szCs w:val="17"/>
                <w:color w:val="auto"/>
              </w:rPr>
              <w:t>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Adjusted Profit</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14,788</w:t>
            </w:r>
          </w:p>
        </w:tc>
        <w:tc>
          <w:tcPr>
            <w:tcW w:w="320" w:type="dxa"/>
            <w:vAlign w:val="bottom"/>
            <w:tcBorders>
              <w:top w:val="single" w:sz="8" w:color="E5FFFF"/>
              <w:bottom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20,485</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40,077</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ind w:right="74"/>
              <w:spacing w:after="0"/>
              <w:rPr>
                <w:sz w:val="20"/>
                <w:szCs w:val="20"/>
                <w:color w:val="auto"/>
              </w:rPr>
            </w:pPr>
            <w:r>
              <w:rPr>
                <w:rFonts w:ascii="Arial" w:cs="Arial" w:eastAsia="Arial" w:hAnsi="Arial"/>
                <w:sz w:val="17"/>
                <w:szCs w:val="17"/>
                <w:b w:val="1"/>
                <w:bCs w:val="1"/>
                <w:color w:val="auto"/>
              </w:rPr>
              <w:t>48,625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660" w:type="dxa"/>
            <w:vAlign w:val="bottom"/>
          </w:tcPr>
          <w:p>
            <w:pPr>
              <w:spacing w:after="0"/>
              <w:rPr>
                <w:sz w:val="24"/>
                <w:szCs w:val="24"/>
                <w:color w:val="auto"/>
              </w:rPr>
            </w:pPr>
          </w:p>
        </w:tc>
        <w:tc>
          <w:tcPr>
            <w:tcW w:w="1320" w:type="dxa"/>
            <w:vAlign w:val="bottom"/>
          </w:tcPr>
          <w:p>
            <w:pPr>
              <w:jc w:val="right"/>
              <w:ind w:right="815"/>
              <w:spacing w:after="0"/>
              <w:rPr>
                <w:sz w:val="20"/>
                <w:szCs w:val="20"/>
                <w:color w:val="auto"/>
              </w:rPr>
            </w:pPr>
            <w:r>
              <w:rPr>
                <w:rFonts w:ascii="Arial" w:cs="Arial" w:eastAsia="Arial" w:hAnsi="Arial"/>
                <w:sz w:val="15"/>
                <w:szCs w:val="15"/>
                <w:color w:val="auto"/>
              </w:rPr>
              <w:t>14</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56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7632065</wp:posOffset>
            </wp:positionH>
            <wp:positionV relativeFrom="paragraph">
              <wp:posOffset>-30480</wp:posOffset>
            </wp:positionV>
            <wp:extent cx="1270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6"/>
          </w:cols>
          <w:pgMar w:left="114" w:top="212" w:right="80"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Reconciliation of (Loss)/Earnings Per Share to Adjusted (Loss)/Earnings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 except shares and per share data)</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60" w:type="dxa"/>
            <w:vAlign w:val="bottom"/>
          </w:tcPr>
          <w:p>
            <w:pPr>
              <w:spacing w:after="0"/>
              <w:rPr>
                <w:sz w:val="19"/>
                <w:szCs w:val="19"/>
                <w:color w:val="auto"/>
              </w:rPr>
            </w:pPr>
          </w:p>
        </w:tc>
        <w:tc>
          <w:tcPr>
            <w:tcW w:w="3120" w:type="dxa"/>
            <w:vAlign w:val="bottom"/>
            <w:gridSpan w:val="4"/>
          </w:tcPr>
          <w:p>
            <w:pPr>
              <w:jc w:val="right"/>
              <w:ind w:right="640"/>
              <w:spacing w:after="0"/>
              <w:rPr>
                <w:sz w:val="20"/>
                <w:szCs w:val="20"/>
                <w:color w:val="auto"/>
              </w:rPr>
            </w:pPr>
            <w:r>
              <w:rPr>
                <w:rFonts w:ascii="Arial" w:cs="Arial" w:eastAsia="Arial" w:hAnsi="Arial"/>
                <w:sz w:val="17"/>
                <w:szCs w:val="17"/>
                <w:b w:val="1"/>
                <w:bCs w:val="1"/>
                <w:color w:val="auto"/>
              </w:rPr>
              <w:t>For the three months ended</w:t>
            </w:r>
          </w:p>
        </w:tc>
        <w:tc>
          <w:tcPr>
            <w:tcW w:w="120" w:type="dxa"/>
            <w:vAlign w:val="bottom"/>
          </w:tcPr>
          <w:p>
            <w:pPr>
              <w:spacing w:after="0"/>
              <w:rPr>
                <w:sz w:val="19"/>
                <w:szCs w:val="19"/>
                <w:color w:val="auto"/>
              </w:rPr>
            </w:pPr>
          </w:p>
        </w:tc>
        <w:tc>
          <w:tcPr>
            <w:tcW w:w="3100" w:type="dxa"/>
            <w:vAlign w:val="bottom"/>
            <w:gridSpan w:val="3"/>
          </w:tcPr>
          <w:p>
            <w:pPr>
              <w:jc w:val="right"/>
              <w:ind w:right="614"/>
              <w:spacing w:after="0"/>
              <w:rPr>
                <w:sz w:val="20"/>
                <w:szCs w:val="20"/>
                <w:color w:val="auto"/>
              </w:rPr>
            </w:pPr>
            <w:r>
              <w:rPr>
                <w:rFonts w:ascii="Arial" w:cs="Arial" w:eastAsia="Arial" w:hAnsi="Arial"/>
                <w:sz w:val="17"/>
                <w:szCs w:val="17"/>
                <w:b w:val="1"/>
                <w:bCs w:val="1"/>
                <w:color w:val="auto"/>
              </w:rPr>
              <w:t>For the six months ended</w:t>
            </w:r>
          </w:p>
        </w:tc>
        <w:tc>
          <w:tcPr>
            <w:tcW w:w="40" w:type="dxa"/>
            <w:vAlign w:val="bottom"/>
          </w:tcPr>
          <w:p>
            <w:pPr>
              <w:spacing w:after="0"/>
              <w:rPr>
                <w:sz w:val="19"/>
                <w:szCs w:val="19"/>
                <w:color w:val="auto"/>
              </w:rPr>
            </w:pPr>
          </w:p>
        </w:tc>
      </w:tr>
      <w:tr>
        <w:trPr>
          <w:trHeight w:val="315"/>
        </w:trPr>
        <w:tc>
          <w:tcPr>
            <w:tcW w:w="5660" w:type="dxa"/>
            <w:vAlign w:val="bottom"/>
          </w:tcPr>
          <w:p>
            <w:pPr>
              <w:spacing w:after="0"/>
              <w:rPr>
                <w:sz w:val="24"/>
                <w:szCs w:val="2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w w:val="86"/>
              </w:rPr>
              <w:t>June 30, 2018</w:t>
            </w:r>
          </w:p>
        </w:tc>
        <w:tc>
          <w:tcPr>
            <w:tcW w:w="14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w w:val="86"/>
              </w:rPr>
              <w:t>June 30, 2019</w:t>
            </w:r>
          </w:p>
        </w:tc>
        <w:tc>
          <w:tcPr>
            <w:tcW w:w="174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w w:val="99"/>
              </w:rPr>
              <w:t>June 30, 2018</w:t>
            </w:r>
          </w:p>
        </w:tc>
        <w:tc>
          <w:tcPr>
            <w:tcW w:w="1480" w:type="dxa"/>
            <w:vAlign w:val="bottom"/>
          </w:tcPr>
          <w:p>
            <w:pPr>
              <w:jc w:val="right"/>
              <w:ind w:right="394"/>
              <w:spacing w:after="0"/>
              <w:rPr>
                <w:sz w:val="20"/>
                <w:szCs w:val="20"/>
                <w:color w:val="auto"/>
              </w:rPr>
            </w:pPr>
            <w:r>
              <w:rPr>
                <w:rFonts w:ascii="Arial" w:cs="Arial" w:eastAsia="Arial" w:hAnsi="Arial"/>
                <w:sz w:val="17"/>
                <w:szCs w:val="17"/>
                <w:b w:val="1"/>
                <w:bCs w:val="1"/>
                <w:color w:val="auto"/>
                <w:w w:val="88"/>
              </w:rPr>
              <w:t>June 30, 2019</w:t>
            </w:r>
          </w:p>
        </w:tc>
        <w:tc>
          <w:tcPr>
            <w:tcW w:w="40" w:type="dxa"/>
            <w:vAlign w:val="bottom"/>
          </w:tcPr>
          <w:p>
            <w:pPr>
              <w:spacing w:after="0"/>
              <w:rPr>
                <w:sz w:val="24"/>
                <w:szCs w:val="24"/>
                <w:color w:val="auto"/>
              </w:rPr>
            </w:pPr>
          </w:p>
        </w:tc>
      </w:tr>
      <w:tr>
        <w:trPr>
          <w:trHeight w:val="214"/>
        </w:trPr>
        <w:tc>
          <w:tcPr>
            <w:tcW w:w="5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(Loss)/profit for the period attributable to owners of the Group</w:t>
            </w: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(3,620)</w:t>
            </w:r>
          </w:p>
        </w:tc>
        <w:tc>
          <w:tcPr>
            <w:tcW w:w="32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(25,998)</w:t>
            </w:r>
          </w:p>
        </w:tc>
        <w:tc>
          <w:tcPr>
            <w:tcW w:w="1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15,684</w:t>
            </w:r>
          </w:p>
        </w:tc>
        <w:tc>
          <w:tcPr>
            <w:tcW w:w="3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tcBorders>
            <w:shd w:val="clear" w:color="auto" w:fill="E5FFFF"/>
          </w:tcPr>
          <w:p>
            <w:pPr>
              <w:jc w:val="right"/>
              <w:ind w:right="34"/>
              <w:spacing w:after="0"/>
              <w:rPr>
                <w:sz w:val="20"/>
                <w:szCs w:val="20"/>
                <w:color w:val="auto"/>
              </w:rPr>
            </w:pPr>
            <w:r>
              <w:rPr>
                <w:rFonts w:ascii="Arial" w:cs="Arial" w:eastAsia="Arial" w:hAnsi="Arial"/>
                <w:sz w:val="17"/>
                <w:szCs w:val="17"/>
                <w:color w:val="auto"/>
              </w:rPr>
              <w:t>(36,945)</w:t>
            </w:r>
          </w:p>
        </w:tc>
        <w:tc>
          <w:tcPr>
            <w:tcW w:w="40" w:type="dxa"/>
            <w:vAlign w:val="bottom"/>
          </w:tcPr>
          <w:p>
            <w:pPr>
              <w:spacing w:after="0"/>
              <w:rPr>
                <w:sz w:val="18"/>
                <w:szCs w:val="18"/>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Plus: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Dividend on preference shares</w:t>
            </w:r>
          </w:p>
        </w:tc>
        <w:tc>
          <w:tcPr>
            <w:tcW w:w="164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(2,516)</w:t>
            </w:r>
          </w:p>
        </w:tc>
        <w:tc>
          <w:tcPr>
            <w:tcW w:w="148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(2,516)</w:t>
            </w:r>
          </w:p>
        </w:tc>
        <w:tc>
          <w:tcPr>
            <w:tcW w:w="1740" w:type="dxa"/>
            <w:vAlign w:val="bottom"/>
            <w:gridSpan w:val="3"/>
            <w:shd w:val="clear" w:color="auto" w:fill="E5FFFF"/>
          </w:tcPr>
          <w:p>
            <w:pPr>
              <w:jc w:val="right"/>
              <w:ind w:right="160"/>
              <w:spacing w:after="0"/>
              <w:rPr>
                <w:sz w:val="20"/>
                <w:szCs w:val="20"/>
                <w:color w:val="auto"/>
              </w:rPr>
            </w:pPr>
            <w:r>
              <w:rPr>
                <w:rFonts w:ascii="Arial" w:cs="Arial" w:eastAsia="Arial" w:hAnsi="Arial"/>
                <w:sz w:val="17"/>
                <w:szCs w:val="17"/>
                <w:color w:val="auto"/>
              </w:rPr>
              <w:t>(5,032)</w:t>
            </w:r>
          </w:p>
        </w:tc>
        <w:tc>
          <w:tcPr>
            <w:tcW w:w="148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(5,031)</w:t>
            </w:r>
          </w:p>
        </w:tc>
        <w:tc>
          <w:tcPr>
            <w:tcW w:w="40" w:type="dxa"/>
            <w:vAlign w:val="bottom"/>
          </w:tcPr>
          <w:p>
            <w:pPr>
              <w:spacing w:after="0"/>
              <w:rPr>
                <w:sz w:val="18"/>
                <w:szCs w:val="18"/>
                <w:color w:val="auto"/>
              </w:rPr>
            </w:pPr>
          </w:p>
        </w:tc>
      </w:tr>
      <w:tr>
        <w:trPr>
          <w:trHeight w:val="184"/>
        </w:trPr>
        <w:tc>
          <w:tcPr>
            <w:tcW w:w="5660" w:type="dxa"/>
            <w:vAlign w:val="bottom"/>
          </w:tcPr>
          <w:p>
            <w:pPr>
              <w:spacing w:after="0" w:line="185" w:lineRule="exact"/>
              <w:rPr>
                <w:sz w:val="20"/>
                <w:szCs w:val="20"/>
                <w:color w:val="auto"/>
              </w:rPr>
            </w:pPr>
            <w:r>
              <w:rPr>
                <w:rFonts w:ascii="Arial" w:cs="Arial" w:eastAsia="Arial" w:hAnsi="Arial"/>
                <w:sz w:val="17"/>
                <w:szCs w:val="17"/>
                <w:color w:val="auto"/>
              </w:rPr>
              <w:t>(Loss)/profit for the period available to owners of the Group used in EPS</w:t>
            </w:r>
          </w:p>
        </w:tc>
        <w:tc>
          <w:tcPr>
            <w:tcW w:w="13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8"/>
        </w:trPr>
        <w:tc>
          <w:tcPr>
            <w:tcW w:w="5660" w:type="dxa"/>
            <w:vAlign w:val="bottom"/>
          </w:tcPr>
          <w:p>
            <w:pPr>
              <w:ind w:left="180"/>
              <w:spacing w:after="0"/>
              <w:rPr>
                <w:sz w:val="20"/>
                <w:szCs w:val="20"/>
                <w:color w:val="auto"/>
              </w:rPr>
            </w:pPr>
            <w:r>
              <w:rPr>
                <w:rFonts w:ascii="Arial" w:cs="Arial" w:eastAsia="Arial" w:hAnsi="Arial"/>
                <w:sz w:val="17"/>
                <w:szCs w:val="17"/>
                <w:color w:val="auto"/>
              </w:rPr>
              <w:t>calculation</w:t>
            </w:r>
          </w:p>
        </w:tc>
        <w:tc>
          <w:tcPr>
            <w:tcW w:w="1640" w:type="dxa"/>
            <w:vAlign w:val="bottom"/>
            <w:gridSpan w:val="2"/>
          </w:tcPr>
          <w:p>
            <w:pPr>
              <w:jc w:val="right"/>
              <w:ind w:right="180"/>
              <w:spacing w:after="0"/>
              <w:rPr>
                <w:sz w:val="20"/>
                <w:szCs w:val="20"/>
                <w:color w:val="auto"/>
              </w:rPr>
            </w:pPr>
            <w:r>
              <w:rPr>
                <w:rFonts w:ascii="Arial" w:cs="Arial" w:eastAsia="Arial" w:hAnsi="Arial"/>
                <w:sz w:val="17"/>
                <w:szCs w:val="17"/>
                <w:color w:val="auto"/>
              </w:rPr>
              <w:t>(6,136)</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(28,514)</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10,652</w:t>
            </w:r>
          </w:p>
        </w:tc>
        <w:tc>
          <w:tcPr>
            <w:tcW w:w="300" w:type="dxa"/>
            <w:vAlign w:val="bottom"/>
          </w:tcPr>
          <w:p>
            <w:pPr>
              <w:spacing w:after="0"/>
              <w:rPr>
                <w:sz w:val="18"/>
                <w:szCs w:val="18"/>
                <w:color w:val="auto"/>
              </w:rPr>
            </w:pPr>
          </w:p>
        </w:tc>
        <w:tc>
          <w:tcPr>
            <w:tcW w:w="1480" w:type="dxa"/>
            <w:vAlign w:val="bottom"/>
          </w:tcPr>
          <w:p>
            <w:pPr>
              <w:jc w:val="right"/>
              <w:ind w:right="34"/>
              <w:spacing w:after="0"/>
              <w:rPr>
                <w:sz w:val="20"/>
                <w:szCs w:val="20"/>
                <w:color w:val="auto"/>
              </w:rPr>
            </w:pPr>
            <w:r>
              <w:rPr>
                <w:rFonts w:ascii="Arial" w:cs="Arial" w:eastAsia="Arial" w:hAnsi="Arial"/>
                <w:sz w:val="17"/>
                <w:szCs w:val="17"/>
                <w:color w:val="auto"/>
              </w:rPr>
              <w:t>(41,976)</w:t>
            </w:r>
          </w:p>
        </w:tc>
        <w:tc>
          <w:tcPr>
            <w:tcW w:w="40" w:type="dxa"/>
            <w:vAlign w:val="bottom"/>
          </w:tcPr>
          <w:p>
            <w:pPr>
              <w:spacing w:after="0"/>
              <w:rPr>
                <w:sz w:val="18"/>
                <w:szCs w:val="18"/>
                <w:color w:val="auto"/>
              </w:rPr>
            </w:pPr>
          </w:p>
        </w:tc>
      </w:tr>
      <w:tr>
        <w:trPr>
          <w:trHeight w:val="214"/>
        </w:trPr>
        <w:tc>
          <w:tcPr>
            <w:tcW w:w="5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80,801,654</w:t>
            </w:r>
          </w:p>
        </w:tc>
        <w:tc>
          <w:tcPr>
            <w:tcW w:w="32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80,847,127</w:t>
            </w:r>
          </w:p>
        </w:tc>
        <w:tc>
          <w:tcPr>
            <w:tcW w:w="1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80,758,631</w:t>
            </w:r>
          </w:p>
        </w:tc>
        <w:tc>
          <w:tcPr>
            <w:tcW w:w="300" w:type="dxa"/>
            <w:vAlign w:val="bottom"/>
            <w:tcBorders>
              <w:top w:val="single" w:sz="8" w:color="E5FFFF"/>
            </w:tcBorders>
            <w:shd w:val="clear" w:color="auto" w:fill="E5FFFF"/>
          </w:tcPr>
          <w:p>
            <w:pPr>
              <w:spacing w:after="0"/>
              <w:rPr>
                <w:sz w:val="18"/>
                <w:szCs w:val="18"/>
                <w:color w:val="auto"/>
              </w:rPr>
            </w:pPr>
          </w:p>
        </w:tc>
        <w:tc>
          <w:tcPr>
            <w:tcW w:w="1480" w:type="dxa"/>
            <w:vAlign w:val="bottom"/>
            <w:tcBorders>
              <w:top w:val="single" w:sz="8" w:color="auto"/>
              <w:bottom w:val="single" w:sz="8" w:color="auto"/>
            </w:tcBorders>
            <w:shd w:val="clear" w:color="auto" w:fill="E5FFFF"/>
          </w:tcPr>
          <w:p>
            <w:pPr>
              <w:jc w:val="right"/>
              <w:ind w:right="74"/>
              <w:spacing w:after="0"/>
              <w:rPr>
                <w:sz w:val="20"/>
                <w:szCs w:val="20"/>
                <w:color w:val="auto"/>
              </w:rPr>
            </w:pPr>
            <w:r>
              <w:rPr>
                <w:rFonts w:ascii="Arial" w:cs="Arial" w:eastAsia="Arial" w:hAnsi="Arial"/>
                <w:sz w:val="17"/>
                <w:szCs w:val="17"/>
                <w:color w:val="auto"/>
              </w:rPr>
              <w:t>80,836,442</w:t>
            </w:r>
          </w:p>
        </w:tc>
        <w:tc>
          <w:tcPr>
            <w:tcW w:w="40" w:type="dxa"/>
            <w:vAlign w:val="bottom"/>
          </w:tcPr>
          <w:p>
            <w:pPr>
              <w:spacing w:after="0"/>
              <w:rPr>
                <w:sz w:val="18"/>
                <w:szCs w:val="18"/>
                <w:color w:val="auto"/>
              </w:rPr>
            </w:pPr>
          </w:p>
        </w:tc>
      </w:tr>
      <w:tr>
        <w:trPr>
          <w:trHeight w:val="248"/>
        </w:trPr>
        <w:tc>
          <w:tcPr>
            <w:tcW w:w="566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(Loss)/earnings per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(0.08)</w:t>
            </w:r>
          </w:p>
        </w:tc>
        <w:tc>
          <w:tcPr>
            <w:tcW w:w="320" w:type="dxa"/>
            <w:vAlign w:val="bottom"/>
            <w:tcBorders>
              <w:bottom w:val="single" w:sz="8" w:color="E5FF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(0.35)</w:t>
            </w:r>
          </w:p>
        </w:tc>
        <w:tc>
          <w:tcPr>
            <w:tcW w:w="180" w:type="dxa"/>
            <w:vAlign w:val="bottom"/>
            <w:tcBorders>
              <w:bottom w:val="single" w:sz="8" w:color="E5FFFF"/>
            </w:tcBorders>
          </w:tcPr>
          <w:p>
            <w:pPr>
              <w:spacing w:after="0"/>
              <w:rPr>
                <w:sz w:val="21"/>
                <w:szCs w:val="21"/>
                <w:color w:val="auto"/>
              </w:rPr>
            </w:pPr>
          </w:p>
        </w:tc>
        <w:tc>
          <w:tcPr>
            <w:tcW w:w="120" w:type="dxa"/>
            <w:vAlign w:val="bottom"/>
            <w:tcBorders>
              <w:bottom w:val="single" w:sz="8" w:color="E5FF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0.13</w:t>
            </w:r>
          </w:p>
        </w:tc>
        <w:tc>
          <w:tcPr>
            <w:tcW w:w="300" w:type="dxa"/>
            <w:vAlign w:val="bottom"/>
            <w:tcBorders>
              <w:bottom w:val="single" w:sz="8" w:color="E5FFFF"/>
            </w:tcBorders>
          </w:tcPr>
          <w:p>
            <w:pPr>
              <w:spacing w:after="0"/>
              <w:rPr>
                <w:sz w:val="21"/>
                <w:szCs w:val="21"/>
                <w:color w:val="auto"/>
              </w:rPr>
            </w:pPr>
          </w:p>
        </w:tc>
        <w:tc>
          <w:tcPr>
            <w:tcW w:w="14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(0.52)</w:t>
            </w:r>
          </w:p>
        </w:tc>
        <w:tc>
          <w:tcPr>
            <w:tcW w:w="40" w:type="dxa"/>
            <w:vAlign w:val="bottom"/>
          </w:tcPr>
          <w:p>
            <w:pPr>
              <w:spacing w:after="0"/>
              <w:rPr>
                <w:sz w:val="21"/>
                <w:szCs w:val="21"/>
                <w:color w:val="auto"/>
              </w:rPr>
            </w:pPr>
          </w:p>
        </w:tc>
      </w:tr>
      <w:tr>
        <w:trPr>
          <w:trHeight w:val="159"/>
        </w:trPr>
        <w:tc>
          <w:tcPr>
            <w:tcW w:w="5660" w:type="dxa"/>
            <w:vAlign w:val="bottom"/>
            <w:shd w:val="clear" w:color="auto" w:fill="E5FFFF"/>
          </w:tcPr>
          <w:p>
            <w:pPr>
              <w:spacing w:after="0" w:line="159" w:lineRule="exact"/>
              <w:rPr>
                <w:sz w:val="20"/>
                <w:szCs w:val="20"/>
                <w:color w:val="auto"/>
              </w:rPr>
            </w:pPr>
            <w:r>
              <w:rPr>
                <w:rFonts w:ascii="Arial" w:cs="Arial" w:eastAsia="Arial" w:hAnsi="Arial"/>
                <w:sz w:val="17"/>
                <w:szCs w:val="17"/>
                <w:color w:val="auto"/>
              </w:rPr>
              <w:t>(Loss)/profit for the period available to owners of the Group used in EPS</w:t>
            </w:r>
          </w:p>
        </w:tc>
        <w:tc>
          <w:tcPr>
            <w:tcW w:w="1320" w:type="dxa"/>
            <w:vAlign w:val="bottom"/>
            <w:shd w:val="clear" w:color="auto" w:fill="E5FFFF"/>
          </w:tcPr>
          <w:p>
            <w:pPr>
              <w:spacing w:after="0"/>
              <w:rPr>
                <w:sz w:val="13"/>
                <w:szCs w:val="13"/>
                <w:color w:val="auto"/>
              </w:rPr>
            </w:pPr>
          </w:p>
        </w:tc>
        <w:tc>
          <w:tcPr>
            <w:tcW w:w="320" w:type="dxa"/>
            <w:vAlign w:val="bottom"/>
            <w:shd w:val="clear" w:color="auto" w:fill="E5FFFF"/>
          </w:tcPr>
          <w:p>
            <w:pPr>
              <w:spacing w:after="0"/>
              <w:rPr>
                <w:sz w:val="13"/>
                <w:szCs w:val="13"/>
                <w:color w:val="auto"/>
              </w:rPr>
            </w:pPr>
          </w:p>
        </w:tc>
        <w:tc>
          <w:tcPr>
            <w:tcW w:w="130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1320" w:type="dxa"/>
            <w:vAlign w:val="bottom"/>
            <w:shd w:val="clear" w:color="auto" w:fill="E5FFFF"/>
          </w:tcPr>
          <w:p>
            <w:pPr>
              <w:spacing w:after="0"/>
              <w:rPr>
                <w:sz w:val="13"/>
                <w:szCs w:val="13"/>
                <w:color w:val="auto"/>
              </w:rPr>
            </w:pPr>
          </w:p>
        </w:tc>
        <w:tc>
          <w:tcPr>
            <w:tcW w:w="300" w:type="dxa"/>
            <w:vAlign w:val="bottom"/>
            <w:shd w:val="clear" w:color="auto" w:fill="E5FFFF"/>
          </w:tcPr>
          <w:p>
            <w:pPr>
              <w:spacing w:after="0"/>
              <w:rPr>
                <w:sz w:val="13"/>
                <w:szCs w:val="13"/>
                <w:color w:val="auto"/>
              </w:rPr>
            </w:pPr>
          </w:p>
        </w:tc>
        <w:tc>
          <w:tcPr>
            <w:tcW w:w="1480" w:type="dxa"/>
            <w:vAlign w:val="bottom"/>
            <w:shd w:val="clear" w:color="auto" w:fill="E5FFFF"/>
          </w:tcPr>
          <w:p>
            <w:pPr>
              <w:spacing w:after="0"/>
              <w:rPr>
                <w:sz w:val="13"/>
                <w:szCs w:val="13"/>
                <w:color w:val="auto"/>
              </w:rPr>
            </w:pPr>
          </w:p>
        </w:tc>
        <w:tc>
          <w:tcPr>
            <w:tcW w:w="40" w:type="dxa"/>
            <w:vAlign w:val="bottom"/>
          </w:tcPr>
          <w:p>
            <w:pPr>
              <w:spacing w:after="0"/>
              <w:rPr>
                <w:sz w:val="13"/>
                <w:szCs w:val="13"/>
                <w:color w:val="auto"/>
              </w:rPr>
            </w:pPr>
          </w:p>
        </w:tc>
      </w:tr>
      <w:tr>
        <w:trPr>
          <w:trHeight w:val="224"/>
        </w:trPr>
        <w:tc>
          <w:tcPr>
            <w:tcW w:w="5660" w:type="dxa"/>
            <w:vAlign w:val="bottom"/>
            <w:shd w:val="clear" w:color="auto" w:fill="E5FFFF"/>
          </w:tcPr>
          <w:p>
            <w:pPr>
              <w:ind w:left="180"/>
              <w:spacing w:after="0"/>
              <w:rPr>
                <w:sz w:val="20"/>
                <w:szCs w:val="20"/>
                <w:color w:val="auto"/>
              </w:rPr>
            </w:pPr>
            <w:r>
              <w:rPr>
                <w:rFonts w:ascii="Arial" w:cs="Arial" w:eastAsia="Arial" w:hAnsi="Arial"/>
                <w:sz w:val="17"/>
                <w:szCs w:val="17"/>
                <w:color w:val="auto"/>
              </w:rPr>
              <w:t>calculation</w:t>
            </w:r>
          </w:p>
        </w:tc>
        <w:tc>
          <w:tcPr>
            <w:tcW w:w="164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(6,136)</w:t>
            </w:r>
          </w:p>
        </w:tc>
        <w:tc>
          <w:tcPr>
            <w:tcW w:w="148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(28,514)</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10,652</w:t>
            </w:r>
          </w:p>
        </w:tc>
        <w:tc>
          <w:tcPr>
            <w:tcW w:w="300" w:type="dxa"/>
            <w:vAlign w:val="bottom"/>
            <w:shd w:val="clear" w:color="auto" w:fill="E5FFFF"/>
          </w:tcPr>
          <w:p>
            <w:pPr>
              <w:spacing w:after="0"/>
              <w:rPr>
                <w:sz w:val="19"/>
                <w:szCs w:val="19"/>
                <w:color w:val="auto"/>
              </w:rPr>
            </w:pPr>
          </w:p>
        </w:tc>
        <w:tc>
          <w:tcPr>
            <w:tcW w:w="148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(41,976)</w:t>
            </w:r>
          </w:p>
        </w:tc>
        <w:tc>
          <w:tcPr>
            <w:tcW w:w="40" w:type="dxa"/>
            <w:vAlign w:val="bottom"/>
          </w:tcPr>
          <w:p>
            <w:pPr>
              <w:spacing w:after="0"/>
              <w:rPr>
                <w:sz w:val="19"/>
                <w:szCs w:val="19"/>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Plus: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Non-cash loss/(gain) on derivatives</w:t>
            </w:r>
          </w:p>
        </w:tc>
        <w:tc>
          <w:tcPr>
            <w:tcW w:w="13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193</w:t>
            </w:r>
          </w:p>
        </w:tc>
        <w:tc>
          <w:tcPr>
            <w:tcW w:w="32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30,779</w:t>
            </w:r>
          </w:p>
        </w:tc>
        <w:tc>
          <w:tcPr>
            <w:tcW w:w="1740" w:type="dxa"/>
            <w:vAlign w:val="bottom"/>
            <w:gridSpan w:val="3"/>
            <w:shd w:val="clear" w:color="auto" w:fill="E5FFFF"/>
          </w:tcPr>
          <w:p>
            <w:pPr>
              <w:jc w:val="right"/>
              <w:ind w:right="160"/>
              <w:spacing w:after="0"/>
              <w:rPr>
                <w:sz w:val="20"/>
                <w:szCs w:val="20"/>
                <w:color w:val="auto"/>
              </w:rPr>
            </w:pPr>
            <w:r>
              <w:rPr>
                <w:rFonts w:ascii="Arial" w:cs="Arial" w:eastAsia="Arial" w:hAnsi="Arial"/>
                <w:sz w:val="17"/>
                <w:szCs w:val="17"/>
                <w:color w:val="auto"/>
              </w:rPr>
              <w:t>(16,705)</w:t>
            </w:r>
          </w:p>
        </w:tc>
        <w:tc>
          <w:tcPr>
            <w:tcW w:w="1480" w:type="dxa"/>
            <w:vAlign w:val="bottom"/>
            <w:shd w:val="clear" w:color="auto" w:fill="E5FFFF"/>
          </w:tcPr>
          <w:p>
            <w:pPr>
              <w:jc w:val="right"/>
              <w:ind w:right="74"/>
              <w:spacing w:after="0"/>
              <w:rPr>
                <w:sz w:val="20"/>
                <w:szCs w:val="20"/>
                <w:color w:val="auto"/>
              </w:rPr>
            </w:pPr>
            <w:r>
              <w:rPr>
                <w:rFonts w:ascii="Arial" w:cs="Arial" w:eastAsia="Arial" w:hAnsi="Arial"/>
                <w:sz w:val="17"/>
                <w:szCs w:val="17"/>
                <w:color w:val="auto"/>
              </w:rPr>
              <w:t>51,882</w:t>
            </w:r>
          </w:p>
        </w:tc>
        <w:tc>
          <w:tcPr>
            <w:tcW w:w="40" w:type="dxa"/>
            <w:vAlign w:val="bottom"/>
          </w:tcPr>
          <w:p>
            <w:pPr>
              <w:spacing w:after="0"/>
              <w:rPr>
                <w:sz w:val="18"/>
                <w:szCs w:val="18"/>
                <w:color w:val="auto"/>
              </w:rPr>
            </w:pPr>
          </w:p>
        </w:tc>
      </w:tr>
      <w:tr>
        <w:trPr>
          <w:trHeight w:val="214"/>
        </w:trPr>
        <w:tc>
          <w:tcPr>
            <w:tcW w:w="5660" w:type="dxa"/>
            <w:vAlign w:val="bottom"/>
          </w:tcPr>
          <w:p>
            <w:pPr>
              <w:spacing w:after="0"/>
              <w:rPr>
                <w:sz w:val="20"/>
                <w:szCs w:val="20"/>
                <w:color w:val="auto"/>
              </w:rPr>
            </w:pPr>
            <w:r>
              <w:rPr>
                <w:rFonts w:ascii="Arial" w:cs="Arial" w:eastAsia="Arial" w:hAnsi="Arial"/>
                <w:sz w:val="17"/>
                <w:szCs w:val="17"/>
                <w:color w:val="auto"/>
              </w:rPr>
              <w:t>Write-off and accelerated amortization of unamortized loan fees</w:t>
            </w:r>
          </w:p>
        </w:tc>
        <w:tc>
          <w:tcPr>
            <w:tcW w:w="1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74"/>
              <w:spacing w:after="0"/>
              <w:rPr>
                <w:sz w:val="20"/>
                <w:szCs w:val="20"/>
                <w:color w:val="auto"/>
              </w:rPr>
            </w:pPr>
            <w:r>
              <w:rPr>
                <w:rFonts w:ascii="Arial" w:cs="Arial" w:eastAsia="Arial" w:hAnsi="Arial"/>
                <w:sz w:val="17"/>
                <w:szCs w:val="17"/>
                <w:color w:val="auto"/>
              </w:rPr>
              <w:t>988</w:t>
            </w:r>
          </w:p>
        </w:tc>
        <w:tc>
          <w:tcPr>
            <w:tcW w:w="40" w:type="dxa"/>
            <w:vAlign w:val="bottom"/>
          </w:tcPr>
          <w:p>
            <w:pPr>
              <w:spacing w:after="0"/>
              <w:rPr>
                <w:sz w:val="18"/>
                <w:szCs w:val="18"/>
                <w:color w:val="auto"/>
              </w:rPr>
            </w:pPr>
          </w:p>
        </w:tc>
      </w:tr>
      <w:tr>
        <w:trPr>
          <w:trHeight w:val="214"/>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Foreign exchange losses, net</w:t>
            </w:r>
          </w:p>
        </w:tc>
        <w:tc>
          <w:tcPr>
            <w:tcW w:w="13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383</w:t>
            </w:r>
          </w:p>
        </w:tc>
        <w:tc>
          <w:tcPr>
            <w:tcW w:w="320" w:type="dxa"/>
            <w:vAlign w:val="bottom"/>
            <w:shd w:val="clear" w:color="auto" w:fill="E5FFFF"/>
          </w:tcPr>
          <w:p>
            <w:pPr>
              <w:spacing w:after="0"/>
              <w:rPr>
                <w:sz w:val="18"/>
                <w:szCs w:val="18"/>
                <w:color w:val="auto"/>
              </w:rPr>
            </w:pPr>
          </w:p>
        </w:tc>
        <w:tc>
          <w:tcPr>
            <w:tcW w:w="14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218</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29</w:t>
            </w:r>
          </w:p>
        </w:tc>
        <w:tc>
          <w:tcPr>
            <w:tcW w:w="300" w:type="dxa"/>
            <w:vAlign w:val="bottom"/>
            <w:shd w:val="clear" w:color="auto" w:fill="E5FFFF"/>
          </w:tcPr>
          <w:p>
            <w:pPr>
              <w:spacing w:after="0"/>
              <w:rPr>
                <w:sz w:val="18"/>
                <w:szCs w:val="18"/>
                <w:color w:val="auto"/>
              </w:rPr>
            </w:pPr>
          </w:p>
        </w:tc>
        <w:tc>
          <w:tcPr>
            <w:tcW w:w="1480" w:type="dxa"/>
            <w:vAlign w:val="bottom"/>
            <w:shd w:val="clear" w:color="auto" w:fill="E5FFFF"/>
          </w:tcPr>
          <w:p>
            <w:pPr>
              <w:jc w:val="right"/>
              <w:ind w:right="74"/>
              <w:spacing w:after="0"/>
              <w:rPr>
                <w:sz w:val="20"/>
                <w:szCs w:val="20"/>
                <w:color w:val="auto"/>
              </w:rPr>
            </w:pPr>
            <w:r>
              <w:rPr>
                <w:rFonts w:ascii="Arial" w:cs="Arial" w:eastAsia="Arial" w:hAnsi="Arial"/>
                <w:sz w:val="17"/>
                <w:szCs w:val="17"/>
                <w:color w:val="auto"/>
              </w:rPr>
              <w:t>368</w:t>
            </w:r>
          </w:p>
        </w:tc>
        <w:tc>
          <w:tcPr>
            <w:tcW w:w="40" w:type="dxa"/>
            <w:vAlign w:val="bottom"/>
          </w:tcPr>
          <w:p>
            <w:pPr>
              <w:spacing w:after="0"/>
              <w:rPr>
                <w:sz w:val="18"/>
                <w:szCs w:val="18"/>
                <w:color w:val="auto"/>
              </w:rPr>
            </w:pPr>
          </w:p>
        </w:tc>
      </w:tr>
      <w:tr>
        <w:trPr>
          <w:trHeight w:val="208"/>
        </w:trPr>
        <w:tc>
          <w:tcPr>
            <w:tcW w:w="566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Adjusted (loss)/profit attributable to owners of the Group</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(5,560)</w:t>
            </w:r>
          </w:p>
        </w:tc>
        <w:tc>
          <w:tcPr>
            <w:tcW w:w="320" w:type="dxa"/>
            <w:vAlign w:val="bottom"/>
            <w:tcBorders>
              <w:bottom w:val="single" w:sz="8" w:color="E5FF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2,483</w:t>
            </w:r>
          </w:p>
        </w:tc>
        <w:tc>
          <w:tcPr>
            <w:tcW w:w="18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(6,024)</w:t>
            </w:r>
          </w:p>
        </w:tc>
        <w:tc>
          <w:tcPr>
            <w:tcW w:w="300" w:type="dxa"/>
            <w:vAlign w:val="bottom"/>
            <w:tcBorders>
              <w:bottom w:val="single" w:sz="8" w:color="E5FF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11,262</w:t>
            </w:r>
          </w:p>
        </w:tc>
        <w:tc>
          <w:tcPr>
            <w:tcW w:w="40" w:type="dxa"/>
            <w:vAlign w:val="bottom"/>
          </w:tcPr>
          <w:p>
            <w:pPr>
              <w:spacing w:after="0"/>
              <w:rPr>
                <w:sz w:val="18"/>
                <w:szCs w:val="18"/>
                <w:color w:val="auto"/>
              </w:rPr>
            </w:pPr>
          </w:p>
        </w:tc>
      </w:tr>
      <w:tr>
        <w:trPr>
          <w:trHeight w:val="208"/>
        </w:trPr>
        <w:tc>
          <w:tcPr>
            <w:tcW w:w="5660" w:type="dxa"/>
            <w:vAlign w:val="bottom"/>
            <w:shd w:val="clear" w:color="auto" w:fill="E5FFFF"/>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80,801,654</w:t>
            </w:r>
          </w:p>
        </w:tc>
        <w:tc>
          <w:tcPr>
            <w:tcW w:w="320" w:type="dxa"/>
            <w:vAlign w:val="bottom"/>
            <w:shd w:val="clear" w:color="auto" w:fill="E5FFFF"/>
          </w:tcPr>
          <w:p>
            <w:pPr>
              <w:spacing w:after="0"/>
              <w:rPr>
                <w:sz w:val="18"/>
                <w:szCs w:val="18"/>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80,847,127</w:t>
            </w:r>
          </w:p>
        </w:tc>
        <w:tc>
          <w:tcPr>
            <w:tcW w:w="1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80,758,631</w:t>
            </w:r>
          </w:p>
        </w:tc>
        <w:tc>
          <w:tcPr>
            <w:tcW w:w="300" w:type="dxa"/>
            <w:vAlign w:val="bottom"/>
            <w:shd w:val="clear" w:color="auto" w:fill="E5FFFF"/>
          </w:tcPr>
          <w:p>
            <w:pPr>
              <w:spacing w:after="0"/>
              <w:rPr>
                <w:sz w:val="18"/>
                <w:szCs w:val="18"/>
                <w:color w:val="auto"/>
              </w:rPr>
            </w:pPr>
          </w:p>
        </w:tc>
        <w:tc>
          <w:tcPr>
            <w:tcW w:w="1480" w:type="dxa"/>
            <w:vAlign w:val="bottom"/>
            <w:tcBorders>
              <w:bottom w:val="single" w:sz="8" w:color="auto"/>
            </w:tcBorders>
            <w:shd w:val="clear" w:color="auto" w:fill="E5FFFF"/>
          </w:tcPr>
          <w:p>
            <w:pPr>
              <w:jc w:val="right"/>
              <w:ind w:right="74"/>
              <w:spacing w:after="0"/>
              <w:rPr>
                <w:sz w:val="20"/>
                <w:szCs w:val="20"/>
                <w:color w:val="auto"/>
              </w:rPr>
            </w:pPr>
            <w:r>
              <w:rPr>
                <w:rFonts w:ascii="Arial" w:cs="Arial" w:eastAsia="Arial" w:hAnsi="Arial"/>
                <w:sz w:val="17"/>
                <w:szCs w:val="17"/>
                <w:color w:val="auto"/>
              </w:rPr>
              <w:t>80,836,442</w:t>
            </w:r>
          </w:p>
        </w:tc>
        <w:tc>
          <w:tcPr>
            <w:tcW w:w="40" w:type="dxa"/>
            <w:vAlign w:val="bottom"/>
          </w:tcPr>
          <w:p>
            <w:pPr>
              <w:spacing w:after="0"/>
              <w:rPr>
                <w:sz w:val="18"/>
                <w:szCs w:val="18"/>
                <w:color w:val="auto"/>
              </w:rPr>
            </w:pPr>
          </w:p>
        </w:tc>
      </w:tr>
      <w:tr>
        <w:trPr>
          <w:trHeight w:val="220"/>
        </w:trPr>
        <w:tc>
          <w:tcPr>
            <w:tcW w:w="5660" w:type="dxa"/>
            <w:vAlign w:val="bottom"/>
          </w:tcPr>
          <w:p>
            <w:pPr>
              <w:spacing w:after="0"/>
              <w:rPr>
                <w:sz w:val="20"/>
                <w:szCs w:val="20"/>
                <w:color w:val="auto"/>
              </w:rPr>
            </w:pPr>
            <w:r>
              <w:rPr>
                <w:rFonts w:ascii="Arial" w:cs="Arial" w:eastAsia="Arial" w:hAnsi="Arial"/>
                <w:sz w:val="17"/>
                <w:szCs w:val="17"/>
                <w:b w:val="1"/>
                <w:bCs w:val="1"/>
                <w:color w:val="auto"/>
              </w:rPr>
              <w:t>Adjusted (loss)/earnings per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(0.07</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(0.07</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4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0.14</w:t>
            </w:r>
          </w:p>
        </w:tc>
        <w:tc>
          <w:tcPr>
            <w:tcW w:w="4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5660" w:type="dxa"/>
            <w:vAlign w:val="bottom"/>
          </w:tcPr>
          <w:p>
            <w:pPr>
              <w:spacing w:after="0"/>
              <w:rPr>
                <w:sz w:val="24"/>
                <w:szCs w:val="24"/>
                <w:color w:val="auto"/>
              </w:rPr>
            </w:pPr>
          </w:p>
        </w:tc>
        <w:tc>
          <w:tcPr>
            <w:tcW w:w="1320" w:type="dxa"/>
            <w:vAlign w:val="bottom"/>
          </w:tcPr>
          <w:p>
            <w:pPr>
              <w:jc w:val="right"/>
              <w:ind w:right="815"/>
              <w:spacing w:after="0"/>
              <w:rPr>
                <w:sz w:val="20"/>
                <w:szCs w:val="20"/>
                <w:color w:val="auto"/>
              </w:rPr>
            </w:pPr>
            <w:r>
              <w:rPr>
                <w:rFonts w:ascii="Arial" w:cs="Arial" w:eastAsia="Arial" w:hAnsi="Arial"/>
                <w:sz w:val="15"/>
                <w:szCs w:val="15"/>
                <w:color w:val="auto"/>
              </w:rPr>
              <w:t>15</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4"/>
        </w:trPr>
        <w:tc>
          <w:tcPr>
            <w:tcW w:w="56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15" w:name="page16"/>
    <w:bookmarkEnd w:id="15"/>
    <w:p>
      <w:pPr>
        <w:jc w:val="right"/>
        <w:spacing w:after="0"/>
        <w:rPr>
          <w:sz w:val="20"/>
          <w:szCs w:val="20"/>
          <w:color w:val="auto"/>
        </w:rPr>
      </w:pPr>
      <w:r>
        <w:rPr>
          <w:rFonts w:ascii="Arial" w:cs="Arial" w:eastAsia="Arial" w:hAnsi="Arial"/>
          <w:sz w:val="17"/>
          <w:szCs w:val="17"/>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Financial Report for the Three and Six Months Ended June 30, 2019</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w:t>
      </w:r>
    </w:p>
    <w:p>
      <w:pPr>
        <w:spacing w:after="0" w:line="253" w:lineRule="exact"/>
        <w:rPr>
          <w:sz w:val="20"/>
          <w:szCs w:val="20"/>
          <w:color w:val="auto"/>
        </w:rPr>
      </w:pPr>
    </w:p>
    <w:p>
      <w:pPr>
        <w:ind w:right="140" w:firstLine="376"/>
        <w:spacing w:after="0" w:line="286" w:lineRule="auto"/>
        <w:rPr>
          <w:sz w:val="20"/>
          <w:szCs w:val="20"/>
          <w:color w:val="auto"/>
        </w:rPr>
      </w:pPr>
      <w:r>
        <w:rPr>
          <w:rFonts w:ascii="Arial" w:cs="Arial" w:eastAsia="Arial" w:hAnsi="Arial"/>
          <w:sz w:val="16"/>
          <w:szCs w:val="16"/>
          <w:color w:val="auto"/>
        </w:rPr>
        <w:t>The following is a discussion of our financial condition and results of operations for the three and six-month periods ended June 30, 2018 and June 30, 2019.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management’s discussion and analysis of financial condition and results of operations, please see our Annual Report on Form 20-F filed with the U.S. Securities and Exchange Commission (the “SEC”) on March 5, 2019.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the discussion in the section entitled “Forward-Looking Statements” below.</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53" w:lineRule="exact"/>
        <w:rPr>
          <w:sz w:val="20"/>
          <w:szCs w:val="20"/>
          <w:color w:val="auto"/>
        </w:rPr>
      </w:pPr>
    </w:p>
    <w:p>
      <w:pPr>
        <w:ind w:right="40" w:firstLine="405"/>
        <w:spacing w:after="0" w:line="286" w:lineRule="auto"/>
        <w:rPr>
          <w:sz w:val="20"/>
          <w:szCs w:val="20"/>
          <w:color w:val="auto"/>
        </w:rPr>
      </w:pPr>
      <w:r>
        <w:rPr>
          <w:rFonts w:ascii="Arial" w:cs="Arial" w:eastAsia="Arial" w:hAnsi="Arial"/>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Factors that might cause future results and outcomes to differ include, but are not limited to, the following:</w:t>
      </w:r>
    </w:p>
    <w:p>
      <w:pPr>
        <w:spacing w:after="0" w:line="247" w:lineRule="exact"/>
        <w:rPr>
          <w:sz w:val="20"/>
          <w:szCs w:val="20"/>
          <w:color w:val="auto"/>
        </w:rPr>
      </w:pPr>
    </w:p>
    <w:p>
      <w:pPr>
        <w:ind w:left="520" w:right="440" w:hanging="184"/>
        <w:spacing w:after="0" w:line="280" w:lineRule="auto"/>
        <w:tabs>
          <w:tab w:leader="none" w:pos="473"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liquefied natural gas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6"/>
          <w:szCs w:val="16"/>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spot and multi-year charter hire rates and vessel values;</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exposure to the spot market and fluctuations in spot charter rates;</w:t>
      </w:r>
    </w:p>
    <w:p>
      <w:pPr>
        <w:spacing w:after="0" w:line="18" w:lineRule="exact"/>
        <w:rPr>
          <w:rFonts w:ascii="Arial" w:cs="Arial" w:eastAsia="Arial" w:hAnsi="Arial"/>
          <w:sz w:val="17"/>
          <w:szCs w:val="17"/>
          <w:color w:val="auto"/>
        </w:rPr>
      </w:pPr>
    </w:p>
    <w:p>
      <w:pPr>
        <w:ind w:left="540" w:right="320" w:hanging="212"/>
        <w:spacing w:after="0" w:line="262" w:lineRule="auto"/>
        <w:tabs>
          <w:tab w:leader="none" w:pos="492"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1" w:lineRule="exact"/>
        <w:rPr>
          <w:rFonts w:ascii="Arial" w:cs="Arial" w:eastAsia="Arial" w:hAnsi="Arial"/>
          <w:sz w:val="17"/>
          <w:szCs w:val="17"/>
          <w:color w:val="auto"/>
        </w:rPr>
      </w:pPr>
    </w:p>
    <w:p>
      <w:pPr>
        <w:ind w:left="480" w:hanging="15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our operating expenses, including crew wages, maintenance, dry-docking and insurance costs and bunker prices;</w:t>
      </w:r>
    </w:p>
    <w:p>
      <w:pPr>
        <w:spacing w:after="0" w:line="18" w:lineRule="exact"/>
        <w:rPr>
          <w:rFonts w:ascii="Arial" w:cs="Arial" w:eastAsia="Arial" w:hAnsi="Arial"/>
          <w:sz w:val="17"/>
          <w:szCs w:val="17"/>
          <w:color w:val="auto"/>
        </w:rPr>
      </w:pPr>
    </w:p>
    <w:p>
      <w:pPr>
        <w:ind w:left="480" w:hanging="15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7"/>
          <w:szCs w:val="17"/>
          <w:color w:val="auto"/>
        </w:rPr>
      </w:pPr>
    </w:p>
    <w:p>
      <w:pPr>
        <w:ind w:left="480" w:hanging="15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planned capital expenditures and availability of capital resources to fund capital expenditures;</w:t>
      </w:r>
    </w:p>
    <w:p>
      <w:pPr>
        <w:spacing w:after="0" w:line="18" w:lineRule="exact"/>
        <w:rPr>
          <w:rFonts w:ascii="Arial" w:cs="Arial" w:eastAsia="Arial" w:hAnsi="Arial"/>
          <w:sz w:val="17"/>
          <w:szCs w:val="17"/>
          <w:color w:val="auto"/>
        </w:rPr>
      </w:pPr>
    </w:p>
    <w:p>
      <w:pPr>
        <w:ind w:left="480" w:hanging="15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maintain long-term relationships and enter into time charters with new and existing customers;</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prices for crude oil, petroleum products and natural gas, including LNG;</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the ownership of our charterers;</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customers’ performance of their obligations under our time charters and other contracts;</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future operating performance and expenses, financial condition, liquidity and cash available for dividends and distributions;</w:t>
      </w:r>
    </w:p>
    <w:p>
      <w:pPr>
        <w:spacing w:after="0" w:line="18" w:lineRule="exact"/>
        <w:rPr>
          <w:rFonts w:ascii="Arial" w:cs="Arial" w:eastAsia="Arial" w:hAnsi="Arial"/>
          <w:sz w:val="17"/>
          <w:szCs w:val="17"/>
          <w:color w:val="auto"/>
        </w:rPr>
      </w:pPr>
    </w:p>
    <w:p>
      <w:pPr>
        <w:ind w:left="520" w:right="80" w:hanging="184"/>
        <w:spacing w:after="0" w:line="262" w:lineRule="auto"/>
        <w:tabs>
          <w:tab w:leader="none" w:pos="473"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1"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pending or recent acquisitions of or orders for ships or other assets, business strategy, areas of possible expansion and expected capital spending;</w:t>
      </w:r>
    </w:p>
    <w:p>
      <w:pPr>
        <w:spacing w:after="0" w:line="29" w:lineRule="exact"/>
        <w:rPr>
          <w:rFonts w:ascii="Arial" w:cs="Arial" w:eastAsia="Arial" w:hAnsi="Arial"/>
          <w:sz w:val="16"/>
          <w:szCs w:val="16"/>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time that it may take to construct and deliver newbuildings and the useful lives of our ships;</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currencies and interest rates;</w:t>
      </w:r>
    </w:p>
    <w:p>
      <w:pPr>
        <w:spacing w:after="0" w:line="18" w:lineRule="exact"/>
        <w:rPr>
          <w:rFonts w:ascii="Arial" w:cs="Arial" w:eastAsia="Arial" w:hAnsi="Arial"/>
          <w:sz w:val="17"/>
          <w:szCs w:val="17"/>
          <w:color w:val="auto"/>
        </w:rPr>
      </w:pPr>
    </w:p>
    <w:p>
      <w:pPr>
        <w:ind w:left="520" w:right="180" w:hanging="184"/>
        <w:spacing w:after="0" w:line="262" w:lineRule="auto"/>
        <w:tabs>
          <w:tab w:leader="none" w:pos="47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risks inherent in ship operation, including the discharge of pollutants;</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retain key employees and the availability of skilled labour, ship crews and management;</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disruption of shipping routes due to accidents, political events, piracy or acts by terrorists;</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liability from future litigation;</w:t>
      </w:r>
    </w:p>
    <w:p>
      <w:pPr>
        <w:spacing w:after="0" w:line="18" w:lineRule="exact"/>
        <w:rPr>
          <w:rFonts w:ascii="Arial" w:cs="Arial" w:eastAsia="Arial" w:hAnsi="Arial"/>
          <w:sz w:val="17"/>
          <w:szCs w:val="17"/>
          <w:color w:val="auto"/>
        </w:rPr>
      </w:pPr>
    </w:p>
    <w:p>
      <w:pPr>
        <w:ind w:left="480" w:hanging="14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malfunction or disruption of information technology systems and networks that our operations rely on or any impact of a possible cybersecurity event; and</w:t>
      </w:r>
    </w:p>
    <w:p>
      <w:pPr>
        <w:spacing w:after="0" w:line="29" w:lineRule="exact"/>
        <w:rPr>
          <w:rFonts w:ascii="Arial" w:cs="Arial" w:eastAsia="Arial" w:hAnsi="Arial"/>
          <w:sz w:val="16"/>
          <w:szCs w:val="16"/>
          <w:color w:val="auto"/>
        </w:rPr>
      </w:pPr>
    </w:p>
    <w:p>
      <w:pPr>
        <w:ind w:left="480" w:hanging="144"/>
        <w:spacing w:after="0"/>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other risks and uncertainties described in the Company’s Annual Report on Form 20-F filed with the SEC on March 5, 2019 and available at </w:t>
      </w:r>
      <w:r>
        <w:rPr>
          <w:rFonts w:ascii="Arial" w:cs="Arial" w:eastAsia="Arial" w:hAnsi="Arial"/>
          <w:sz w:val="16"/>
          <w:szCs w:val="16"/>
          <w:u w:val="single" w:color="auto"/>
          <w:color w:val="0000FF"/>
        </w:rPr>
        <w:t>http://www.sec.gov</w:t>
      </w:r>
      <w:r>
        <w:rPr>
          <w:rFonts w:ascii="Arial" w:cs="Arial" w:eastAsia="Arial" w:hAnsi="Arial"/>
          <w:sz w:val="16"/>
          <w:szCs w:val="16"/>
          <w:color w:val="auto"/>
        </w:rPr>
        <w:t>.</w:t>
      </w:r>
    </w:p>
    <w:p>
      <w:pPr>
        <w:spacing w:after="0" w:line="256" w:lineRule="exact"/>
        <w:rPr>
          <w:sz w:val="20"/>
          <w:szCs w:val="20"/>
          <w:color w:val="auto"/>
        </w:rPr>
      </w:pPr>
    </w:p>
    <w:p>
      <w:pPr>
        <w:jc w:val="both"/>
        <w:ind w:right="40" w:firstLine="342"/>
        <w:spacing w:after="0" w:line="271" w:lineRule="auto"/>
        <w:rPr>
          <w:sz w:val="20"/>
          <w:szCs w:val="20"/>
          <w:color w:val="auto"/>
        </w:rPr>
      </w:pPr>
      <w:r>
        <w:rPr>
          <w:rFonts w:ascii="Arial" w:cs="Arial" w:eastAsia="Arial" w:hAnsi="Arial"/>
          <w:sz w:val="17"/>
          <w:szCs w:val="17"/>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declaration and payment of dividends are at all times subject to the discretion of our board of directors and will depend on, amongst other</w:t>
      </w:r>
    </w:p>
    <w:p>
      <w:pPr>
        <w:sectPr>
          <w:pgSz w:w="12240" w:h="15840" w:orient="portrait"/>
          <w:cols w:equalWidth="0" w:num="1">
            <w:col w:w="12000"/>
          </w:cols>
          <w:pgMar w:left="120" w:top="0" w:right="12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64667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6" w:name="page17"/>
    <w:bookmarkEnd w:id="16"/>
    <w:p>
      <w:pPr>
        <w:ind w:right="240"/>
        <w:spacing w:after="0" w:line="288" w:lineRule="auto"/>
        <w:rPr>
          <w:sz w:val="20"/>
          <w:szCs w:val="20"/>
          <w:color w:val="auto"/>
        </w:rPr>
      </w:pPr>
      <w:r>
        <w:rPr>
          <w:rFonts w:ascii="Arial" w:cs="Arial" w:eastAsia="Arial" w:hAnsi="Arial"/>
          <w:sz w:val="17"/>
          <w:szCs w:val="17"/>
          <w:color w:val="auto"/>
        </w:rPr>
        <w:t>things, risks and uncertainties described above, restrictions in our credit facilities, the provisions of Bermuda law and such other factors as our board of directors may deem relevant.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3" w:lineRule="exact"/>
        <w:rPr>
          <w:sz w:val="20"/>
          <w:szCs w:val="20"/>
          <w:color w:val="auto"/>
        </w:rPr>
      </w:pPr>
    </w:p>
    <w:p>
      <w:pPr>
        <w:ind w:firstLine="376"/>
        <w:spacing w:after="0" w:line="266" w:lineRule="auto"/>
        <w:rPr>
          <w:sz w:val="20"/>
          <w:szCs w:val="20"/>
          <w:color w:val="auto"/>
        </w:rPr>
      </w:pPr>
      <w:r>
        <w:rPr>
          <w:rFonts w:ascii="Arial" w:cs="Arial" w:eastAsia="Arial" w:hAnsi="Arial"/>
          <w:sz w:val="17"/>
          <w:szCs w:val="17"/>
          <w:color w:val="auto"/>
        </w:rPr>
        <w:t>We are an international owner, operator and manager of LNG carriers. Our wholly owned fleet as of August 1, 2019, consists of 19 LNG carriers, including twelve ships in operation and seven LNG carriers on order at Samsung Heavy Industries Co., Ltd. (“Samsung”). GasLog is also the general and controlling partner in GasLog Partners LP (“GasLog Partners” or the “Partnership”), a publicly traded master limited partnership, which owns 15 LNG carriers. In addition, GasLog has leased back under a bareboat charter one vessel sold to Lepta Shipping Co., Ltd. (“Lepta Shipping”), a subsidiary of Mitsui Co., Ltd. (“Mitsui”) in February 2016, for a period of up to 20 years. GasLog has the option to repurchase the vessel on pre-agreed terms no earlier than the end of year ten and no later than the end of year 17 of the bareboat charter. We currently manage and operate 28 LNG carriers including our twelve wholly owned ships in operation, 14 of the 15 ships contributed or sold to the Partnership (the other one is managed by a subsidiary of Royal Dutch Shell plc (“Shell”)), the bareboat vessel and one LNG carrier owned by an entity in which we have a 25% interest. We are also supervising the construction of our newbuildings.</w:t>
      </w:r>
    </w:p>
    <w:p>
      <w:pPr>
        <w:spacing w:after="0" w:line="206" w:lineRule="exact"/>
        <w:rPr>
          <w:sz w:val="20"/>
          <w:szCs w:val="20"/>
          <w:color w:val="auto"/>
        </w:rPr>
      </w:pPr>
    </w:p>
    <w:p>
      <w:pPr>
        <w:ind w:right="160" w:firstLine="342"/>
        <w:spacing w:after="0" w:line="288" w:lineRule="auto"/>
        <w:rPr>
          <w:sz w:val="20"/>
          <w:szCs w:val="20"/>
          <w:color w:val="auto"/>
        </w:rPr>
      </w:pPr>
      <w:r>
        <w:rPr>
          <w:rFonts w:ascii="Arial" w:cs="Arial" w:eastAsia="Arial" w:hAnsi="Arial"/>
          <w:sz w:val="17"/>
          <w:szCs w:val="17"/>
          <w:color w:val="auto"/>
        </w:rPr>
        <w:t xml:space="preserve">We have a 25% interest in a vessel, the </w:t>
      </w:r>
      <w:r>
        <w:rPr>
          <w:rFonts w:ascii="Arial" w:cs="Arial" w:eastAsia="Arial" w:hAnsi="Arial"/>
          <w:sz w:val="17"/>
          <w:szCs w:val="17"/>
          <w:i w:val="1"/>
          <w:iCs w:val="1"/>
          <w:color w:val="auto"/>
        </w:rPr>
        <w:t>Methane Nile Eagle</w:t>
      </w:r>
      <w:r>
        <w:rPr>
          <w:rFonts w:ascii="Arial" w:cs="Arial" w:eastAsia="Arial" w:hAnsi="Arial"/>
          <w:sz w:val="17"/>
          <w:szCs w:val="17"/>
          <w:color w:val="auto"/>
        </w:rPr>
        <w:t>, a 2007-built LNG carrier owned by Egypt LNG Shipping Ltd. (“Egypt LNG”) and technically managed by us. It is currently operating under a 20-year time charter to a subsidiary of Shell.</w:t>
      </w:r>
    </w:p>
    <w:p>
      <w:pPr>
        <w:spacing w:after="0" w:line="187" w:lineRule="exact"/>
        <w:rPr>
          <w:sz w:val="20"/>
          <w:szCs w:val="20"/>
          <w:color w:val="auto"/>
        </w:rPr>
      </w:pPr>
    </w:p>
    <w:p>
      <w:pPr>
        <w:jc w:val="both"/>
        <w:ind w:right="560" w:firstLine="376"/>
        <w:spacing w:after="0" w:line="275" w:lineRule="auto"/>
        <w:rPr>
          <w:sz w:val="20"/>
          <w:szCs w:val="20"/>
          <w:color w:val="auto"/>
        </w:rPr>
      </w:pPr>
      <w:r>
        <w:rPr>
          <w:rFonts w:ascii="Arial" w:cs="Arial" w:eastAsia="Arial" w:hAnsi="Arial"/>
          <w:sz w:val="17"/>
          <w:szCs w:val="17"/>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 owned subsidiary GasLog LNG Services Ltd.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Cool Pool Exit</w:t>
      </w:r>
    </w:p>
    <w:p>
      <w:pPr>
        <w:spacing w:after="0" w:line="253"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In 2015, GasLog entered into a pool agreement (the “Pool Agreement”) with Dynagas Ltd. (“Dynagas”) and Golar LNG Ltd. (“Golar”) establishing an LNG carrier pooling arrangement (the “Cool Pool”) to market our and their vessels which were operating in the LNG shipping spot market at the time of entering into the Pool Agreement. In June and July 2018, Dynagas removed its three vessels from the Cool Pool and renounced its 33% ownership in the Cool Pool.</w:t>
      </w:r>
    </w:p>
    <w:p>
      <w:pPr>
        <w:spacing w:after="0" w:line="198"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On June 6, 2019, GasLog entered into a termination agreement with the Cool Pool and Golar, whereby GasLog assumed commercial control of its six vessels operating in the LNG carrier spot market through the Cool Pool. As of June 30, 2019, four of the GasLog vessels had exited the Cool Pool while the remaining two vessels were withdrawn in July 2019.</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 xml:space="preserve">Financing and Delivery of the </w:t>
      </w:r>
      <w:r>
        <w:rPr>
          <w:rFonts w:ascii="Arial" w:cs="Arial" w:eastAsia="Arial" w:hAnsi="Arial"/>
          <w:sz w:val="17"/>
          <w:szCs w:val="17"/>
          <w:b w:val="1"/>
          <w:bCs w:val="1"/>
          <w:i w:val="1"/>
          <w:iCs w:val="1"/>
          <w:u w:val="single" w:color="auto"/>
          <w:color w:val="auto"/>
        </w:rPr>
        <w:t>GasLog Warsaw</w:t>
      </w:r>
    </w:p>
    <w:p>
      <w:pPr>
        <w:spacing w:after="0" w:line="253" w:lineRule="exact"/>
        <w:rPr>
          <w:sz w:val="20"/>
          <w:szCs w:val="20"/>
          <w:color w:val="auto"/>
        </w:rPr>
      </w:pPr>
    </w:p>
    <w:p>
      <w:pPr>
        <w:ind w:right="100" w:firstLine="342"/>
        <w:spacing w:after="0" w:line="269" w:lineRule="auto"/>
        <w:rPr>
          <w:sz w:val="20"/>
          <w:szCs w:val="20"/>
          <w:color w:val="auto"/>
        </w:rPr>
      </w:pPr>
      <w:r>
        <w:rPr>
          <w:rFonts w:ascii="Arial" w:cs="Arial" w:eastAsia="Arial" w:hAnsi="Arial"/>
          <w:sz w:val="17"/>
          <w:szCs w:val="17"/>
          <w:color w:val="auto"/>
        </w:rPr>
        <w:t xml:space="preserve">On June 25, 2019, GasLog entered into a loan agreement with ABN AMRO BANK N.V. and Oversea-Chinese Banking Corporation Limited for the financing of the </w:t>
      </w:r>
      <w:r>
        <w:rPr>
          <w:rFonts w:ascii="Arial" w:cs="Arial" w:eastAsia="Arial" w:hAnsi="Arial"/>
          <w:sz w:val="17"/>
          <w:szCs w:val="17"/>
          <w:i w:val="1"/>
          <w:iCs w:val="1"/>
          <w:color w:val="auto"/>
        </w:rPr>
        <w:t>GasLog Warsaw</w:t>
      </w:r>
      <w:r>
        <w:rPr>
          <w:rFonts w:ascii="Arial" w:cs="Arial" w:eastAsia="Arial" w:hAnsi="Arial"/>
          <w:sz w:val="17"/>
          <w:szCs w:val="17"/>
          <w:color w:val="auto"/>
        </w:rPr>
        <w:t>, a 180,000 cubic meter (“cbm”) Mark III Flex Plus carrier with low pressure dual fuel two-stroke (“X-DF”) propulsion constructed by Samsung.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provides for a single tranche of $129.5 million that was drawn on July 25, 2019 and is repayable in 28 equal quarterly installments of $1.6 million each and a final balloon payment of $84.2 million payable concurrently with the last quarterly installment in June 2026. The loan bears interest at the London Interbank Offered Rate (“LIBOR”) plus a margin.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July 31, 2019, GasLog took delivery of the </w:t>
      </w:r>
      <w:r>
        <w:rPr>
          <w:rFonts w:ascii="Arial" w:cs="Arial" w:eastAsia="Arial" w:hAnsi="Arial"/>
          <w:sz w:val="16"/>
          <w:szCs w:val="16"/>
          <w:i w:val="1"/>
          <w:iCs w:val="1"/>
          <w:color w:val="auto"/>
        </w:rPr>
        <w:t>GasLog Warsaw</w:t>
      </w:r>
      <w:r>
        <w:rPr>
          <w:rFonts w:ascii="Arial" w:cs="Arial" w:eastAsia="Arial" w:hAnsi="Arial"/>
          <w:sz w:val="16"/>
          <w:szCs w:val="16"/>
          <w:color w:val="auto"/>
        </w:rPr>
        <w:t>. Upon delivery, the vessel immediately commenced a time charter with Cheniere Energy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(“Cheniere”) until May 2021, when the vessel is contracted to commence an eight-year time charter with a wholly owned subsidiary of Endesa, S.A. (“Endesa”).</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Bond Issuance</w:t>
      </w:r>
    </w:p>
    <w:p>
      <w:pPr>
        <w:spacing w:after="0" w:line="25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May 16, 2019, GasLog closed a follow-on issue of $75.0 million aggregate principal amount of the 8.875% senior unsecured notes due in 2022 (the “8.875% Senior Notes”) priced at 102.5% of par with a yield to maturity of 7.89%. The gross proceeds from this offering were $76.9 million, including a $1.9 million premium, while the net proceeds after deducting the underwriting discount and offering expenses were $75.4 million. GasLog plans to use these proceeds to partially fund its committed newbuild program and for general corporate purposes, including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Amendment of the Partnership Agreement</w:t>
      </w:r>
    </w:p>
    <w:p>
      <w:pPr>
        <w:spacing w:after="0" w:line="253" w:lineRule="exact"/>
        <w:rPr>
          <w:sz w:val="20"/>
          <w:szCs w:val="20"/>
          <w:color w:val="auto"/>
        </w:rPr>
      </w:pPr>
    </w:p>
    <w:p>
      <w:pPr>
        <w:ind w:firstLine="405"/>
        <w:spacing w:after="0" w:line="265" w:lineRule="auto"/>
        <w:rPr>
          <w:sz w:val="20"/>
          <w:szCs w:val="20"/>
          <w:color w:val="auto"/>
        </w:rPr>
      </w:pPr>
      <w:r>
        <w:rPr>
          <w:rFonts w:ascii="Arial" w:cs="Arial" w:eastAsia="Arial" w:hAnsi="Arial"/>
          <w:sz w:val="17"/>
          <w:szCs w:val="17"/>
          <w:color w:val="auto"/>
        </w:rPr>
        <w:t>On June 24, 2019, the Partnership Agreement was amended, effective June 30, 2019, to eliminate the incentive distribution rights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allocation of GasLog’s profit to non-controlling interests is based on the revised distribution policy for available cash stated in the Partnership Agreement as amended, effective June 30, 2019, under which 98.0% of the available cash is distributed to the common unitholders and 2.0% is distributed to the general partner.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New Charter Agreements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announced on June 14, 2019, GasLog Partners entered into a three-and-a-half-year time charter agreement with Clearlake Shipping Pte Ltd,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8" w:right="140" w:bottom="305" w:gutter="0" w:footer="0" w:header="0"/>
        </w:sectPr>
      </w:pPr>
    </w:p>
    <w:bookmarkStart w:id="17" w:name="page18"/>
    <w:bookmarkEnd w:id="17"/>
    <w:p>
      <w:pPr>
        <w:jc w:val="both"/>
        <w:ind w:right="400"/>
        <w:spacing w:after="0" w:line="275" w:lineRule="auto"/>
        <w:rPr>
          <w:sz w:val="20"/>
          <w:szCs w:val="20"/>
          <w:color w:val="auto"/>
        </w:rPr>
      </w:pPr>
      <w:r>
        <w:rPr>
          <w:rFonts w:ascii="Arial" w:cs="Arial" w:eastAsia="Arial" w:hAnsi="Arial"/>
          <w:sz w:val="17"/>
          <w:szCs w:val="17"/>
          <w:color w:val="auto"/>
        </w:rPr>
        <w:t xml:space="preserve">a subsidiary of Gunvor Group Ltd. (“Gunvor”) for the </w:t>
      </w:r>
      <w:r>
        <w:rPr>
          <w:rFonts w:ascii="Arial" w:cs="Arial" w:eastAsia="Arial" w:hAnsi="Arial"/>
          <w:sz w:val="17"/>
          <w:szCs w:val="17"/>
          <w:i w:val="1"/>
          <w:iCs w:val="1"/>
          <w:color w:val="auto"/>
        </w:rPr>
        <w:t>GasLog Shanghai</w:t>
      </w:r>
      <w:r>
        <w:rPr>
          <w:rFonts w:ascii="Arial" w:cs="Arial" w:eastAsia="Arial" w:hAnsi="Arial"/>
          <w:sz w:val="17"/>
          <w:szCs w:val="17"/>
          <w:color w:val="auto"/>
        </w:rPr>
        <w:t xml:space="preserve">. The charter commenced on June 24, 2019 and has a variable rate of hire within an agreed range during the charter period. In addition, GasLog has entered into a time charter agreement for a period of up to nine months with Gunvor for the </w:t>
      </w:r>
      <w:r>
        <w:rPr>
          <w:rFonts w:ascii="Arial" w:cs="Arial" w:eastAsia="Arial" w:hAnsi="Arial"/>
          <w:sz w:val="17"/>
          <w:szCs w:val="17"/>
          <w:i w:val="1"/>
          <w:iCs w:val="1"/>
          <w:color w:val="auto"/>
        </w:rPr>
        <w:t>GasLog Salem</w:t>
      </w:r>
      <w:r>
        <w:rPr>
          <w:rFonts w:ascii="Arial" w:cs="Arial" w:eastAsia="Arial" w:hAnsi="Arial"/>
          <w:sz w:val="17"/>
          <w:szCs w:val="17"/>
          <w:color w:val="auto"/>
        </w:rPr>
        <w:t>. The charter commenced on June 27, 2019 and also has a variable rate of hire within an agreed range during the charter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 xml:space="preserve">Completion of the Sale of the </w:t>
      </w:r>
      <w:r>
        <w:rPr>
          <w:rFonts w:ascii="Arial" w:cs="Arial" w:eastAsia="Arial" w:hAnsi="Arial"/>
          <w:sz w:val="17"/>
          <w:szCs w:val="17"/>
          <w:b w:val="1"/>
          <w:bCs w:val="1"/>
          <w:i w:val="1"/>
          <w:iCs w:val="1"/>
          <w:u w:val="single" w:color="auto"/>
          <w:color w:val="auto"/>
        </w:rPr>
        <w:t>GasLog Glasgow</w:t>
      </w:r>
    </w:p>
    <w:p>
      <w:pPr>
        <w:spacing w:after="0" w:line="253" w:lineRule="exact"/>
        <w:rPr>
          <w:sz w:val="20"/>
          <w:szCs w:val="20"/>
          <w:color w:val="auto"/>
        </w:rPr>
      </w:pPr>
    </w:p>
    <w:p>
      <w:pPr>
        <w:ind w:right="200" w:firstLine="405"/>
        <w:spacing w:after="0" w:line="288" w:lineRule="auto"/>
        <w:rPr>
          <w:sz w:val="20"/>
          <w:szCs w:val="20"/>
          <w:color w:val="auto"/>
        </w:rPr>
      </w:pPr>
      <w:r>
        <w:rPr>
          <w:rFonts w:ascii="Arial" w:cs="Arial" w:eastAsia="Arial" w:hAnsi="Arial"/>
          <w:sz w:val="17"/>
          <w:szCs w:val="17"/>
          <w:color w:val="auto"/>
        </w:rPr>
        <w:t xml:space="preserve">On April 1, 2019, GasLog completed the sale of 100% of the ownership interest in GAS-twelve Ltd., the entity that owns the </w:t>
      </w:r>
      <w:r>
        <w:rPr>
          <w:rFonts w:ascii="Arial" w:cs="Arial" w:eastAsia="Arial" w:hAnsi="Arial"/>
          <w:sz w:val="17"/>
          <w:szCs w:val="17"/>
          <w:i w:val="1"/>
          <w:iCs w:val="1"/>
          <w:color w:val="auto"/>
        </w:rPr>
        <w:t>GasLog Glasgow</w:t>
      </w:r>
      <w:r>
        <w:rPr>
          <w:rFonts w:ascii="Arial" w:cs="Arial" w:eastAsia="Arial" w:hAnsi="Arial"/>
          <w:sz w:val="17"/>
          <w:szCs w:val="17"/>
          <w:color w:val="auto"/>
        </w:rPr>
        <w:t>, to GasLog Partners for an aggregate purchase price of $214.0 million, which includes $1.0 million for positive net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Share/Unit Repurchase Programme</w:t>
      </w:r>
    </w:p>
    <w:p>
      <w:pPr>
        <w:spacing w:after="0" w:line="253" w:lineRule="exact"/>
        <w:rPr>
          <w:sz w:val="20"/>
          <w:szCs w:val="20"/>
          <w:color w:val="auto"/>
        </w:rPr>
      </w:pPr>
    </w:p>
    <w:p>
      <w:pPr>
        <w:ind w:right="80" w:firstLine="342"/>
        <w:spacing w:after="0" w:line="307" w:lineRule="auto"/>
        <w:rPr>
          <w:sz w:val="20"/>
          <w:szCs w:val="20"/>
          <w:color w:val="auto"/>
        </w:rPr>
      </w:pPr>
      <w:r>
        <w:rPr>
          <w:rFonts w:ascii="Arial" w:cs="Arial" w:eastAsia="Arial" w:hAnsi="Arial"/>
          <w:sz w:val="15"/>
          <w:szCs w:val="15"/>
          <w:color w:val="auto"/>
        </w:rPr>
        <w:t>On November 28, 2018, the Company announced that its board of directors had approved a share repurchase programme of up to $50.0 million of the Company’s common shares, covering the period from January 1, 2019 to December 31, 2021. Under the terms of the repurchase programme, the Company may repurchase common shares from time to time, at the Company’s discretion, on the open market or in privately negotiated transactions. Any repurchases are subject to market conditions, applicable legal requirements and other considerations. The Company is not obligated under the repurchase programme to repurchase any specific dollar amount or number of common shares, and the repurchase programme may be modified, suspended or discontinued at any time or never utilized. Since the authorization of the share repurchase programme and through August 1, 2019, 212,111 shares have been acquired at a total cost of $3.8 million, of which 131,776 are included in treasury shares and all of which were acquired in the first quarter of 2019. The average cost of the repurchase was $17.69 per share inclusive of all fees and commissions.</w:t>
      </w:r>
    </w:p>
    <w:p>
      <w:pPr>
        <w:spacing w:after="0" w:line="181" w:lineRule="exact"/>
        <w:rPr>
          <w:sz w:val="20"/>
          <w:szCs w:val="20"/>
          <w:color w:val="auto"/>
        </w:rPr>
      </w:pPr>
    </w:p>
    <w:p>
      <w:pPr>
        <w:ind w:right="60" w:firstLine="342"/>
        <w:spacing w:after="0" w:line="267" w:lineRule="auto"/>
        <w:rPr>
          <w:sz w:val="20"/>
          <w:szCs w:val="20"/>
          <w:color w:val="auto"/>
        </w:rPr>
      </w:pPr>
      <w:r>
        <w:rPr>
          <w:rFonts w:ascii="Arial" w:cs="Arial" w:eastAsia="Arial" w:hAnsi="Arial"/>
          <w:sz w:val="17"/>
          <w:szCs w:val="17"/>
          <w:color w:val="auto"/>
        </w:rPr>
        <w:t>On January 29, 2019, the board of directors of GasLog Partners authorized a unit repurchase programme of up to $25.0 million covering the period from January 31, 2019 to December 31, 2021. Under the terms of the repurchase programme, the Partnership may repurchase common units from time to time, at its discretion, on the open market or in privately negotiated transactions. In the three months ended June 30, 2019, Gaslog Partners repurchased and cancelled 476,351 of the Partnership’s common units, at a weighted average price of $20.81 per common unit for a total amount of $9.9 million, including commissions. Since the authorization of the unit repurchase programme and through August 1, 2019, 564,841 units have been repurchased and cancelled at a total cost of $11.8 million. The average cost of the repurchase was $20.90 per unit inclusive of all fees and commissions.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 Declaration</w:t>
      </w:r>
    </w:p>
    <w:p>
      <w:pPr>
        <w:spacing w:after="0" w:line="253" w:lineRule="exact"/>
        <w:rPr>
          <w:sz w:val="20"/>
          <w:szCs w:val="20"/>
          <w:color w:val="auto"/>
        </w:rPr>
      </w:pPr>
    </w:p>
    <w:p>
      <w:pPr>
        <w:ind w:right="500" w:firstLine="342"/>
        <w:spacing w:after="0" w:line="288" w:lineRule="auto"/>
        <w:rPr>
          <w:sz w:val="20"/>
          <w:szCs w:val="20"/>
          <w:color w:val="auto"/>
        </w:rPr>
      </w:pPr>
      <w:r>
        <w:rPr>
          <w:rFonts w:ascii="Arial" w:cs="Arial" w:eastAsia="Arial" w:hAnsi="Arial"/>
          <w:sz w:val="17"/>
          <w:szCs w:val="17"/>
          <w:color w:val="auto"/>
        </w:rPr>
        <w:t>On May 10, 2019, the board of directors declared a dividend on the Series A Preference Shares of $0.546875 per share, or $2.5 million in the aggregate, payable on July 1, 2019 to holders of record as of June 28, 2019. GasLog paid the declared dividend to the transfer agent on June 28, 2019.</w:t>
      </w:r>
    </w:p>
    <w:p>
      <w:pPr>
        <w:spacing w:after="0" w:line="187" w:lineRule="exact"/>
        <w:rPr>
          <w:sz w:val="20"/>
          <w:szCs w:val="20"/>
          <w:color w:val="auto"/>
        </w:rPr>
      </w:pPr>
    </w:p>
    <w:p>
      <w:pPr>
        <w:ind w:right="100" w:firstLine="342"/>
        <w:spacing w:after="0" w:line="288" w:lineRule="auto"/>
        <w:rPr>
          <w:sz w:val="20"/>
          <w:szCs w:val="20"/>
          <w:color w:val="auto"/>
        </w:rPr>
      </w:pPr>
      <w:r>
        <w:rPr>
          <w:rFonts w:ascii="Arial" w:cs="Arial" w:eastAsia="Arial" w:hAnsi="Arial"/>
          <w:sz w:val="17"/>
          <w:szCs w:val="17"/>
          <w:color w:val="auto"/>
        </w:rPr>
        <w:t>On July 31, 2019, the board of directors declared a quarterly cash dividend of $0.15 per common share, or $12.1 million in the aggregate, payable on August 22, 2019, to shareholders of record as of August 12, 2019.</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Fleet Update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Owned Fleet</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August 1, 2019, our wholly owned fleet consisted of the following vessels: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Cargo</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7"/>
                <w:szCs w:val="17"/>
                <w:b w:val="1"/>
                <w:bCs w:val="1"/>
                <w:color w:val="auto"/>
              </w:rPr>
              <w:t>Year</w:t>
            </w:r>
          </w:p>
        </w:tc>
        <w:tc>
          <w:tcPr>
            <w:tcW w:w="11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Capacity</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Charter</w:t>
            </w:r>
          </w:p>
        </w:tc>
        <w:tc>
          <w:tcPr>
            <w:tcW w:w="1360" w:type="dxa"/>
            <w:vAlign w:val="bottom"/>
          </w:tcPr>
          <w:p>
            <w:pPr>
              <w:ind w:left="360"/>
              <w:spacing w:after="0"/>
              <w:rPr>
                <w:sz w:val="20"/>
                <w:szCs w:val="20"/>
                <w:color w:val="auto"/>
              </w:rPr>
            </w:pPr>
            <w:r>
              <w:rPr>
                <w:rFonts w:ascii="Arial" w:cs="Arial" w:eastAsia="Arial" w:hAnsi="Arial"/>
                <w:sz w:val="17"/>
                <w:szCs w:val="17"/>
                <w:b w:val="1"/>
                <w:bCs w:val="1"/>
                <w:color w:val="auto"/>
              </w:rPr>
              <w:t>Optional</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3220" w:type="dxa"/>
            <w:vAlign w:val="bottom"/>
            <w:gridSpan w:val="2"/>
          </w:tcPr>
          <w:p>
            <w:pPr>
              <w:ind w:left="940"/>
              <w:spacing w:after="0"/>
              <w:rPr>
                <w:sz w:val="20"/>
                <w:szCs w:val="20"/>
                <w:color w:val="auto"/>
              </w:rPr>
            </w:pPr>
            <w:r>
              <w:rPr>
                <w:rFonts w:ascii="Arial" w:cs="Arial" w:eastAsia="Arial" w:hAnsi="Arial"/>
                <w:sz w:val="17"/>
                <w:szCs w:val="17"/>
                <w:b w:val="1"/>
                <w:bCs w:val="1"/>
                <w:color w:val="auto"/>
              </w:rPr>
              <w:t>Vessel Name</w:t>
            </w:r>
          </w:p>
        </w:tc>
        <w:tc>
          <w:tcPr>
            <w:tcW w:w="760" w:type="dxa"/>
            <w:vAlign w:val="bottom"/>
            <w:gridSpan w:val="2"/>
          </w:tcPr>
          <w:p>
            <w:pPr>
              <w:ind w:left="140"/>
              <w:spacing w:after="0"/>
              <w:rPr>
                <w:sz w:val="20"/>
                <w:szCs w:val="20"/>
                <w:color w:val="auto"/>
              </w:rPr>
            </w:pPr>
            <w:r>
              <w:rPr>
                <w:rFonts w:ascii="Arial" w:cs="Arial" w:eastAsia="Arial" w:hAnsi="Arial"/>
                <w:sz w:val="17"/>
                <w:szCs w:val="17"/>
                <w:b w:val="1"/>
                <w:bCs w:val="1"/>
                <w:color w:val="auto"/>
              </w:rPr>
              <w:t>Built</w:t>
            </w:r>
          </w:p>
        </w:tc>
        <w:tc>
          <w:tcPr>
            <w:tcW w:w="11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(cbm)</w:t>
            </w: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Charterer</w:t>
            </w:r>
          </w:p>
        </w:tc>
        <w:tc>
          <w:tcPr>
            <w:tcW w:w="1420" w:type="dxa"/>
            <w:vAlign w:val="bottom"/>
            <w:gridSpan w:val="2"/>
          </w:tcPr>
          <w:p>
            <w:pPr>
              <w:jc w:val="center"/>
              <w:ind w:right="120"/>
              <w:spacing w:after="0" w:line="229" w:lineRule="exact"/>
              <w:rPr>
                <w:sz w:val="20"/>
                <w:szCs w:val="20"/>
                <w:color w:val="auto"/>
              </w:rPr>
            </w:pPr>
            <w:r>
              <w:rPr>
                <w:rFonts w:ascii="Arial" w:cs="Arial" w:eastAsia="Arial" w:hAnsi="Arial"/>
                <w:sz w:val="17"/>
                <w:szCs w:val="17"/>
                <w:b w:val="1"/>
                <w:bCs w:val="1"/>
                <w:color w:val="auto"/>
                <w:w w:val="88"/>
              </w:rPr>
              <w:t>Propulsion</w:t>
            </w:r>
            <w:r>
              <w:rPr>
                <w:rFonts w:ascii="Arial" w:cs="Arial" w:eastAsia="Arial" w:hAnsi="Arial"/>
                <w:sz w:val="22"/>
                <w:szCs w:val="22"/>
                <w:b w:val="1"/>
                <w:bCs w:val="1"/>
                <w:color w:val="auto"/>
                <w:w w:val="88"/>
                <w:vertAlign w:val="superscript"/>
              </w:rPr>
              <w:t>(1)</w:t>
            </w:r>
          </w:p>
        </w:tc>
        <w:tc>
          <w:tcPr>
            <w:tcW w:w="2180" w:type="dxa"/>
            <w:vAlign w:val="bottom"/>
            <w:gridSpan w:val="2"/>
          </w:tcPr>
          <w:p>
            <w:pPr>
              <w:jc w:val="center"/>
              <w:ind w:right="100"/>
              <w:spacing w:after="0" w:line="229" w:lineRule="exact"/>
              <w:rPr>
                <w:sz w:val="20"/>
                <w:szCs w:val="20"/>
                <w:color w:val="auto"/>
              </w:rPr>
            </w:pPr>
            <w:r>
              <w:rPr>
                <w:rFonts w:ascii="Arial" w:cs="Arial" w:eastAsia="Arial" w:hAnsi="Arial"/>
                <w:sz w:val="17"/>
                <w:szCs w:val="17"/>
                <w:b w:val="1"/>
                <w:bCs w:val="1"/>
                <w:color w:val="auto"/>
                <w:w w:val="90"/>
              </w:rPr>
              <w:t>Expiration</w:t>
            </w:r>
            <w:r>
              <w:rPr>
                <w:rFonts w:ascii="Arial" w:cs="Arial" w:eastAsia="Arial" w:hAnsi="Arial"/>
                <w:sz w:val="22"/>
                <w:szCs w:val="22"/>
                <w:b w:val="1"/>
                <w:bCs w:val="1"/>
                <w:color w:val="auto"/>
                <w:w w:val="90"/>
                <w:vertAlign w:val="superscript"/>
              </w:rPr>
              <w:t>(2)</w:t>
            </w:r>
          </w:p>
        </w:tc>
        <w:tc>
          <w:tcPr>
            <w:tcW w:w="1360" w:type="dxa"/>
            <w:vAlign w:val="bottom"/>
          </w:tcPr>
          <w:p>
            <w:pPr>
              <w:ind w:left="380"/>
              <w:spacing w:after="0" w:line="229" w:lineRule="exact"/>
              <w:rPr>
                <w:sz w:val="20"/>
                <w:szCs w:val="20"/>
                <w:color w:val="auto"/>
              </w:rPr>
            </w:pPr>
            <w:r>
              <w:rPr>
                <w:rFonts w:ascii="Arial" w:cs="Arial" w:eastAsia="Arial" w:hAnsi="Arial"/>
                <w:sz w:val="17"/>
                <w:szCs w:val="17"/>
                <w:b w:val="1"/>
                <w:bCs w:val="1"/>
                <w:color w:val="auto"/>
              </w:rPr>
              <w:t>Period</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208"/>
        </w:trPr>
        <w:tc>
          <w:tcPr>
            <w:tcW w:w="3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b w:val="1"/>
                <w:bCs w:val="1"/>
                <w:color w:val="auto"/>
              </w:rPr>
              <w:t>1</w:t>
            </w:r>
          </w:p>
        </w:tc>
        <w:tc>
          <w:tcPr>
            <w:tcW w:w="308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7"/>
                <w:szCs w:val="17"/>
                <w:i w:val="1"/>
                <w:iCs w:val="1"/>
                <w:color w:val="auto"/>
              </w:rPr>
              <w:t>Methane Lydon Volney</w:t>
            </w:r>
          </w:p>
        </w:tc>
        <w:tc>
          <w:tcPr>
            <w:tcW w:w="140" w:type="dxa"/>
            <w:vAlign w:val="bottom"/>
            <w:tcBorders>
              <w:top w:val="single" w:sz="8" w:color="E5FFFF"/>
            </w:tcBorders>
            <w:shd w:val="clear" w:color="auto" w:fill="E5FFFF"/>
          </w:tcPr>
          <w:p>
            <w:pPr>
              <w:spacing w:after="0"/>
              <w:rPr>
                <w:sz w:val="18"/>
                <w:szCs w:val="18"/>
                <w:color w:val="auto"/>
              </w:rPr>
            </w:pPr>
          </w:p>
        </w:tc>
        <w:tc>
          <w:tcPr>
            <w:tcW w:w="64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7"/>
                <w:szCs w:val="17"/>
                <w:color w:val="auto"/>
              </w:rPr>
              <w:t>2006</w:t>
            </w:r>
          </w:p>
        </w:tc>
        <w:tc>
          <w:tcPr>
            <w:tcW w:w="12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145,000</w:t>
            </w:r>
          </w:p>
        </w:tc>
        <w:tc>
          <w:tcPr>
            <w:tcW w:w="14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9"/>
              </w:rPr>
              <w:t>Shell</w:t>
            </w:r>
          </w:p>
        </w:tc>
        <w:tc>
          <w:tcPr>
            <w:tcW w:w="20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5"/>
              </w:rPr>
              <w:t>Steam</w:t>
            </w:r>
          </w:p>
        </w:tc>
        <w:tc>
          <w:tcPr>
            <w:tcW w:w="120" w:type="dxa"/>
            <w:vAlign w:val="bottom"/>
            <w:tcBorders>
              <w:top w:val="single" w:sz="8" w:color="E5FFFF"/>
            </w:tcBorders>
            <w:shd w:val="clear" w:color="auto" w:fill="E5FFFF"/>
          </w:tcPr>
          <w:p>
            <w:pPr>
              <w:spacing w:after="0"/>
              <w:rPr>
                <w:sz w:val="18"/>
                <w:szCs w:val="18"/>
                <w:color w:val="auto"/>
              </w:rPr>
            </w:pPr>
          </w:p>
        </w:tc>
        <w:tc>
          <w:tcPr>
            <w:tcW w:w="20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October 2020</w:t>
            </w:r>
          </w:p>
        </w:tc>
        <w:tc>
          <w:tcPr>
            <w:tcW w:w="10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2</w:t>
            </w:r>
          </w:p>
        </w:tc>
        <w:tc>
          <w:tcPr>
            <w:tcW w:w="322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Savannah</w:t>
            </w:r>
          </w:p>
        </w:tc>
        <w:tc>
          <w:tcPr>
            <w:tcW w:w="640" w:type="dxa"/>
            <w:vAlign w:val="bottom"/>
          </w:tcPr>
          <w:p>
            <w:pPr>
              <w:ind w:left="140"/>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155,000</w:t>
            </w:r>
          </w:p>
        </w:tc>
        <w:tc>
          <w:tcPr>
            <w:tcW w:w="140" w:type="dxa"/>
            <w:vAlign w:val="bottom"/>
          </w:tcPr>
          <w:p>
            <w:pPr>
              <w:spacing w:after="0"/>
              <w:rPr>
                <w:sz w:val="18"/>
                <w:szCs w:val="18"/>
                <w:color w:val="auto"/>
              </w:rPr>
            </w:pPr>
          </w:p>
        </w:tc>
        <w:tc>
          <w:tcPr>
            <w:tcW w:w="1580" w:type="dxa"/>
            <w:vAlign w:val="bottom"/>
            <w:gridSpan w:val="2"/>
          </w:tcPr>
          <w:p>
            <w:pPr>
              <w:jc w:val="center"/>
              <w:ind w:right="200"/>
              <w:spacing w:after="0" w:line="213" w:lineRule="exact"/>
              <w:rPr>
                <w:sz w:val="20"/>
                <w:szCs w:val="20"/>
                <w:color w:val="auto"/>
              </w:rPr>
            </w:pPr>
            <w:r>
              <w:rPr>
                <w:rFonts w:ascii="Arial" w:cs="Arial" w:eastAsia="Arial" w:hAnsi="Arial"/>
                <w:sz w:val="17"/>
                <w:szCs w:val="17"/>
                <w:color w:val="auto"/>
                <w:w w:val="89"/>
              </w:rPr>
              <w:t>Spot Market</w:t>
            </w:r>
            <w:r>
              <w:rPr>
                <w:rFonts w:ascii="Arial" w:cs="Arial" w:eastAsia="Arial" w:hAnsi="Arial"/>
                <w:sz w:val="22"/>
                <w:szCs w:val="22"/>
                <w:color w:val="auto"/>
                <w:w w:val="89"/>
                <w:vertAlign w:val="superscript"/>
              </w:rPr>
              <w:t>(4)</w:t>
            </w:r>
          </w:p>
        </w:tc>
        <w:tc>
          <w:tcPr>
            <w:tcW w:w="142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TFDE</w:t>
            </w: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3</w:t>
            </w:r>
          </w:p>
        </w:tc>
        <w:tc>
          <w:tcPr>
            <w:tcW w:w="322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Singapore</w:t>
            </w:r>
          </w:p>
        </w:tc>
        <w:tc>
          <w:tcPr>
            <w:tcW w:w="64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2010</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200"/>
              <w:spacing w:after="0" w:line="213" w:lineRule="exact"/>
              <w:rPr>
                <w:sz w:val="20"/>
                <w:szCs w:val="20"/>
                <w:color w:val="auto"/>
              </w:rPr>
            </w:pPr>
            <w:r>
              <w:rPr>
                <w:rFonts w:ascii="Arial" w:cs="Arial" w:eastAsia="Arial" w:hAnsi="Arial"/>
                <w:sz w:val="17"/>
                <w:szCs w:val="17"/>
                <w:color w:val="auto"/>
                <w:w w:val="89"/>
              </w:rPr>
              <w:t>Spot Market</w:t>
            </w:r>
            <w:r>
              <w:rPr>
                <w:rFonts w:ascii="Arial" w:cs="Arial" w:eastAsia="Arial" w:hAnsi="Arial"/>
                <w:sz w:val="22"/>
                <w:szCs w:val="22"/>
                <w:color w:val="auto"/>
                <w:w w:val="89"/>
                <w:vertAlign w:val="superscript"/>
              </w:rPr>
              <w:t>(4)</w:t>
            </w:r>
          </w:p>
        </w:tc>
        <w:tc>
          <w:tcPr>
            <w:tcW w:w="142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4"/>
              </w:rPr>
              <w:t>TFDE</w:t>
            </w:r>
          </w:p>
        </w:tc>
        <w:tc>
          <w:tcPr>
            <w:tcW w:w="21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E5FF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4</w:t>
            </w:r>
          </w:p>
        </w:tc>
        <w:tc>
          <w:tcPr>
            <w:tcW w:w="322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Chelsea</w:t>
            </w:r>
          </w:p>
        </w:tc>
        <w:tc>
          <w:tcPr>
            <w:tcW w:w="640" w:type="dxa"/>
            <w:vAlign w:val="bottom"/>
          </w:tcPr>
          <w:p>
            <w:pPr>
              <w:ind w:left="140"/>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153,600</w:t>
            </w:r>
          </w:p>
        </w:tc>
        <w:tc>
          <w:tcPr>
            <w:tcW w:w="140" w:type="dxa"/>
            <w:vAlign w:val="bottom"/>
          </w:tcPr>
          <w:p>
            <w:pPr>
              <w:spacing w:after="0"/>
              <w:rPr>
                <w:sz w:val="18"/>
                <w:szCs w:val="18"/>
                <w:color w:val="auto"/>
              </w:rPr>
            </w:pPr>
          </w:p>
        </w:tc>
        <w:tc>
          <w:tcPr>
            <w:tcW w:w="1580" w:type="dxa"/>
            <w:vAlign w:val="bottom"/>
            <w:gridSpan w:val="2"/>
          </w:tcPr>
          <w:p>
            <w:pPr>
              <w:jc w:val="center"/>
              <w:ind w:right="200"/>
              <w:spacing w:after="0" w:line="213" w:lineRule="exact"/>
              <w:rPr>
                <w:sz w:val="20"/>
                <w:szCs w:val="20"/>
                <w:color w:val="auto"/>
              </w:rPr>
            </w:pPr>
            <w:r>
              <w:rPr>
                <w:rFonts w:ascii="Arial" w:cs="Arial" w:eastAsia="Arial" w:hAnsi="Arial"/>
                <w:sz w:val="17"/>
                <w:szCs w:val="17"/>
                <w:color w:val="auto"/>
                <w:w w:val="89"/>
              </w:rPr>
              <w:t>Spot Market</w:t>
            </w:r>
            <w:r>
              <w:rPr>
                <w:rFonts w:ascii="Arial" w:cs="Arial" w:eastAsia="Arial" w:hAnsi="Arial"/>
                <w:sz w:val="22"/>
                <w:szCs w:val="22"/>
                <w:color w:val="auto"/>
                <w:w w:val="89"/>
                <w:vertAlign w:val="superscript"/>
              </w:rPr>
              <w:t>(4)</w:t>
            </w:r>
          </w:p>
        </w:tc>
        <w:tc>
          <w:tcPr>
            <w:tcW w:w="142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TFDE</w:t>
            </w: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5</w:t>
            </w:r>
          </w:p>
        </w:tc>
        <w:tc>
          <w:tcPr>
            <w:tcW w:w="322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Skagen</w:t>
            </w:r>
          </w:p>
        </w:tc>
        <w:tc>
          <w:tcPr>
            <w:tcW w:w="64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200"/>
              <w:spacing w:after="0" w:line="213" w:lineRule="exact"/>
              <w:rPr>
                <w:sz w:val="20"/>
                <w:szCs w:val="20"/>
                <w:color w:val="auto"/>
              </w:rPr>
            </w:pPr>
            <w:r>
              <w:rPr>
                <w:rFonts w:ascii="Arial" w:cs="Arial" w:eastAsia="Arial" w:hAnsi="Arial"/>
                <w:sz w:val="17"/>
                <w:szCs w:val="17"/>
                <w:color w:val="auto"/>
                <w:w w:val="89"/>
              </w:rPr>
              <w:t>Spot Market</w:t>
            </w:r>
            <w:r>
              <w:rPr>
                <w:rFonts w:ascii="Arial" w:cs="Arial" w:eastAsia="Arial" w:hAnsi="Arial"/>
                <w:sz w:val="22"/>
                <w:szCs w:val="22"/>
                <w:color w:val="auto"/>
                <w:w w:val="89"/>
                <w:vertAlign w:val="superscript"/>
              </w:rPr>
              <w:t>(4)</w:t>
            </w:r>
          </w:p>
        </w:tc>
        <w:tc>
          <w:tcPr>
            <w:tcW w:w="142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4"/>
              </w:rPr>
              <w:t>TFDE</w:t>
            </w:r>
          </w:p>
        </w:tc>
        <w:tc>
          <w:tcPr>
            <w:tcW w:w="21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E5FF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6</w:t>
            </w:r>
          </w:p>
        </w:tc>
        <w:tc>
          <w:tcPr>
            <w:tcW w:w="322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Saratoga</w:t>
            </w:r>
          </w:p>
        </w:tc>
        <w:tc>
          <w:tcPr>
            <w:tcW w:w="640" w:type="dxa"/>
            <w:vAlign w:val="bottom"/>
          </w:tcPr>
          <w:p>
            <w:pPr>
              <w:ind w:left="140"/>
              <w:spacing w:after="0"/>
              <w:rPr>
                <w:sz w:val="20"/>
                <w:szCs w:val="20"/>
                <w:color w:val="auto"/>
              </w:rPr>
            </w:pPr>
            <w:r>
              <w:rPr>
                <w:rFonts w:ascii="Arial" w:cs="Arial" w:eastAsia="Arial" w:hAnsi="Arial"/>
                <w:sz w:val="17"/>
                <w:szCs w:val="17"/>
                <w:color w:val="auto"/>
              </w:rPr>
              <w:t>2014</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155,000</w:t>
            </w:r>
          </w:p>
        </w:tc>
        <w:tc>
          <w:tcPr>
            <w:tcW w:w="14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Shell</w:t>
            </w:r>
          </w:p>
        </w:tc>
        <w:tc>
          <w:tcPr>
            <w:tcW w:w="142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TFDE</w:t>
            </w:r>
          </w:p>
        </w:tc>
        <w:tc>
          <w:tcPr>
            <w:tcW w:w="21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August 2019</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7</w:t>
            </w:r>
          </w:p>
        </w:tc>
        <w:tc>
          <w:tcPr>
            <w:tcW w:w="322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Salem</w:t>
            </w:r>
          </w:p>
        </w:tc>
        <w:tc>
          <w:tcPr>
            <w:tcW w:w="64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2015</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155,000</w:t>
            </w:r>
          </w:p>
        </w:tc>
        <w:tc>
          <w:tcPr>
            <w:tcW w:w="1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220"/>
              <w:spacing w:after="0"/>
              <w:rPr>
                <w:sz w:val="20"/>
                <w:szCs w:val="20"/>
                <w:color w:val="auto"/>
              </w:rPr>
            </w:pPr>
            <w:r>
              <w:rPr>
                <w:rFonts w:ascii="Arial" w:cs="Arial" w:eastAsia="Arial" w:hAnsi="Arial"/>
                <w:sz w:val="17"/>
                <w:szCs w:val="17"/>
                <w:color w:val="auto"/>
                <w:w w:val="93"/>
              </w:rPr>
              <w:t>Gunvor</w:t>
            </w:r>
          </w:p>
        </w:tc>
        <w:tc>
          <w:tcPr>
            <w:tcW w:w="142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4"/>
              </w:rPr>
              <w:t>TFDE</w:t>
            </w:r>
          </w:p>
        </w:tc>
        <w:tc>
          <w:tcPr>
            <w:tcW w:w="21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1"/>
              </w:rPr>
              <w:t>March 2020</w:t>
            </w:r>
          </w:p>
        </w:tc>
        <w:tc>
          <w:tcPr>
            <w:tcW w:w="1360" w:type="dxa"/>
            <w:vAlign w:val="bottom"/>
            <w:shd w:val="clear" w:color="auto" w:fill="E5FF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8</w:t>
            </w:r>
          </w:p>
        </w:tc>
        <w:tc>
          <w:tcPr>
            <w:tcW w:w="322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Houston</w:t>
            </w:r>
          </w:p>
        </w:tc>
        <w:tc>
          <w:tcPr>
            <w:tcW w:w="640" w:type="dxa"/>
            <w:vAlign w:val="bottom"/>
          </w:tcPr>
          <w:p>
            <w:pPr>
              <w:ind w:left="14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174,000</w:t>
            </w:r>
          </w:p>
        </w:tc>
        <w:tc>
          <w:tcPr>
            <w:tcW w:w="14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Shell</w:t>
            </w:r>
          </w:p>
        </w:tc>
        <w:tc>
          <w:tcPr>
            <w:tcW w:w="1420" w:type="dxa"/>
            <w:vAlign w:val="bottom"/>
            <w:gridSpan w:val="2"/>
          </w:tcPr>
          <w:p>
            <w:pPr>
              <w:jc w:val="center"/>
              <w:ind w:right="140"/>
              <w:spacing w:after="0"/>
              <w:rPr>
                <w:sz w:val="20"/>
                <w:szCs w:val="20"/>
                <w:color w:val="auto"/>
              </w:rPr>
            </w:pPr>
            <w:r>
              <w:rPr>
                <w:rFonts w:ascii="Arial" w:cs="Arial" w:eastAsia="Arial" w:hAnsi="Arial"/>
                <w:sz w:val="17"/>
                <w:szCs w:val="17"/>
                <w:color w:val="auto"/>
              </w:rPr>
              <w:t>X-DF</w:t>
            </w: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May 2028</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2031-2034</w:t>
            </w:r>
          </w:p>
        </w:tc>
        <w:tc>
          <w:tcPr>
            <w:tcW w:w="0" w:type="dxa"/>
            <w:vAlign w:val="bottom"/>
          </w:tcPr>
          <w:p>
            <w:pPr>
              <w:spacing w:after="0"/>
              <w:rPr>
                <w:sz w:val="1"/>
                <w:szCs w:val="1"/>
                <w:color w:val="auto"/>
              </w:rPr>
            </w:pP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9</w:t>
            </w:r>
          </w:p>
        </w:tc>
        <w:tc>
          <w:tcPr>
            <w:tcW w:w="322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Hong Kong</w:t>
            </w:r>
          </w:p>
        </w:tc>
        <w:tc>
          <w:tcPr>
            <w:tcW w:w="64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2018</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220"/>
              <w:spacing w:after="0" w:line="213" w:lineRule="exact"/>
              <w:rPr>
                <w:sz w:val="20"/>
                <w:szCs w:val="20"/>
                <w:color w:val="auto"/>
              </w:rPr>
            </w:pPr>
            <w:r>
              <w:rPr>
                <w:rFonts w:ascii="Arial" w:cs="Arial" w:eastAsia="Arial" w:hAnsi="Arial"/>
                <w:sz w:val="17"/>
                <w:szCs w:val="17"/>
                <w:color w:val="auto"/>
                <w:w w:val="86"/>
              </w:rPr>
              <w:t>Total</w:t>
            </w:r>
            <w:r>
              <w:rPr>
                <w:rFonts w:ascii="Arial" w:cs="Arial" w:eastAsia="Arial" w:hAnsi="Arial"/>
                <w:sz w:val="22"/>
                <w:szCs w:val="22"/>
                <w:color w:val="auto"/>
                <w:w w:val="86"/>
                <w:vertAlign w:val="superscript"/>
              </w:rPr>
              <w:t>(6)</w:t>
            </w:r>
          </w:p>
        </w:tc>
        <w:tc>
          <w:tcPr>
            <w:tcW w:w="142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rPr>
              <w:t>X-DF</w:t>
            </w:r>
          </w:p>
        </w:tc>
        <w:tc>
          <w:tcPr>
            <w:tcW w:w="2180" w:type="dxa"/>
            <w:vAlign w:val="bottom"/>
            <w:gridSpan w:val="2"/>
            <w:shd w:val="clear" w:color="auto" w:fill="E5FFFF"/>
          </w:tcPr>
          <w:p>
            <w:pPr>
              <w:jc w:val="center"/>
              <w:ind w:right="120"/>
              <w:spacing w:after="0"/>
              <w:rPr>
                <w:sz w:val="20"/>
                <w:szCs w:val="20"/>
                <w:color w:val="auto"/>
              </w:rPr>
            </w:pPr>
            <w:r>
              <w:rPr>
                <w:rFonts w:ascii="Arial" w:cs="Arial" w:eastAsia="Arial" w:hAnsi="Arial"/>
                <w:sz w:val="17"/>
                <w:szCs w:val="17"/>
                <w:color w:val="auto"/>
                <w:w w:val="90"/>
              </w:rPr>
              <w:t>December 2025</w:t>
            </w:r>
          </w:p>
        </w:tc>
        <w:tc>
          <w:tcPr>
            <w:tcW w:w="13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2028</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20"/>
                <w:szCs w:val="20"/>
                <w:color w:val="auto"/>
              </w:rPr>
            </w:pPr>
            <w:r>
              <w:rPr>
                <w:rFonts w:ascii="Arial" w:cs="Arial" w:eastAsia="Arial" w:hAnsi="Arial"/>
                <w:sz w:val="17"/>
                <w:szCs w:val="17"/>
                <w:b w:val="1"/>
                <w:bCs w:val="1"/>
                <w:color w:val="auto"/>
              </w:rPr>
              <w:t>10</w:t>
            </w:r>
          </w:p>
        </w:tc>
        <w:tc>
          <w:tcPr>
            <w:tcW w:w="3220" w:type="dxa"/>
            <w:vAlign w:val="bottom"/>
            <w:gridSpan w:val="2"/>
          </w:tcPr>
          <w:p>
            <w:pPr>
              <w:ind w:left="140"/>
              <w:spacing w:after="0"/>
              <w:rPr>
                <w:sz w:val="20"/>
                <w:szCs w:val="20"/>
                <w:color w:val="auto"/>
              </w:rPr>
            </w:pPr>
            <w:r>
              <w:rPr>
                <w:rFonts w:ascii="Arial" w:cs="Arial" w:eastAsia="Arial" w:hAnsi="Arial"/>
                <w:sz w:val="17"/>
                <w:szCs w:val="17"/>
                <w:i w:val="1"/>
                <w:iCs w:val="1"/>
                <w:color w:val="auto"/>
              </w:rPr>
              <w:t>GasLog Genoa</w:t>
            </w:r>
          </w:p>
        </w:tc>
        <w:tc>
          <w:tcPr>
            <w:tcW w:w="640" w:type="dxa"/>
            <w:vAlign w:val="bottom"/>
          </w:tcPr>
          <w:p>
            <w:pPr>
              <w:ind w:left="140"/>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174,000</w:t>
            </w:r>
          </w:p>
        </w:tc>
        <w:tc>
          <w:tcPr>
            <w:tcW w:w="14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Shell</w:t>
            </w:r>
          </w:p>
        </w:tc>
        <w:tc>
          <w:tcPr>
            <w:tcW w:w="1420" w:type="dxa"/>
            <w:vAlign w:val="bottom"/>
            <w:gridSpan w:val="2"/>
          </w:tcPr>
          <w:p>
            <w:pPr>
              <w:jc w:val="center"/>
              <w:ind w:right="140"/>
              <w:spacing w:after="0"/>
              <w:rPr>
                <w:sz w:val="20"/>
                <w:szCs w:val="20"/>
                <w:color w:val="auto"/>
              </w:rPr>
            </w:pPr>
            <w:r>
              <w:rPr>
                <w:rFonts w:ascii="Arial" w:cs="Arial" w:eastAsia="Arial" w:hAnsi="Arial"/>
                <w:sz w:val="17"/>
                <w:szCs w:val="17"/>
                <w:color w:val="auto"/>
              </w:rPr>
              <w:t>X-DF</w:t>
            </w: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March 2027</w:t>
            </w: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2030-2033</w:t>
            </w:r>
          </w:p>
        </w:tc>
        <w:tc>
          <w:tcPr>
            <w:tcW w:w="0" w:type="dxa"/>
            <w:vAlign w:val="bottom"/>
          </w:tcPr>
          <w:p>
            <w:pPr>
              <w:spacing w:after="0"/>
              <w:rPr>
                <w:sz w:val="1"/>
                <w:szCs w:val="1"/>
                <w:color w:val="auto"/>
              </w:rPr>
            </w:pPr>
          </w:p>
        </w:tc>
      </w:tr>
      <w:tr>
        <w:trPr>
          <w:trHeight w:val="214"/>
        </w:trPr>
        <w:tc>
          <w:tcPr>
            <w:tcW w:w="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11</w:t>
            </w:r>
          </w:p>
        </w:tc>
        <w:tc>
          <w:tcPr>
            <w:tcW w:w="3220" w:type="dxa"/>
            <w:vAlign w:val="bottom"/>
            <w:gridSpan w:val="2"/>
            <w:shd w:val="clear" w:color="auto" w:fill="E5FFFF"/>
          </w:tcPr>
          <w:p>
            <w:pPr>
              <w:ind w:left="140"/>
              <w:spacing w:after="0"/>
              <w:rPr>
                <w:sz w:val="20"/>
                <w:szCs w:val="20"/>
                <w:color w:val="auto"/>
              </w:rPr>
            </w:pPr>
            <w:r>
              <w:rPr>
                <w:rFonts w:ascii="Arial" w:cs="Arial" w:eastAsia="Arial" w:hAnsi="Arial"/>
                <w:sz w:val="17"/>
                <w:szCs w:val="17"/>
                <w:i w:val="1"/>
                <w:iCs w:val="1"/>
                <w:color w:val="auto"/>
              </w:rPr>
              <w:t>GasLog Gladstone</w:t>
            </w:r>
          </w:p>
        </w:tc>
        <w:tc>
          <w:tcPr>
            <w:tcW w:w="640" w:type="dxa"/>
            <w:vAlign w:val="bottom"/>
            <w:shd w:val="clear" w:color="auto" w:fill="E5FFFF"/>
          </w:tcPr>
          <w:p>
            <w:pPr>
              <w:ind w:left="140"/>
              <w:spacing w:after="0"/>
              <w:rPr>
                <w:sz w:val="20"/>
                <w:szCs w:val="20"/>
                <w:color w:val="auto"/>
              </w:rPr>
            </w:pPr>
            <w:r>
              <w:rPr>
                <w:rFonts w:ascii="Arial" w:cs="Arial" w:eastAsia="Arial" w:hAnsi="Arial"/>
                <w:sz w:val="17"/>
                <w:szCs w:val="17"/>
                <w:color w:val="auto"/>
              </w:rPr>
              <w:t>2019</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c>
          <w:tcPr>
            <w:tcW w:w="14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89"/>
              </w:rPr>
              <w:t>Shell</w:t>
            </w:r>
          </w:p>
        </w:tc>
        <w:tc>
          <w:tcPr>
            <w:tcW w:w="1420" w:type="dxa"/>
            <w:vAlign w:val="bottom"/>
            <w:gridSpan w:val="2"/>
            <w:shd w:val="clear" w:color="auto" w:fill="E5FFFF"/>
          </w:tcPr>
          <w:p>
            <w:pPr>
              <w:jc w:val="center"/>
              <w:ind w:right="140"/>
              <w:spacing w:after="0"/>
              <w:rPr>
                <w:sz w:val="20"/>
                <w:szCs w:val="20"/>
                <w:color w:val="auto"/>
              </w:rPr>
            </w:pPr>
            <w:r>
              <w:rPr>
                <w:rFonts w:ascii="Arial" w:cs="Arial" w:eastAsia="Arial" w:hAnsi="Arial"/>
                <w:sz w:val="17"/>
                <w:szCs w:val="17"/>
                <w:color w:val="auto"/>
              </w:rPr>
              <w:t>X-DF</w:t>
            </w:r>
          </w:p>
        </w:tc>
        <w:tc>
          <w:tcPr>
            <w:tcW w:w="218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89"/>
              </w:rPr>
              <w:t>January 2029</w:t>
            </w:r>
          </w:p>
        </w:tc>
        <w:tc>
          <w:tcPr>
            <w:tcW w:w="13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2032-2035</w:t>
            </w:r>
          </w:p>
        </w:tc>
        <w:tc>
          <w:tcPr>
            <w:tcW w:w="0" w:type="dxa"/>
            <w:vAlign w:val="bottom"/>
          </w:tcPr>
          <w:p>
            <w:pPr>
              <w:spacing w:after="0"/>
              <w:rPr>
                <w:sz w:val="1"/>
                <w:szCs w:val="1"/>
                <w:color w:val="auto"/>
              </w:rPr>
            </w:pPr>
          </w:p>
        </w:tc>
      </w:tr>
      <w:tr>
        <w:trPr>
          <w:trHeight w:val="204"/>
        </w:trPr>
        <w:tc>
          <w:tcPr>
            <w:tcW w:w="300" w:type="dxa"/>
            <w:vAlign w:val="bottom"/>
            <w:vMerge w:val="restart"/>
          </w:tcPr>
          <w:p>
            <w:pPr>
              <w:spacing w:after="0"/>
              <w:rPr>
                <w:sz w:val="20"/>
                <w:szCs w:val="20"/>
                <w:color w:val="auto"/>
              </w:rPr>
            </w:pPr>
            <w:r>
              <w:rPr>
                <w:rFonts w:ascii="Arial" w:cs="Arial" w:eastAsia="Arial" w:hAnsi="Arial"/>
                <w:sz w:val="17"/>
                <w:szCs w:val="17"/>
                <w:b w:val="1"/>
                <w:bCs w:val="1"/>
                <w:color w:val="auto"/>
              </w:rPr>
              <w:t>12</w:t>
            </w:r>
          </w:p>
        </w:tc>
        <w:tc>
          <w:tcPr>
            <w:tcW w:w="3220" w:type="dxa"/>
            <w:vAlign w:val="bottom"/>
            <w:gridSpan w:val="2"/>
            <w:vMerge w:val="restart"/>
          </w:tcPr>
          <w:p>
            <w:pPr>
              <w:ind w:left="140"/>
              <w:spacing w:after="0"/>
              <w:rPr>
                <w:sz w:val="20"/>
                <w:szCs w:val="20"/>
                <w:color w:val="auto"/>
              </w:rPr>
            </w:pPr>
            <w:r>
              <w:rPr>
                <w:rFonts w:ascii="Arial" w:cs="Arial" w:eastAsia="Arial" w:hAnsi="Arial"/>
                <w:sz w:val="17"/>
                <w:szCs w:val="17"/>
                <w:i w:val="1"/>
                <w:iCs w:val="1"/>
                <w:color w:val="auto"/>
              </w:rPr>
              <w:t>GasLog Warsaw</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7"/>
                <w:szCs w:val="17"/>
                <w:color w:val="auto"/>
              </w:rPr>
            </w:pPr>
          </w:p>
        </w:tc>
        <w:tc>
          <w:tcPr>
            <w:tcW w:w="1040" w:type="dxa"/>
            <w:vAlign w:val="bottom"/>
            <w:vMerge w:val="restart"/>
          </w:tcPr>
          <w:p>
            <w:pPr>
              <w:jc w:val="center"/>
              <w:spacing w:after="0"/>
              <w:rPr>
                <w:sz w:val="20"/>
                <w:szCs w:val="20"/>
                <w:color w:val="auto"/>
              </w:rPr>
            </w:pPr>
            <w:r>
              <w:rPr>
                <w:rFonts w:ascii="Arial" w:cs="Arial" w:eastAsia="Arial" w:hAnsi="Arial"/>
                <w:sz w:val="17"/>
                <w:szCs w:val="17"/>
                <w:color w:val="auto"/>
                <w:w w:val="91"/>
              </w:rPr>
              <w:t>180,000</w:t>
            </w:r>
          </w:p>
        </w:tc>
        <w:tc>
          <w:tcPr>
            <w:tcW w:w="14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Cheniere</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auto"/>
              </w:rPr>
              <w:t>X-DF</w:t>
            </w:r>
          </w:p>
        </w:tc>
        <w:tc>
          <w:tcPr>
            <w:tcW w:w="218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May 2021</w:t>
            </w:r>
          </w:p>
        </w:tc>
        <w:tc>
          <w:tcPr>
            <w:tcW w:w="136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2"/>
        </w:trPr>
        <w:tc>
          <w:tcPr>
            <w:tcW w:w="300" w:type="dxa"/>
            <w:vAlign w:val="bottom"/>
            <w:vMerge w:val="continue"/>
          </w:tcPr>
          <w:p>
            <w:pPr>
              <w:spacing w:after="0"/>
              <w:rPr>
                <w:sz w:val="8"/>
                <w:szCs w:val="8"/>
                <w:color w:val="auto"/>
              </w:rPr>
            </w:pPr>
          </w:p>
        </w:tc>
        <w:tc>
          <w:tcPr>
            <w:tcW w:w="322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auto"/>
                <w:w w:val="86"/>
              </w:rPr>
              <w:t>Endesa</w:t>
            </w:r>
          </w:p>
        </w:tc>
        <w:tc>
          <w:tcPr>
            <w:tcW w:w="1420" w:type="dxa"/>
            <w:vAlign w:val="bottom"/>
            <w:gridSpan w:val="2"/>
            <w:vMerge w:val="continue"/>
          </w:tcPr>
          <w:p>
            <w:pPr>
              <w:spacing w:after="0"/>
              <w:rPr>
                <w:sz w:val="8"/>
                <w:szCs w:val="8"/>
                <w:color w:val="auto"/>
              </w:rPr>
            </w:pPr>
          </w:p>
        </w:tc>
        <w:tc>
          <w:tcPr>
            <w:tcW w:w="2180" w:type="dxa"/>
            <w:vAlign w:val="bottom"/>
            <w:gridSpan w:val="2"/>
            <w:vMerge w:val="restart"/>
          </w:tcPr>
          <w:p>
            <w:pPr>
              <w:jc w:val="center"/>
              <w:ind w:right="120"/>
              <w:spacing w:after="0"/>
              <w:rPr>
                <w:sz w:val="20"/>
                <w:szCs w:val="20"/>
                <w:color w:val="auto"/>
              </w:rPr>
            </w:pPr>
            <w:r>
              <w:rPr>
                <w:rFonts w:ascii="Arial" w:cs="Arial" w:eastAsia="Arial" w:hAnsi="Arial"/>
                <w:sz w:val="17"/>
                <w:szCs w:val="17"/>
                <w:color w:val="auto"/>
                <w:w w:val="93"/>
              </w:rPr>
              <w:t>May 2029</w:t>
            </w:r>
          </w:p>
        </w:tc>
        <w:tc>
          <w:tcPr>
            <w:tcW w:w="1360" w:type="dxa"/>
            <w:vAlign w:val="bottom"/>
            <w:vMerge w:val="restart"/>
          </w:tcPr>
          <w:p>
            <w:pPr>
              <w:jc w:val="center"/>
              <w:spacing w:after="0"/>
              <w:rPr>
                <w:sz w:val="20"/>
                <w:szCs w:val="20"/>
                <w:color w:val="auto"/>
              </w:rPr>
            </w:pPr>
            <w:r>
              <w:rPr>
                <w:rFonts w:ascii="Arial" w:cs="Arial" w:eastAsia="Arial" w:hAnsi="Arial"/>
                <w:sz w:val="17"/>
                <w:szCs w:val="17"/>
                <w:color w:val="auto"/>
                <w:w w:val="90"/>
              </w:rPr>
              <w:t>2035-2041</w:t>
            </w: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August 1, 2019, the Partnership’s fleet consisted of the following vessels: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Cargo</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300"/>
              <w:spacing w:after="0"/>
              <w:rPr>
                <w:sz w:val="20"/>
                <w:szCs w:val="20"/>
                <w:color w:val="auto"/>
              </w:rPr>
            </w:pPr>
            <w:r>
              <w:rPr>
                <w:rFonts w:ascii="Arial" w:cs="Arial" w:eastAsia="Arial" w:hAnsi="Arial"/>
                <w:sz w:val="17"/>
                <w:szCs w:val="17"/>
                <w:b w:val="1"/>
                <w:bCs w:val="1"/>
                <w:color w:val="auto"/>
              </w:rPr>
              <w:t>Year</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Capacity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Charter</w:t>
            </w:r>
          </w:p>
        </w:tc>
        <w:tc>
          <w:tcPr>
            <w:tcW w:w="1300" w:type="dxa"/>
            <w:vAlign w:val="bottom"/>
          </w:tcPr>
          <w:p>
            <w:pPr>
              <w:jc w:val="center"/>
              <w:spacing w:after="0"/>
              <w:rPr>
                <w:sz w:val="20"/>
                <w:szCs w:val="20"/>
                <w:color w:val="auto"/>
              </w:rPr>
            </w:pPr>
            <w:r>
              <w:rPr>
                <w:rFonts w:ascii="Arial" w:cs="Arial" w:eastAsia="Arial" w:hAnsi="Arial"/>
                <w:sz w:val="17"/>
                <w:szCs w:val="17"/>
                <w:b w:val="1"/>
                <w:bCs w:val="1"/>
                <w:color w:val="auto"/>
                <w:w w:val="92"/>
              </w:rPr>
              <w:t>Optional</w:t>
            </w:r>
          </w:p>
        </w:tc>
        <w:tc>
          <w:tcPr>
            <w:tcW w:w="60" w:type="dxa"/>
            <w:vAlign w:val="bottom"/>
          </w:tcPr>
          <w:p>
            <w:pPr>
              <w:spacing w:after="0"/>
              <w:rPr>
                <w:sz w:val="18"/>
                <w:szCs w:val="18"/>
                <w:color w:val="auto"/>
              </w:rPr>
            </w:pPr>
          </w:p>
        </w:tc>
      </w:tr>
      <w:tr>
        <w:trPr>
          <w:trHeight w:val="230"/>
        </w:trPr>
        <w:tc>
          <w:tcPr>
            <w:tcW w:w="240" w:type="dxa"/>
            <w:vAlign w:val="bottom"/>
          </w:tcPr>
          <w:p>
            <w:pPr>
              <w:spacing w:after="0"/>
              <w:rPr>
                <w:sz w:val="19"/>
                <w:szCs w:val="19"/>
                <w:color w:val="auto"/>
              </w:rPr>
            </w:pPr>
          </w:p>
        </w:tc>
        <w:tc>
          <w:tcPr>
            <w:tcW w:w="3100" w:type="dxa"/>
            <w:vAlign w:val="bottom"/>
            <w:gridSpan w:val="2"/>
          </w:tcPr>
          <w:p>
            <w:pPr>
              <w:ind w:left="840"/>
              <w:spacing w:after="0"/>
              <w:rPr>
                <w:sz w:val="20"/>
                <w:szCs w:val="20"/>
                <w:color w:val="auto"/>
              </w:rPr>
            </w:pPr>
            <w:r>
              <w:rPr>
                <w:rFonts w:ascii="Arial" w:cs="Arial" w:eastAsia="Arial" w:hAnsi="Arial"/>
                <w:sz w:val="17"/>
                <w:szCs w:val="17"/>
                <w:b w:val="1"/>
                <w:bCs w:val="1"/>
                <w:color w:val="auto"/>
              </w:rPr>
              <w:t>Vessel Name</w:t>
            </w:r>
          </w:p>
        </w:tc>
        <w:tc>
          <w:tcPr>
            <w:tcW w:w="1080" w:type="dxa"/>
            <w:vAlign w:val="bottom"/>
            <w:gridSpan w:val="2"/>
          </w:tcPr>
          <w:p>
            <w:pPr>
              <w:ind w:left="280"/>
              <w:spacing w:after="0"/>
              <w:rPr>
                <w:sz w:val="20"/>
                <w:szCs w:val="20"/>
                <w:color w:val="auto"/>
              </w:rPr>
            </w:pPr>
            <w:r>
              <w:rPr>
                <w:rFonts w:ascii="Arial" w:cs="Arial" w:eastAsia="Arial" w:hAnsi="Arial"/>
                <w:sz w:val="17"/>
                <w:szCs w:val="17"/>
                <w:b w:val="1"/>
                <w:bCs w:val="1"/>
                <w:color w:val="auto"/>
              </w:rPr>
              <w:t>Built</w:t>
            </w: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(cbm)</w:t>
            </w:r>
          </w:p>
        </w:tc>
        <w:tc>
          <w:tcPr>
            <w:tcW w:w="15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Charterer</w:t>
            </w:r>
          </w:p>
        </w:tc>
        <w:tc>
          <w:tcPr>
            <w:tcW w:w="1340" w:type="dxa"/>
            <w:vAlign w:val="bottom"/>
            <w:gridSpan w:val="2"/>
          </w:tcPr>
          <w:p>
            <w:pPr>
              <w:jc w:val="center"/>
              <w:ind w:right="140"/>
              <w:spacing w:after="0" w:line="229" w:lineRule="exact"/>
              <w:rPr>
                <w:sz w:val="20"/>
                <w:szCs w:val="20"/>
                <w:color w:val="auto"/>
              </w:rPr>
            </w:pPr>
            <w:r>
              <w:rPr>
                <w:rFonts w:ascii="Arial" w:cs="Arial" w:eastAsia="Arial" w:hAnsi="Arial"/>
                <w:sz w:val="17"/>
                <w:szCs w:val="17"/>
                <w:b w:val="1"/>
                <w:bCs w:val="1"/>
                <w:color w:val="auto"/>
                <w:w w:val="86"/>
              </w:rPr>
              <w:t>Propulsion</w:t>
            </w:r>
            <w:r>
              <w:rPr>
                <w:rFonts w:ascii="Arial" w:cs="Arial" w:eastAsia="Arial" w:hAnsi="Arial"/>
                <w:sz w:val="22"/>
                <w:szCs w:val="22"/>
                <w:b w:val="1"/>
                <w:bCs w:val="1"/>
                <w:color w:val="auto"/>
                <w:w w:val="86"/>
                <w:vertAlign w:val="superscript"/>
              </w:rPr>
              <w:t>(1)</w:t>
            </w:r>
          </w:p>
        </w:tc>
        <w:tc>
          <w:tcPr>
            <w:tcW w:w="2300" w:type="dxa"/>
            <w:vAlign w:val="bottom"/>
            <w:gridSpan w:val="2"/>
          </w:tcPr>
          <w:p>
            <w:pPr>
              <w:jc w:val="center"/>
              <w:ind w:right="100"/>
              <w:spacing w:after="0" w:line="229" w:lineRule="exact"/>
              <w:rPr>
                <w:sz w:val="20"/>
                <w:szCs w:val="20"/>
                <w:color w:val="auto"/>
              </w:rPr>
            </w:pPr>
            <w:r>
              <w:rPr>
                <w:rFonts w:ascii="Arial" w:cs="Arial" w:eastAsia="Arial" w:hAnsi="Arial"/>
                <w:sz w:val="17"/>
                <w:szCs w:val="17"/>
                <w:b w:val="1"/>
                <w:bCs w:val="1"/>
                <w:color w:val="auto"/>
                <w:w w:val="90"/>
              </w:rPr>
              <w:t>Expiration</w:t>
            </w:r>
            <w:r>
              <w:rPr>
                <w:rFonts w:ascii="Arial" w:cs="Arial" w:eastAsia="Arial" w:hAnsi="Arial"/>
                <w:sz w:val="22"/>
                <w:szCs w:val="22"/>
                <w:b w:val="1"/>
                <w:bCs w:val="1"/>
                <w:color w:val="auto"/>
                <w:w w:val="90"/>
                <w:vertAlign w:val="superscript"/>
              </w:rPr>
              <w:t>(2)</w:t>
            </w:r>
          </w:p>
        </w:tc>
        <w:tc>
          <w:tcPr>
            <w:tcW w:w="1300" w:type="dxa"/>
            <w:vAlign w:val="bottom"/>
          </w:tcPr>
          <w:p>
            <w:pPr>
              <w:jc w:val="center"/>
              <w:spacing w:after="0" w:line="229" w:lineRule="exact"/>
              <w:rPr>
                <w:sz w:val="20"/>
                <w:szCs w:val="20"/>
                <w:color w:val="auto"/>
              </w:rPr>
            </w:pPr>
            <w:r>
              <w:rPr>
                <w:rFonts w:ascii="Arial" w:cs="Arial" w:eastAsia="Arial" w:hAnsi="Arial"/>
                <w:sz w:val="17"/>
                <w:szCs w:val="17"/>
                <w:b w:val="1"/>
                <w:bCs w:val="1"/>
                <w:color w:val="auto"/>
                <w:w w:val="84"/>
              </w:rPr>
              <w:t>Period</w:t>
            </w:r>
            <w:r>
              <w:rPr>
                <w:rFonts w:ascii="Arial" w:cs="Arial" w:eastAsia="Arial" w:hAnsi="Arial"/>
                <w:sz w:val="22"/>
                <w:szCs w:val="22"/>
                <w:b w:val="1"/>
                <w:bCs w:val="1"/>
                <w:color w:val="auto"/>
                <w:w w:val="84"/>
                <w:vertAlign w:val="superscript"/>
              </w:rPr>
              <w:t>(3)</w:t>
            </w:r>
          </w:p>
        </w:tc>
        <w:tc>
          <w:tcPr>
            <w:tcW w:w="60" w:type="dxa"/>
            <w:vAlign w:val="bottom"/>
          </w:tcPr>
          <w:p>
            <w:pPr>
              <w:spacing w:after="0"/>
              <w:rPr>
                <w:sz w:val="19"/>
                <w:szCs w:val="19"/>
                <w:color w:val="auto"/>
              </w:rPr>
            </w:pPr>
          </w:p>
        </w:tc>
      </w:tr>
      <w:tr>
        <w:trPr>
          <w:trHeight w:val="208"/>
        </w:trPr>
        <w:tc>
          <w:tcPr>
            <w:tcW w:w="240" w:type="dxa"/>
            <w:vAlign w:val="bottom"/>
            <w:tcBorders>
              <w:top w:val="single" w:sz="8" w:color="auto"/>
            </w:tcBorders>
            <w:shd w:val="clear" w:color="auto" w:fill="E5FFFF"/>
          </w:tcPr>
          <w:p>
            <w:pPr>
              <w:jc w:val="right"/>
              <w:ind w:right="85"/>
              <w:spacing w:after="0"/>
              <w:rPr>
                <w:sz w:val="20"/>
                <w:szCs w:val="20"/>
                <w:color w:val="auto"/>
              </w:rPr>
            </w:pPr>
            <w:r>
              <w:rPr>
                <w:rFonts w:ascii="Arial" w:cs="Arial" w:eastAsia="Arial" w:hAnsi="Arial"/>
                <w:sz w:val="15"/>
                <w:szCs w:val="15"/>
                <w:b w:val="1"/>
                <w:bCs w:val="1"/>
                <w:color w:val="auto"/>
                <w:w w:val="71"/>
              </w:rPr>
              <w:t>1</w:t>
            </w:r>
          </w:p>
        </w:tc>
        <w:tc>
          <w:tcPr>
            <w:tcW w:w="2840" w:type="dxa"/>
            <w:vAlign w:val="bottom"/>
            <w:tcBorders>
              <w:top w:val="single" w:sz="8" w:color="auto"/>
            </w:tcBorders>
            <w:shd w:val="clear" w:color="auto" w:fill="E5FFFF"/>
          </w:tcPr>
          <w:p>
            <w:pPr>
              <w:ind w:left="160"/>
              <w:spacing w:after="0"/>
              <w:rPr>
                <w:sz w:val="20"/>
                <w:szCs w:val="20"/>
                <w:color w:val="auto"/>
              </w:rPr>
            </w:pPr>
            <w:r>
              <w:rPr>
                <w:rFonts w:ascii="Arial" w:cs="Arial" w:eastAsia="Arial" w:hAnsi="Arial"/>
                <w:sz w:val="17"/>
                <w:szCs w:val="17"/>
                <w:i w:val="1"/>
                <w:iCs w:val="1"/>
                <w:color w:val="auto"/>
              </w:rPr>
              <w:t>Methane Rita Andrea</w:t>
            </w:r>
          </w:p>
        </w:tc>
        <w:tc>
          <w:tcPr>
            <w:tcW w:w="260" w:type="dxa"/>
            <w:vAlign w:val="bottom"/>
            <w:tcBorders>
              <w:top w:val="single" w:sz="8" w:color="E5FFFF"/>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ind w:left="300"/>
              <w:spacing w:after="0"/>
              <w:rPr>
                <w:sz w:val="20"/>
                <w:szCs w:val="20"/>
                <w:color w:val="auto"/>
              </w:rPr>
            </w:pPr>
            <w:r>
              <w:rPr>
                <w:rFonts w:ascii="Arial" w:cs="Arial" w:eastAsia="Arial" w:hAnsi="Arial"/>
                <w:sz w:val="17"/>
                <w:szCs w:val="17"/>
                <w:color w:val="auto"/>
              </w:rPr>
              <w:t>2006</w:t>
            </w:r>
          </w:p>
        </w:tc>
        <w:tc>
          <w:tcPr>
            <w:tcW w:w="140" w:type="dxa"/>
            <w:vAlign w:val="bottom"/>
            <w:tcBorders>
              <w:top w:val="single" w:sz="8" w:color="E5FFFF"/>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tcBorders>
              <w:top w:val="single" w:sz="8" w:color="E5FFFF"/>
            </w:tcBorders>
            <w:shd w:val="clear" w:color="auto" w:fill="E5FFFF"/>
          </w:tcPr>
          <w:p>
            <w:pPr>
              <w:spacing w:after="0"/>
              <w:rPr>
                <w:sz w:val="18"/>
                <w:szCs w:val="18"/>
                <w:color w:val="auto"/>
              </w:rPr>
            </w:pPr>
          </w:p>
        </w:tc>
        <w:tc>
          <w:tcPr>
            <w:tcW w:w="14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5"/>
              </w:rPr>
              <w:t>Shell</w:t>
            </w:r>
          </w:p>
        </w:tc>
        <w:tc>
          <w:tcPr>
            <w:tcW w:w="18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5"/>
              </w:rPr>
              <w:t>Steam</w:t>
            </w:r>
          </w:p>
        </w:tc>
        <w:tc>
          <w:tcPr>
            <w:tcW w:w="120" w:type="dxa"/>
            <w:vAlign w:val="bottom"/>
            <w:tcBorders>
              <w:top w:val="single" w:sz="8" w:color="E5FFFF"/>
            </w:tcBorders>
            <w:shd w:val="clear" w:color="auto" w:fill="E5FFFF"/>
          </w:tcPr>
          <w:p>
            <w:pPr>
              <w:spacing w:after="0"/>
              <w:rPr>
                <w:sz w:val="18"/>
                <w:szCs w:val="18"/>
                <w:color w:val="auto"/>
              </w:rPr>
            </w:pPr>
          </w:p>
        </w:tc>
        <w:tc>
          <w:tcPr>
            <w:tcW w:w="2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9"/>
              </w:rPr>
              <w:t>April 2020</w:t>
            </w:r>
          </w:p>
        </w:tc>
        <w:tc>
          <w:tcPr>
            <w:tcW w:w="10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8"/>
                <w:szCs w:val="18"/>
                <w:color w:val="auto"/>
              </w:rPr>
            </w:pPr>
          </w:p>
        </w:tc>
      </w:tr>
      <w:tr>
        <w:trPr>
          <w:trHeight w:val="222"/>
        </w:trPr>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2</w:t>
            </w:r>
          </w:p>
        </w:tc>
        <w:tc>
          <w:tcPr>
            <w:tcW w:w="3100" w:type="dxa"/>
            <w:vAlign w:val="bottom"/>
            <w:gridSpan w:val="2"/>
          </w:tcPr>
          <w:p>
            <w:pPr>
              <w:ind w:left="160"/>
              <w:spacing w:after="0"/>
              <w:rPr>
                <w:sz w:val="20"/>
                <w:szCs w:val="20"/>
                <w:color w:val="auto"/>
              </w:rPr>
            </w:pPr>
            <w:r>
              <w:rPr>
                <w:rFonts w:ascii="Arial" w:cs="Arial" w:eastAsia="Arial" w:hAnsi="Arial"/>
                <w:sz w:val="17"/>
                <w:szCs w:val="17"/>
                <w:i w:val="1"/>
                <w:iCs w:val="1"/>
                <w:color w:val="auto"/>
              </w:rPr>
              <w:t>Methane Jane Elizabeth</w:t>
            </w:r>
          </w:p>
        </w:tc>
        <w:tc>
          <w:tcPr>
            <w:tcW w:w="940" w:type="dxa"/>
            <w:vAlign w:val="bottom"/>
          </w:tcPr>
          <w:p>
            <w:pPr>
              <w:ind w:left="300"/>
              <w:spacing w:after="0"/>
              <w:rPr>
                <w:sz w:val="20"/>
                <w:szCs w:val="20"/>
                <w:color w:val="auto"/>
              </w:rPr>
            </w:pPr>
            <w:r>
              <w:rPr>
                <w:rFonts w:ascii="Arial" w:cs="Arial" w:eastAsia="Arial" w:hAnsi="Arial"/>
                <w:sz w:val="17"/>
                <w:szCs w:val="17"/>
                <w:color w:val="auto"/>
              </w:rPr>
              <w:t>2006</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145,000</w:t>
            </w:r>
          </w:p>
        </w:tc>
        <w:tc>
          <w:tcPr>
            <w:tcW w:w="120" w:type="dxa"/>
            <w:vAlign w:val="bottom"/>
          </w:tcPr>
          <w:p>
            <w:pPr>
              <w:spacing w:after="0"/>
              <w:rPr>
                <w:sz w:val="19"/>
                <w:szCs w:val="19"/>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Shell</w:t>
            </w:r>
          </w:p>
        </w:tc>
        <w:tc>
          <w:tcPr>
            <w:tcW w:w="1340" w:type="dxa"/>
            <w:vAlign w:val="bottom"/>
            <w:gridSpan w:val="2"/>
          </w:tcPr>
          <w:p>
            <w:pPr>
              <w:jc w:val="center"/>
              <w:ind w:right="120"/>
              <w:spacing w:after="0"/>
              <w:rPr>
                <w:sz w:val="20"/>
                <w:szCs w:val="20"/>
                <w:color w:val="auto"/>
              </w:rPr>
            </w:pPr>
            <w:r>
              <w:rPr>
                <w:rFonts w:ascii="Arial" w:cs="Arial" w:eastAsia="Arial" w:hAnsi="Arial"/>
                <w:sz w:val="17"/>
                <w:szCs w:val="17"/>
                <w:color w:val="auto"/>
                <w:w w:val="85"/>
              </w:rPr>
              <w:t>Steam</w:t>
            </w:r>
          </w:p>
        </w:tc>
        <w:tc>
          <w:tcPr>
            <w:tcW w:w="23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October 2019</w:t>
            </w: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9"/>
                <w:szCs w:val="19"/>
                <w:color w:val="auto"/>
              </w:rPr>
            </w:pPr>
          </w:p>
        </w:tc>
      </w:tr>
      <w:tr>
        <w:trPr>
          <w:trHeight w:val="392"/>
        </w:trPr>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697"/>
              <w:spacing w:after="0"/>
              <w:rPr>
                <w:sz w:val="20"/>
                <w:szCs w:val="20"/>
                <w:color w:val="auto"/>
              </w:rPr>
            </w:pPr>
            <w:r>
              <w:rPr>
                <w:rFonts w:ascii="Arial" w:cs="Arial" w:eastAsia="Arial" w:hAnsi="Arial"/>
                <w:sz w:val="15"/>
                <w:szCs w:val="15"/>
                <w:color w:val="auto"/>
              </w:rPr>
              <w:t>18</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4"/>
        </w:trPr>
        <w:tc>
          <w:tcPr>
            <w:tcW w:w="24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8" w:right="80" w:bottom="484" w:gutter="0" w:footer="0" w:header="0"/>
        </w:sectPr>
      </w:pPr>
    </w:p>
    <w:bookmarkStart w:id="18" w:name="page19"/>
    <w:bookmarkEnd w:id="18"/>
    <w:tbl>
      <w:tblPr>
        <w:tblLayout w:type="fixed"/>
        <w:tblInd w:w="6" w:type="dxa"/>
        <w:tblCellMar>
          <w:top w:w="0" w:type="dxa"/>
          <w:left w:w="0" w:type="dxa"/>
          <w:bottom w:w="0" w:type="dxa"/>
          <w:right w:w="0" w:type="dxa"/>
        </w:tblCellMar>
      </w:tblPr>
      <w:tr>
        <w:trPr>
          <w:trHeight w:val="214"/>
        </w:trPr>
        <w:tc>
          <w:tcPr>
            <w:tcW w:w="420" w:type="dxa"/>
            <w:vAlign w:val="bottom"/>
            <w:gridSpan w:val="2"/>
          </w:tcPr>
          <w:p>
            <w:pPr>
              <w:spacing w:after="0"/>
              <w:rPr>
                <w:sz w:val="20"/>
                <w:szCs w:val="20"/>
                <w:color w:val="auto"/>
              </w:rPr>
            </w:pPr>
            <w:r>
              <w:rPr>
                <w:rFonts w:ascii="Arial" w:cs="Arial" w:eastAsia="Arial" w:hAnsi="Arial"/>
                <w:sz w:val="17"/>
                <w:szCs w:val="17"/>
                <w:b w:val="1"/>
                <w:bCs w:val="1"/>
                <w:color w:val="auto"/>
              </w:rPr>
              <w:t>3</w:t>
            </w:r>
          </w:p>
        </w:tc>
        <w:tc>
          <w:tcPr>
            <w:tcW w:w="3080" w:type="dxa"/>
            <w:vAlign w:val="bottom"/>
            <w:gridSpan w:val="2"/>
            <w:shd w:val="clear" w:color="auto" w:fill="E5FFFF"/>
          </w:tcPr>
          <w:p>
            <w:pPr>
              <w:spacing w:after="0"/>
              <w:rPr>
                <w:sz w:val="20"/>
                <w:szCs w:val="20"/>
                <w:color w:val="auto"/>
              </w:rPr>
            </w:pPr>
            <w:r>
              <w:rPr>
                <w:rFonts w:ascii="Arial" w:cs="Arial" w:eastAsia="Arial" w:hAnsi="Arial"/>
                <w:sz w:val="17"/>
                <w:szCs w:val="17"/>
                <w:i w:val="1"/>
                <w:iCs w:val="1"/>
                <w:color w:val="auto"/>
              </w:rPr>
              <w:t>Methane Alison Victoria</w:t>
            </w:r>
          </w:p>
        </w:tc>
        <w:tc>
          <w:tcPr>
            <w:tcW w:w="620" w:type="dxa"/>
            <w:vAlign w:val="bottom"/>
            <w:shd w:val="clear" w:color="auto" w:fill="E5FFFF"/>
          </w:tcPr>
          <w:p>
            <w:pPr>
              <w:jc w:val="center"/>
              <w:ind w:right="34"/>
              <w:spacing w:after="0"/>
              <w:rPr>
                <w:sz w:val="20"/>
                <w:szCs w:val="20"/>
                <w:color w:val="auto"/>
              </w:rPr>
            </w:pPr>
            <w:r>
              <w:rPr>
                <w:rFonts w:ascii="Arial" w:cs="Arial" w:eastAsia="Arial" w:hAnsi="Arial"/>
                <w:sz w:val="17"/>
                <w:szCs w:val="17"/>
                <w:color w:val="auto"/>
                <w:w w:val="89"/>
              </w:rPr>
              <w:t>2007</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ind w:left="320"/>
              <w:spacing w:after="0"/>
              <w:rPr>
                <w:sz w:val="20"/>
                <w:szCs w:val="20"/>
                <w:color w:val="auto"/>
              </w:rPr>
            </w:pPr>
            <w:r>
              <w:rPr>
                <w:rFonts w:ascii="Arial" w:cs="Arial" w:eastAsia="Arial" w:hAnsi="Arial"/>
                <w:sz w:val="17"/>
                <w:szCs w:val="17"/>
                <w:color w:val="auto"/>
              </w:rPr>
              <w:t>145,000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85"/>
              </w:rPr>
              <w:t>Steam</w:t>
            </w:r>
          </w:p>
        </w:tc>
        <w:tc>
          <w:tcPr>
            <w:tcW w:w="222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89"/>
              </w:rPr>
              <w:t>December 2019</w:t>
            </w:r>
          </w:p>
        </w:tc>
        <w:tc>
          <w:tcPr>
            <w:tcW w:w="1380" w:type="dxa"/>
            <w:vAlign w:val="bottom"/>
            <w:shd w:val="clear" w:color="auto" w:fill="E5FF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7"/>
                <w:szCs w:val="17"/>
                <w:i w:val="1"/>
                <w:iCs w:val="1"/>
                <w:color w:val="auto"/>
              </w:rPr>
              <w:t>Methane Jane Elizabeth/</w:t>
            </w:r>
          </w:p>
        </w:tc>
        <w:tc>
          <w:tcPr>
            <w:tcW w:w="620" w:type="dxa"/>
            <w:vAlign w:val="bottom"/>
          </w:tcPr>
          <w:p>
            <w:pPr>
              <w:jc w:val="center"/>
              <w:ind w:right="54"/>
              <w:spacing w:after="0"/>
              <w:rPr>
                <w:sz w:val="20"/>
                <w:szCs w:val="20"/>
                <w:color w:val="auto"/>
              </w:rPr>
            </w:pPr>
            <w:r>
              <w:rPr>
                <w:rFonts w:ascii="Arial" w:cs="Arial" w:eastAsia="Arial" w:hAnsi="Arial"/>
                <w:sz w:val="17"/>
                <w:szCs w:val="17"/>
                <w:color w:val="auto"/>
                <w:w w:val="93"/>
              </w:rPr>
              <w:t>2006/</w:t>
            </w:r>
          </w:p>
        </w:tc>
        <w:tc>
          <w:tcPr>
            <w:tcW w:w="120" w:type="dxa"/>
            <w:vAlign w:val="bottom"/>
          </w:tcPr>
          <w:p>
            <w:pPr>
              <w:spacing w:after="0"/>
              <w:rPr>
                <w:sz w:val="19"/>
                <w:szCs w:val="19"/>
                <w:color w:val="auto"/>
              </w:rPr>
            </w:pPr>
          </w:p>
        </w:tc>
        <w:tc>
          <w:tcPr>
            <w:tcW w:w="1040" w:type="dxa"/>
            <w:vAlign w:val="bottom"/>
            <w:vMerge w:val="restart"/>
          </w:tcPr>
          <w:p>
            <w:pPr>
              <w:ind w:left="320"/>
              <w:spacing w:after="0"/>
              <w:rPr>
                <w:sz w:val="20"/>
                <w:szCs w:val="20"/>
                <w:color w:val="auto"/>
              </w:rPr>
            </w:pPr>
            <w:r>
              <w:rPr>
                <w:rFonts w:ascii="Arial" w:cs="Arial" w:eastAsia="Arial" w:hAnsi="Arial"/>
                <w:sz w:val="17"/>
                <w:szCs w:val="17"/>
                <w:color w:val="auto"/>
              </w:rPr>
              <w:t>145,000</w:t>
            </w:r>
          </w:p>
        </w:tc>
        <w:tc>
          <w:tcPr>
            <w:tcW w:w="100" w:type="dxa"/>
            <w:vAlign w:val="bottom"/>
          </w:tcPr>
          <w:p>
            <w:pPr>
              <w:spacing w:after="0"/>
              <w:rPr>
                <w:sz w:val="19"/>
                <w:szCs w:val="19"/>
                <w:color w:val="auto"/>
              </w:rPr>
            </w:pPr>
          </w:p>
        </w:tc>
        <w:tc>
          <w:tcPr>
            <w:tcW w:w="158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w w:val="90"/>
              </w:rPr>
              <w:t>Trafigura</w:t>
            </w:r>
            <w:r>
              <w:rPr>
                <w:rFonts w:ascii="Arial" w:cs="Arial" w:eastAsia="Arial" w:hAnsi="Arial"/>
                <w:sz w:val="22"/>
                <w:szCs w:val="22"/>
                <w:color w:val="auto"/>
                <w:w w:val="90"/>
                <w:vertAlign w:val="superscript"/>
              </w:rPr>
              <w:t>(7)</w:t>
            </w:r>
          </w:p>
        </w:tc>
        <w:tc>
          <w:tcPr>
            <w:tcW w:w="14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auto"/>
                <w:w w:val="85"/>
              </w:rPr>
              <w:t>Steam</w:t>
            </w:r>
          </w:p>
        </w:tc>
        <w:tc>
          <w:tcPr>
            <w:tcW w:w="222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91"/>
              </w:rPr>
              <w:t>November/December 2020</w:t>
            </w:r>
          </w:p>
        </w:tc>
        <w:tc>
          <w:tcPr>
            <w:tcW w:w="1380" w:type="dxa"/>
            <w:vAlign w:val="bottom"/>
            <w:vMerge w:val="restart"/>
          </w:tcPr>
          <w:p>
            <w:pPr>
              <w:jc w:val="center"/>
              <w:spacing w:after="0"/>
              <w:rPr>
                <w:sz w:val="20"/>
                <w:szCs w:val="20"/>
                <w:color w:val="auto"/>
              </w:rPr>
            </w:pPr>
            <w:r>
              <w:rPr>
                <w:rFonts w:ascii="Arial" w:cs="Arial" w:eastAsia="Arial" w:hAnsi="Arial"/>
                <w:sz w:val="17"/>
                <w:szCs w:val="17"/>
                <w:color w:val="auto"/>
                <w:w w:val="91"/>
              </w:rPr>
              <w:t>2021–2024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8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Methane Alison Victoria</w:t>
            </w:r>
          </w:p>
        </w:tc>
        <w:tc>
          <w:tcPr>
            <w:tcW w:w="620" w:type="dxa"/>
            <w:vAlign w:val="bottom"/>
            <w:vMerge w:val="restart"/>
          </w:tcPr>
          <w:p>
            <w:pPr>
              <w:jc w:val="center"/>
              <w:ind w:right="34"/>
              <w:spacing w:after="0"/>
              <w:rPr>
                <w:sz w:val="20"/>
                <w:szCs w:val="20"/>
                <w:color w:val="auto"/>
              </w:rPr>
            </w:pPr>
            <w:r>
              <w:rPr>
                <w:rFonts w:ascii="Arial" w:cs="Arial" w:eastAsia="Arial" w:hAnsi="Arial"/>
                <w:sz w:val="17"/>
                <w:szCs w:val="17"/>
                <w:color w:val="auto"/>
                <w:w w:val="89"/>
              </w:rPr>
              <w:t>2007</w:t>
            </w: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4</w:t>
            </w:r>
          </w:p>
        </w:tc>
        <w:tc>
          <w:tcPr>
            <w:tcW w:w="3080" w:type="dxa"/>
            <w:vAlign w:val="bottom"/>
            <w:gridSpan w:val="2"/>
            <w:shd w:val="clear" w:color="auto" w:fill="E5FFFF"/>
          </w:tcPr>
          <w:p>
            <w:pPr>
              <w:spacing w:after="0"/>
              <w:rPr>
                <w:sz w:val="20"/>
                <w:szCs w:val="20"/>
                <w:color w:val="auto"/>
              </w:rPr>
            </w:pPr>
            <w:r>
              <w:rPr>
                <w:rFonts w:ascii="Arial" w:cs="Arial" w:eastAsia="Arial" w:hAnsi="Arial"/>
                <w:sz w:val="17"/>
                <w:szCs w:val="17"/>
                <w:i w:val="1"/>
                <w:iCs w:val="1"/>
                <w:color w:val="auto"/>
              </w:rPr>
              <w:t>Methane Shirley Elisabeth</w:t>
            </w:r>
          </w:p>
        </w:tc>
        <w:tc>
          <w:tcPr>
            <w:tcW w:w="620" w:type="dxa"/>
            <w:vAlign w:val="bottom"/>
            <w:shd w:val="clear" w:color="auto" w:fill="E5FFFF"/>
          </w:tcPr>
          <w:p>
            <w:pPr>
              <w:jc w:val="center"/>
              <w:ind w:right="34"/>
              <w:spacing w:after="0"/>
              <w:rPr>
                <w:sz w:val="20"/>
                <w:szCs w:val="20"/>
                <w:color w:val="auto"/>
              </w:rPr>
            </w:pPr>
            <w:r>
              <w:rPr>
                <w:rFonts w:ascii="Arial" w:cs="Arial" w:eastAsia="Arial" w:hAnsi="Arial"/>
                <w:sz w:val="17"/>
                <w:szCs w:val="17"/>
                <w:color w:val="auto"/>
                <w:w w:val="89"/>
              </w:rPr>
              <w:t>2007</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ind w:left="320"/>
              <w:spacing w:after="0"/>
              <w:rPr>
                <w:sz w:val="20"/>
                <w:szCs w:val="20"/>
                <w:color w:val="auto"/>
              </w:rPr>
            </w:pPr>
            <w:r>
              <w:rPr>
                <w:rFonts w:ascii="Arial" w:cs="Arial" w:eastAsia="Arial" w:hAnsi="Arial"/>
                <w:sz w:val="17"/>
                <w:szCs w:val="17"/>
                <w:color w:val="auto"/>
              </w:rPr>
              <w:t>145,000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85"/>
              </w:rPr>
              <w:t>Steam</w:t>
            </w:r>
          </w:p>
        </w:tc>
        <w:tc>
          <w:tcPr>
            <w:tcW w:w="2220" w:type="dxa"/>
            <w:vAlign w:val="bottom"/>
            <w:gridSpan w:val="2"/>
            <w:shd w:val="clear" w:color="auto" w:fill="E5FFFF"/>
          </w:tcPr>
          <w:p>
            <w:pPr>
              <w:jc w:val="center"/>
              <w:ind w:right="80"/>
              <w:spacing w:after="0"/>
              <w:rPr>
                <w:sz w:val="20"/>
                <w:szCs w:val="20"/>
                <w:color w:val="auto"/>
              </w:rPr>
            </w:pPr>
            <w:r>
              <w:rPr>
                <w:rFonts w:ascii="Arial" w:cs="Arial" w:eastAsia="Arial" w:hAnsi="Arial"/>
                <w:sz w:val="17"/>
                <w:szCs w:val="17"/>
                <w:color w:val="auto"/>
                <w:w w:val="88"/>
              </w:rPr>
              <w:t>June 2020</w:t>
            </w:r>
          </w:p>
        </w:tc>
        <w:tc>
          <w:tcPr>
            <w:tcW w:w="1380" w:type="dxa"/>
            <w:vAlign w:val="bottom"/>
            <w:shd w:val="clear" w:color="auto" w:fill="E5FF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5</w:t>
            </w:r>
          </w:p>
        </w:tc>
        <w:tc>
          <w:tcPr>
            <w:tcW w:w="3080" w:type="dxa"/>
            <w:vAlign w:val="bottom"/>
            <w:gridSpan w:val="2"/>
          </w:tcPr>
          <w:p>
            <w:pPr>
              <w:spacing w:after="0"/>
              <w:rPr>
                <w:sz w:val="20"/>
                <w:szCs w:val="20"/>
                <w:color w:val="auto"/>
              </w:rPr>
            </w:pPr>
            <w:r>
              <w:rPr>
                <w:rFonts w:ascii="Arial" w:cs="Arial" w:eastAsia="Arial" w:hAnsi="Arial"/>
                <w:sz w:val="17"/>
                <w:szCs w:val="17"/>
                <w:i w:val="1"/>
                <w:iCs w:val="1"/>
                <w:color w:val="auto"/>
              </w:rPr>
              <w:t>Methane Heather Sally</w:t>
            </w:r>
          </w:p>
        </w:tc>
        <w:tc>
          <w:tcPr>
            <w:tcW w:w="620" w:type="dxa"/>
            <w:vAlign w:val="bottom"/>
          </w:tcPr>
          <w:p>
            <w:pPr>
              <w:jc w:val="center"/>
              <w:ind w:right="34"/>
              <w:spacing w:after="0"/>
              <w:rPr>
                <w:sz w:val="20"/>
                <w:szCs w:val="20"/>
                <w:color w:val="auto"/>
              </w:rPr>
            </w:pPr>
            <w:r>
              <w:rPr>
                <w:rFonts w:ascii="Arial" w:cs="Arial" w:eastAsia="Arial" w:hAnsi="Arial"/>
                <w:sz w:val="17"/>
                <w:szCs w:val="17"/>
                <w:color w:val="auto"/>
                <w:w w:val="89"/>
              </w:rPr>
              <w:t>2007</w:t>
            </w:r>
          </w:p>
        </w:tc>
        <w:tc>
          <w:tcPr>
            <w:tcW w:w="1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145,000</w:t>
            </w:r>
          </w:p>
        </w:tc>
        <w:tc>
          <w:tcPr>
            <w:tcW w:w="10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tcPr>
          <w:p>
            <w:pPr>
              <w:jc w:val="center"/>
              <w:ind w:right="60"/>
              <w:spacing w:after="0"/>
              <w:rPr>
                <w:sz w:val="20"/>
                <w:szCs w:val="20"/>
                <w:color w:val="auto"/>
              </w:rPr>
            </w:pPr>
            <w:r>
              <w:rPr>
                <w:rFonts w:ascii="Arial" w:cs="Arial" w:eastAsia="Arial" w:hAnsi="Arial"/>
                <w:sz w:val="17"/>
                <w:szCs w:val="17"/>
                <w:color w:val="auto"/>
                <w:w w:val="85"/>
              </w:rPr>
              <w:t>Steam</w:t>
            </w:r>
          </w:p>
        </w:tc>
        <w:tc>
          <w:tcPr>
            <w:tcW w:w="2220" w:type="dxa"/>
            <w:vAlign w:val="bottom"/>
            <w:gridSpan w:val="2"/>
          </w:tcPr>
          <w:p>
            <w:pPr>
              <w:jc w:val="center"/>
              <w:ind w:right="60"/>
              <w:spacing w:after="0"/>
              <w:rPr>
                <w:sz w:val="20"/>
                <w:szCs w:val="20"/>
                <w:color w:val="auto"/>
              </w:rPr>
            </w:pPr>
            <w:r>
              <w:rPr>
                <w:rFonts w:ascii="Arial" w:cs="Arial" w:eastAsia="Arial" w:hAnsi="Arial"/>
                <w:sz w:val="17"/>
                <w:szCs w:val="17"/>
                <w:color w:val="auto"/>
                <w:w w:val="89"/>
              </w:rPr>
              <w:t>December 2020</w:t>
            </w:r>
          </w:p>
        </w:tc>
        <w:tc>
          <w:tcPr>
            <w:tcW w:w="13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6</w:t>
            </w:r>
          </w:p>
        </w:tc>
        <w:tc>
          <w:tcPr>
            <w:tcW w:w="3080" w:type="dxa"/>
            <w:vAlign w:val="bottom"/>
            <w:gridSpan w:val="2"/>
            <w:shd w:val="clear" w:color="auto" w:fill="E5FFFF"/>
          </w:tcPr>
          <w:p>
            <w:pPr>
              <w:spacing w:after="0"/>
              <w:rPr>
                <w:sz w:val="20"/>
                <w:szCs w:val="20"/>
                <w:color w:val="auto"/>
              </w:rPr>
            </w:pPr>
            <w:r>
              <w:rPr>
                <w:rFonts w:ascii="Arial" w:cs="Arial" w:eastAsia="Arial" w:hAnsi="Arial"/>
                <w:sz w:val="17"/>
                <w:szCs w:val="17"/>
                <w:i w:val="1"/>
                <w:iCs w:val="1"/>
                <w:color w:val="auto"/>
              </w:rPr>
              <w:t>Methane Becki Anne</w:t>
            </w:r>
          </w:p>
        </w:tc>
        <w:tc>
          <w:tcPr>
            <w:tcW w:w="620" w:type="dxa"/>
            <w:vAlign w:val="bottom"/>
            <w:shd w:val="clear" w:color="auto" w:fill="E5FFFF"/>
          </w:tcPr>
          <w:p>
            <w:pPr>
              <w:jc w:val="center"/>
              <w:ind w:right="34"/>
              <w:spacing w:after="0"/>
              <w:rPr>
                <w:sz w:val="20"/>
                <w:szCs w:val="20"/>
                <w:color w:val="auto"/>
              </w:rPr>
            </w:pPr>
            <w:r>
              <w:rPr>
                <w:rFonts w:ascii="Arial" w:cs="Arial" w:eastAsia="Arial" w:hAnsi="Arial"/>
                <w:sz w:val="17"/>
                <w:szCs w:val="17"/>
                <w:color w:val="auto"/>
                <w:w w:val="89"/>
              </w:rPr>
              <w:t>2010</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ind w:left="320"/>
              <w:spacing w:after="0"/>
              <w:rPr>
                <w:sz w:val="20"/>
                <w:szCs w:val="20"/>
                <w:color w:val="auto"/>
              </w:rPr>
            </w:pPr>
            <w:r>
              <w:rPr>
                <w:rFonts w:ascii="Arial" w:cs="Arial" w:eastAsia="Arial" w:hAnsi="Arial"/>
                <w:sz w:val="17"/>
                <w:szCs w:val="17"/>
                <w:color w:val="auto"/>
              </w:rPr>
              <w:t>170,000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3"/>
              </w:rPr>
              <w:t>March 2024</w:t>
            </w:r>
          </w:p>
        </w:tc>
        <w:tc>
          <w:tcPr>
            <w:tcW w:w="13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2027-2029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7</w:t>
            </w:r>
          </w:p>
        </w:tc>
        <w:tc>
          <w:tcPr>
            <w:tcW w:w="3080" w:type="dxa"/>
            <w:vAlign w:val="bottom"/>
            <w:gridSpan w:val="2"/>
          </w:tcPr>
          <w:p>
            <w:pPr>
              <w:spacing w:after="0"/>
              <w:rPr>
                <w:sz w:val="20"/>
                <w:szCs w:val="20"/>
                <w:color w:val="auto"/>
              </w:rPr>
            </w:pPr>
            <w:r>
              <w:rPr>
                <w:rFonts w:ascii="Arial" w:cs="Arial" w:eastAsia="Arial" w:hAnsi="Arial"/>
                <w:sz w:val="17"/>
                <w:szCs w:val="17"/>
                <w:i w:val="1"/>
                <w:iCs w:val="1"/>
                <w:color w:val="auto"/>
              </w:rPr>
              <w:t>GasLog Shanghai</w:t>
            </w:r>
          </w:p>
        </w:tc>
        <w:tc>
          <w:tcPr>
            <w:tcW w:w="620" w:type="dxa"/>
            <w:vAlign w:val="bottom"/>
          </w:tcPr>
          <w:p>
            <w:pPr>
              <w:jc w:val="center"/>
              <w:ind w:right="34"/>
              <w:spacing w:after="0"/>
              <w:rPr>
                <w:sz w:val="20"/>
                <w:szCs w:val="20"/>
                <w:color w:val="auto"/>
              </w:rPr>
            </w:pPr>
            <w:r>
              <w:rPr>
                <w:rFonts w:ascii="Arial" w:cs="Arial" w:eastAsia="Arial" w:hAnsi="Arial"/>
                <w:sz w:val="17"/>
                <w:szCs w:val="17"/>
                <w:color w:val="auto"/>
                <w:w w:val="89"/>
              </w:rPr>
              <w:t>2013</w:t>
            </w:r>
          </w:p>
        </w:tc>
        <w:tc>
          <w:tcPr>
            <w:tcW w:w="1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155,000</w:t>
            </w:r>
          </w:p>
        </w:tc>
        <w:tc>
          <w:tcPr>
            <w:tcW w:w="100" w:type="dxa"/>
            <w:vAlign w:val="bottom"/>
          </w:tcPr>
          <w:p>
            <w:pPr>
              <w:spacing w:after="0"/>
              <w:rPr>
                <w:sz w:val="18"/>
                <w:szCs w:val="18"/>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7"/>
                <w:szCs w:val="17"/>
                <w:color w:val="auto"/>
                <w:w w:val="93"/>
              </w:rPr>
              <w:t>Gunvor</w:t>
            </w:r>
          </w:p>
        </w:tc>
        <w:tc>
          <w:tcPr>
            <w:tcW w:w="14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tcPr>
          <w:p>
            <w:pPr>
              <w:jc w:val="center"/>
              <w:ind w:right="60"/>
              <w:spacing w:after="0"/>
              <w:rPr>
                <w:sz w:val="20"/>
                <w:szCs w:val="20"/>
                <w:color w:val="auto"/>
              </w:rPr>
            </w:pPr>
            <w:r>
              <w:rPr>
                <w:rFonts w:ascii="Arial" w:cs="Arial" w:eastAsia="Arial" w:hAnsi="Arial"/>
                <w:sz w:val="17"/>
                <w:szCs w:val="17"/>
                <w:color w:val="auto"/>
                <w:w w:val="92"/>
              </w:rPr>
              <w:t>November 2022</w:t>
            </w:r>
          </w:p>
        </w:tc>
        <w:tc>
          <w:tcPr>
            <w:tcW w:w="13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8</w:t>
            </w:r>
          </w:p>
        </w:tc>
        <w:tc>
          <w:tcPr>
            <w:tcW w:w="3080" w:type="dxa"/>
            <w:vAlign w:val="bottom"/>
            <w:gridSpan w:val="2"/>
            <w:shd w:val="clear" w:color="auto" w:fill="E5FFFF"/>
          </w:tcPr>
          <w:p>
            <w:pPr>
              <w:spacing w:after="0"/>
              <w:rPr>
                <w:sz w:val="20"/>
                <w:szCs w:val="20"/>
                <w:color w:val="auto"/>
              </w:rPr>
            </w:pPr>
            <w:r>
              <w:rPr>
                <w:rFonts w:ascii="Arial" w:cs="Arial" w:eastAsia="Arial" w:hAnsi="Arial"/>
                <w:sz w:val="17"/>
                <w:szCs w:val="17"/>
                <w:i w:val="1"/>
                <w:iCs w:val="1"/>
                <w:color w:val="auto"/>
              </w:rPr>
              <w:t>GasLog Santiago</w:t>
            </w:r>
          </w:p>
        </w:tc>
        <w:tc>
          <w:tcPr>
            <w:tcW w:w="620" w:type="dxa"/>
            <w:vAlign w:val="bottom"/>
            <w:shd w:val="clear" w:color="auto" w:fill="E5FFFF"/>
          </w:tcPr>
          <w:p>
            <w:pPr>
              <w:jc w:val="center"/>
              <w:ind w:right="34"/>
              <w:spacing w:after="0"/>
              <w:rPr>
                <w:sz w:val="20"/>
                <w:szCs w:val="20"/>
                <w:color w:val="auto"/>
              </w:rPr>
            </w:pPr>
            <w:r>
              <w:rPr>
                <w:rFonts w:ascii="Arial" w:cs="Arial" w:eastAsia="Arial" w:hAnsi="Arial"/>
                <w:sz w:val="17"/>
                <w:szCs w:val="17"/>
                <w:color w:val="auto"/>
                <w:w w:val="89"/>
              </w:rPr>
              <w:t>2013</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ind w:left="320"/>
              <w:spacing w:after="0"/>
              <w:rPr>
                <w:sz w:val="20"/>
                <w:szCs w:val="20"/>
                <w:color w:val="auto"/>
              </w:rPr>
            </w:pPr>
            <w:r>
              <w:rPr>
                <w:rFonts w:ascii="Arial" w:cs="Arial" w:eastAsia="Arial" w:hAnsi="Arial"/>
                <w:sz w:val="17"/>
                <w:szCs w:val="17"/>
                <w:color w:val="auto"/>
              </w:rPr>
              <w:t>155,000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4"/>
              </w:rPr>
              <w:t>Trafigura</w:t>
            </w:r>
          </w:p>
        </w:tc>
        <w:tc>
          <w:tcPr>
            <w:tcW w:w="144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89"/>
              </w:rPr>
              <w:t>December 2021</w:t>
            </w:r>
          </w:p>
        </w:tc>
        <w:tc>
          <w:tcPr>
            <w:tcW w:w="13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2022-2028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9</w:t>
            </w:r>
          </w:p>
        </w:tc>
        <w:tc>
          <w:tcPr>
            <w:tcW w:w="3080" w:type="dxa"/>
            <w:vAlign w:val="bottom"/>
            <w:gridSpan w:val="2"/>
          </w:tcPr>
          <w:p>
            <w:pPr>
              <w:spacing w:after="0"/>
              <w:rPr>
                <w:sz w:val="20"/>
                <w:szCs w:val="20"/>
                <w:color w:val="auto"/>
              </w:rPr>
            </w:pPr>
            <w:r>
              <w:rPr>
                <w:rFonts w:ascii="Arial" w:cs="Arial" w:eastAsia="Arial" w:hAnsi="Arial"/>
                <w:sz w:val="17"/>
                <w:szCs w:val="17"/>
                <w:i w:val="1"/>
                <w:iCs w:val="1"/>
                <w:color w:val="auto"/>
              </w:rPr>
              <w:t>GasLog Sydney</w:t>
            </w:r>
          </w:p>
        </w:tc>
        <w:tc>
          <w:tcPr>
            <w:tcW w:w="620" w:type="dxa"/>
            <w:vAlign w:val="bottom"/>
          </w:tcPr>
          <w:p>
            <w:pPr>
              <w:jc w:val="center"/>
              <w:ind w:right="34"/>
              <w:spacing w:after="0"/>
              <w:rPr>
                <w:sz w:val="20"/>
                <w:szCs w:val="20"/>
                <w:color w:val="auto"/>
              </w:rPr>
            </w:pPr>
            <w:r>
              <w:rPr>
                <w:rFonts w:ascii="Arial" w:cs="Arial" w:eastAsia="Arial" w:hAnsi="Arial"/>
                <w:sz w:val="17"/>
                <w:szCs w:val="17"/>
                <w:color w:val="auto"/>
                <w:w w:val="89"/>
              </w:rPr>
              <w:t>2013</w:t>
            </w:r>
          </w:p>
        </w:tc>
        <w:tc>
          <w:tcPr>
            <w:tcW w:w="1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155,000</w:t>
            </w:r>
          </w:p>
        </w:tc>
        <w:tc>
          <w:tcPr>
            <w:tcW w:w="10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7"/>
                <w:szCs w:val="17"/>
                <w:color w:val="auto"/>
                <w:w w:val="89"/>
              </w:rPr>
              <w:t>Cheniere</w:t>
            </w:r>
          </w:p>
        </w:tc>
        <w:tc>
          <w:tcPr>
            <w:tcW w:w="14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June 2020</w:t>
            </w: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2020-2021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10</w:t>
            </w:r>
          </w:p>
        </w:tc>
        <w:tc>
          <w:tcPr>
            <w:tcW w:w="3080" w:type="dxa"/>
            <w:vAlign w:val="bottom"/>
            <w:gridSpan w:val="2"/>
            <w:shd w:val="clear" w:color="auto" w:fill="E5FFFF"/>
          </w:tcPr>
          <w:p>
            <w:pPr>
              <w:spacing w:after="0"/>
              <w:rPr>
                <w:sz w:val="20"/>
                <w:szCs w:val="20"/>
                <w:color w:val="auto"/>
              </w:rPr>
            </w:pPr>
            <w:r>
              <w:rPr>
                <w:rFonts w:ascii="Arial" w:cs="Arial" w:eastAsia="Arial" w:hAnsi="Arial"/>
                <w:sz w:val="17"/>
                <w:szCs w:val="17"/>
                <w:i w:val="1"/>
                <w:iCs w:val="1"/>
                <w:color w:val="auto"/>
              </w:rPr>
              <w:t>GasLog Seattle</w:t>
            </w:r>
          </w:p>
        </w:tc>
        <w:tc>
          <w:tcPr>
            <w:tcW w:w="620" w:type="dxa"/>
            <w:vAlign w:val="bottom"/>
            <w:shd w:val="clear" w:color="auto" w:fill="E5FFFF"/>
          </w:tcPr>
          <w:p>
            <w:pPr>
              <w:jc w:val="center"/>
              <w:ind w:right="34"/>
              <w:spacing w:after="0"/>
              <w:rPr>
                <w:sz w:val="20"/>
                <w:szCs w:val="20"/>
                <w:color w:val="auto"/>
              </w:rPr>
            </w:pPr>
            <w:r>
              <w:rPr>
                <w:rFonts w:ascii="Arial" w:cs="Arial" w:eastAsia="Arial" w:hAnsi="Arial"/>
                <w:sz w:val="17"/>
                <w:szCs w:val="17"/>
                <w:color w:val="auto"/>
                <w:w w:val="89"/>
              </w:rPr>
              <w:t>2013</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ind w:left="320"/>
              <w:spacing w:after="0"/>
              <w:rPr>
                <w:sz w:val="20"/>
                <w:szCs w:val="20"/>
                <w:color w:val="auto"/>
              </w:rPr>
            </w:pPr>
            <w:r>
              <w:rPr>
                <w:rFonts w:ascii="Arial" w:cs="Arial" w:eastAsia="Arial" w:hAnsi="Arial"/>
                <w:sz w:val="17"/>
                <w:szCs w:val="17"/>
                <w:color w:val="auto"/>
              </w:rPr>
              <w:t>155,000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shd w:val="clear" w:color="auto" w:fill="E5FFFF"/>
          </w:tcPr>
          <w:p>
            <w:pPr>
              <w:jc w:val="center"/>
              <w:ind w:right="80"/>
              <w:spacing w:after="0"/>
              <w:rPr>
                <w:sz w:val="20"/>
                <w:szCs w:val="20"/>
                <w:color w:val="auto"/>
              </w:rPr>
            </w:pPr>
            <w:r>
              <w:rPr>
                <w:rFonts w:ascii="Arial" w:cs="Arial" w:eastAsia="Arial" w:hAnsi="Arial"/>
                <w:sz w:val="17"/>
                <w:szCs w:val="17"/>
                <w:color w:val="auto"/>
                <w:w w:val="88"/>
              </w:rPr>
              <w:t>June 2021</w:t>
            </w:r>
          </w:p>
        </w:tc>
        <w:tc>
          <w:tcPr>
            <w:tcW w:w="1380" w:type="dxa"/>
            <w:vAlign w:val="bottom"/>
            <w:shd w:val="clear" w:color="auto" w:fill="E5FFFF"/>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11</w:t>
            </w:r>
          </w:p>
        </w:tc>
        <w:tc>
          <w:tcPr>
            <w:tcW w:w="3080" w:type="dxa"/>
            <w:vAlign w:val="bottom"/>
            <w:gridSpan w:val="2"/>
          </w:tcPr>
          <w:p>
            <w:pPr>
              <w:spacing w:after="0"/>
              <w:rPr>
                <w:sz w:val="20"/>
                <w:szCs w:val="20"/>
                <w:color w:val="auto"/>
              </w:rPr>
            </w:pPr>
            <w:r>
              <w:rPr>
                <w:rFonts w:ascii="Arial" w:cs="Arial" w:eastAsia="Arial" w:hAnsi="Arial"/>
                <w:sz w:val="17"/>
                <w:szCs w:val="17"/>
                <w:i w:val="1"/>
                <w:iCs w:val="1"/>
                <w:color w:val="auto"/>
              </w:rPr>
              <w:t>Solaris</w:t>
            </w:r>
          </w:p>
        </w:tc>
        <w:tc>
          <w:tcPr>
            <w:tcW w:w="620" w:type="dxa"/>
            <w:vAlign w:val="bottom"/>
          </w:tcPr>
          <w:p>
            <w:pPr>
              <w:jc w:val="center"/>
              <w:ind w:right="34"/>
              <w:spacing w:after="0"/>
              <w:rPr>
                <w:sz w:val="20"/>
                <w:szCs w:val="20"/>
                <w:color w:val="auto"/>
              </w:rPr>
            </w:pPr>
            <w:r>
              <w:rPr>
                <w:rFonts w:ascii="Arial" w:cs="Arial" w:eastAsia="Arial" w:hAnsi="Arial"/>
                <w:sz w:val="17"/>
                <w:szCs w:val="17"/>
                <w:color w:val="auto"/>
                <w:w w:val="89"/>
              </w:rPr>
              <w:t>2014</w:t>
            </w:r>
          </w:p>
        </w:tc>
        <w:tc>
          <w:tcPr>
            <w:tcW w:w="1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155,000</w:t>
            </w:r>
          </w:p>
        </w:tc>
        <w:tc>
          <w:tcPr>
            <w:tcW w:w="10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June 2021</w:t>
            </w:r>
          </w:p>
        </w:tc>
        <w:tc>
          <w:tcPr>
            <w:tcW w:w="13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12</w:t>
            </w:r>
          </w:p>
        </w:tc>
        <w:tc>
          <w:tcPr>
            <w:tcW w:w="3080" w:type="dxa"/>
            <w:vAlign w:val="bottom"/>
            <w:gridSpan w:val="2"/>
            <w:shd w:val="clear" w:color="auto" w:fill="E5FFFF"/>
          </w:tcPr>
          <w:p>
            <w:pPr>
              <w:spacing w:after="0"/>
              <w:rPr>
                <w:sz w:val="20"/>
                <w:szCs w:val="20"/>
                <w:color w:val="auto"/>
              </w:rPr>
            </w:pPr>
            <w:r>
              <w:rPr>
                <w:rFonts w:ascii="Arial" w:cs="Arial" w:eastAsia="Arial" w:hAnsi="Arial"/>
                <w:sz w:val="17"/>
                <w:szCs w:val="17"/>
                <w:i w:val="1"/>
                <w:iCs w:val="1"/>
                <w:color w:val="auto"/>
              </w:rPr>
              <w:t>GasLog Greece</w:t>
            </w:r>
          </w:p>
        </w:tc>
        <w:tc>
          <w:tcPr>
            <w:tcW w:w="620" w:type="dxa"/>
            <w:vAlign w:val="bottom"/>
            <w:shd w:val="clear" w:color="auto" w:fill="E5FFFF"/>
          </w:tcPr>
          <w:p>
            <w:pPr>
              <w:jc w:val="center"/>
              <w:ind w:right="34"/>
              <w:spacing w:after="0"/>
              <w:rPr>
                <w:sz w:val="20"/>
                <w:szCs w:val="20"/>
                <w:color w:val="auto"/>
              </w:rPr>
            </w:pPr>
            <w:r>
              <w:rPr>
                <w:rFonts w:ascii="Arial" w:cs="Arial" w:eastAsia="Arial" w:hAnsi="Arial"/>
                <w:sz w:val="17"/>
                <w:szCs w:val="17"/>
                <w:color w:val="auto"/>
                <w:w w:val="89"/>
              </w:rPr>
              <w:t>2016</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ind w:left="320"/>
              <w:spacing w:after="0"/>
              <w:rPr>
                <w:sz w:val="20"/>
                <w:szCs w:val="20"/>
                <w:color w:val="auto"/>
              </w:rPr>
            </w:pPr>
            <w:r>
              <w:rPr>
                <w:rFonts w:ascii="Arial" w:cs="Arial" w:eastAsia="Arial" w:hAnsi="Arial"/>
                <w:sz w:val="17"/>
                <w:szCs w:val="17"/>
                <w:color w:val="auto"/>
              </w:rPr>
              <w:t>174,000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3"/>
              </w:rPr>
              <w:t>March 2026</w:t>
            </w:r>
          </w:p>
        </w:tc>
        <w:tc>
          <w:tcPr>
            <w:tcW w:w="13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9"/>
              </w:rPr>
              <w:t>2031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13</w:t>
            </w:r>
          </w:p>
        </w:tc>
        <w:tc>
          <w:tcPr>
            <w:tcW w:w="3080" w:type="dxa"/>
            <w:vAlign w:val="bottom"/>
            <w:gridSpan w:val="2"/>
          </w:tcPr>
          <w:p>
            <w:pPr>
              <w:spacing w:after="0"/>
              <w:rPr>
                <w:sz w:val="20"/>
                <w:szCs w:val="20"/>
                <w:color w:val="auto"/>
              </w:rPr>
            </w:pPr>
            <w:r>
              <w:rPr>
                <w:rFonts w:ascii="Arial" w:cs="Arial" w:eastAsia="Arial" w:hAnsi="Arial"/>
                <w:sz w:val="17"/>
                <w:szCs w:val="17"/>
                <w:i w:val="1"/>
                <w:iCs w:val="1"/>
                <w:color w:val="auto"/>
              </w:rPr>
              <w:t>GasLog Geneva</w:t>
            </w:r>
          </w:p>
        </w:tc>
        <w:tc>
          <w:tcPr>
            <w:tcW w:w="620" w:type="dxa"/>
            <w:vAlign w:val="bottom"/>
          </w:tcPr>
          <w:p>
            <w:pPr>
              <w:jc w:val="center"/>
              <w:ind w:right="34"/>
              <w:spacing w:after="0"/>
              <w:rPr>
                <w:sz w:val="20"/>
                <w:szCs w:val="20"/>
                <w:color w:val="auto"/>
              </w:rPr>
            </w:pPr>
            <w:r>
              <w:rPr>
                <w:rFonts w:ascii="Arial" w:cs="Arial" w:eastAsia="Arial" w:hAnsi="Arial"/>
                <w:sz w:val="17"/>
                <w:szCs w:val="17"/>
                <w:color w:val="auto"/>
                <w:w w:val="89"/>
              </w:rPr>
              <w:t>2016</w:t>
            </w:r>
          </w:p>
        </w:tc>
        <w:tc>
          <w:tcPr>
            <w:tcW w:w="120" w:type="dxa"/>
            <w:vAlign w:val="bottom"/>
          </w:tcPr>
          <w:p>
            <w:pPr>
              <w:spacing w:after="0"/>
              <w:rPr>
                <w:sz w:val="18"/>
                <w:szCs w:val="18"/>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174,000</w:t>
            </w:r>
          </w:p>
        </w:tc>
        <w:tc>
          <w:tcPr>
            <w:tcW w:w="10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tcPr>
          <w:p>
            <w:pPr>
              <w:jc w:val="center"/>
              <w:ind w:right="60"/>
              <w:spacing w:after="0"/>
              <w:rPr>
                <w:sz w:val="20"/>
                <w:szCs w:val="20"/>
                <w:color w:val="auto"/>
              </w:rPr>
            </w:pPr>
            <w:r>
              <w:rPr>
                <w:rFonts w:ascii="Arial" w:cs="Arial" w:eastAsia="Arial" w:hAnsi="Arial"/>
                <w:sz w:val="17"/>
                <w:szCs w:val="17"/>
                <w:color w:val="auto"/>
                <w:w w:val="89"/>
              </w:rPr>
              <w:t>September 2023</w:t>
            </w:r>
          </w:p>
        </w:tc>
        <w:tc>
          <w:tcPr>
            <w:tcW w:w="1380" w:type="dxa"/>
            <w:vAlign w:val="bottom"/>
          </w:tcPr>
          <w:p>
            <w:pPr>
              <w:jc w:val="center"/>
              <w:spacing w:after="0"/>
              <w:rPr>
                <w:sz w:val="20"/>
                <w:szCs w:val="20"/>
                <w:color w:val="auto"/>
              </w:rPr>
            </w:pPr>
            <w:r>
              <w:rPr>
                <w:rFonts w:ascii="Arial" w:cs="Arial" w:eastAsia="Arial" w:hAnsi="Arial"/>
                <w:sz w:val="17"/>
                <w:szCs w:val="17"/>
                <w:color w:val="auto"/>
                <w:w w:val="90"/>
              </w:rPr>
              <w:t>2028-2031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14</w:t>
            </w:r>
          </w:p>
        </w:tc>
        <w:tc>
          <w:tcPr>
            <w:tcW w:w="3080" w:type="dxa"/>
            <w:vAlign w:val="bottom"/>
            <w:gridSpan w:val="2"/>
            <w:shd w:val="clear" w:color="auto" w:fill="E5FFFF"/>
          </w:tcPr>
          <w:p>
            <w:pPr>
              <w:spacing w:after="0"/>
              <w:rPr>
                <w:sz w:val="20"/>
                <w:szCs w:val="20"/>
                <w:color w:val="auto"/>
              </w:rPr>
            </w:pPr>
            <w:r>
              <w:rPr>
                <w:rFonts w:ascii="Arial" w:cs="Arial" w:eastAsia="Arial" w:hAnsi="Arial"/>
                <w:sz w:val="17"/>
                <w:szCs w:val="17"/>
                <w:i w:val="1"/>
                <w:iCs w:val="1"/>
                <w:color w:val="auto"/>
              </w:rPr>
              <w:t>GasLog Gibraltar</w:t>
            </w:r>
          </w:p>
        </w:tc>
        <w:tc>
          <w:tcPr>
            <w:tcW w:w="620" w:type="dxa"/>
            <w:vAlign w:val="bottom"/>
            <w:shd w:val="clear" w:color="auto" w:fill="E5FFFF"/>
          </w:tcPr>
          <w:p>
            <w:pPr>
              <w:jc w:val="center"/>
              <w:ind w:right="34"/>
              <w:spacing w:after="0"/>
              <w:rPr>
                <w:sz w:val="20"/>
                <w:szCs w:val="20"/>
                <w:color w:val="auto"/>
              </w:rPr>
            </w:pPr>
            <w:r>
              <w:rPr>
                <w:rFonts w:ascii="Arial" w:cs="Arial" w:eastAsia="Arial" w:hAnsi="Arial"/>
                <w:sz w:val="17"/>
                <w:szCs w:val="17"/>
                <w:color w:val="auto"/>
                <w:w w:val="89"/>
              </w:rPr>
              <w:t>2016</w:t>
            </w:r>
          </w:p>
        </w:tc>
        <w:tc>
          <w:tcPr>
            <w:tcW w:w="120" w:type="dxa"/>
            <w:vAlign w:val="bottom"/>
            <w:shd w:val="clear" w:color="auto" w:fill="E5FFFF"/>
          </w:tcPr>
          <w:p>
            <w:pPr>
              <w:spacing w:after="0"/>
              <w:rPr>
                <w:sz w:val="18"/>
                <w:szCs w:val="18"/>
                <w:color w:val="auto"/>
              </w:rPr>
            </w:pPr>
          </w:p>
        </w:tc>
        <w:tc>
          <w:tcPr>
            <w:tcW w:w="1040" w:type="dxa"/>
            <w:vAlign w:val="bottom"/>
            <w:shd w:val="clear" w:color="auto" w:fill="E5FFFF"/>
          </w:tcPr>
          <w:p>
            <w:pPr>
              <w:ind w:left="320"/>
              <w:spacing w:after="0"/>
              <w:rPr>
                <w:sz w:val="20"/>
                <w:szCs w:val="20"/>
                <w:color w:val="auto"/>
              </w:rPr>
            </w:pPr>
            <w:r>
              <w:rPr>
                <w:rFonts w:ascii="Arial" w:cs="Arial" w:eastAsia="Arial" w:hAnsi="Arial"/>
                <w:sz w:val="17"/>
                <w:szCs w:val="17"/>
                <w:color w:val="auto"/>
              </w:rPr>
              <w:t>174,000</w:t>
            </w:r>
          </w:p>
        </w:tc>
        <w:tc>
          <w:tcPr>
            <w:tcW w:w="100" w:type="dxa"/>
            <w:vAlign w:val="bottom"/>
            <w:shd w:val="clear" w:color="auto" w:fill="E5FFFF"/>
          </w:tcPr>
          <w:p>
            <w:pPr>
              <w:spacing w:after="0"/>
              <w:rPr>
                <w:sz w:val="18"/>
                <w:szCs w:val="18"/>
                <w:color w:val="auto"/>
              </w:rPr>
            </w:pPr>
          </w:p>
        </w:tc>
        <w:tc>
          <w:tcPr>
            <w:tcW w:w="1580" w:type="dxa"/>
            <w:vAlign w:val="bottom"/>
            <w:gridSpan w:val="2"/>
            <w:shd w:val="clear" w:color="auto" w:fill="E5FFFF"/>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shd w:val="clear" w:color="auto" w:fill="E5FFFF"/>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shd w:val="clear" w:color="auto" w:fill="E5FFFF"/>
          </w:tcPr>
          <w:p>
            <w:pPr>
              <w:jc w:val="center"/>
              <w:ind w:right="80"/>
              <w:spacing w:after="0"/>
              <w:rPr>
                <w:sz w:val="20"/>
                <w:szCs w:val="20"/>
                <w:color w:val="auto"/>
              </w:rPr>
            </w:pPr>
            <w:r>
              <w:rPr>
                <w:rFonts w:ascii="Arial" w:cs="Arial" w:eastAsia="Arial" w:hAnsi="Arial"/>
                <w:sz w:val="17"/>
                <w:szCs w:val="17"/>
                <w:color w:val="auto"/>
                <w:w w:val="91"/>
              </w:rPr>
              <w:t>October 2023</w:t>
            </w:r>
          </w:p>
        </w:tc>
        <w:tc>
          <w:tcPr>
            <w:tcW w:w="13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2028-2031</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7"/>
                <w:szCs w:val="17"/>
                <w:b w:val="1"/>
                <w:bCs w:val="1"/>
                <w:color w:val="auto"/>
              </w:rPr>
              <w:t>15</w:t>
            </w:r>
          </w:p>
        </w:tc>
        <w:tc>
          <w:tcPr>
            <w:tcW w:w="3080" w:type="dxa"/>
            <w:vAlign w:val="bottom"/>
            <w:gridSpan w:val="2"/>
          </w:tcPr>
          <w:p>
            <w:pPr>
              <w:spacing w:after="0"/>
              <w:rPr>
                <w:sz w:val="20"/>
                <w:szCs w:val="20"/>
                <w:color w:val="auto"/>
              </w:rPr>
            </w:pPr>
            <w:r>
              <w:rPr>
                <w:rFonts w:ascii="Arial" w:cs="Arial" w:eastAsia="Arial" w:hAnsi="Arial"/>
                <w:sz w:val="17"/>
                <w:szCs w:val="17"/>
                <w:i w:val="1"/>
                <w:iCs w:val="1"/>
                <w:color w:val="auto"/>
              </w:rPr>
              <w:t>GasLog Glasgow</w:t>
            </w:r>
            <w:r>
              <w:rPr>
                <w:rFonts w:ascii="Arial" w:cs="Arial" w:eastAsia="Arial" w:hAnsi="Arial"/>
                <w:sz w:val="22"/>
                <w:szCs w:val="22"/>
                <w:color w:val="auto"/>
                <w:vertAlign w:val="superscript"/>
              </w:rPr>
              <w:t>(5)</w:t>
            </w:r>
          </w:p>
        </w:tc>
        <w:tc>
          <w:tcPr>
            <w:tcW w:w="620" w:type="dxa"/>
            <w:vAlign w:val="bottom"/>
          </w:tcPr>
          <w:p>
            <w:pPr>
              <w:jc w:val="center"/>
              <w:ind w:right="34"/>
              <w:spacing w:after="0"/>
              <w:rPr>
                <w:sz w:val="20"/>
                <w:szCs w:val="20"/>
                <w:color w:val="auto"/>
              </w:rPr>
            </w:pPr>
            <w:r>
              <w:rPr>
                <w:rFonts w:ascii="Arial" w:cs="Arial" w:eastAsia="Arial" w:hAnsi="Arial"/>
                <w:sz w:val="17"/>
                <w:szCs w:val="17"/>
                <w:color w:val="auto"/>
                <w:w w:val="89"/>
              </w:rPr>
              <w:t>2016</w:t>
            </w:r>
          </w:p>
        </w:tc>
        <w:tc>
          <w:tcPr>
            <w:tcW w:w="12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17"/>
                <w:szCs w:val="17"/>
                <w:color w:val="auto"/>
              </w:rPr>
              <w:t>174,000</w:t>
            </w:r>
          </w:p>
        </w:tc>
        <w:tc>
          <w:tcPr>
            <w:tcW w:w="100" w:type="dxa"/>
            <w:vAlign w:val="bottom"/>
          </w:tcPr>
          <w:p>
            <w:pPr>
              <w:spacing w:after="0"/>
              <w:rPr>
                <w:sz w:val="24"/>
                <w:szCs w:val="24"/>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7"/>
                <w:szCs w:val="17"/>
                <w:color w:val="auto"/>
                <w:w w:val="89"/>
              </w:rPr>
              <w:t>Shell</w:t>
            </w:r>
          </w:p>
        </w:tc>
        <w:tc>
          <w:tcPr>
            <w:tcW w:w="1440" w:type="dxa"/>
            <w:vAlign w:val="bottom"/>
            <w:gridSpan w:val="2"/>
          </w:tcPr>
          <w:p>
            <w:pPr>
              <w:jc w:val="center"/>
              <w:ind w:right="60"/>
              <w:spacing w:after="0"/>
              <w:rPr>
                <w:sz w:val="20"/>
                <w:szCs w:val="20"/>
                <w:color w:val="auto"/>
              </w:rPr>
            </w:pPr>
            <w:r>
              <w:rPr>
                <w:rFonts w:ascii="Arial" w:cs="Arial" w:eastAsia="Arial" w:hAnsi="Arial"/>
                <w:sz w:val="17"/>
                <w:szCs w:val="17"/>
                <w:color w:val="auto"/>
                <w:w w:val="94"/>
              </w:rPr>
              <w:t>TFDE</w:t>
            </w:r>
          </w:p>
        </w:tc>
        <w:tc>
          <w:tcPr>
            <w:tcW w:w="222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June 2026</w:t>
            </w:r>
          </w:p>
        </w:tc>
        <w:tc>
          <w:tcPr>
            <w:tcW w:w="1380" w:type="dxa"/>
            <w:vAlign w:val="bottom"/>
          </w:tcPr>
          <w:p>
            <w:pPr>
              <w:jc w:val="center"/>
              <w:spacing w:after="0"/>
              <w:rPr>
                <w:sz w:val="20"/>
                <w:szCs w:val="20"/>
                <w:color w:val="auto"/>
              </w:rPr>
            </w:pPr>
            <w:r>
              <w:rPr>
                <w:rFonts w:ascii="Arial" w:cs="Arial" w:eastAsia="Arial" w:hAnsi="Arial"/>
                <w:sz w:val="17"/>
                <w:szCs w:val="17"/>
                <w:color w:val="auto"/>
                <w:w w:val="89"/>
              </w:rPr>
              <w:t>2031</w:t>
            </w:r>
          </w:p>
        </w:tc>
        <w:tc>
          <w:tcPr>
            <w:tcW w:w="0" w:type="dxa"/>
            <w:vAlign w:val="bottom"/>
          </w:tcPr>
          <w:p>
            <w:pPr>
              <w:spacing w:after="0"/>
              <w:rPr>
                <w:sz w:val="1"/>
                <w:szCs w:val="1"/>
                <w:color w:val="auto"/>
              </w:rPr>
            </w:pPr>
          </w:p>
        </w:tc>
      </w:tr>
      <w:tr>
        <w:trPr>
          <w:trHeight w:val="351"/>
        </w:trPr>
        <w:tc>
          <w:tcPr>
            <w:tcW w:w="350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Bareboat Vessel</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Cargo</w:t>
            </w: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7"/>
                <w:szCs w:val="17"/>
                <w:b w:val="1"/>
                <w:bCs w:val="1"/>
                <w:color w:val="auto"/>
              </w:rPr>
              <w:t>Year</w:t>
            </w:r>
          </w:p>
        </w:tc>
        <w:tc>
          <w:tcPr>
            <w:tcW w:w="11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Capacity</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Charter</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5"/>
              </w:rPr>
              <w:t>Optional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80" w:type="dxa"/>
            <w:vAlign w:val="bottom"/>
            <w:gridSpan w:val="2"/>
          </w:tcPr>
          <w:p>
            <w:pPr>
              <w:ind w:left="820"/>
              <w:spacing w:after="0"/>
              <w:rPr>
                <w:sz w:val="20"/>
                <w:szCs w:val="20"/>
                <w:color w:val="auto"/>
              </w:rPr>
            </w:pPr>
            <w:r>
              <w:rPr>
                <w:rFonts w:ascii="Arial" w:cs="Arial" w:eastAsia="Arial" w:hAnsi="Arial"/>
                <w:sz w:val="17"/>
                <w:szCs w:val="17"/>
                <w:b w:val="1"/>
                <w:bCs w:val="1"/>
                <w:color w:val="auto"/>
              </w:rPr>
              <w:t>Vessel Name</w:t>
            </w:r>
          </w:p>
        </w:tc>
        <w:tc>
          <w:tcPr>
            <w:tcW w:w="740" w:type="dxa"/>
            <w:vAlign w:val="bottom"/>
            <w:gridSpan w:val="2"/>
          </w:tcPr>
          <w:p>
            <w:pPr>
              <w:ind w:left="140"/>
              <w:spacing w:after="0"/>
              <w:rPr>
                <w:sz w:val="20"/>
                <w:szCs w:val="20"/>
                <w:color w:val="auto"/>
              </w:rPr>
            </w:pPr>
            <w:r>
              <w:rPr>
                <w:rFonts w:ascii="Arial" w:cs="Arial" w:eastAsia="Arial" w:hAnsi="Arial"/>
                <w:sz w:val="17"/>
                <w:szCs w:val="17"/>
                <w:b w:val="1"/>
                <w:bCs w:val="1"/>
                <w:color w:val="auto"/>
              </w:rPr>
              <w:t>Built</w:t>
            </w:r>
          </w:p>
        </w:tc>
        <w:tc>
          <w:tcPr>
            <w:tcW w:w="1140" w:type="dxa"/>
            <w:vAlign w:val="bottom"/>
            <w:gridSpan w:val="2"/>
          </w:tcPr>
          <w:p>
            <w:pPr>
              <w:ind w:left="300"/>
              <w:spacing w:after="0"/>
              <w:rPr>
                <w:sz w:val="20"/>
                <w:szCs w:val="20"/>
                <w:color w:val="auto"/>
              </w:rPr>
            </w:pPr>
            <w:r>
              <w:rPr>
                <w:rFonts w:ascii="Arial" w:cs="Arial" w:eastAsia="Arial" w:hAnsi="Arial"/>
                <w:sz w:val="17"/>
                <w:szCs w:val="17"/>
                <w:b w:val="1"/>
                <w:bCs w:val="1"/>
                <w:color w:val="auto"/>
              </w:rPr>
              <w:t>(cbm)</w:t>
            </w:r>
          </w:p>
        </w:tc>
        <w:tc>
          <w:tcPr>
            <w:tcW w:w="15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6"/>
              </w:rPr>
              <w:t>Charterer</w:t>
            </w:r>
          </w:p>
        </w:tc>
        <w:tc>
          <w:tcPr>
            <w:tcW w:w="1440" w:type="dxa"/>
            <w:vAlign w:val="bottom"/>
            <w:gridSpan w:val="2"/>
          </w:tcPr>
          <w:p>
            <w:pPr>
              <w:jc w:val="center"/>
              <w:ind w:right="120"/>
              <w:spacing w:after="0" w:line="229" w:lineRule="exact"/>
              <w:rPr>
                <w:sz w:val="20"/>
                <w:szCs w:val="20"/>
                <w:color w:val="auto"/>
              </w:rPr>
            </w:pPr>
            <w:r>
              <w:rPr>
                <w:rFonts w:ascii="Arial" w:cs="Arial" w:eastAsia="Arial" w:hAnsi="Arial"/>
                <w:sz w:val="17"/>
                <w:szCs w:val="17"/>
                <w:b w:val="1"/>
                <w:bCs w:val="1"/>
                <w:color w:val="auto"/>
                <w:w w:val="86"/>
              </w:rPr>
              <w:t>Propulsion</w:t>
            </w:r>
            <w:r>
              <w:rPr>
                <w:rFonts w:ascii="Arial" w:cs="Arial" w:eastAsia="Arial" w:hAnsi="Arial"/>
                <w:sz w:val="22"/>
                <w:szCs w:val="22"/>
                <w:b w:val="1"/>
                <w:bCs w:val="1"/>
                <w:color w:val="auto"/>
                <w:w w:val="86"/>
                <w:vertAlign w:val="superscript"/>
              </w:rPr>
              <w:t>(1)</w:t>
            </w:r>
          </w:p>
        </w:tc>
        <w:tc>
          <w:tcPr>
            <w:tcW w:w="2220" w:type="dxa"/>
            <w:vAlign w:val="bottom"/>
            <w:gridSpan w:val="2"/>
          </w:tcPr>
          <w:p>
            <w:pPr>
              <w:jc w:val="center"/>
              <w:ind w:right="120"/>
              <w:spacing w:after="0" w:line="229" w:lineRule="exact"/>
              <w:rPr>
                <w:sz w:val="20"/>
                <w:szCs w:val="20"/>
                <w:color w:val="auto"/>
              </w:rPr>
            </w:pPr>
            <w:r>
              <w:rPr>
                <w:rFonts w:ascii="Arial" w:cs="Arial" w:eastAsia="Arial" w:hAnsi="Arial"/>
                <w:sz w:val="17"/>
                <w:szCs w:val="17"/>
                <w:b w:val="1"/>
                <w:bCs w:val="1"/>
                <w:color w:val="auto"/>
                <w:w w:val="92"/>
              </w:rPr>
              <w:t>Expiration</w:t>
            </w:r>
            <w:r>
              <w:rPr>
                <w:rFonts w:ascii="Arial" w:cs="Arial" w:eastAsia="Arial" w:hAnsi="Arial"/>
                <w:sz w:val="22"/>
                <w:szCs w:val="22"/>
                <w:b w:val="1"/>
                <w:bCs w:val="1"/>
                <w:color w:val="auto"/>
                <w:w w:val="92"/>
                <w:vertAlign w:val="superscript"/>
              </w:rPr>
              <w:t>(2)</w:t>
            </w:r>
          </w:p>
        </w:tc>
        <w:tc>
          <w:tcPr>
            <w:tcW w:w="1380" w:type="dxa"/>
            <w:vAlign w:val="bottom"/>
          </w:tcPr>
          <w:p>
            <w:pPr>
              <w:jc w:val="center"/>
              <w:spacing w:after="0" w:line="229" w:lineRule="exact"/>
              <w:rPr>
                <w:sz w:val="20"/>
                <w:szCs w:val="20"/>
                <w:color w:val="auto"/>
              </w:rPr>
            </w:pPr>
            <w:r>
              <w:rPr>
                <w:rFonts w:ascii="Arial" w:cs="Arial" w:eastAsia="Arial" w:hAnsi="Arial"/>
                <w:sz w:val="17"/>
                <w:szCs w:val="17"/>
                <w:b w:val="1"/>
                <w:bCs w:val="1"/>
                <w:color w:val="auto"/>
                <w:w w:val="87"/>
              </w:rPr>
              <w:t>Period</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b w:val="1"/>
                <w:bCs w:val="1"/>
                <w:color w:val="auto"/>
              </w:rPr>
              <w:t>1</w:t>
            </w:r>
          </w:p>
        </w:tc>
        <w:tc>
          <w:tcPr>
            <w:tcW w:w="2960" w:type="dxa"/>
            <w:vAlign w:val="bottom"/>
            <w:tcBorders>
              <w:top w:val="single" w:sz="8" w:color="auto"/>
            </w:tcBorders>
            <w:shd w:val="clear" w:color="auto" w:fill="E5FFFF"/>
          </w:tcPr>
          <w:p>
            <w:pPr>
              <w:spacing w:after="0" w:line="208" w:lineRule="exact"/>
              <w:rPr>
                <w:sz w:val="20"/>
                <w:szCs w:val="20"/>
                <w:color w:val="auto"/>
              </w:rPr>
            </w:pPr>
            <w:r>
              <w:rPr>
                <w:rFonts w:ascii="Arial" w:cs="Arial" w:eastAsia="Arial" w:hAnsi="Arial"/>
                <w:sz w:val="17"/>
                <w:szCs w:val="17"/>
                <w:i w:val="1"/>
                <w:iCs w:val="1"/>
                <w:color w:val="auto"/>
              </w:rPr>
              <w:t xml:space="preserve">Methane Julia Louise </w:t>
            </w:r>
            <w:r>
              <w:rPr>
                <w:rFonts w:ascii="Arial" w:cs="Arial" w:eastAsia="Arial" w:hAnsi="Arial"/>
                <w:sz w:val="22"/>
                <w:szCs w:val="22"/>
                <w:color w:val="auto"/>
                <w:vertAlign w:val="superscript"/>
              </w:rPr>
              <w:t>(8)</w:t>
            </w:r>
          </w:p>
        </w:tc>
        <w:tc>
          <w:tcPr>
            <w:tcW w:w="120" w:type="dxa"/>
            <w:vAlign w:val="bottom"/>
            <w:tcBorders>
              <w:top w:val="single" w:sz="8" w:color="E5FFFF"/>
            </w:tcBorders>
            <w:shd w:val="clear" w:color="auto" w:fill="E5FFFF"/>
          </w:tcPr>
          <w:p>
            <w:pPr>
              <w:spacing w:after="0"/>
              <w:rPr>
                <w:sz w:val="18"/>
                <w:szCs w:val="18"/>
                <w:color w:val="auto"/>
              </w:rPr>
            </w:pPr>
          </w:p>
        </w:tc>
        <w:tc>
          <w:tcPr>
            <w:tcW w:w="620" w:type="dxa"/>
            <w:vAlign w:val="bottom"/>
            <w:tcBorders>
              <w:top w:val="single" w:sz="8" w:color="auto"/>
            </w:tcBorders>
            <w:shd w:val="clear" w:color="auto" w:fill="E5FFFF"/>
          </w:tcPr>
          <w:p>
            <w:pPr>
              <w:ind w:left="140"/>
              <w:spacing w:after="0"/>
              <w:rPr>
                <w:sz w:val="20"/>
                <w:szCs w:val="20"/>
                <w:color w:val="auto"/>
              </w:rPr>
            </w:pPr>
            <w:r>
              <w:rPr>
                <w:rFonts w:ascii="Arial" w:cs="Arial" w:eastAsia="Arial" w:hAnsi="Arial"/>
                <w:sz w:val="17"/>
                <w:szCs w:val="17"/>
                <w:color w:val="auto"/>
              </w:rPr>
              <w:t>2010</w:t>
            </w:r>
          </w:p>
        </w:tc>
        <w:tc>
          <w:tcPr>
            <w:tcW w:w="120" w:type="dxa"/>
            <w:vAlign w:val="bottom"/>
            <w:tcBorders>
              <w:top w:val="single" w:sz="8" w:color="E5FFFF"/>
            </w:tcBorders>
            <w:shd w:val="clear" w:color="auto" w:fill="E5FFFF"/>
          </w:tcPr>
          <w:p>
            <w:pPr>
              <w:spacing w:after="0"/>
              <w:rPr>
                <w:sz w:val="18"/>
                <w:szCs w:val="18"/>
                <w:color w:val="auto"/>
              </w:rPr>
            </w:pPr>
          </w:p>
        </w:tc>
        <w:tc>
          <w:tcPr>
            <w:tcW w:w="10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170,000</w:t>
            </w:r>
          </w:p>
        </w:tc>
        <w:tc>
          <w:tcPr>
            <w:tcW w:w="100" w:type="dxa"/>
            <w:vAlign w:val="bottom"/>
            <w:tcBorders>
              <w:top w:val="single" w:sz="8" w:color="E5FFFF"/>
            </w:tcBorders>
            <w:shd w:val="clear" w:color="auto" w:fill="E5FFFF"/>
          </w:tcPr>
          <w:p>
            <w:pPr>
              <w:spacing w:after="0"/>
              <w:rPr>
                <w:sz w:val="18"/>
                <w:szCs w:val="18"/>
                <w:color w:val="auto"/>
              </w:rPr>
            </w:pPr>
          </w:p>
        </w:tc>
        <w:tc>
          <w:tcPr>
            <w:tcW w:w="14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5"/>
              </w:rPr>
              <w:t>Shell</w:t>
            </w:r>
          </w:p>
        </w:tc>
        <w:tc>
          <w:tcPr>
            <w:tcW w:w="18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9"/>
              </w:rPr>
              <w:t>TFDE</w:t>
            </w:r>
          </w:p>
        </w:tc>
        <w:tc>
          <w:tcPr>
            <w:tcW w:w="120" w:type="dxa"/>
            <w:vAlign w:val="bottom"/>
            <w:tcBorders>
              <w:top w:val="single" w:sz="8" w:color="E5FFFF"/>
            </w:tcBorders>
            <w:shd w:val="clear" w:color="auto" w:fill="E5FFFF"/>
          </w:tcPr>
          <w:p>
            <w:pPr>
              <w:spacing w:after="0"/>
              <w:rPr>
                <w:sz w:val="18"/>
                <w:szCs w:val="18"/>
                <w:color w:val="auto"/>
              </w:rPr>
            </w:pPr>
          </w:p>
        </w:tc>
        <w:tc>
          <w:tcPr>
            <w:tcW w:w="21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March 2026</w:t>
            </w:r>
          </w:p>
        </w:tc>
        <w:tc>
          <w:tcPr>
            <w:tcW w:w="1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0"/>
              </w:rPr>
              <w:t>2029-2031</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06" w:hanging="206"/>
        <w:spacing w:after="0"/>
        <w:tabs>
          <w:tab w:leader="none" w:pos="206"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“Steam” refers to modern steam turbine propulsion and “TFDE” refers to fuel efficient tri-fuel diesel electric propulsion.</w:t>
      </w:r>
    </w:p>
    <w:p>
      <w:pPr>
        <w:ind w:left="206" w:hanging="206"/>
        <w:spacing w:after="0" w:line="187" w:lineRule="auto"/>
        <w:tabs>
          <w:tab w:leader="none" w:pos="206"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Indicates the expiration of the initial term.</w:t>
      </w:r>
    </w:p>
    <w:p>
      <w:pPr>
        <w:ind w:left="206" w:hanging="206"/>
        <w:spacing w:after="0" w:line="229" w:lineRule="auto"/>
        <w:tabs>
          <w:tab w:leader="none" w:pos="197"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The period shown reflects the expiration of the minimum optional period and the maximum optional period. The charterer of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may extend the term of this time charter for a period ranging from one to seven years, provided that the charterer provides us with advance notice of declaration. The charterer of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may extend the term of this time charter for a period ranging from six to twelve months, provided that the charterer provides us with advance notice of declaration. The charterer of the </w:t>
      </w:r>
      <w:r>
        <w:rPr>
          <w:rFonts w:ascii="Arial" w:cs="Arial" w:eastAsia="Arial" w:hAnsi="Arial"/>
          <w:sz w:val="14"/>
          <w:szCs w:val="14"/>
          <w:i w:val="1"/>
          <w:iCs w:val="1"/>
          <w:color w:val="auto"/>
        </w:rPr>
        <w:t>Methane Becki Anne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Julia</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Louise </w:t>
      </w:r>
      <w:r>
        <w:rPr>
          <w:rFonts w:ascii="Arial" w:cs="Arial" w:eastAsia="Arial" w:hAnsi="Arial"/>
          <w:sz w:val="14"/>
          <w:szCs w:val="14"/>
          <w:color w:val="auto"/>
        </w:rPr>
        <w:t>has unilateral options to extend the term of the related time charters for a period of either three or five years at their election, provided that the charterer provides us with advance notice of</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declaration of any option in accordance with the terms of the applicable charter. The charterer of the </w:t>
      </w:r>
      <w:r>
        <w:rPr>
          <w:rFonts w:ascii="Arial" w:cs="Arial" w:eastAsia="Arial" w:hAnsi="Arial"/>
          <w:sz w:val="14"/>
          <w:szCs w:val="14"/>
          <w:i w:val="1"/>
          <w:iCs w:val="1"/>
          <w:color w:val="auto"/>
        </w:rPr>
        <w:t>GasLog Greece</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Glasgow</w:t>
      </w:r>
      <w:r>
        <w:rPr>
          <w:rFonts w:ascii="Arial" w:cs="Arial" w:eastAsia="Arial" w:hAnsi="Arial"/>
          <w:sz w:val="14"/>
          <w:szCs w:val="14"/>
          <w:color w:val="auto"/>
        </w:rPr>
        <w:t xml:space="preserve"> has the right to extend the charters for a period of five years at the charterer’s option. The charterer of the </w:t>
      </w:r>
      <w:r>
        <w:rPr>
          <w:rFonts w:ascii="Arial" w:cs="Arial" w:eastAsia="Arial" w:hAnsi="Arial"/>
          <w:sz w:val="14"/>
          <w:szCs w:val="14"/>
          <w:i w:val="1"/>
          <w:iCs w:val="1"/>
          <w:color w:val="auto"/>
        </w:rPr>
        <w:t>GasLog Geneva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Gibraltar</w:t>
      </w:r>
      <w:r>
        <w:rPr>
          <w:rFonts w:ascii="Arial" w:cs="Arial" w:eastAsia="Arial" w:hAnsi="Arial"/>
          <w:sz w:val="14"/>
          <w:szCs w:val="14"/>
          <w:color w:val="auto"/>
        </w:rPr>
        <w:t xml:space="preserve"> has the right to extend the charter by two additional periods of five and three years, respectively, provided that the charterer provides us with advance notice of declaration. The charterer of the </w:t>
      </w:r>
      <w:r>
        <w:rPr>
          <w:rFonts w:ascii="Arial" w:cs="Arial" w:eastAsia="Arial" w:hAnsi="Arial"/>
          <w:sz w:val="14"/>
          <w:szCs w:val="14"/>
          <w:i w:val="1"/>
          <w:iCs w:val="1"/>
          <w:color w:val="auto"/>
        </w:rPr>
        <w:t>GasLog Houston,</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Genoa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Gladstone</w:t>
      </w:r>
      <w:r>
        <w:rPr>
          <w:rFonts w:ascii="Arial" w:cs="Arial" w:eastAsia="Arial" w:hAnsi="Arial"/>
          <w:sz w:val="14"/>
          <w:szCs w:val="14"/>
          <w:color w:val="auto"/>
        </w:rPr>
        <w:t xml:space="preserve"> has the right to extend the charters by two additional periods of three years, provided that the charterer provides us with advance notice of declaration. The charterer of the </w:t>
      </w:r>
      <w:r>
        <w:rPr>
          <w:rFonts w:ascii="Arial" w:cs="Arial" w:eastAsia="Arial" w:hAnsi="Arial"/>
          <w:sz w:val="14"/>
          <w:szCs w:val="14"/>
          <w:i w:val="1"/>
          <w:iCs w:val="1"/>
          <w:color w:val="auto"/>
        </w:rPr>
        <w:t>GasLog Hong Kong</w:t>
      </w:r>
      <w:r>
        <w:rPr>
          <w:rFonts w:ascii="Arial" w:cs="Arial" w:eastAsia="Arial" w:hAnsi="Arial"/>
          <w:sz w:val="14"/>
          <w:szCs w:val="14"/>
          <w:color w:val="auto"/>
        </w:rPr>
        <w:t xml:space="preserve"> has the right to extend the charter for a period of three years, provided that the charterer provides us with advance notice of declaration. Endesa has the right to extend the charter of the </w:t>
      </w:r>
      <w:r>
        <w:rPr>
          <w:rFonts w:ascii="Arial" w:cs="Arial" w:eastAsia="Arial" w:hAnsi="Arial"/>
          <w:sz w:val="14"/>
          <w:szCs w:val="14"/>
          <w:i w:val="1"/>
          <w:iCs w:val="1"/>
          <w:color w:val="auto"/>
        </w:rPr>
        <w:t>GasLog Warsaw</w:t>
      </w:r>
      <w:r>
        <w:rPr>
          <w:rFonts w:ascii="Arial" w:cs="Arial" w:eastAsia="Arial" w:hAnsi="Arial"/>
          <w:sz w:val="14"/>
          <w:szCs w:val="14"/>
          <w:color w:val="auto"/>
        </w:rPr>
        <w:t xml:space="preserve"> by two additional periods of six years, provided that the charterer provides us with advance notice of declaration.</w:t>
      </w:r>
    </w:p>
    <w:p>
      <w:pPr>
        <w:spacing w:after="0" w:line="2" w:lineRule="exact"/>
        <w:rPr>
          <w:rFonts w:ascii="Arial" w:cs="Arial" w:eastAsia="Arial" w:hAnsi="Arial"/>
          <w:sz w:val="18"/>
          <w:szCs w:val="18"/>
          <w:color w:val="auto"/>
          <w:vertAlign w:val="superscript"/>
        </w:rPr>
      </w:pPr>
    </w:p>
    <w:p>
      <w:pPr>
        <w:ind w:left="206" w:hanging="206"/>
        <w:spacing w:after="0" w:line="187" w:lineRule="auto"/>
        <w:tabs>
          <w:tab w:leader="none" w:pos="206"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Vessels currently operating in the spot market since exiting the Cool Pool.</w:t>
      </w:r>
    </w:p>
    <w:p>
      <w:pPr>
        <w:ind w:left="206" w:right="280" w:hanging="206"/>
        <w:spacing w:after="0" w:line="201" w:lineRule="auto"/>
        <w:tabs>
          <w:tab w:leader="none" w:pos="197"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 xml:space="preserve">On March 13, 2019, GasLog entered into an agreement with GasLog Partners to sell 100% of the shares in the entity that owns and charters the </w:t>
      </w:r>
      <w:r>
        <w:rPr>
          <w:rFonts w:ascii="Arial" w:cs="Arial" w:eastAsia="Arial" w:hAnsi="Arial"/>
          <w:sz w:val="15"/>
          <w:szCs w:val="15"/>
          <w:i w:val="1"/>
          <w:iCs w:val="1"/>
          <w:color w:val="auto"/>
        </w:rPr>
        <w:t>GasLog Glasgow</w:t>
      </w:r>
      <w:r>
        <w:rPr>
          <w:rFonts w:ascii="Arial" w:cs="Arial" w:eastAsia="Arial" w:hAnsi="Arial"/>
          <w:sz w:val="15"/>
          <w:szCs w:val="15"/>
          <w:color w:val="auto"/>
        </w:rPr>
        <w:t>. The sale closed on April 1, 2019.</w:t>
      </w:r>
    </w:p>
    <w:p>
      <w:pPr>
        <w:ind w:left="186" w:hanging="186"/>
        <w:spacing w:after="0" w:line="187" w:lineRule="auto"/>
        <w:tabs>
          <w:tab w:leader="none" w:pos="186"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“Total” refers to Total Gas &amp; Power Chartering Limited, a wholly owned subsidiary of Total S.A.</w:t>
      </w:r>
    </w:p>
    <w:p>
      <w:pPr>
        <w:jc w:val="both"/>
        <w:ind w:left="206" w:hanging="206"/>
        <w:spacing w:after="0" w:line="206" w:lineRule="auto"/>
        <w:tabs>
          <w:tab w:leader="none" w:pos="187"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 xml:space="preserve">On March 22, 2018, a new charter party agreement was signed with Trafigura Maritime Logistics PTE Ltd. (“Trafigura”) for either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 xml:space="preserve"> or the </w:t>
      </w:r>
      <w:r>
        <w:rPr>
          <w:rFonts w:ascii="Arial" w:cs="Arial" w:eastAsia="Arial" w:hAnsi="Arial"/>
          <w:sz w:val="15"/>
          <w:szCs w:val="15"/>
          <w:i w:val="1"/>
          <w:iCs w:val="1"/>
          <w:color w:val="auto"/>
        </w:rPr>
        <w:t>Methane Alison Victoria</w:t>
      </w:r>
      <w:r>
        <w:rPr>
          <w:rFonts w:ascii="Arial" w:cs="Arial" w:eastAsia="Arial" w:hAnsi="Arial"/>
          <w:sz w:val="15"/>
          <w:szCs w:val="15"/>
          <w:color w:val="auto"/>
        </w:rPr>
        <w:t xml:space="preserve"> (as nominated by the Partnership) commencing in either November or December 2019, at the Partnership’s option, until November or December 2020, with the charterer having the option to extend the charter from one to four years.</w:t>
      </w:r>
    </w:p>
    <w:p>
      <w:pPr>
        <w:spacing w:after="0" w:line="1" w:lineRule="exact"/>
        <w:rPr>
          <w:rFonts w:ascii="Arial" w:cs="Arial" w:eastAsia="Arial" w:hAnsi="Arial"/>
          <w:sz w:val="19"/>
          <w:szCs w:val="19"/>
          <w:color w:val="auto"/>
          <w:vertAlign w:val="superscript"/>
        </w:rPr>
      </w:pPr>
    </w:p>
    <w:p>
      <w:pPr>
        <w:ind w:left="206" w:hanging="206"/>
        <w:spacing w:after="0" w:line="226" w:lineRule="auto"/>
        <w:tabs>
          <w:tab w:leader="none" w:pos="187"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On February 24, 2016, GasLog’s subsidiary, GAS-twenty six Ltd., completed the sale and leaseback of the </w:t>
      </w:r>
      <w:r>
        <w:rPr>
          <w:rFonts w:ascii="Arial" w:cs="Arial" w:eastAsia="Arial" w:hAnsi="Arial"/>
          <w:sz w:val="14"/>
          <w:szCs w:val="14"/>
          <w:i w:val="1"/>
          <w:iCs w:val="1"/>
          <w:color w:val="auto"/>
        </w:rPr>
        <w:t>Methane Julia Louise</w:t>
      </w:r>
      <w:r>
        <w:rPr>
          <w:rFonts w:ascii="Arial" w:cs="Arial" w:eastAsia="Arial" w:hAnsi="Arial"/>
          <w:sz w:val="14"/>
          <w:szCs w:val="14"/>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203" w:lineRule="exact"/>
        <w:rPr>
          <w:sz w:val="20"/>
          <w:szCs w:val="20"/>
          <w:color w:val="auto"/>
        </w:rPr>
      </w:pPr>
    </w:p>
    <w:p>
      <w:pPr>
        <w:ind w:left="6" w:right="160" w:firstLine="405"/>
        <w:spacing w:after="0" w:line="271" w:lineRule="auto"/>
        <w:rPr>
          <w:sz w:val="20"/>
          <w:szCs w:val="20"/>
          <w:color w:val="auto"/>
        </w:rPr>
      </w:pPr>
      <w:r>
        <w:rPr>
          <w:rFonts w:ascii="Arial" w:cs="Arial" w:eastAsia="Arial" w:hAnsi="Arial"/>
          <w:sz w:val="17"/>
          <w:szCs w:val="17"/>
          <w:color w:val="auto"/>
        </w:rPr>
        <w:t xml:space="preserve">Under the omnibus agreement entered into with GasLog Partners and certain of its subsidiaries in connection with the Partnership’s initial public offering, as amended, GasLog Partners has the option to purchase from us the </w:t>
      </w:r>
      <w:r>
        <w:rPr>
          <w:rFonts w:ascii="Arial" w:cs="Arial" w:eastAsia="Arial" w:hAnsi="Arial"/>
          <w:sz w:val="17"/>
          <w:szCs w:val="17"/>
          <w:i w:val="1"/>
          <w:iCs w:val="1"/>
          <w:color w:val="auto"/>
        </w:rPr>
        <w:t>GasLog Houston</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GasLog Gladstone</w:t>
      </w:r>
      <w:r>
        <w:rPr>
          <w:rFonts w:ascii="Arial" w:cs="Arial" w:eastAsia="Arial" w:hAnsi="Arial"/>
          <w:sz w:val="17"/>
          <w:szCs w:val="17"/>
          <w:color w:val="auto"/>
        </w:rPr>
        <w:t>, each within 30 days following receipt of notice from GasLog that the vessel has commenced its multi-year charter (being at least five years in length). GasLog Partners’ option to purchase is at fair market value as determined pursuant to the omnibus agreement.</w:t>
      </w:r>
    </w:p>
    <w:p>
      <w:pPr>
        <w:spacing w:after="0" w:line="73" w:lineRule="exact"/>
        <w:rPr>
          <w:sz w:val="20"/>
          <w:szCs w:val="20"/>
          <w:color w:val="auto"/>
        </w:rPr>
      </w:pPr>
    </w:p>
    <w:p>
      <w:pPr>
        <w:ind w:left="6" w:firstLine="376"/>
        <w:spacing w:after="0" w:line="266" w:lineRule="auto"/>
        <w:rPr>
          <w:sz w:val="20"/>
          <w:szCs w:val="20"/>
          <w:color w:val="auto"/>
        </w:rPr>
      </w:pPr>
      <w:r>
        <w:rPr>
          <w:rFonts w:ascii="Arial" w:cs="Arial" w:eastAsia="Arial" w:hAnsi="Arial"/>
          <w:sz w:val="17"/>
          <w:szCs w:val="17"/>
          <w:color w:val="auto"/>
        </w:rPr>
        <w:t xml:space="preserve">GasLog Partners also has a right of first offer from us to purchase any other LNG carriers with cargo capacities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the </w:t>
      </w:r>
      <w:r>
        <w:rPr>
          <w:rFonts w:ascii="Arial" w:cs="Arial" w:eastAsia="Arial" w:hAnsi="Arial"/>
          <w:sz w:val="17"/>
          <w:szCs w:val="17"/>
          <w:i w:val="1"/>
          <w:iCs w:val="1"/>
          <w:color w:val="auto"/>
        </w:rPr>
        <w:t>GasLog Warsaw</w:t>
      </w:r>
      <w:r>
        <w:rPr>
          <w:rFonts w:ascii="Arial" w:cs="Arial" w:eastAsia="Arial" w:hAnsi="Arial"/>
          <w:sz w:val="17"/>
          <w:szCs w:val="17"/>
          <w:color w:val="auto"/>
        </w:rPr>
        <w:t xml:space="preserve"> (delivered on July 31, 2019) and our seven newbuildings (Hull Nos. 2213, 2274, 2262, 2300, 2301, 2311 and 2312)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209" w:lineRule="exact"/>
        <w:rPr>
          <w:sz w:val="20"/>
          <w:szCs w:val="20"/>
          <w:color w:val="auto"/>
        </w:rPr>
      </w:pPr>
    </w:p>
    <w:p>
      <w:pPr>
        <w:ind w:left="6"/>
        <w:spacing w:after="0"/>
        <w:rPr>
          <w:sz w:val="20"/>
          <w:szCs w:val="20"/>
          <w:color w:val="auto"/>
        </w:rPr>
      </w:pPr>
      <w:r>
        <w:rPr>
          <w:rFonts w:ascii="Arial" w:cs="Arial" w:eastAsia="Arial" w:hAnsi="Arial"/>
          <w:sz w:val="17"/>
          <w:szCs w:val="17"/>
          <w:b w:val="1"/>
          <w:bCs w:val="1"/>
          <w:i w:val="1"/>
          <w:iCs w:val="1"/>
          <w:color w:val="auto"/>
        </w:rPr>
        <w:t>Charter Expirations</w:t>
      </w:r>
    </w:p>
    <w:p>
      <w:pPr>
        <w:spacing w:after="0" w:line="247" w:lineRule="exact"/>
        <w:rPr>
          <w:sz w:val="20"/>
          <w:szCs w:val="20"/>
          <w:color w:val="auto"/>
        </w:rPr>
      </w:pPr>
    </w:p>
    <w:p>
      <w:pPr>
        <w:jc w:val="both"/>
        <w:ind w:left="6" w:firstLine="405"/>
        <w:spacing w:after="0" w:line="26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GasLog Saratoga</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Jane Elizabeth</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Salem</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Rita Andrea</w:t>
      </w:r>
      <w:r>
        <w:rPr>
          <w:rFonts w:ascii="Arial" w:cs="Arial" w:eastAsia="Arial" w:hAnsi="Arial"/>
          <w:sz w:val="17"/>
          <w:szCs w:val="17"/>
          <w:color w:val="auto"/>
        </w:rPr>
        <w:t xml:space="preserve">, the </w:t>
      </w:r>
      <w:r>
        <w:rPr>
          <w:rFonts w:ascii="Arial" w:cs="Arial" w:eastAsia="Arial" w:hAnsi="Arial"/>
          <w:sz w:val="17"/>
          <w:szCs w:val="17"/>
          <w:i w:val="1"/>
          <w:iCs w:val="1"/>
          <w:color w:val="auto"/>
        </w:rPr>
        <w:t>GasLog Sydney</w:t>
      </w:r>
      <w:r>
        <w:rPr>
          <w:rFonts w:ascii="Arial" w:cs="Arial" w:eastAsia="Arial" w:hAnsi="Arial"/>
          <w:sz w:val="17"/>
          <w:szCs w:val="17"/>
          <w:color w:val="auto"/>
        </w:rPr>
        <w:t xml:space="preserve">, the </w:t>
      </w:r>
      <w:r>
        <w:rPr>
          <w:rFonts w:ascii="Arial" w:cs="Arial" w:eastAsia="Arial" w:hAnsi="Arial"/>
          <w:sz w:val="17"/>
          <w:szCs w:val="17"/>
          <w:i w:val="1"/>
          <w:iCs w:val="1"/>
          <w:color w:val="auto"/>
        </w:rPr>
        <w:t>Methane Shirley</w:t>
      </w:r>
      <w:r>
        <w:rPr>
          <w:rFonts w:ascii="Arial" w:cs="Arial" w:eastAsia="Arial" w:hAnsi="Arial"/>
          <w:sz w:val="17"/>
          <w:szCs w:val="17"/>
          <w:color w:val="auto"/>
        </w:rPr>
        <w:t xml:space="preserve"> </w:t>
      </w:r>
      <w:r>
        <w:rPr>
          <w:rFonts w:ascii="Arial" w:cs="Arial" w:eastAsia="Arial" w:hAnsi="Arial"/>
          <w:sz w:val="17"/>
          <w:szCs w:val="17"/>
          <w:i w:val="1"/>
          <w:iCs w:val="1"/>
          <w:color w:val="auto"/>
        </w:rPr>
        <w:t>Elisabeth</w:t>
      </w:r>
      <w:r>
        <w:rPr>
          <w:rFonts w:ascii="Arial" w:cs="Arial" w:eastAsia="Arial" w:hAnsi="Arial"/>
          <w:sz w:val="17"/>
          <w:szCs w:val="17"/>
          <w:color w:val="auto"/>
        </w:rPr>
        <w:t>, the</w:t>
      </w:r>
      <w:r>
        <w:rPr>
          <w:rFonts w:ascii="Arial" w:cs="Arial" w:eastAsia="Arial" w:hAnsi="Arial"/>
          <w:sz w:val="17"/>
          <w:szCs w:val="17"/>
          <w:i w:val="1"/>
          <w:iCs w:val="1"/>
          <w:color w:val="auto"/>
        </w:rPr>
        <w:t xml:space="preserve"> Methane Lydon Volney </w:t>
      </w:r>
      <w:r>
        <w:rPr>
          <w:rFonts w:ascii="Arial" w:cs="Arial" w:eastAsia="Arial" w:hAnsi="Arial"/>
          <w:sz w:val="17"/>
          <w:szCs w:val="17"/>
          <w:color w:val="auto"/>
        </w:rPr>
        <w:t>and the</w:t>
      </w:r>
      <w:r>
        <w:rPr>
          <w:rFonts w:ascii="Arial" w:cs="Arial" w:eastAsia="Arial" w:hAnsi="Arial"/>
          <w:sz w:val="17"/>
          <w:szCs w:val="17"/>
          <w:i w:val="1"/>
          <w:iCs w:val="1"/>
          <w:color w:val="auto"/>
        </w:rPr>
        <w:t xml:space="preserve"> Methane Heather Sally </w:t>
      </w:r>
      <w:r>
        <w:rPr>
          <w:rFonts w:ascii="Arial" w:cs="Arial" w:eastAsia="Arial" w:hAnsi="Arial"/>
          <w:sz w:val="17"/>
          <w:szCs w:val="17"/>
          <w:color w:val="auto"/>
        </w:rPr>
        <w:t>are due to come off charter in August 2019, October 2019, December 2019, March 2020, April 2020,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June 2020, June 2020, October 2020 and December 2020, respectively, each plus or minus 30 days. GasLog Partners has already secured a one-year charter for either the </w:t>
      </w:r>
      <w:r>
        <w:rPr>
          <w:rFonts w:ascii="Arial" w:cs="Arial" w:eastAsia="Arial" w:hAnsi="Arial"/>
          <w:sz w:val="17"/>
          <w:szCs w:val="17"/>
          <w:i w:val="1"/>
          <w:iCs w:val="1"/>
          <w:color w:val="auto"/>
        </w:rPr>
        <w:t xml:space="preserve">Methane Jane Elizabeth </w:t>
      </w:r>
      <w:r>
        <w:rPr>
          <w:rFonts w:ascii="Arial" w:cs="Arial" w:eastAsia="Arial" w:hAnsi="Arial"/>
          <w:sz w:val="17"/>
          <w:szCs w:val="17"/>
          <w:color w:val="auto"/>
        </w:rPr>
        <w:t>or</w:t>
      </w:r>
      <w:r>
        <w:rPr>
          <w:rFonts w:ascii="Arial" w:cs="Arial" w:eastAsia="Arial" w:hAnsi="Arial"/>
          <w:sz w:val="17"/>
          <w:szCs w:val="17"/>
          <w:i w:val="1"/>
          <w:iCs w:val="1"/>
          <w:color w:val="auto"/>
        </w:rPr>
        <w:t xml:space="preserve"> Methane Alison Victoria </w:t>
      </w:r>
      <w:r>
        <w:rPr>
          <w:rFonts w:ascii="Arial" w:cs="Arial" w:eastAsia="Arial" w:hAnsi="Arial"/>
          <w:sz w:val="17"/>
          <w:szCs w:val="17"/>
          <w:color w:val="auto"/>
        </w:rPr>
        <w:t>(as nominated by the Partnership), commencing in either November or December 2019 at the Partnership’s option.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charter rate for this one-year charter is lower than the current charter rates of either the </w:t>
      </w:r>
      <w:r>
        <w:rPr>
          <w:rFonts w:ascii="Arial" w:cs="Arial" w:eastAsia="Arial" w:hAnsi="Arial"/>
          <w:sz w:val="17"/>
          <w:szCs w:val="17"/>
          <w:i w:val="1"/>
          <w:iCs w:val="1"/>
          <w:color w:val="auto"/>
        </w:rPr>
        <w:t>Methane Jane Elizabeth</w:t>
      </w:r>
      <w:r>
        <w:rPr>
          <w:rFonts w:ascii="Arial" w:cs="Arial" w:eastAsia="Arial" w:hAnsi="Arial"/>
          <w:sz w:val="17"/>
          <w:szCs w:val="17"/>
          <w:color w:val="auto"/>
        </w:rPr>
        <w:t xml:space="preserve"> or the </w:t>
      </w:r>
      <w:r>
        <w:rPr>
          <w:rFonts w:ascii="Arial" w:cs="Arial" w:eastAsia="Arial" w:hAnsi="Arial"/>
          <w:sz w:val="17"/>
          <w:szCs w:val="17"/>
          <w:i w:val="1"/>
          <w:iCs w:val="1"/>
          <w:color w:val="auto"/>
        </w:rPr>
        <w:t>Methane Alison Victoria</w:t>
      </w:r>
      <w:r>
        <w:rPr>
          <w:rFonts w:ascii="Arial" w:cs="Arial" w:eastAsia="Arial" w:hAnsi="Arial"/>
          <w:sz w:val="17"/>
          <w:szCs w:val="17"/>
          <w:color w:val="auto"/>
        </w:rPr>
        <w:t>. In addition, GasLog and GasLog Partners continue to</w:t>
      </w:r>
    </w:p>
    <w:p>
      <w:pPr>
        <w:spacing w:after="0" w:line="197"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646670" cy="31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28" w:right="120" w:bottom="1440" w:gutter="0" w:footer="0" w:header="0"/>
        </w:sectPr>
      </w:pPr>
    </w:p>
    <w:bookmarkStart w:id="19" w:name="page20"/>
    <w:bookmarkEnd w:id="19"/>
    <w:p>
      <w:pPr>
        <w:ind w:right="40"/>
        <w:spacing w:after="0" w:line="288" w:lineRule="auto"/>
        <w:rPr>
          <w:sz w:val="20"/>
          <w:szCs w:val="20"/>
          <w:color w:val="auto"/>
        </w:rPr>
      </w:pPr>
      <w:r>
        <w:rPr>
          <w:rFonts w:ascii="Arial" w:cs="Arial" w:eastAsia="Arial" w:hAnsi="Arial"/>
          <w:sz w:val="17"/>
          <w:szCs w:val="17"/>
          <w:color w:val="auto"/>
        </w:rPr>
        <w:t>pursue opportunities for new multi-year charters with third parties and, on an interim basis, may consider trading the vessels in the spot market, pursuing the most advantageous redeployment depending on evolving market conditions.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00" w:type="dxa"/>
            <w:vAlign w:val="bottom"/>
          </w:tcPr>
          <w:p>
            <w:pPr>
              <w:spacing w:after="0"/>
              <w:rPr>
                <w:sz w:val="20"/>
                <w:szCs w:val="20"/>
                <w:color w:val="auto"/>
              </w:rPr>
            </w:pPr>
            <w:r>
              <w:rPr>
                <w:rFonts w:ascii="Arial" w:cs="Arial" w:eastAsia="Arial" w:hAnsi="Arial"/>
                <w:sz w:val="17"/>
                <w:szCs w:val="17"/>
                <w:b w:val="1"/>
                <w:bCs w:val="1"/>
                <w:color w:val="auto"/>
              </w:rPr>
              <w:t>Results of Operations</w:t>
            </w: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2"/>
        </w:trPr>
        <w:tc>
          <w:tcPr>
            <w:tcW w:w="8700" w:type="dxa"/>
            <w:vAlign w:val="bottom"/>
          </w:tcPr>
          <w:p>
            <w:pPr>
              <w:spacing w:after="0"/>
              <w:rPr>
                <w:sz w:val="20"/>
                <w:szCs w:val="20"/>
                <w:color w:val="auto"/>
              </w:rPr>
            </w:pPr>
            <w:r>
              <w:rPr>
                <w:rFonts w:ascii="Arial" w:cs="Arial" w:eastAsia="Arial" w:hAnsi="Arial"/>
                <w:sz w:val="17"/>
                <w:szCs w:val="17"/>
                <w:b w:val="1"/>
                <w:bCs w:val="1"/>
                <w:i w:val="1"/>
                <w:iCs w:val="1"/>
                <w:color w:val="auto"/>
              </w:rPr>
              <w:t>Three-month period ended June 30, 2018 compared to the three-month period ended June 30, 2019</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4"/>
        </w:trPr>
        <w:tc>
          <w:tcPr>
            <w:tcW w:w="8700" w:type="dxa"/>
            <w:vAlign w:val="bottom"/>
          </w:tcPr>
          <w:p>
            <w:pPr>
              <w:spacing w:after="0"/>
              <w:rPr>
                <w:sz w:val="24"/>
                <w:szCs w:val="24"/>
                <w:color w:val="auto"/>
              </w:rPr>
            </w:pPr>
          </w:p>
        </w:tc>
        <w:tc>
          <w:tcPr>
            <w:tcW w:w="330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For the three months ended</w:t>
            </w:r>
          </w:p>
        </w:tc>
      </w:tr>
      <w:tr>
        <w:trPr>
          <w:trHeight w:val="214"/>
        </w:trPr>
        <w:tc>
          <w:tcPr>
            <w:tcW w:w="870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June 30,</w:t>
            </w:r>
          </w:p>
        </w:tc>
        <w:tc>
          <w:tcPr>
            <w:tcW w:w="1560" w:type="dxa"/>
            <w:vAlign w:val="bottom"/>
            <w:gridSpan w:val="3"/>
          </w:tcPr>
          <w:p>
            <w:pPr>
              <w:jc w:val="right"/>
              <w:ind w:right="520"/>
              <w:spacing w:after="0"/>
              <w:rPr>
                <w:sz w:val="20"/>
                <w:szCs w:val="20"/>
                <w:color w:val="auto"/>
              </w:rPr>
            </w:pPr>
            <w:r>
              <w:rPr>
                <w:rFonts w:ascii="Arial" w:cs="Arial" w:eastAsia="Arial" w:hAnsi="Arial"/>
                <w:sz w:val="17"/>
                <w:szCs w:val="17"/>
                <w:b w:val="1"/>
                <w:bCs w:val="1"/>
                <w:color w:val="auto"/>
              </w:rPr>
              <w:t>June 30,</w:t>
            </w:r>
          </w:p>
        </w:tc>
      </w:tr>
      <w:tr>
        <w:trPr>
          <w:trHeight w:val="224"/>
        </w:trPr>
        <w:tc>
          <w:tcPr>
            <w:tcW w:w="870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bottom w:val="single" w:sz="8" w:color="E5FFFF"/>
            </w:tcBorders>
          </w:tcPr>
          <w:p>
            <w:pPr>
              <w:spacing w:after="0"/>
              <w:rPr>
                <w:sz w:val="19"/>
                <w:szCs w:val="19"/>
                <w:color w:val="auto"/>
              </w:rPr>
            </w:pPr>
          </w:p>
        </w:tc>
        <w:tc>
          <w:tcPr>
            <w:tcW w:w="100" w:type="dxa"/>
            <w:vAlign w:val="bottom"/>
            <w:tcBorders>
              <w:bottom w:val="single" w:sz="8" w:color="E5FFFF"/>
            </w:tcBorders>
          </w:tcPr>
          <w:p>
            <w:pPr>
              <w:spacing w:after="0"/>
              <w:rPr>
                <w:sz w:val="19"/>
                <w:szCs w:val="19"/>
                <w:color w:val="auto"/>
              </w:rPr>
            </w:pPr>
          </w:p>
        </w:tc>
      </w:tr>
      <w:tr>
        <w:trPr>
          <w:trHeight w:val="200"/>
        </w:trPr>
        <w:tc>
          <w:tcPr>
            <w:tcW w:w="8700" w:type="dxa"/>
            <w:vAlign w:val="bottom"/>
            <w:shd w:val="clear" w:color="auto" w:fill="E5FFFF"/>
          </w:tcPr>
          <w:p>
            <w:pPr>
              <w:spacing w:after="0"/>
              <w:rPr>
                <w:sz w:val="20"/>
                <w:szCs w:val="20"/>
                <w:color w:val="auto"/>
              </w:rPr>
            </w:pPr>
            <w:r>
              <w:rPr>
                <w:rFonts w:ascii="Arial" w:cs="Arial" w:eastAsia="Arial" w:hAnsi="Arial"/>
                <w:sz w:val="17"/>
                <w:szCs w:val="17"/>
                <w:b w:val="1"/>
                <w:bCs w:val="1"/>
                <w:i w:val="1"/>
                <w:iCs w:val="1"/>
                <w:color w:val="auto"/>
              </w:rPr>
              <w:t>Amounts in thousands of U.S. Dollars</w:t>
            </w:r>
          </w:p>
        </w:tc>
        <w:tc>
          <w:tcPr>
            <w:tcW w:w="14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14"/>
        </w:trPr>
        <w:tc>
          <w:tcPr>
            <w:tcW w:w="8700" w:type="dxa"/>
            <w:vAlign w:val="bottom"/>
          </w:tcPr>
          <w:p>
            <w:pPr>
              <w:spacing w:after="0"/>
              <w:rPr>
                <w:sz w:val="20"/>
                <w:szCs w:val="20"/>
                <w:color w:val="auto"/>
              </w:rPr>
            </w:pPr>
            <w:r>
              <w:rPr>
                <w:rFonts w:ascii="Arial" w:cs="Arial" w:eastAsia="Arial" w:hAnsi="Arial"/>
                <w:sz w:val="17"/>
                <w:szCs w:val="17"/>
                <w:color w:val="auto"/>
              </w:rPr>
              <w:t>Revenues</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132,824</w:t>
            </w:r>
          </w:p>
        </w:tc>
        <w:tc>
          <w:tcPr>
            <w:tcW w:w="1440" w:type="dxa"/>
            <w:vAlign w:val="bottom"/>
          </w:tcPr>
          <w:p>
            <w:pPr>
              <w:jc w:val="right"/>
              <w:spacing w:after="0"/>
              <w:rPr>
                <w:sz w:val="20"/>
                <w:szCs w:val="20"/>
                <w:color w:val="auto"/>
              </w:rPr>
            </w:pPr>
            <w:r>
              <w:rPr>
                <w:rFonts w:ascii="Arial" w:cs="Arial" w:eastAsia="Arial" w:hAnsi="Arial"/>
                <w:sz w:val="17"/>
                <w:szCs w:val="17"/>
                <w:color w:val="auto"/>
              </w:rPr>
              <w:t>154,251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700" w:type="dxa"/>
            <w:vAlign w:val="bottom"/>
            <w:shd w:val="clear" w:color="auto" w:fill="E5FFFF"/>
          </w:tcPr>
          <w:p>
            <w:pPr>
              <w:spacing w:after="0"/>
              <w:rPr>
                <w:sz w:val="20"/>
                <w:szCs w:val="20"/>
                <w:color w:val="auto"/>
              </w:rPr>
            </w:pPr>
            <w:r>
              <w:rPr>
                <w:rFonts w:ascii="Arial" w:cs="Arial" w:eastAsia="Arial" w:hAnsi="Arial"/>
                <w:sz w:val="17"/>
                <w:szCs w:val="17"/>
                <w:color w:val="auto"/>
              </w:rPr>
              <w:t>Net pool allocation</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6,958</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2,658</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14"/>
        </w:trPr>
        <w:tc>
          <w:tcPr>
            <w:tcW w:w="8700" w:type="dxa"/>
            <w:vAlign w:val="bottom"/>
          </w:tcPr>
          <w:p>
            <w:pPr>
              <w:spacing w:after="0"/>
              <w:rPr>
                <w:sz w:val="20"/>
                <w:szCs w:val="20"/>
                <w:color w:val="auto"/>
              </w:rPr>
            </w:pPr>
            <w:r>
              <w:rPr>
                <w:rFonts w:ascii="Arial" w:cs="Arial" w:eastAsia="Arial" w:hAnsi="Arial"/>
                <w:sz w:val="17"/>
                <w:szCs w:val="17"/>
                <w:color w:val="auto"/>
              </w:rPr>
              <w:t>Voyage expenses and commissions</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(4,634)</w:t>
            </w:r>
          </w:p>
        </w:tc>
        <w:tc>
          <w:tcPr>
            <w:tcW w:w="1560" w:type="dxa"/>
            <w:vAlign w:val="bottom"/>
            <w:gridSpan w:val="3"/>
          </w:tcPr>
          <w:p>
            <w:pPr>
              <w:jc w:val="right"/>
              <w:ind w:right="60"/>
              <w:spacing w:after="0"/>
              <w:rPr>
                <w:sz w:val="20"/>
                <w:szCs w:val="20"/>
                <w:color w:val="auto"/>
              </w:rPr>
            </w:pPr>
            <w:r>
              <w:rPr>
                <w:rFonts w:ascii="Arial" w:cs="Arial" w:eastAsia="Arial" w:hAnsi="Arial"/>
                <w:sz w:val="17"/>
                <w:szCs w:val="17"/>
                <w:color w:val="auto"/>
              </w:rPr>
              <w:t>(5,867)</w:t>
            </w:r>
          </w:p>
        </w:tc>
      </w:tr>
      <w:tr>
        <w:trPr>
          <w:trHeight w:val="214"/>
        </w:trPr>
        <w:tc>
          <w:tcPr>
            <w:tcW w:w="8700" w:type="dxa"/>
            <w:vAlign w:val="bottom"/>
            <w:shd w:val="clear" w:color="auto" w:fill="E5FFFF"/>
          </w:tcPr>
          <w:p>
            <w:pPr>
              <w:spacing w:after="0"/>
              <w:rPr>
                <w:sz w:val="20"/>
                <w:szCs w:val="20"/>
                <w:color w:val="auto"/>
              </w:rPr>
            </w:pPr>
            <w:r>
              <w:rPr>
                <w:rFonts w:ascii="Arial" w:cs="Arial" w:eastAsia="Arial" w:hAnsi="Arial"/>
                <w:sz w:val="17"/>
                <w:szCs w:val="17"/>
                <w:color w:val="auto"/>
              </w:rPr>
              <w:t>Vessel operating and supervision costs</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(32,703)</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7"/>
                <w:szCs w:val="17"/>
                <w:color w:val="auto"/>
              </w:rPr>
              <w:t>(33,358)</w:t>
            </w:r>
          </w:p>
        </w:tc>
      </w:tr>
      <w:tr>
        <w:trPr>
          <w:trHeight w:val="214"/>
        </w:trPr>
        <w:tc>
          <w:tcPr>
            <w:tcW w:w="8700" w:type="dxa"/>
            <w:vAlign w:val="bottom"/>
          </w:tcPr>
          <w:p>
            <w:pPr>
              <w:spacing w:after="0"/>
              <w:rPr>
                <w:sz w:val="20"/>
                <w:szCs w:val="20"/>
                <w:color w:val="auto"/>
              </w:rPr>
            </w:pPr>
            <w:r>
              <w:rPr>
                <w:rFonts w:ascii="Arial" w:cs="Arial" w:eastAsia="Arial" w:hAnsi="Arial"/>
                <w:sz w:val="17"/>
                <w:szCs w:val="17"/>
                <w:color w:val="auto"/>
              </w:rPr>
              <w:t>Depreciation</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(38,813)</w:t>
            </w:r>
          </w:p>
        </w:tc>
        <w:tc>
          <w:tcPr>
            <w:tcW w:w="1560" w:type="dxa"/>
            <w:vAlign w:val="bottom"/>
            <w:gridSpan w:val="3"/>
          </w:tcPr>
          <w:p>
            <w:pPr>
              <w:jc w:val="right"/>
              <w:ind w:right="60"/>
              <w:spacing w:after="0"/>
              <w:rPr>
                <w:sz w:val="20"/>
                <w:szCs w:val="20"/>
                <w:color w:val="auto"/>
              </w:rPr>
            </w:pPr>
            <w:r>
              <w:rPr>
                <w:rFonts w:ascii="Arial" w:cs="Arial" w:eastAsia="Arial" w:hAnsi="Arial"/>
                <w:sz w:val="17"/>
                <w:szCs w:val="17"/>
                <w:color w:val="auto"/>
              </w:rPr>
              <w:t>(41,350)</w:t>
            </w:r>
          </w:p>
        </w:tc>
      </w:tr>
      <w:tr>
        <w:trPr>
          <w:trHeight w:val="214"/>
        </w:trPr>
        <w:tc>
          <w:tcPr>
            <w:tcW w:w="8700" w:type="dxa"/>
            <w:vAlign w:val="bottom"/>
            <w:shd w:val="clear" w:color="auto" w:fill="E5FFFF"/>
          </w:tcPr>
          <w:p>
            <w:pPr>
              <w:spacing w:after="0"/>
              <w:rPr>
                <w:sz w:val="20"/>
                <w:szCs w:val="20"/>
                <w:color w:val="auto"/>
              </w:rPr>
            </w:pPr>
            <w:r>
              <w:rPr>
                <w:rFonts w:ascii="Arial" w:cs="Arial" w:eastAsia="Arial" w:hAnsi="Arial"/>
                <w:sz w:val="17"/>
                <w:szCs w:val="17"/>
                <w:color w:val="auto"/>
              </w:rPr>
              <w:t>General and administrative expenses</w:t>
            </w:r>
          </w:p>
        </w:tc>
        <w:tc>
          <w:tcPr>
            <w:tcW w:w="17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(10,352)</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7"/>
                <w:szCs w:val="17"/>
                <w:color w:val="auto"/>
              </w:rPr>
              <w:t>(11,172)</w:t>
            </w:r>
          </w:p>
        </w:tc>
      </w:tr>
      <w:tr>
        <w:trPr>
          <w:trHeight w:val="208"/>
        </w:trPr>
        <w:tc>
          <w:tcPr>
            <w:tcW w:w="870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Profit from operations</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53,280</w:t>
            </w:r>
          </w:p>
        </w:tc>
        <w:tc>
          <w:tcPr>
            <w:tcW w:w="300" w:type="dxa"/>
            <w:vAlign w:val="bottom"/>
            <w:tcBorders>
              <w:bottom w:val="single" w:sz="8" w:color="E5FF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65,162</w:t>
            </w:r>
          </w:p>
        </w:tc>
        <w:tc>
          <w:tcPr>
            <w:tcW w:w="20" w:type="dxa"/>
            <w:vAlign w:val="bottom"/>
            <w:tcBorders>
              <w:bottom w:val="single" w:sz="8" w:color="E5FFFF"/>
            </w:tcBorders>
          </w:tcPr>
          <w:p>
            <w:pPr>
              <w:spacing w:after="0"/>
              <w:rPr>
                <w:sz w:val="18"/>
                <w:szCs w:val="18"/>
                <w:color w:val="auto"/>
              </w:rPr>
            </w:pPr>
          </w:p>
        </w:tc>
        <w:tc>
          <w:tcPr>
            <w:tcW w:w="100" w:type="dxa"/>
            <w:vAlign w:val="bottom"/>
            <w:tcBorders>
              <w:bottom w:val="single" w:sz="8" w:color="E5FFFF"/>
            </w:tcBorders>
          </w:tcPr>
          <w:p>
            <w:pPr>
              <w:spacing w:after="0"/>
              <w:rPr>
                <w:sz w:val="18"/>
                <w:szCs w:val="18"/>
                <w:color w:val="auto"/>
              </w:rPr>
            </w:pPr>
          </w:p>
        </w:tc>
      </w:tr>
      <w:tr>
        <w:trPr>
          <w:trHeight w:val="208"/>
        </w:trPr>
        <w:tc>
          <w:tcPr>
            <w:tcW w:w="8700" w:type="dxa"/>
            <w:vAlign w:val="bottom"/>
            <w:shd w:val="clear" w:color="auto" w:fill="E5FFFF"/>
          </w:tcPr>
          <w:p>
            <w:pPr>
              <w:spacing w:after="0"/>
              <w:rPr>
                <w:sz w:val="20"/>
                <w:szCs w:val="20"/>
                <w:color w:val="auto"/>
              </w:rPr>
            </w:pPr>
            <w:r>
              <w:rPr>
                <w:rFonts w:ascii="Arial" w:cs="Arial" w:eastAsia="Arial" w:hAnsi="Arial"/>
                <w:sz w:val="17"/>
                <w:szCs w:val="17"/>
                <w:color w:val="auto"/>
              </w:rPr>
              <w:t>Financial costs</w:t>
            </w: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(42,000)</w:t>
            </w:r>
          </w:p>
        </w:tc>
        <w:tc>
          <w:tcPr>
            <w:tcW w:w="300" w:type="dxa"/>
            <w:vAlign w:val="bottom"/>
            <w:shd w:val="clear" w:color="auto" w:fill="E5FFFF"/>
          </w:tcPr>
          <w:p>
            <w:pPr>
              <w:spacing w:after="0"/>
              <w:rPr>
                <w:sz w:val="18"/>
                <w:szCs w:val="18"/>
                <w:color w:val="auto"/>
              </w:rPr>
            </w:pPr>
          </w:p>
        </w:tc>
        <w:tc>
          <w:tcPr>
            <w:tcW w:w="14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(46,897)</w:t>
            </w:r>
          </w:p>
        </w:tc>
        <w:tc>
          <w:tcPr>
            <w:tcW w:w="120" w:type="dxa"/>
            <w:vAlign w:val="bottom"/>
            <w:gridSpan w:val="2"/>
            <w:shd w:val="clear" w:color="auto" w:fill="E5FFFF"/>
          </w:tcPr>
          <w:p>
            <w:pPr>
              <w:spacing w:after="0"/>
              <w:rPr>
                <w:sz w:val="18"/>
                <w:szCs w:val="18"/>
                <w:color w:val="auto"/>
              </w:rPr>
            </w:pPr>
          </w:p>
        </w:tc>
      </w:tr>
      <w:tr>
        <w:trPr>
          <w:trHeight w:val="214"/>
        </w:trPr>
        <w:tc>
          <w:tcPr>
            <w:tcW w:w="8700" w:type="dxa"/>
            <w:vAlign w:val="bottom"/>
          </w:tcPr>
          <w:p>
            <w:pPr>
              <w:spacing w:after="0"/>
              <w:rPr>
                <w:sz w:val="20"/>
                <w:szCs w:val="20"/>
                <w:color w:val="auto"/>
              </w:rPr>
            </w:pPr>
            <w:r>
              <w:rPr>
                <w:rFonts w:ascii="Arial" w:cs="Arial" w:eastAsia="Arial" w:hAnsi="Arial"/>
                <w:sz w:val="17"/>
                <w:szCs w:val="17"/>
                <w:color w:val="auto"/>
              </w:rPr>
              <w:t>Financial income</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1,294</w:t>
            </w:r>
          </w:p>
        </w:tc>
        <w:tc>
          <w:tcPr>
            <w:tcW w:w="1440" w:type="dxa"/>
            <w:vAlign w:val="bottom"/>
          </w:tcPr>
          <w:p>
            <w:pPr>
              <w:jc w:val="right"/>
              <w:spacing w:after="0"/>
              <w:rPr>
                <w:sz w:val="20"/>
                <w:szCs w:val="20"/>
                <w:color w:val="auto"/>
              </w:rPr>
            </w:pPr>
            <w:r>
              <w:rPr>
                <w:rFonts w:ascii="Arial" w:cs="Arial" w:eastAsia="Arial" w:hAnsi="Arial"/>
                <w:sz w:val="17"/>
                <w:szCs w:val="17"/>
                <w:color w:val="auto"/>
              </w:rPr>
              <w:t>1,709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8700" w:type="dxa"/>
            <w:vAlign w:val="bottom"/>
            <w:shd w:val="clear" w:color="auto" w:fill="E5FFFF"/>
          </w:tcPr>
          <w:p>
            <w:pPr>
              <w:spacing w:after="0"/>
              <w:rPr>
                <w:sz w:val="20"/>
                <w:szCs w:val="20"/>
                <w:color w:val="auto"/>
              </w:rPr>
            </w:pPr>
            <w:r>
              <w:rPr>
                <w:rFonts w:ascii="Arial" w:cs="Arial" w:eastAsia="Arial" w:hAnsi="Arial"/>
                <w:sz w:val="17"/>
                <w:szCs w:val="17"/>
                <w:color w:val="auto"/>
              </w:rPr>
              <w:t>Gain/(loss) on derivatives</w:t>
            </w:r>
          </w:p>
        </w:tc>
        <w:tc>
          <w:tcPr>
            <w:tcW w:w="174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1,167</w:t>
            </w:r>
          </w:p>
        </w:tc>
        <w:tc>
          <w:tcPr>
            <w:tcW w:w="1560" w:type="dxa"/>
            <w:vAlign w:val="bottom"/>
            <w:gridSpan w:val="3"/>
            <w:shd w:val="clear" w:color="auto" w:fill="E5FFFF"/>
          </w:tcPr>
          <w:p>
            <w:pPr>
              <w:jc w:val="right"/>
              <w:ind w:right="60"/>
              <w:spacing w:after="0"/>
              <w:rPr>
                <w:sz w:val="20"/>
                <w:szCs w:val="20"/>
                <w:color w:val="auto"/>
              </w:rPr>
            </w:pPr>
            <w:r>
              <w:rPr>
                <w:rFonts w:ascii="Arial" w:cs="Arial" w:eastAsia="Arial" w:hAnsi="Arial"/>
                <w:sz w:val="17"/>
                <w:szCs w:val="17"/>
                <w:color w:val="auto"/>
              </w:rPr>
              <w:t>(30,799)</w:t>
            </w:r>
          </w:p>
        </w:tc>
      </w:tr>
      <w:tr>
        <w:trPr>
          <w:trHeight w:val="214"/>
        </w:trPr>
        <w:tc>
          <w:tcPr>
            <w:tcW w:w="8700" w:type="dxa"/>
            <w:vAlign w:val="bottom"/>
          </w:tcPr>
          <w:p>
            <w:pPr>
              <w:spacing w:after="0"/>
              <w:rPr>
                <w:sz w:val="20"/>
                <w:szCs w:val="20"/>
                <w:color w:val="auto"/>
              </w:rPr>
            </w:pPr>
            <w:r>
              <w:rPr>
                <w:rFonts w:ascii="Arial" w:cs="Arial" w:eastAsia="Arial" w:hAnsi="Arial"/>
                <w:sz w:val="17"/>
                <w:szCs w:val="17"/>
                <w:color w:val="auto"/>
              </w:rPr>
              <w:t>Share of profit of associates</w:t>
            </w:r>
          </w:p>
        </w:tc>
        <w:tc>
          <w:tcPr>
            <w:tcW w:w="1740" w:type="dxa"/>
            <w:vAlign w:val="bottom"/>
            <w:gridSpan w:val="2"/>
          </w:tcPr>
          <w:p>
            <w:pPr>
              <w:jc w:val="right"/>
              <w:ind w:right="220"/>
              <w:spacing w:after="0"/>
              <w:rPr>
                <w:sz w:val="20"/>
                <w:szCs w:val="20"/>
                <w:color w:val="auto"/>
              </w:rPr>
            </w:pPr>
            <w:r>
              <w:rPr>
                <w:rFonts w:ascii="Arial" w:cs="Arial" w:eastAsia="Arial" w:hAnsi="Arial"/>
                <w:sz w:val="17"/>
                <w:szCs w:val="17"/>
                <w:color w:val="auto"/>
              </w:rPr>
              <w:t>471</w:t>
            </w:r>
          </w:p>
        </w:tc>
        <w:tc>
          <w:tcPr>
            <w:tcW w:w="1440" w:type="dxa"/>
            <w:vAlign w:val="bottom"/>
          </w:tcPr>
          <w:p>
            <w:pPr>
              <w:jc w:val="right"/>
              <w:spacing w:after="0"/>
              <w:rPr>
                <w:sz w:val="20"/>
                <w:szCs w:val="20"/>
                <w:color w:val="auto"/>
              </w:rPr>
            </w:pPr>
            <w:r>
              <w:rPr>
                <w:rFonts w:ascii="Arial" w:cs="Arial" w:eastAsia="Arial" w:hAnsi="Arial"/>
                <w:sz w:val="17"/>
                <w:szCs w:val="17"/>
                <w:color w:val="auto"/>
              </w:rPr>
              <w:t>313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8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other expenses, net</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(39,068)</w:t>
            </w:r>
          </w:p>
        </w:tc>
        <w:tc>
          <w:tcPr>
            <w:tcW w:w="300" w:type="dxa"/>
            <w:vAlign w:val="bottom"/>
            <w:tcBorders>
              <w:top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(75,674)</w:t>
            </w:r>
          </w:p>
        </w:tc>
        <w:tc>
          <w:tcPr>
            <w:tcW w:w="120" w:type="dxa"/>
            <w:vAlign w:val="bottom"/>
            <w:tcBorders>
              <w:top w:val="single" w:sz="8" w:color="E5FFFF"/>
            </w:tcBorders>
            <w:gridSpan w:val="2"/>
            <w:shd w:val="clear" w:color="auto" w:fill="E5FFFF"/>
          </w:tcPr>
          <w:p>
            <w:pPr>
              <w:spacing w:after="0"/>
              <w:rPr>
                <w:sz w:val="18"/>
                <w:szCs w:val="18"/>
                <w:color w:val="auto"/>
              </w:rPr>
            </w:pPr>
          </w:p>
        </w:tc>
      </w:tr>
      <w:tr>
        <w:trPr>
          <w:trHeight w:val="248"/>
        </w:trPr>
        <w:tc>
          <w:tcPr>
            <w:tcW w:w="870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Profit/(loss) for the period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14,212</w:t>
            </w:r>
          </w:p>
        </w:tc>
        <w:tc>
          <w:tcPr>
            <w:tcW w:w="300" w:type="dxa"/>
            <w:vAlign w:val="bottom"/>
            <w:tcBorders>
              <w:bottom w:val="single" w:sz="8" w:color="E5FF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(10,512</w:t>
            </w:r>
          </w:p>
        </w:tc>
        <w:tc>
          <w:tcPr>
            <w:tcW w:w="120" w:type="dxa"/>
            <w:vAlign w:val="bottom"/>
            <w:tcBorders>
              <w:bottom w:val="single" w:sz="8" w:color="E5FFFF"/>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197"/>
        </w:trPr>
        <w:tc>
          <w:tcPr>
            <w:tcW w:w="8700" w:type="dxa"/>
            <w:vAlign w:val="bottom"/>
            <w:shd w:val="clear" w:color="auto" w:fill="E5FFFF"/>
          </w:tcPr>
          <w:p>
            <w:pPr>
              <w:spacing w:after="0" w:line="176" w:lineRule="exact"/>
              <w:rPr>
                <w:sz w:val="20"/>
                <w:szCs w:val="20"/>
                <w:color w:val="auto"/>
              </w:rPr>
            </w:pPr>
            <w:r>
              <w:rPr>
                <w:rFonts w:ascii="Arial" w:cs="Arial" w:eastAsia="Arial" w:hAnsi="Arial"/>
                <w:sz w:val="17"/>
                <w:szCs w:val="17"/>
                <w:color w:val="auto"/>
              </w:rPr>
              <w:t>Non-controlling interests</w:t>
            </w: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(17,832)</w:t>
            </w:r>
          </w:p>
        </w:tc>
        <w:tc>
          <w:tcPr>
            <w:tcW w:w="300" w:type="dxa"/>
            <w:vAlign w:val="bottom"/>
            <w:shd w:val="clear" w:color="auto" w:fill="E5FFFF"/>
          </w:tcPr>
          <w:p>
            <w:pPr>
              <w:spacing w:after="0"/>
              <w:rPr>
                <w:sz w:val="17"/>
                <w:szCs w:val="17"/>
                <w:color w:val="auto"/>
              </w:rPr>
            </w:pPr>
          </w:p>
        </w:tc>
        <w:tc>
          <w:tcPr>
            <w:tcW w:w="14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(15,486)</w:t>
            </w:r>
          </w:p>
        </w:tc>
        <w:tc>
          <w:tcPr>
            <w:tcW w:w="120" w:type="dxa"/>
            <w:vAlign w:val="bottom"/>
            <w:gridSpan w:val="2"/>
            <w:shd w:val="clear" w:color="auto" w:fill="E5FFFF"/>
          </w:tcPr>
          <w:p>
            <w:pPr>
              <w:spacing w:after="0"/>
              <w:rPr>
                <w:sz w:val="17"/>
                <w:szCs w:val="17"/>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b w:val="1"/>
                <w:bCs w:val="1"/>
                <w:color w:val="auto"/>
              </w:rPr>
              <w:t>Loss attributable to owners of the Group</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(3,620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(25,998</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0"/>
        </w:trPr>
        <w:tc>
          <w:tcPr>
            <w:tcW w:w="87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4" w:lineRule="exact"/>
        <w:rPr>
          <w:sz w:val="20"/>
          <w:szCs w:val="20"/>
          <w:color w:val="auto"/>
        </w:rPr>
      </w:pPr>
    </w:p>
    <w:p>
      <w:pPr>
        <w:ind w:right="140" w:firstLine="428"/>
        <w:spacing w:after="0" w:line="293" w:lineRule="auto"/>
        <w:rPr>
          <w:sz w:val="20"/>
          <w:szCs w:val="20"/>
          <w:color w:val="auto"/>
        </w:rPr>
      </w:pPr>
      <w:r>
        <w:rPr>
          <w:rFonts w:ascii="Arial" w:cs="Arial" w:eastAsia="Arial" w:hAnsi="Arial"/>
          <w:sz w:val="16"/>
          <w:szCs w:val="16"/>
          <w:color w:val="auto"/>
        </w:rPr>
        <w:t>During the three-month period ended June 30, 2018 we had an average of 25.0 ships operating in our owned and bareboat fleet (including ships owned by the Partnership), having 2,249 operating days and an average of 26.0 ships operating under our technical management (including our 25.0 owned and bareboat ships). During the three-month period ended June 30, 2019, we had an average of 27.0 ships operating in our owned and bareboat fleet (including ships owned by the Partnership), having 2,409 operating days, and an average of 27.0 ships operating under our technical management (including 26.0 of our owned and bareboat ships).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175" w:lineRule="exact"/>
        <w:rPr>
          <w:sz w:val="20"/>
          <w:szCs w:val="20"/>
          <w:color w:val="auto"/>
        </w:rPr>
      </w:pPr>
    </w:p>
    <w:p>
      <w:pPr>
        <w:ind w:right="100" w:firstLine="452"/>
        <w:spacing w:after="0" w:line="305" w:lineRule="auto"/>
        <w:rPr>
          <w:sz w:val="20"/>
          <w:szCs w:val="20"/>
          <w:color w:val="auto"/>
        </w:rPr>
      </w:pPr>
      <w:r>
        <w:rPr>
          <w:rFonts w:ascii="Arial" w:cs="Arial" w:eastAsia="Arial" w:hAnsi="Arial"/>
          <w:sz w:val="15"/>
          <w:szCs w:val="15"/>
          <w:color w:val="auto"/>
        </w:rPr>
        <w:t xml:space="preserve">Revenues increased by 16.2%, or $21.5 million, from $132.8 million during the three-month period ended June 30, 2018 to $154.3 million during the three-month period ended June 30, 2019. The increase in revenues is mainly attributable to an increase in revenues of $13.1 million due to the operation of the </w:t>
      </w:r>
      <w:r>
        <w:rPr>
          <w:rFonts w:ascii="Arial" w:cs="Arial" w:eastAsia="Arial" w:hAnsi="Arial"/>
          <w:sz w:val="15"/>
          <w:szCs w:val="15"/>
          <w:i w:val="1"/>
          <w:iCs w:val="1"/>
          <w:color w:val="auto"/>
        </w:rPr>
        <w:t>GasLog Houston</w:t>
      </w:r>
      <w:r>
        <w:rPr>
          <w:rFonts w:ascii="Arial" w:cs="Arial" w:eastAsia="Arial" w:hAnsi="Arial"/>
          <w:sz w:val="15"/>
          <w:szCs w:val="15"/>
          <w:color w:val="auto"/>
        </w:rPr>
        <w:t xml:space="preserve"> during the full quarter ended June 30, 2019 and the delivery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on March 15, 2019. These deliveries resulted in an increase in operating days. There was also an increase of $7.7 million in revenues from our vessels operating in the spot market mainly due to their increased number, their increased utilization and the increase in the day rates achieved by the GasLog vessels compared to the same period in 2018 and an increase of $4.0 million due to decreased off-hire days from scheduled dry-dockings. These increases were partially offset by a decrease of $5.0 million due to the expiration of the initial time charters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Sydney. </w:t>
      </w:r>
      <w:r>
        <w:rPr>
          <w:rFonts w:ascii="Arial" w:cs="Arial" w:eastAsia="Arial" w:hAnsi="Arial"/>
          <w:sz w:val="15"/>
          <w:szCs w:val="15"/>
          <w:color w:val="auto"/>
        </w:rPr>
        <w:t>Following the expiration of their initial charters, the</w:t>
      </w:r>
      <w:r>
        <w:rPr>
          <w:rFonts w:ascii="Arial" w:cs="Arial" w:eastAsia="Arial" w:hAnsi="Arial"/>
          <w:sz w:val="15"/>
          <w:szCs w:val="15"/>
          <w:i w:val="1"/>
          <w:iCs w:val="1"/>
          <w:color w:val="auto"/>
        </w:rPr>
        <w:t xml:space="preserve"> GasLog Shanghai </w:t>
      </w:r>
      <w:r>
        <w:rPr>
          <w:rFonts w:ascii="Arial" w:cs="Arial" w:eastAsia="Arial" w:hAnsi="Arial"/>
          <w:sz w:val="15"/>
          <w:szCs w:val="15"/>
          <w:color w:val="auto"/>
        </w:rPr>
        <w:t>traded in the spot market through the Cool Pool and was rechartered to Gunvor in June 2019,</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began a new multi-year charter with Trafigura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began a new 18-month charter with Cheniere. The average daily hire rate increased from $58,968 for the three-month period ended June 30, 2018 to $63,955 for the quarter ended June 30, 2019.</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Pool Allocation:</w:t>
      </w:r>
    </w:p>
    <w:p>
      <w:pPr>
        <w:spacing w:after="0" w:line="175"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GasLog recognized gross revenues and gross voyage expenses and commissions of $12.8 million and $3.4 million, respectively, from the operation of its vessels in the Cool Pool during the quarter ended June 30, 2019 (June 30, 2018: $5.0 million and $2.2 million, respectively). Net pool allocation decreased by $4.3 million, from $7.0 million during the three-month period ended June 30, 2018 to $2.7 million during the three-month period ended June 30, 2019. The variance was attributable to the movement in the adjustment of the net pool results generated by the GasLog vessels in accordance with the pool distribution formula for the total fleet of the pool. The increase in GasLog’s total net pool performance was driven by the increase in the number of the GasLog vessels operating in the Cool Pool. In June 2019, four GasLog vessels exited the Cool Pool, with the remaining two vessels being withdrawn in July 2019. GasLog’s total net pool performance is presented below:</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60" w:type="dxa"/>
            <w:vAlign w:val="bottom"/>
          </w:tcPr>
          <w:p>
            <w:pPr>
              <w:spacing w:after="0"/>
              <w:rPr>
                <w:sz w:val="19"/>
                <w:szCs w:val="19"/>
                <w:color w:val="auto"/>
              </w:rPr>
            </w:pPr>
          </w:p>
        </w:tc>
        <w:tc>
          <w:tcPr>
            <w:tcW w:w="3340" w:type="dxa"/>
            <w:vAlign w:val="bottom"/>
            <w:gridSpan w:val="3"/>
          </w:tcPr>
          <w:p>
            <w:pPr>
              <w:jc w:val="right"/>
              <w:ind w:right="654"/>
              <w:spacing w:after="0"/>
              <w:rPr>
                <w:sz w:val="20"/>
                <w:szCs w:val="20"/>
                <w:color w:val="auto"/>
              </w:rPr>
            </w:pPr>
            <w:r>
              <w:rPr>
                <w:rFonts w:ascii="Arial" w:cs="Arial" w:eastAsia="Arial" w:hAnsi="Arial"/>
                <w:sz w:val="17"/>
                <w:szCs w:val="17"/>
                <w:b w:val="1"/>
                <w:bCs w:val="1"/>
                <w:color w:val="auto"/>
              </w:rPr>
              <w:t>For the three months ended</w:t>
            </w:r>
          </w:p>
        </w:tc>
        <w:tc>
          <w:tcPr>
            <w:tcW w:w="40" w:type="dxa"/>
            <w:vAlign w:val="bottom"/>
          </w:tcPr>
          <w:p>
            <w:pPr>
              <w:spacing w:after="0"/>
              <w:rPr>
                <w:sz w:val="19"/>
                <w:szCs w:val="19"/>
                <w:color w:val="auto"/>
              </w:rPr>
            </w:pPr>
          </w:p>
        </w:tc>
      </w:tr>
      <w:tr>
        <w:trPr>
          <w:trHeight w:val="248"/>
        </w:trPr>
        <w:tc>
          <w:tcPr>
            <w:tcW w:w="8660" w:type="dxa"/>
            <w:vAlign w:val="bottom"/>
          </w:tcPr>
          <w:p>
            <w:pPr>
              <w:spacing w:after="0"/>
              <w:rPr>
                <w:sz w:val="21"/>
                <w:szCs w:val="21"/>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June 30,</w:t>
            </w:r>
          </w:p>
        </w:tc>
        <w:tc>
          <w:tcPr>
            <w:tcW w:w="1600" w:type="dxa"/>
            <w:vAlign w:val="bottom"/>
          </w:tcPr>
          <w:p>
            <w:pPr>
              <w:jc w:val="right"/>
              <w:ind w:right="494"/>
              <w:spacing w:after="0"/>
              <w:rPr>
                <w:sz w:val="20"/>
                <w:szCs w:val="20"/>
                <w:color w:val="auto"/>
              </w:rPr>
            </w:pPr>
            <w:r>
              <w:rPr>
                <w:rFonts w:ascii="Arial" w:cs="Arial" w:eastAsia="Arial" w:hAnsi="Arial"/>
                <w:sz w:val="17"/>
                <w:szCs w:val="17"/>
                <w:b w:val="1"/>
                <w:bCs w:val="1"/>
                <w:color w:val="auto"/>
              </w:rPr>
              <w:t>June 30,</w:t>
            </w:r>
          </w:p>
        </w:tc>
        <w:tc>
          <w:tcPr>
            <w:tcW w:w="40" w:type="dxa"/>
            <w:vAlign w:val="bottom"/>
          </w:tcPr>
          <w:p>
            <w:pPr>
              <w:spacing w:after="0"/>
              <w:rPr>
                <w:sz w:val="21"/>
                <w:szCs w:val="21"/>
                <w:color w:val="auto"/>
              </w:rPr>
            </w:pPr>
          </w:p>
        </w:tc>
      </w:tr>
      <w:tr>
        <w:trPr>
          <w:trHeight w:val="224"/>
        </w:trPr>
        <w:tc>
          <w:tcPr>
            <w:tcW w:w="8660" w:type="dxa"/>
            <w:vAlign w:val="bottom"/>
            <w:tcBorders>
              <w:bottom w:val="single" w:sz="8" w:color="E5FFFF"/>
            </w:tcBorders>
          </w:tcPr>
          <w:p>
            <w:pPr>
              <w:spacing w:after="0"/>
              <w:rPr>
                <w:sz w:val="19"/>
                <w:szCs w:val="19"/>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E5FFFF"/>
            </w:tcBorders>
          </w:tcPr>
          <w:p>
            <w:pPr>
              <w:spacing w:after="0"/>
              <w:rPr>
                <w:sz w:val="19"/>
                <w:szCs w:val="19"/>
                <w:color w:val="auto"/>
              </w:rPr>
            </w:pPr>
          </w:p>
        </w:tc>
        <w:tc>
          <w:tcPr>
            <w:tcW w:w="160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2019</w:t>
            </w:r>
          </w:p>
        </w:tc>
        <w:tc>
          <w:tcPr>
            <w:tcW w:w="40" w:type="dxa"/>
            <w:vAlign w:val="bottom"/>
          </w:tcPr>
          <w:p>
            <w:pPr>
              <w:spacing w:after="0"/>
              <w:rPr>
                <w:sz w:val="19"/>
                <w:szCs w:val="19"/>
                <w:color w:val="auto"/>
              </w:rPr>
            </w:pPr>
          </w:p>
        </w:tc>
      </w:tr>
      <w:tr>
        <w:trPr>
          <w:trHeight w:val="200"/>
        </w:trPr>
        <w:tc>
          <w:tcPr>
            <w:tcW w:w="8660" w:type="dxa"/>
            <w:vAlign w:val="bottom"/>
            <w:shd w:val="clear" w:color="auto" w:fill="E5FFFF"/>
          </w:tcPr>
          <w:p>
            <w:pPr>
              <w:spacing w:after="0"/>
              <w:rPr>
                <w:sz w:val="20"/>
                <w:szCs w:val="20"/>
                <w:color w:val="auto"/>
              </w:rPr>
            </w:pPr>
            <w:r>
              <w:rPr>
                <w:rFonts w:ascii="Arial" w:cs="Arial" w:eastAsia="Arial" w:hAnsi="Arial"/>
                <w:sz w:val="17"/>
                <w:szCs w:val="17"/>
                <w:b w:val="1"/>
                <w:bCs w:val="1"/>
                <w:i w:val="1"/>
                <w:iCs w:val="1"/>
                <w:color w:val="auto"/>
              </w:rPr>
              <w:t>Amounts in thousands of U.S. Dollars</w:t>
            </w:r>
          </w:p>
        </w:tc>
        <w:tc>
          <w:tcPr>
            <w:tcW w:w="14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6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8660" w:type="dxa"/>
            <w:vAlign w:val="bottom"/>
          </w:tcPr>
          <w:p>
            <w:pPr>
              <w:spacing w:after="0"/>
              <w:rPr>
                <w:sz w:val="20"/>
                <w:szCs w:val="20"/>
                <w:color w:val="auto"/>
              </w:rPr>
            </w:pPr>
            <w:r>
              <w:rPr>
                <w:rFonts w:ascii="Arial" w:cs="Arial" w:eastAsia="Arial" w:hAnsi="Arial"/>
                <w:sz w:val="17"/>
                <w:szCs w:val="17"/>
                <w:color w:val="auto"/>
              </w:rPr>
              <w:t>Pool gross revenues (included in Revenues)</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5,047</w:t>
            </w:r>
          </w:p>
        </w:tc>
        <w:tc>
          <w:tcPr>
            <w:tcW w:w="1600" w:type="dxa"/>
            <w:vAlign w:val="bottom"/>
          </w:tcPr>
          <w:p>
            <w:pPr>
              <w:jc w:val="right"/>
              <w:ind w:right="74"/>
              <w:spacing w:after="0"/>
              <w:rPr>
                <w:sz w:val="20"/>
                <w:szCs w:val="20"/>
                <w:color w:val="auto"/>
              </w:rPr>
            </w:pPr>
            <w:r>
              <w:rPr>
                <w:rFonts w:ascii="Arial" w:cs="Arial" w:eastAsia="Arial" w:hAnsi="Arial"/>
                <w:sz w:val="17"/>
                <w:szCs w:val="17"/>
                <w:color w:val="auto"/>
              </w:rPr>
              <w:t>12,776</w:t>
            </w:r>
          </w:p>
        </w:tc>
        <w:tc>
          <w:tcPr>
            <w:tcW w:w="40" w:type="dxa"/>
            <w:vAlign w:val="bottom"/>
          </w:tcPr>
          <w:p>
            <w:pPr>
              <w:spacing w:after="0"/>
              <w:rPr>
                <w:sz w:val="18"/>
                <w:szCs w:val="18"/>
                <w:color w:val="auto"/>
              </w:rPr>
            </w:pPr>
          </w:p>
        </w:tc>
      </w:tr>
      <w:tr>
        <w:trPr>
          <w:trHeight w:val="214"/>
        </w:trPr>
        <w:tc>
          <w:tcPr>
            <w:tcW w:w="8660" w:type="dxa"/>
            <w:vAlign w:val="bottom"/>
            <w:shd w:val="clear" w:color="auto" w:fill="E5FFFF"/>
          </w:tcPr>
          <w:p>
            <w:pPr>
              <w:spacing w:after="0"/>
              <w:rPr>
                <w:sz w:val="20"/>
                <w:szCs w:val="20"/>
                <w:color w:val="auto"/>
              </w:rPr>
            </w:pPr>
            <w:r>
              <w:rPr>
                <w:rFonts w:ascii="Arial" w:cs="Arial" w:eastAsia="Arial" w:hAnsi="Arial"/>
                <w:sz w:val="17"/>
                <w:szCs w:val="17"/>
                <w:color w:val="auto"/>
              </w:rPr>
              <w:t>Pool gross voyage expenses and commissions (included in Voyage expenses and commissions)</w:t>
            </w:r>
          </w:p>
        </w:tc>
        <w:tc>
          <w:tcPr>
            <w:tcW w:w="174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(2,165)</w:t>
            </w:r>
          </w:p>
        </w:tc>
        <w:tc>
          <w:tcPr>
            <w:tcW w:w="1600" w:type="dxa"/>
            <w:vAlign w:val="bottom"/>
            <w:shd w:val="clear" w:color="auto" w:fill="E5FFFF"/>
          </w:tcPr>
          <w:p>
            <w:pPr>
              <w:jc w:val="right"/>
              <w:ind w:right="34"/>
              <w:spacing w:after="0"/>
              <w:rPr>
                <w:sz w:val="20"/>
                <w:szCs w:val="20"/>
                <w:color w:val="auto"/>
              </w:rPr>
            </w:pPr>
            <w:r>
              <w:rPr>
                <w:rFonts w:ascii="Arial" w:cs="Arial" w:eastAsia="Arial" w:hAnsi="Arial"/>
                <w:sz w:val="17"/>
                <w:szCs w:val="17"/>
                <w:color w:val="auto"/>
              </w:rPr>
              <w:t>(3,355)</w:t>
            </w:r>
          </w:p>
        </w:tc>
        <w:tc>
          <w:tcPr>
            <w:tcW w:w="40" w:type="dxa"/>
            <w:vAlign w:val="bottom"/>
          </w:tcPr>
          <w:p>
            <w:pPr>
              <w:spacing w:after="0"/>
              <w:rPr>
                <w:sz w:val="18"/>
                <w:szCs w:val="18"/>
                <w:color w:val="auto"/>
              </w:rPr>
            </w:pPr>
          </w:p>
        </w:tc>
      </w:tr>
      <w:tr>
        <w:trPr>
          <w:trHeight w:val="214"/>
        </w:trPr>
        <w:tc>
          <w:tcPr>
            <w:tcW w:w="8660" w:type="dxa"/>
            <w:vAlign w:val="bottom"/>
          </w:tcPr>
          <w:p>
            <w:pPr>
              <w:spacing w:after="0"/>
              <w:rPr>
                <w:sz w:val="20"/>
                <w:szCs w:val="20"/>
                <w:color w:val="auto"/>
              </w:rPr>
            </w:pPr>
            <w:r>
              <w:rPr>
                <w:rFonts w:ascii="Arial" w:cs="Arial" w:eastAsia="Arial" w:hAnsi="Arial"/>
                <w:sz w:val="17"/>
                <w:szCs w:val="17"/>
                <w:color w:val="auto"/>
              </w:rPr>
              <w:t>GasLog’s adjustment for net pool allocation (included in Net pool allocation)</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6,958</w:t>
            </w:r>
          </w:p>
        </w:tc>
        <w:tc>
          <w:tcPr>
            <w:tcW w:w="1600" w:type="dxa"/>
            <w:vAlign w:val="bottom"/>
          </w:tcPr>
          <w:p>
            <w:pPr>
              <w:jc w:val="right"/>
              <w:ind w:right="74"/>
              <w:spacing w:after="0"/>
              <w:rPr>
                <w:sz w:val="20"/>
                <w:szCs w:val="20"/>
                <w:color w:val="auto"/>
              </w:rPr>
            </w:pPr>
            <w:r>
              <w:rPr>
                <w:rFonts w:ascii="Arial" w:cs="Arial" w:eastAsia="Arial" w:hAnsi="Arial"/>
                <w:sz w:val="17"/>
                <w:szCs w:val="17"/>
                <w:color w:val="auto"/>
              </w:rPr>
              <w:t>2,658</w:t>
            </w:r>
          </w:p>
        </w:tc>
        <w:tc>
          <w:tcPr>
            <w:tcW w:w="40" w:type="dxa"/>
            <w:vAlign w:val="bottom"/>
          </w:tcPr>
          <w:p>
            <w:pPr>
              <w:spacing w:after="0"/>
              <w:rPr>
                <w:sz w:val="18"/>
                <w:szCs w:val="18"/>
                <w:color w:val="auto"/>
              </w:rPr>
            </w:pPr>
          </w:p>
        </w:tc>
      </w:tr>
      <w:tr>
        <w:trPr>
          <w:trHeight w:val="208"/>
        </w:trPr>
        <w:tc>
          <w:tcPr>
            <w:tcW w:w="86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GasLog’s total net pool performance</w:t>
            </w: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9,840</w:t>
            </w:r>
          </w:p>
        </w:tc>
        <w:tc>
          <w:tcPr>
            <w:tcW w:w="300" w:type="dxa"/>
            <w:vAlign w:val="bottom"/>
            <w:tcBorders>
              <w:top w:val="single" w:sz="8" w:color="E5FFFF"/>
            </w:tcBorders>
            <w:shd w:val="clear" w:color="auto" w:fill="E5FFFF"/>
          </w:tcPr>
          <w:p>
            <w:pPr>
              <w:spacing w:after="0"/>
              <w:rPr>
                <w:sz w:val="18"/>
                <w:szCs w:val="18"/>
                <w:color w:val="auto"/>
              </w:rPr>
            </w:pPr>
          </w:p>
        </w:tc>
        <w:tc>
          <w:tcPr>
            <w:tcW w:w="1600" w:type="dxa"/>
            <w:vAlign w:val="bottom"/>
            <w:tcBorders>
              <w:top w:val="single" w:sz="8" w:color="auto"/>
              <w:bottom w:val="single" w:sz="8" w:color="auto"/>
            </w:tcBorders>
            <w:shd w:val="clear" w:color="auto" w:fill="E5FFFF"/>
          </w:tcPr>
          <w:p>
            <w:pPr>
              <w:jc w:val="right"/>
              <w:ind w:right="74"/>
              <w:spacing w:after="0"/>
              <w:rPr>
                <w:sz w:val="20"/>
                <w:szCs w:val="20"/>
                <w:color w:val="auto"/>
              </w:rPr>
            </w:pPr>
            <w:r>
              <w:rPr>
                <w:rFonts w:ascii="Arial" w:cs="Arial" w:eastAsia="Arial" w:hAnsi="Arial"/>
                <w:sz w:val="17"/>
                <w:szCs w:val="17"/>
                <w:b w:val="1"/>
                <w:bCs w:val="1"/>
                <w:color w:val="auto"/>
              </w:rPr>
              <w:t>12,079</w:t>
            </w:r>
          </w:p>
        </w:tc>
        <w:tc>
          <w:tcPr>
            <w:tcW w:w="40" w:type="dxa"/>
            <w:vAlign w:val="bottom"/>
          </w:tcPr>
          <w:p>
            <w:pPr>
              <w:spacing w:after="0"/>
              <w:rPr>
                <w:sz w:val="18"/>
                <w:szCs w:val="18"/>
                <w:color w:val="auto"/>
              </w:rPr>
            </w:pPr>
          </w:p>
        </w:tc>
      </w:tr>
      <w:tr>
        <w:trPr>
          <w:trHeight w:val="395"/>
        </w:trPr>
        <w:tc>
          <w:tcPr>
            <w:tcW w:w="8660" w:type="dxa"/>
            <w:vAlign w:val="bottom"/>
          </w:tcPr>
          <w:p>
            <w:pPr>
              <w:ind w:left="5920"/>
              <w:spacing w:after="0"/>
              <w:rPr>
                <w:sz w:val="20"/>
                <w:szCs w:val="20"/>
                <w:color w:val="auto"/>
              </w:rPr>
            </w:pPr>
            <w:r>
              <w:rPr>
                <w:rFonts w:ascii="Arial" w:cs="Arial" w:eastAsia="Arial" w:hAnsi="Arial"/>
                <w:sz w:val="15"/>
                <w:szCs w:val="15"/>
                <w:color w:val="auto"/>
              </w:rPr>
              <w:t>20</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4"/>
        </w:trPr>
        <w:tc>
          <w:tcPr>
            <w:tcW w:w="86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8" w:right="80" w:bottom="11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Voyage Expenses and Commissions:</w:t>
      </w:r>
    </w:p>
    <w:p>
      <w:pPr>
        <w:spacing w:after="0" w:line="247" w:lineRule="exact"/>
        <w:rPr>
          <w:sz w:val="20"/>
          <w:szCs w:val="20"/>
          <w:color w:val="auto"/>
        </w:rPr>
      </w:pPr>
    </w:p>
    <w:p>
      <w:pPr>
        <w:ind w:right="100" w:firstLine="376"/>
        <w:spacing w:after="0" w:line="358" w:lineRule="auto"/>
        <w:rPr>
          <w:sz w:val="20"/>
          <w:szCs w:val="20"/>
          <w:color w:val="auto"/>
        </w:rPr>
      </w:pPr>
      <w:r>
        <w:rPr>
          <w:rFonts w:ascii="Arial" w:cs="Arial" w:eastAsia="Arial" w:hAnsi="Arial"/>
          <w:sz w:val="15"/>
          <w:szCs w:val="15"/>
          <w:color w:val="auto"/>
        </w:rPr>
        <w:t>Voyage expenses and commissions increased by 28.3%, or $1.3 million, from $4.6 million during the three-month period ended June 30, 2018 to $5.9 million during the three-month period ended June 30, 2019. The increase is primarily attributable to the increase in bunkers consumption of the vessels operating in the spot market.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Vessel Operating and Supervision Costs:</w:t>
      </w:r>
    </w:p>
    <w:p>
      <w:pPr>
        <w:spacing w:after="0" w:line="247" w:lineRule="exact"/>
        <w:rPr>
          <w:sz w:val="20"/>
          <w:szCs w:val="20"/>
          <w:color w:val="auto"/>
        </w:rPr>
      </w:pPr>
    </w:p>
    <w:p>
      <w:pPr>
        <w:ind w:firstLine="376"/>
        <w:spacing w:after="0" w:line="293" w:lineRule="auto"/>
        <w:rPr>
          <w:sz w:val="20"/>
          <w:szCs w:val="20"/>
          <w:color w:val="auto"/>
        </w:rPr>
      </w:pPr>
      <w:r>
        <w:rPr>
          <w:rFonts w:ascii="Arial" w:cs="Arial" w:eastAsia="Arial" w:hAnsi="Arial"/>
          <w:sz w:val="16"/>
          <w:szCs w:val="16"/>
          <w:color w:val="auto"/>
        </w:rPr>
        <w:t>Vessel operating and supervision costs increased by 2.1%, or $0.7 million, from $32.7 million during the three-month period ended June 30, 2018 to $33.4 million during the three-month period ended June 30, 2019. The increase in vessel operating and supervision costs is mainly attributable to an increase in the average number of vessels in the three months ended June 30, 2019, partially offset by the favorable movement of the EUR/USD exchange rate. Daily operating costs per vessel decreased from $14,375 per day for the three-month period ended June 30, 2018 to $14,099 per day for the three-month period ended June 30, 2019.</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247" w:lineRule="exact"/>
        <w:rPr>
          <w:sz w:val="20"/>
          <w:szCs w:val="20"/>
          <w:color w:val="auto"/>
        </w:rPr>
      </w:pPr>
    </w:p>
    <w:p>
      <w:pPr>
        <w:ind w:right="160" w:firstLine="376"/>
        <w:spacing w:after="0" w:line="275" w:lineRule="auto"/>
        <w:rPr>
          <w:sz w:val="20"/>
          <w:szCs w:val="20"/>
          <w:color w:val="auto"/>
        </w:rPr>
      </w:pPr>
      <w:r>
        <w:rPr>
          <w:rFonts w:ascii="Arial" w:cs="Arial" w:eastAsia="Arial" w:hAnsi="Arial"/>
          <w:sz w:val="17"/>
          <w:szCs w:val="17"/>
          <w:color w:val="auto"/>
        </w:rPr>
        <w:t xml:space="preserve">Depreciation increased by 6.7%, or $2.6 million, from $38.8 million during the three-month period ended June 30, 2018 to $41.4 million during the three-month period ended June 30, 2019. The increase in depreciation resulted mainly from an increase of $1.6 million from the delivery of the </w:t>
      </w:r>
      <w:r>
        <w:rPr>
          <w:rFonts w:ascii="Arial" w:cs="Arial" w:eastAsia="Arial" w:hAnsi="Arial"/>
          <w:sz w:val="17"/>
          <w:szCs w:val="17"/>
          <w:i w:val="1"/>
          <w:iCs w:val="1"/>
          <w:color w:val="auto"/>
        </w:rPr>
        <w:t>GasLog Gladstone</w:t>
      </w:r>
      <w:r>
        <w:rPr>
          <w:rFonts w:ascii="Arial" w:cs="Arial" w:eastAsia="Arial" w:hAnsi="Arial"/>
          <w:sz w:val="17"/>
          <w:szCs w:val="17"/>
          <w:color w:val="auto"/>
        </w:rPr>
        <w:t xml:space="preserve"> on March 15, 2019 and an increase of $0.6 million from the depreciation of the right-of-use assets.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47" w:lineRule="exact"/>
        <w:rPr>
          <w:sz w:val="20"/>
          <w:szCs w:val="20"/>
          <w:color w:val="auto"/>
        </w:rPr>
      </w:pPr>
    </w:p>
    <w:p>
      <w:pPr>
        <w:jc w:val="both"/>
        <w:ind w:right="140" w:firstLine="376"/>
        <w:spacing w:after="0" w:line="275" w:lineRule="auto"/>
        <w:rPr>
          <w:sz w:val="20"/>
          <w:szCs w:val="20"/>
          <w:color w:val="auto"/>
        </w:rPr>
      </w:pPr>
      <w:r>
        <w:rPr>
          <w:rFonts w:ascii="Arial" w:cs="Arial" w:eastAsia="Arial" w:hAnsi="Arial"/>
          <w:sz w:val="17"/>
          <w:szCs w:val="17"/>
          <w:color w:val="auto"/>
        </w:rPr>
        <w:t>General and administrative expenses increased by 7.7%, or $0.8 million, from $10.4 million during the three-month period ended June 30, 2018 to $11.2 million during the three-month period ended June 30, 2019. The increase is mainly attributable to an increase of $0.4 million in employee costs and an increase of $0.4 million in legal and professional expenses.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Costs:</w:t>
      </w:r>
    </w:p>
    <w:p>
      <w:pPr>
        <w:spacing w:after="0" w:line="247" w:lineRule="exact"/>
        <w:rPr>
          <w:sz w:val="20"/>
          <w:szCs w:val="20"/>
          <w:color w:val="auto"/>
        </w:rPr>
      </w:pPr>
    </w:p>
    <w:p>
      <w:pPr>
        <w:ind w:right="20" w:firstLine="376"/>
        <w:spacing w:after="0" w:line="312" w:lineRule="auto"/>
        <w:rPr>
          <w:sz w:val="20"/>
          <w:szCs w:val="20"/>
          <w:color w:val="auto"/>
        </w:rPr>
      </w:pPr>
      <w:r>
        <w:rPr>
          <w:rFonts w:ascii="Arial" w:cs="Arial" w:eastAsia="Arial" w:hAnsi="Arial"/>
          <w:sz w:val="15"/>
          <w:szCs w:val="15"/>
          <w:color w:val="auto"/>
        </w:rPr>
        <w:t>Financial costs increased by 11.7%, or $4.9 million, from $42.0 million during the three-month period ended June 30, 2018 to $46.9 million during the three-month period ended June 30, 2019. The increase is mainly attributable to an increase of $5.1 million in interest expense on loans, bonds and cash flow hedges. During the quarter ended June 30, 2018, we had an average of $2,986.6 million of outstanding indebtedness having an aggregate weighted average interest rate of 4.7%, while during the quarter ended June 30, 2019, we had an average of $3,079.3 million of outstanding indebtedness, with a weighted average interest rate of 5.2%, due primarily to an increase in LIBOR rates. These weighted average interest rates include interest expense on loans and cash flow hedges and interest expense on senior unsecured notes and cross-currency swaps.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Gain/(loss) on Derivatives:</w:t>
      </w:r>
    </w:p>
    <w:p>
      <w:pPr>
        <w:spacing w:after="0" w:line="247" w:lineRule="exact"/>
        <w:rPr>
          <w:sz w:val="20"/>
          <w:szCs w:val="20"/>
          <w:color w:val="auto"/>
        </w:rPr>
      </w:pPr>
    </w:p>
    <w:p>
      <w:pPr>
        <w:ind w:firstLine="376"/>
        <w:spacing w:after="0" w:line="289" w:lineRule="auto"/>
        <w:rPr>
          <w:sz w:val="20"/>
          <w:szCs w:val="20"/>
          <w:color w:val="auto"/>
        </w:rPr>
      </w:pPr>
      <w:r>
        <w:rPr>
          <w:rFonts w:ascii="Arial" w:cs="Arial" w:eastAsia="Arial" w:hAnsi="Arial"/>
          <w:sz w:val="16"/>
          <w:szCs w:val="16"/>
          <w:color w:val="auto"/>
        </w:rPr>
        <w:t>Gain/(loss) on derivatives decreased by $32.0 million, from a gain of $1.2 million during the three-month period ended June 30, 2018 to a $30.8 million loss during the three-month period ended June 30, 2019. The decrease is mainly attributable to a decrease of $30.9 million in gain from mark-to-market valuation of our derivative financial instruments carried at fair value through profit or loss, which reflected a gain of $0.1 million for the quarter ended June 30, 2018, as compared to a loss of $30.8 million for the quarter ended June 30, 2019, and a decrease of $1.6 million in realized gain on forward foreign exchange contracts held for trading, partially offset by a decrease of $0.3 million in the ineffective portion of cash flow hedges and an increase of $0.2 million in realized gain from interest rate swaps held for trading.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Profit/(loss) for the Period:</w:t>
      </w:r>
    </w:p>
    <w:p>
      <w:pPr>
        <w:spacing w:after="0" w:line="247" w:lineRule="exact"/>
        <w:rPr>
          <w:sz w:val="20"/>
          <w:szCs w:val="20"/>
          <w:color w:val="auto"/>
        </w:rPr>
      </w:pPr>
    </w:p>
    <w:p>
      <w:pPr>
        <w:ind w:right="260" w:firstLine="376"/>
        <w:spacing w:after="0" w:line="288" w:lineRule="auto"/>
        <w:rPr>
          <w:sz w:val="20"/>
          <w:szCs w:val="20"/>
          <w:color w:val="auto"/>
        </w:rPr>
      </w:pPr>
      <w:r>
        <w:rPr>
          <w:rFonts w:ascii="Arial" w:cs="Arial" w:eastAsia="Arial" w:hAnsi="Arial"/>
          <w:sz w:val="17"/>
          <w:szCs w:val="17"/>
          <w:color w:val="auto"/>
        </w:rPr>
        <w:t>Profit for the period decreased by $24.7 million, from a profit of $14.2 million for the three-month period ended June 30, 2018 to a loss of $10.5 million for the three-month period ended June 30, 2019, as a result of the aforementioned factors.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Profit/(loss) Attributable to Owners of the Group:</w:t>
      </w:r>
    </w:p>
    <w:p>
      <w:pPr>
        <w:spacing w:after="0" w:line="247" w:lineRule="exact"/>
        <w:rPr>
          <w:sz w:val="20"/>
          <w:szCs w:val="20"/>
          <w:color w:val="auto"/>
        </w:rPr>
      </w:pPr>
    </w:p>
    <w:p>
      <w:pPr>
        <w:jc w:val="both"/>
        <w:ind w:right="120" w:firstLine="376"/>
        <w:spacing w:after="0" w:line="328" w:lineRule="auto"/>
        <w:rPr>
          <w:sz w:val="20"/>
          <w:szCs w:val="20"/>
          <w:color w:val="auto"/>
        </w:rPr>
      </w:pPr>
      <w:r>
        <w:rPr>
          <w:rFonts w:ascii="Arial" w:cs="Arial" w:eastAsia="Arial" w:hAnsi="Arial"/>
          <w:sz w:val="15"/>
          <w:szCs w:val="15"/>
          <w:color w:val="auto"/>
        </w:rPr>
        <w:t>Loss attributable to owners of the Group increased by $22.4 million, from a $3.6 million loss for the three-month period ended June 30, 2018 to a $26.0 million loss for the three-month period ended June 30, 2019. The increase in loss attributable to the owners of GasLog resulted mainly from the decrease in profit mentioned above, partially offset by the decrease in profit attributable to the non-controlling interests (non-controlling unitholders of GasLog Partners) following the decrease in the Partnership’s profit.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8" w:right="12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20"/>
                <w:szCs w:val="20"/>
                <w:color w:val="auto"/>
              </w:rPr>
            </w:pPr>
            <w:r>
              <w:rPr>
                <w:rFonts w:ascii="Arial" w:cs="Arial" w:eastAsia="Arial" w:hAnsi="Arial"/>
                <w:sz w:val="17"/>
                <w:szCs w:val="17"/>
                <w:b w:val="1"/>
                <w:bCs w:val="1"/>
                <w:i w:val="1"/>
                <w:iCs w:val="1"/>
                <w:color w:val="auto"/>
              </w:rPr>
              <w:t>Six-month period ended June 30, 2018 compared to the six-month period ended June 30, 2019</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9140" w:type="dxa"/>
            <w:vAlign w:val="bottom"/>
          </w:tcPr>
          <w:p>
            <w:pPr>
              <w:spacing w:after="0"/>
              <w:rPr>
                <w:sz w:val="24"/>
                <w:szCs w:val="24"/>
                <w:color w:val="auto"/>
              </w:rPr>
            </w:pPr>
          </w:p>
        </w:tc>
        <w:tc>
          <w:tcPr>
            <w:tcW w:w="2860" w:type="dxa"/>
            <w:vAlign w:val="bottom"/>
            <w:gridSpan w:val="4"/>
          </w:tcPr>
          <w:p>
            <w:pPr>
              <w:jc w:val="right"/>
              <w:ind w:right="480"/>
              <w:spacing w:after="0"/>
              <w:rPr>
                <w:sz w:val="20"/>
                <w:szCs w:val="20"/>
                <w:color w:val="auto"/>
              </w:rPr>
            </w:pPr>
            <w:r>
              <w:rPr>
                <w:rFonts w:ascii="Arial" w:cs="Arial" w:eastAsia="Arial" w:hAnsi="Arial"/>
                <w:sz w:val="17"/>
                <w:szCs w:val="17"/>
                <w:b w:val="1"/>
                <w:bCs w:val="1"/>
                <w:color w:val="auto"/>
              </w:rPr>
              <w:t>For the six months ended</w:t>
            </w:r>
          </w:p>
        </w:tc>
        <w:tc>
          <w:tcPr>
            <w:tcW w:w="0" w:type="dxa"/>
            <w:vAlign w:val="bottom"/>
          </w:tcPr>
          <w:p>
            <w:pPr>
              <w:spacing w:after="0"/>
              <w:rPr>
                <w:sz w:val="1"/>
                <w:szCs w:val="1"/>
                <w:color w:val="auto"/>
              </w:rPr>
            </w:pPr>
          </w:p>
        </w:tc>
      </w:tr>
      <w:tr>
        <w:trPr>
          <w:trHeight w:val="214"/>
        </w:trPr>
        <w:tc>
          <w:tcPr>
            <w:tcW w:w="91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June 30,</w:t>
            </w:r>
          </w:p>
        </w:tc>
        <w:tc>
          <w:tcPr>
            <w:tcW w:w="132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6"/>
        </w:trPr>
        <w:tc>
          <w:tcPr>
            <w:tcW w:w="914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Amounts in thousands of U.S. Dollars</w:t>
            </w: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2018</w:t>
            </w:r>
          </w:p>
        </w:tc>
        <w:tc>
          <w:tcPr>
            <w:tcW w:w="340" w:type="dxa"/>
            <w:vAlign w:val="bottom"/>
          </w:tcPr>
          <w:p>
            <w:pPr>
              <w:spacing w:after="0"/>
              <w:rPr>
                <w:sz w:val="19"/>
                <w:szCs w:val="19"/>
                <w:color w:val="auto"/>
              </w:rPr>
            </w:pPr>
          </w:p>
        </w:tc>
        <w:tc>
          <w:tcPr>
            <w:tcW w:w="12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14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140" w:type="dxa"/>
            <w:vAlign w:val="bottom"/>
            <w:shd w:val="clear" w:color="auto" w:fill="E5FFFF"/>
          </w:tcPr>
          <w:p>
            <w:pPr>
              <w:spacing w:after="0"/>
              <w:rPr>
                <w:sz w:val="20"/>
                <w:szCs w:val="20"/>
                <w:color w:val="auto"/>
              </w:rPr>
            </w:pPr>
            <w:r>
              <w:rPr>
                <w:rFonts w:ascii="Arial" w:cs="Arial" w:eastAsia="Arial" w:hAnsi="Arial"/>
                <w:sz w:val="17"/>
                <w:szCs w:val="17"/>
                <w:color w:val="auto"/>
              </w:rPr>
              <w:t>Revenues</w:t>
            </w:r>
          </w:p>
        </w:tc>
        <w:tc>
          <w:tcPr>
            <w:tcW w:w="1540" w:type="dxa"/>
            <w:vAlign w:val="bottom"/>
            <w:gridSpan w:val="2"/>
            <w:shd w:val="clear" w:color="auto" w:fill="E5FFFF"/>
          </w:tcPr>
          <w:p>
            <w:pPr>
              <w:jc w:val="right"/>
              <w:ind w:right="340"/>
              <w:spacing w:after="0"/>
              <w:rPr>
                <w:sz w:val="20"/>
                <w:szCs w:val="20"/>
                <w:color w:val="auto"/>
              </w:rPr>
            </w:pPr>
            <w:r>
              <w:rPr>
                <w:rFonts w:ascii="Arial" w:cs="Arial" w:eastAsia="Arial" w:hAnsi="Arial"/>
                <w:sz w:val="17"/>
                <w:szCs w:val="17"/>
                <w:color w:val="auto"/>
              </w:rPr>
              <w:t>271,302</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320,798</w:t>
            </w:r>
          </w:p>
        </w:tc>
        <w:tc>
          <w:tcPr>
            <w:tcW w:w="1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140" w:type="dxa"/>
            <w:vAlign w:val="bottom"/>
          </w:tcPr>
          <w:p>
            <w:pPr>
              <w:spacing w:after="0"/>
              <w:rPr>
                <w:sz w:val="20"/>
                <w:szCs w:val="20"/>
                <w:color w:val="auto"/>
              </w:rPr>
            </w:pPr>
            <w:r>
              <w:rPr>
                <w:rFonts w:ascii="Arial" w:cs="Arial" w:eastAsia="Arial" w:hAnsi="Arial"/>
                <w:sz w:val="17"/>
                <w:szCs w:val="17"/>
                <w:color w:val="auto"/>
              </w:rPr>
              <w:t>Net pool allocation</w:t>
            </w:r>
          </w:p>
        </w:tc>
        <w:tc>
          <w:tcPr>
            <w:tcW w:w="1540" w:type="dxa"/>
            <w:vAlign w:val="bottom"/>
            <w:gridSpan w:val="2"/>
          </w:tcPr>
          <w:p>
            <w:pPr>
              <w:jc w:val="right"/>
              <w:ind w:right="340"/>
              <w:spacing w:after="0"/>
              <w:rPr>
                <w:sz w:val="20"/>
                <w:szCs w:val="20"/>
                <w:color w:val="auto"/>
              </w:rPr>
            </w:pPr>
            <w:r>
              <w:rPr>
                <w:rFonts w:ascii="Arial" w:cs="Arial" w:eastAsia="Arial" w:hAnsi="Arial"/>
                <w:sz w:val="17"/>
                <w:szCs w:val="17"/>
                <w:color w:val="auto"/>
              </w:rPr>
              <w:t>15,611</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(4,080)</w:t>
            </w:r>
          </w:p>
        </w:tc>
        <w:tc>
          <w:tcPr>
            <w:tcW w:w="0" w:type="dxa"/>
            <w:vAlign w:val="bottom"/>
          </w:tcPr>
          <w:p>
            <w:pPr>
              <w:spacing w:after="0"/>
              <w:rPr>
                <w:sz w:val="1"/>
                <w:szCs w:val="1"/>
                <w:color w:val="auto"/>
              </w:rPr>
            </w:pPr>
          </w:p>
        </w:tc>
      </w:tr>
      <w:tr>
        <w:trPr>
          <w:trHeight w:val="214"/>
        </w:trPr>
        <w:tc>
          <w:tcPr>
            <w:tcW w:w="9140" w:type="dxa"/>
            <w:vAlign w:val="bottom"/>
            <w:shd w:val="clear" w:color="auto" w:fill="E5FFFF"/>
          </w:tcPr>
          <w:p>
            <w:pPr>
              <w:spacing w:after="0"/>
              <w:rPr>
                <w:sz w:val="20"/>
                <w:szCs w:val="20"/>
                <w:color w:val="auto"/>
              </w:rPr>
            </w:pPr>
            <w:r>
              <w:rPr>
                <w:rFonts w:ascii="Arial" w:cs="Arial" w:eastAsia="Arial" w:hAnsi="Arial"/>
                <w:sz w:val="17"/>
                <w:szCs w:val="17"/>
                <w:color w:val="auto"/>
              </w:rPr>
              <w:t>Voyage expenses and commissions</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(9,915)</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(12,784)</w:t>
            </w:r>
          </w:p>
        </w:tc>
        <w:tc>
          <w:tcPr>
            <w:tcW w:w="0" w:type="dxa"/>
            <w:vAlign w:val="bottom"/>
          </w:tcPr>
          <w:p>
            <w:pPr>
              <w:spacing w:after="0"/>
              <w:rPr>
                <w:sz w:val="1"/>
                <w:szCs w:val="1"/>
                <w:color w:val="auto"/>
              </w:rPr>
            </w:pPr>
          </w:p>
        </w:tc>
      </w:tr>
      <w:tr>
        <w:trPr>
          <w:trHeight w:val="214"/>
        </w:trPr>
        <w:tc>
          <w:tcPr>
            <w:tcW w:w="9140" w:type="dxa"/>
            <w:vAlign w:val="bottom"/>
          </w:tcPr>
          <w:p>
            <w:pPr>
              <w:spacing w:after="0"/>
              <w:rPr>
                <w:sz w:val="20"/>
                <w:szCs w:val="20"/>
                <w:color w:val="auto"/>
              </w:rPr>
            </w:pPr>
            <w:r>
              <w:rPr>
                <w:rFonts w:ascii="Arial" w:cs="Arial" w:eastAsia="Arial" w:hAnsi="Arial"/>
                <w:sz w:val="17"/>
                <w:szCs w:val="17"/>
                <w:color w:val="auto"/>
              </w:rPr>
              <w:t>Vessel operating and supervision costs</w:t>
            </w:r>
          </w:p>
        </w:tc>
        <w:tc>
          <w:tcPr>
            <w:tcW w:w="1540" w:type="dxa"/>
            <w:vAlign w:val="bottom"/>
            <w:gridSpan w:val="2"/>
          </w:tcPr>
          <w:p>
            <w:pPr>
              <w:jc w:val="right"/>
              <w:ind w:right="280"/>
              <w:spacing w:after="0"/>
              <w:rPr>
                <w:sz w:val="20"/>
                <w:szCs w:val="20"/>
                <w:color w:val="auto"/>
              </w:rPr>
            </w:pPr>
            <w:r>
              <w:rPr>
                <w:rFonts w:ascii="Arial" w:cs="Arial" w:eastAsia="Arial" w:hAnsi="Arial"/>
                <w:sz w:val="17"/>
                <w:szCs w:val="17"/>
                <w:color w:val="auto"/>
              </w:rPr>
              <w:t>(67,016)</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(66,328)</w:t>
            </w:r>
          </w:p>
        </w:tc>
        <w:tc>
          <w:tcPr>
            <w:tcW w:w="0" w:type="dxa"/>
            <w:vAlign w:val="bottom"/>
          </w:tcPr>
          <w:p>
            <w:pPr>
              <w:spacing w:after="0"/>
              <w:rPr>
                <w:sz w:val="1"/>
                <w:szCs w:val="1"/>
                <w:color w:val="auto"/>
              </w:rPr>
            </w:pPr>
          </w:p>
        </w:tc>
      </w:tr>
      <w:tr>
        <w:trPr>
          <w:trHeight w:val="214"/>
        </w:trPr>
        <w:tc>
          <w:tcPr>
            <w:tcW w:w="9140" w:type="dxa"/>
            <w:vAlign w:val="bottom"/>
            <w:shd w:val="clear" w:color="auto" w:fill="E5FFFF"/>
          </w:tcPr>
          <w:p>
            <w:pPr>
              <w:spacing w:after="0"/>
              <w:rPr>
                <w:sz w:val="20"/>
                <w:szCs w:val="20"/>
                <w:color w:val="auto"/>
              </w:rPr>
            </w:pPr>
            <w:r>
              <w:rPr>
                <w:rFonts w:ascii="Arial" w:cs="Arial" w:eastAsia="Arial" w:hAnsi="Arial"/>
                <w:sz w:val="17"/>
                <w:szCs w:val="17"/>
                <w:color w:val="auto"/>
              </w:rPr>
              <w:t>Depreciation</w:t>
            </w:r>
          </w:p>
        </w:tc>
        <w:tc>
          <w:tcPr>
            <w:tcW w:w="154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(74,342)</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(80,949)</w:t>
            </w:r>
          </w:p>
        </w:tc>
        <w:tc>
          <w:tcPr>
            <w:tcW w:w="0" w:type="dxa"/>
            <w:vAlign w:val="bottom"/>
          </w:tcPr>
          <w:p>
            <w:pPr>
              <w:spacing w:after="0"/>
              <w:rPr>
                <w:sz w:val="1"/>
                <w:szCs w:val="1"/>
                <w:color w:val="auto"/>
              </w:rPr>
            </w:pPr>
          </w:p>
        </w:tc>
      </w:tr>
      <w:tr>
        <w:trPr>
          <w:trHeight w:val="214"/>
        </w:trPr>
        <w:tc>
          <w:tcPr>
            <w:tcW w:w="914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1540" w:type="dxa"/>
            <w:vAlign w:val="bottom"/>
            <w:gridSpan w:val="2"/>
          </w:tcPr>
          <w:p>
            <w:pPr>
              <w:jc w:val="right"/>
              <w:ind w:right="280"/>
              <w:spacing w:after="0"/>
              <w:rPr>
                <w:sz w:val="20"/>
                <w:szCs w:val="20"/>
                <w:color w:val="auto"/>
              </w:rPr>
            </w:pPr>
            <w:r>
              <w:rPr>
                <w:rFonts w:ascii="Arial" w:cs="Arial" w:eastAsia="Arial" w:hAnsi="Arial"/>
                <w:sz w:val="17"/>
                <w:szCs w:val="17"/>
                <w:color w:val="auto"/>
              </w:rPr>
              <w:t>(22,365)</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(21,549)</w:t>
            </w:r>
          </w:p>
        </w:tc>
        <w:tc>
          <w:tcPr>
            <w:tcW w:w="0" w:type="dxa"/>
            <w:vAlign w:val="bottom"/>
          </w:tcPr>
          <w:p>
            <w:pPr>
              <w:spacing w:after="0"/>
              <w:rPr>
                <w:sz w:val="1"/>
                <w:szCs w:val="1"/>
                <w:color w:val="auto"/>
              </w:rPr>
            </w:pPr>
          </w:p>
        </w:tc>
      </w:tr>
      <w:tr>
        <w:trPr>
          <w:trHeight w:val="208"/>
        </w:trPr>
        <w:tc>
          <w:tcPr>
            <w:tcW w:w="9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 from operations</w:t>
            </w: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113,275</w:t>
            </w:r>
          </w:p>
        </w:tc>
        <w:tc>
          <w:tcPr>
            <w:tcW w:w="34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135,108</w:t>
            </w:r>
          </w:p>
        </w:tc>
        <w:tc>
          <w:tcPr>
            <w:tcW w:w="12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140" w:type="dxa"/>
            <w:vAlign w:val="bottom"/>
          </w:tcPr>
          <w:p>
            <w:pPr>
              <w:spacing w:after="0"/>
              <w:rPr>
                <w:sz w:val="20"/>
                <w:szCs w:val="20"/>
                <w:color w:val="auto"/>
              </w:rPr>
            </w:pPr>
            <w:r>
              <w:rPr>
                <w:rFonts w:ascii="Arial" w:cs="Arial" w:eastAsia="Arial" w:hAnsi="Arial"/>
                <w:sz w:val="17"/>
                <w:szCs w:val="17"/>
                <w:color w:val="auto"/>
              </w:rPr>
              <w:t>Financial costs</w:t>
            </w:r>
          </w:p>
        </w:tc>
        <w:tc>
          <w:tcPr>
            <w:tcW w:w="1200" w:type="dxa"/>
            <w:vAlign w:val="bottom"/>
          </w:tcPr>
          <w:p>
            <w:pPr>
              <w:jc w:val="right"/>
              <w:spacing w:after="0"/>
              <w:rPr>
                <w:sz w:val="20"/>
                <w:szCs w:val="20"/>
                <w:color w:val="auto"/>
              </w:rPr>
            </w:pPr>
            <w:r>
              <w:rPr>
                <w:rFonts w:ascii="Arial" w:cs="Arial" w:eastAsia="Arial" w:hAnsi="Arial"/>
                <w:sz w:val="17"/>
                <w:szCs w:val="17"/>
                <w:color w:val="auto"/>
              </w:rPr>
              <w:t>(78,597)</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140" w:type="dxa"/>
            <w:vAlign w:val="bottom"/>
            <w:shd w:val="clear" w:color="auto" w:fill="E5FFFF"/>
          </w:tcPr>
          <w:p>
            <w:pPr>
              <w:spacing w:after="0"/>
              <w:rPr>
                <w:sz w:val="20"/>
                <w:szCs w:val="20"/>
                <w:color w:val="auto"/>
              </w:rPr>
            </w:pPr>
            <w:r>
              <w:rPr>
                <w:rFonts w:ascii="Arial" w:cs="Arial" w:eastAsia="Arial" w:hAnsi="Arial"/>
                <w:sz w:val="17"/>
                <w:szCs w:val="17"/>
                <w:color w:val="auto"/>
              </w:rPr>
              <w:t>Financial income</w:t>
            </w:r>
          </w:p>
        </w:tc>
        <w:tc>
          <w:tcPr>
            <w:tcW w:w="1540" w:type="dxa"/>
            <w:vAlign w:val="bottom"/>
            <w:gridSpan w:val="2"/>
            <w:shd w:val="clear" w:color="auto" w:fill="E5FFFF"/>
          </w:tcPr>
          <w:p>
            <w:pPr>
              <w:jc w:val="right"/>
              <w:ind w:right="340"/>
              <w:spacing w:after="0"/>
              <w:rPr>
                <w:sz w:val="20"/>
                <w:szCs w:val="20"/>
                <w:color w:val="auto"/>
              </w:rPr>
            </w:pPr>
            <w:r>
              <w:rPr>
                <w:rFonts w:ascii="Arial" w:cs="Arial" w:eastAsia="Arial" w:hAnsi="Arial"/>
                <w:sz w:val="17"/>
                <w:szCs w:val="17"/>
                <w:color w:val="auto"/>
              </w:rPr>
              <w:t>2,310</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3,168</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140" w:type="dxa"/>
            <w:vAlign w:val="bottom"/>
          </w:tcPr>
          <w:p>
            <w:pPr>
              <w:spacing w:after="0"/>
              <w:rPr>
                <w:sz w:val="20"/>
                <w:szCs w:val="20"/>
                <w:color w:val="auto"/>
              </w:rPr>
            </w:pPr>
            <w:r>
              <w:rPr>
                <w:rFonts w:ascii="Arial" w:cs="Arial" w:eastAsia="Arial" w:hAnsi="Arial"/>
                <w:sz w:val="17"/>
                <w:szCs w:val="17"/>
                <w:color w:val="auto"/>
              </w:rPr>
              <w:t>Gain/(loss) on derivatives</w:t>
            </w:r>
          </w:p>
        </w:tc>
        <w:tc>
          <w:tcPr>
            <w:tcW w:w="1540" w:type="dxa"/>
            <w:vAlign w:val="bottom"/>
            <w:gridSpan w:val="2"/>
          </w:tcPr>
          <w:p>
            <w:pPr>
              <w:jc w:val="right"/>
              <w:ind w:right="340"/>
              <w:spacing w:after="0"/>
              <w:rPr>
                <w:sz w:val="20"/>
                <w:szCs w:val="20"/>
                <w:color w:val="auto"/>
              </w:rPr>
            </w:pPr>
            <w:r>
              <w:rPr>
                <w:rFonts w:ascii="Arial" w:cs="Arial" w:eastAsia="Arial" w:hAnsi="Arial"/>
                <w:sz w:val="17"/>
                <w:szCs w:val="17"/>
                <w:color w:val="auto"/>
              </w:rPr>
              <w:t>18,938</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(51,043)</w:t>
            </w:r>
          </w:p>
        </w:tc>
        <w:tc>
          <w:tcPr>
            <w:tcW w:w="0" w:type="dxa"/>
            <w:vAlign w:val="bottom"/>
          </w:tcPr>
          <w:p>
            <w:pPr>
              <w:spacing w:after="0"/>
              <w:rPr>
                <w:sz w:val="1"/>
                <w:szCs w:val="1"/>
                <w:color w:val="auto"/>
              </w:rPr>
            </w:pPr>
          </w:p>
        </w:tc>
      </w:tr>
      <w:tr>
        <w:trPr>
          <w:trHeight w:val="214"/>
        </w:trPr>
        <w:tc>
          <w:tcPr>
            <w:tcW w:w="9140" w:type="dxa"/>
            <w:vAlign w:val="bottom"/>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1540" w:type="dxa"/>
            <w:vAlign w:val="bottom"/>
            <w:gridSpan w:val="2"/>
            <w:shd w:val="clear" w:color="auto" w:fill="E5FFFF"/>
          </w:tcPr>
          <w:p>
            <w:pPr>
              <w:jc w:val="right"/>
              <w:ind w:right="340"/>
              <w:spacing w:after="0"/>
              <w:rPr>
                <w:sz w:val="20"/>
                <w:szCs w:val="20"/>
                <w:color w:val="auto"/>
              </w:rPr>
            </w:pPr>
            <w:r>
              <w:rPr>
                <w:rFonts w:ascii="Arial" w:cs="Arial" w:eastAsia="Arial" w:hAnsi="Arial"/>
                <w:sz w:val="17"/>
                <w:szCs w:val="17"/>
                <w:color w:val="auto"/>
              </w:rPr>
              <w:t>827</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14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other expenses, net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(56,522)</w:t>
            </w:r>
          </w:p>
        </w:tc>
        <w:tc>
          <w:tcPr>
            <w:tcW w:w="340" w:type="dxa"/>
            <w:vAlign w:val="bottom"/>
            <w:tcBorders>
              <w:bottom w:val="single" w:sz="8" w:color="E5FF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(139,721)</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Profit/(loss) for the period</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56,753</w:t>
            </w:r>
          </w:p>
        </w:tc>
        <w:tc>
          <w:tcPr>
            <w:tcW w:w="340" w:type="dxa"/>
            <w:vAlign w:val="bottom"/>
            <w:tcBorders>
              <w:bottom w:val="single" w:sz="8" w:color="E5FFFF"/>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(4,613</w:t>
            </w:r>
          </w:p>
        </w:tc>
        <w:tc>
          <w:tcPr>
            <w:tcW w:w="12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Arial" w:cs="Arial" w:eastAsia="Arial" w:hAnsi="Arial"/>
                <w:sz w:val="17"/>
                <w:szCs w:val="17"/>
                <w:color w:val="auto"/>
              </w:rPr>
              <w:t>Non-controlling interests</w:t>
            </w:r>
          </w:p>
        </w:tc>
        <w:tc>
          <w:tcPr>
            <w:tcW w:w="15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140" w:type="dxa"/>
            <w:vAlign w:val="bottom"/>
            <w:tcBorders>
              <w:bottom w:val="single" w:sz="8" w:color="E5FFFF"/>
            </w:tcBorders>
            <w:vMerge w:val="continue"/>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(41,069)</w:t>
            </w:r>
          </w:p>
        </w:tc>
        <w:tc>
          <w:tcPr>
            <w:tcW w:w="340" w:type="dxa"/>
            <w:vAlign w:val="bottom"/>
            <w:tcBorders>
              <w:bottom w:val="single" w:sz="8" w:color="E5FFFF"/>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(32,332)</w:t>
            </w:r>
          </w:p>
        </w:tc>
        <w:tc>
          <w:tcPr>
            <w:tcW w:w="12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1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Profit/(loss) attributable to owners of the Group</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15,684</w:t>
            </w:r>
          </w:p>
        </w:tc>
        <w:tc>
          <w:tcPr>
            <w:tcW w:w="340" w:type="dxa"/>
            <w:vAlign w:val="bottom"/>
            <w:tcBorders>
              <w:bottom w:val="single" w:sz="8" w:color="E5FFFF"/>
            </w:tcBorders>
            <w:shd w:val="clear" w:color="auto" w:fill="E5FFFF"/>
          </w:tcPr>
          <w:p>
            <w:pPr>
              <w:spacing w:after="0"/>
              <w:rPr>
                <w:sz w:val="19"/>
                <w:szCs w:val="19"/>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(36,945</w:t>
            </w:r>
          </w:p>
        </w:tc>
        <w:tc>
          <w:tcPr>
            <w:tcW w:w="120" w:type="dxa"/>
            <w:vAlign w:val="bottom"/>
            <w:tcBorders>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right="200" w:firstLine="428"/>
        <w:spacing w:after="0" w:line="269" w:lineRule="auto"/>
        <w:rPr>
          <w:sz w:val="20"/>
          <w:szCs w:val="20"/>
          <w:color w:val="auto"/>
        </w:rPr>
      </w:pPr>
      <w:r>
        <w:rPr>
          <w:rFonts w:ascii="Arial" w:cs="Arial" w:eastAsia="Arial" w:hAnsi="Arial"/>
          <w:sz w:val="17"/>
          <w:szCs w:val="17"/>
          <w:color w:val="auto"/>
        </w:rPr>
        <w:t>During the six-month period ended June 30, 2018, we had an average of 25.0 ships operating in our owned and bareboat fleet (including ships owned by the Partnership), having 4,411 operating days and an average of 25.0 ships operating under our technical management (including an average of 24.0 of our owned and bareboat ships). During the six-month period ended June 30, 2019, we had an average of 26.6 ships operating in our owned and bareboat fleet (including ships owned by the Partnership), having 4,759 operating days, and an average of 26.6 ships operating under our technical management (including an average of 25.6 of our owned and bareboat ships).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7" w:lineRule="exact"/>
        <w:rPr>
          <w:sz w:val="20"/>
          <w:szCs w:val="20"/>
          <w:color w:val="auto"/>
        </w:rPr>
      </w:pPr>
    </w:p>
    <w:p>
      <w:pPr>
        <w:ind w:right="60" w:firstLine="452"/>
        <w:spacing w:after="0" w:line="304" w:lineRule="auto"/>
        <w:rPr>
          <w:sz w:val="20"/>
          <w:szCs w:val="20"/>
          <w:color w:val="auto"/>
        </w:rPr>
      </w:pPr>
      <w:r>
        <w:rPr>
          <w:rFonts w:ascii="Arial" w:cs="Arial" w:eastAsia="Arial" w:hAnsi="Arial"/>
          <w:sz w:val="15"/>
          <w:szCs w:val="15"/>
          <w:color w:val="auto"/>
        </w:rPr>
        <w:t xml:space="preserve">Revenues increased by 18.2%, or $49.5 million, from $271.3 million during the six-month period ended June 30, 2018 to $320.8 million during the six-month period ended June 30, 2019. The increase in revenues is mainly attributable to an increase in revenues of $31.8 million due to the operation for the full six-month period of the </w:t>
      </w:r>
      <w:r>
        <w:rPr>
          <w:rFonts w:ascii="Arial" w:cs="Arial" w:eastAsia="Arial" w:hAnsi="Arial"/>
          <w:sz w:val="15"/>
          <w:szCs w:val="15"/>
          <w:i w:val="1"/>
          <w:iCs w:val="1"/>
          <w:color w:val="auto"/>
        </w:rPr>
        <w:t>GasLog Houston</w:t>
      </w:r>
      <w:r>
        <w:rPr>
          <w:rFonts w:ascii="Arial" w:cs="Arial" w:eastAsia="Arial" w:hAnsi="Arial"/>
          <w:sz w:val="15"/>
          <w:szCs w:val="15"/>
          <w:color w:val="auto"/>
        </w:rPr>
        <w:t>, the</w:t>
      </w:r>
      <w:r>
        <w:rPr>
          <w:rFonts w:ascii="Arial" w:cs="Arial" w:eastAsia="Arial" w:hAnsi="Arial"/>
          <w:sz w:val="15"/>
          <w:szCs w:val="15"/>
          <w:i w:val="1"/>
          <w:iCs w:val="1"/>
          <w:color w:val="auto"/>
        </w:rPr>
        <w:t xml:space="preserve"> GasLog Hong Kong </w:t>
      </w:r>
      <w:r>
        <w:rPr>
          <w:rFonts w:ascii="Arial" w:cs="Arial" w:eastAsia="Arial" w:hAnsi="Arial"/>
          <w:sz w:val="15"/>
          <w:szCs w:val="15"/>
          <w:color w:val="auto"/>
        </w:rPr>
        <w:t>and the</w:t>
      </w:r>
      <w:r>
        <w:rPr>
          <w:rFonts w:ascii="Arial" w:cs="Arial" w:eastAsia="Arial" w:hAnsi="Arial"/>
          <w:sz w:val="15"/>
          <w:szCs w:val="15"/>
          <w:i w:val="1"/>
          <w:iCs w:val="1"/>
          <w:color w:val="auto"/>
        </w:rPr>
        <w:t xml:space="preserve"> GasLog Genoa </w:t>
      </w:r>
      <w:r>
        <w:rPr>
          <w:rFonts w:ascii="Arial" w:cs="Arial" w:eastAsia="Arial" w:hAnsi="Arial"/>
          <w:sz w:val="15"/>
          <w:szCs w:val="15"/>
          <w:color w:val="auto"/>
        </w:rPr>
        <w:t>(which were delivered on January 8, 2018, March 20, 2018 and March 29, 2018, respectively) and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delivery of the </w:t>
      </w:r>
      <w:r>
        <w:rPr>
          <w:rFonts w:ascii="Arial" w:cs="Arial" w:eastAsia="Arial" w:hAnsi="Arial"/>
          <w:sz w:val="15"/>
          <w:szCs w:val="15"/>
          <w:i w:val="1"/>
          <w:iCs w:val="1"/>
          <w:color w:val="auto"/>
        </w:rPr>
        <w:t>GasLog Gladstone</w:t>
      </w:r>
      <w:r>
        <w:rPr>
          <w:rFonts w:ascii="Arial" w:cs="Arial" w:eastAsia="Arial" w:hAnsi="Arial"/>
          <w:sz w:val="15"/>
          <w:szCs w:val="15"/>
          <w:color w:val="auto"/>
        </w:rPr>
        <w:t xml:space="preserve"> on March 15, 2019. These deliveries resulted in an increase in operating days. There was also an increase of $26.5 million in revenues from our vessels operating in the spot market mainly due to their increased number, their increased utilization and the increase in the day rates achieved by the GasLog vessels compared to the same period in 2018, as well as an increase of $4.0 million due to decreased off-hire days from scheduled dry-dockings. These increases were partially offset by a decrease of $14.1 million in revenues due to the expiration of the initial time charters of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in the first six months of 2018. Following the expiration of their initial charters,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traded in the spot market through the Cool Pool and was rechartered to Gunvor in June 2019,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began a new multi-year charter with Trafigura and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began a new 18-month charter with Cheniere. The average daily hire rate increased from $61,419 for the six-month period ended June 30, 2018 to $67,329 for the six-month period ended June 30, 2019.</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Pool Allocation:</w:t>
      </w:r>
    </w:p>
    <w:p>
      <w:pPr>
        <w:spacing w:after="0" w:line="247" w:lineRule="exact"/>
        <w:rPr>
          <w:sz w:val="20"/>
          <w:szCs w:val="20"/>
          <w:color w:val="auto"/>
        </w:rPr>
      </w:pPr>
    </w:p>
    <w:p>
      <w:pPr>
        <w:ind w:right="20" w:firstLine="405"/>
        <w:spacing w:after="0" w:line="309" w:lineRule="auto"/>
        <w:rPr>
          <w:sz w:val="20"/>
          <w:szCs w:val="20"/>
          <w:color w:val="auto"/>
        </w:rPr>
      </w:pPr>
      <w:r>
        <w:rPr>
          <w:rFonts w:ascii="Arial" w:cs="Arial" w:eastAsia="Arial" w:hAnsi="Arial"/>
          <w:sz w:val="15"/>
          <w:szCs w:val="15"/>
          <w:color w:val="auto"/>
        </w:rPr>
        <w:t>GasLog recognized gross revenues and gross voyage expenses and commissions of $44.9 million and $8.0 million, respectively, from the operation of its vessels in the Cool Pool during the six-month period ended June 30, 2019 (June 30, 2018: $18.5 million and $5.7 million, respectively). Net pool allocation decreased by $19.7 million, from a positive $15.6 million during the six-month period ended June 30, 2018 to negative $4.1 million during the six-month period ended June 30, 2019. The variance was attributable to the movement in the adjustment of the net pool results generated by the GasLog vessels in accordance with the pool distribution formula for the total fleet of the Cool Pool. The increase in GasLog’s total net pool performance was driven by the increase in the number of the GasLog vessels operating in the Cool Pool. In June 2019, four GasLog vessels exited the Cool Pool, with the remaining two vessels being withdrawn in July 2019. GasLog’s total net pool performance is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380" w:type="dxa"/>
            <w:vAlign w:val="bottom"/>
          </w:tcPr>
          <w:p>
            <w:pPr>
              <w:spacing w:after="0"/>
              <w:rPr>
                <w:sz w:val="18"/>
                <w:szCs w:val="18"/>
                <w:color w:val="auto"/>
              </w:rPr>
            </w:pPr>
          </w:p>
        </w:tc>
        <w:tc>
          <w:tcPr>
            <w:tcW w:w="2620" w:type="dxa"/>
            <w:vAlign w:val="bottom"/>
            <w:gridSpan w:val="4"/>
          </w:tcPr>
          <w:p>
            <w:pPr>
              <w:jc w:val="right"/>
              <w:ind w:right="440"/>
              <w:spacing w:after="0"/>
              <w:rPr>
                <w:sz w:val="20"/>
                <w:szCs w:val="20"/>
                <w:color w:val="auto"/>
              </w:rPr>
            </w:pPr>
            <w:r>
              <w:rPr>
                <w:rFonts w:ascii="Arial" w:cs="Arial" w:eastAsia="Arial" w:hAnsi="Arial"/>
                <w:sz w:val="17"/>
                <w:szCs w:val="17"/>
                <w:b w:val="1"/>
                <w:bCs w:val="1"/>
                <w:color w:val="auto"/>
              </w:rPr>
              <w:t>For the six months ended</w:t>
            </w:r>
          </w:p>
        </w:tc>
        <w:tc>
          <w:tcPr>
            <w:tcW w:w="0" w:type="dxa"/>
            <w:vAlign w:val="bottom"/>
          </w:tcPr>
          <w:p>
            <w:pPr>
              <w:spacing w:after="0"/>
              <w:rPr>
                <w:sz w:val="1"/>
                <w:szCs w:val="1"/>
                <w:color w:val="auto"/>
              </w:rPr>
            </w:pPr>
          </w:p>
        </w:tc>
      </w:tr>
      <w:tr>
        <w:trPr>
          <w:trHeight w:val="214"/>
        </w:trPr>
        <w:tc>
          <w:tcPr>
            <w:tcW w:w="93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June 30,</w:t>
            </w:r>
          </w:p>
        </w:tc>
        <w:tc>
          <w:tcPr>
            <w:tcW w:w="12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6"/>
        </w:trPr>
        <w:tc>
          <w:tcPr>
            <w:tcW w:w="93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Amounts in thousands of U.S. Dollars</w:t>
            </w: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2018</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38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9380" w:type="dxa"/>
            <w:vAlign w:val="bottom"/>
            <w:shd w:val="clear" w:color="auto" w:fill="E5FFFF"/>
          </w:tcPr>
          <w:p>
            <w:pPr>
              <w:spacing w:after="0"/>
              <w:rPr>
                <w:sz w:val="20"/>
                <w:szCs w:val="20"/>
                <w:color w:val="auto"/>
              </w:rPr>
            </w:pPr>
            <w:r>
              <w:rPr>
                <w:rFonts w:ascii="Arial" w:cs="Arial" w:eastAsia="Arial" w:hAnsi="Arial"/>
                <w:sz w:val="17"/>
                <w:szCs w:val="17"/>
                <w:color w:val="auto"/>
              </w:rPr>
              <w:t>Pool gross revenues (included in Revenues)</w:t>
            </w:r>
          </w:p>
        </w:tc>
        <w:tc>
          <w:tcPr>
            <w:tcW w:w="138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18,452</w:t>
            </w:r>
          </w:p>
        </w:tc>
        <w:tc>
          <w:tcPr>
            <w:tcW w:w="11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44,918</w:t>
            </w:r>
          </w:p>
        </w:tc>
        <w:tc>
          <w:tcPr>
            <w:tcW w:w="1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380" w:type="dxa"/>
            <w:vAlign w:val="bottom"/>
          </w:tcPr>
          <w:p>
            <w:pPr>
              <w:spacing w:after="0"/>
              <w:rPr>
                <w:sz w:val="20"/>
                <w:szCs w:val="20"/>
                <w:color w:val="auto"/>
              </w:rPr>
            </w:pPr>
            <w:r>
              <w:rPr>
                <w:rFonts w:ascii="Arial" w:cs="Arial" w:eastAsia="Arial" w:hAnsi="Arial"/>
                <w:sz w:val="17"/>
                <w:szCs w:val="17"/>
                <w:color w:val="auto"/>
              </w:rPr>
              <w:t>Pool gross voyage expenses and commissions (included in Voyage expenses and commissions)</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(5,703)</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(8,032)</w:t>
            </w:r>
          </w:p>
        </w:tc>
        <w:tc>
          <w:tcPr>
            <w:tcW w:w="0" w:type="dxa"/>
            <w:vAlign w:val="bottom"/>
          </w:tcPr>
          <w:p>
            <w:pPr>
              <w:spacing w:after="0"/>
              <w:rPr>
                <w:sz w:val="1"/>
                <w:szCs w:val="1"/>
                <w:color w:val="auto"/>
              </w:rPr>
            </w:pPr>
          </w:p>
        </w:tc>
      </w:tr>
      <w:tr>
        <w:trPr>
          <w:trHeight w:val="214"/>
        </w:trPr>
        <w:tc>
          <w:tcPr>
            <w:tcW w:w="9380" w:type="dxa"/>
            <w:vAlign w:val="bottom"/>
            <w:shd w:val="clear" w:color="auto" w:fill="E5FFFF"/>
          </w:tcPr>
          <w:p>
            <w:pPr>
              <w:spacing w:after="0"/>
              <w:rPr>
                <w:sz w:val="20"/>
                <w:szCs w:val="20"/>
                <w:color w:val="auto"/>
              </w:rPr>
            </w:pPr>
            <w:r>
              <w:rPr>
                <w:rFonts w:ascii="Arial" w:cs="Arial" w:eastAsia="Arial" w:hAnsi="Arial"/>
                <w:sz w:val="17"/>
                <w:szCs w:val="17"/>
                <w:color w:val="auto"/>
              </w:rPr>
              <w:t>GasLog’s adjustment for net pool allocation (included in Net pool allocation)</w:t>
            </w:r>
          </w:p>
        </w:tc>
        <w:tc>
          <w:tcPr>
            <w:tcW w:w="138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15,611</w:t>
            </w:r>
          </w:p>
        </w:tc>
        <w:tc>
          <w:tcPr>
            <w:tcW w:w="124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(4,080)</w:t>
            </w:r>
          </w:p>
        </w:tc>
        <w:tc>
          <w:tcPr>
            <w:tcW w:w="0" w:type="dxa"/>
            <w:vAlign w:val="bottom"/>
          </w:tcPr>
          <w:p>
            <w:pPr>
              <w:spacing w:after="0"/>
              <w:rPr>
                <w:sz w:val="1"/>
                <w:szCs w:val="1"/>
                <w:color w:val="auto"/>
              </w:rPr>
            </w:pPr>
          </w:p>
        </w:tc>
      </w:tr>
      <w:tr>
        <w:trPr>
          <w:trHeight w:val="208"/>
        </w:trPr>
        <w:tc>
          <w:tcPr>
            <w:tcW w:w="9380" w:type="dxa"/>
            <w:vAlign w:val="bottom"/>
          </w:tcPr>
          <w:p>
            <w:pPr>
              <w:spacing w:after="0"/>
              <w:rPr>
                <w:sz w:val="20"/>
                <w:szCs w:val="20"/>
                <w:color w:val="auto"/>
              </w:rPr>
            </w:pPr>
            <w:r>
              <w:rPr>
                <w:rFonts w:ascii="Arial" w:cs="Arial" w:eastAsia="Arial" w:hAnsi="Arial"/>
                <w:sz w:val="17"/>
                <w:szCs w:val="17"/>
                <w:b w:val="1"/>
                <w:bCs w:val="1"/>
                <w:color w:val="auto"/>
              </w:rPr>
              <w:t>GasLog’s total net pool performance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28,360</w:t>
            </w: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Voyage Expenses and Commissions:</w:t>
      </w:r>
    </w:p>
    <w:p>
      <w:pPr>
        <w:spacing w:after="0" w:line="247" w:lineRule="exact"/>
        <w:rPr>
          <w:sz w:val="20"/>
          <w:szCs w:val="20"/>
          <w:color w:val="auto"/>
        </w:rPr>
      </w:pPr>
    </w:p>
    <w:p>
      <w:pPr>
        <w:ind w:right="140" w:firstLine="376"/>
        <w:spacing w:after="0" w:line="358" w:lineRule="auto"/>
        <w:rPr>
          <w:sz w:val="20"/>
          <w:szCs w:val="20"/>
          <w:color w:val="auto"/>
        </w:rPr>
      </w:pPr>
      <w:r>
        <w:rPr>
          <w:rFonts w:ascii="Arial" w:cs="Arial" w:eastAsia="Arial" w:hAnsi="Arial"/>
          <w:sz w:val="15"/>
          <w:szCs w:val="15"/>
          <w:color w:val="auto"/>
        </w:rPr>
        <w:t>Voyage expenses and commissions increased by 29.3%, or $2.9 million, from $9.9 million during the six-month period ended June 30, 2018 to $12.8 million during the six-month period ended June 30, 2019. The increase is primarily attributable to the increase in bunkers’ consumption of the vessels operating in the spot market.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Vessel Operating and Supervision Costs:</w:t>
      </w:r>
    </w:p>
    <w:p>
      <w:pPr>
        <w:spacing w:after="0" w:line="247" w:lineRule="exact"/>
        <w:rPr>
          <w:sz w:val="20"/>
          <w:szCs w:val="20"/>
          <w:color w:val="auto"/>
        </w:rPr>
      </w:pPr>
    </w:p>
    <w:p>
      <w:pPr>
        <w:ind w:firstLine="376"/>
        <w:spacing w:after="0" w:line="328" w:lineRule="auto"/>
        <w:rPr>
          <w:sz w:val="20"/>
          <w:szCs w:val="20"/>
          <w:color w:val="auto"/>
        </w:rPr>
      </w:pPr>
      <w:r>
        <w:rPr>
          <w:rFonts w:ascii="Arial" w:cs="Arial" w:eastAsia="Arial" w:hAnsi="Arial"/>
          <w:sz w:val="15"/>
          <w:szCs w:val="15"/>
          <w:color w:val="auto"/>
        </w:rPr>
        <w:t>Vessel operating and supervision costs decreased by 1.0%, or $0.7 million, from $67.0 million during the six-month period ended June 30, 2018 to $66.3 million during the six-month period ended June 30, 2019. The decrease in vessel operating and supervision costs is mainly attributable to a decrease of $0.9 million in employee costs, mainly due to the favorable movement of the EUR/USD exchange rate, which decreased by an average of 7% in the first six months of 2019 as compared to the same period in</w:t>
      </w:r>
    </w:p>
    <w:p>
      <w:pPr>
        <w:sectPr>
          <w:pgSz w:w="12240" w:h="15840" w:orient="portrait"/>
          <w:cols w:equalWidth="0" w:num="1">
            <w:col w:w="12000"/>
          </w:cols>
          <w:pgMar w:left="120" w:top="218" w:right="120" w:bottom="0" w:gutter="0" w:footer="0" w:header="0"/>
        </w:sectPr>
      </w:pPr>
    </w:p>
    <w:bookmarkStart w:id="22" w:name="page23"/>
    <w:bookmarkEnd w:id="22"/>
    <w:p>
      <w:pPr>
        <w:spacing w:after="0" w:line="276" w:lineRule="auto"/>
        <w:rPr>
          <w:sz w:val="20"/>
          <w:szCs w:val="20"/>
          <w:color w:val="auto"/>
        </w:rPr>
      </w:pPr>
      <w:r>
        <w:rPr>
          <w:rFonts w:ascii="Arial" w:cs="Arial" w:eastAsia="Arial" w:hAnsi="Arial"/>
          <w:sz w:val="17"/>
          <w:szCs w:val="17"/>
          <w:color w:val="auto"/>
        </w:rPr>
        <w:t>2018. As a result, daily operating costs per vessel decreased from $15,395 per day for the six-month period ended June 30, 2018 to $14,319 per day for the six-month period ended June 30, 2019.</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w:t>
      </w:r>
    </w:p>
    <w:p>
      <w:pPr>
        <w:spacing w:after="0" w:line="247" w:lineRule="exact"/>
        <w:rPr>
          <w:sz w:val="20"/>
          <w:szCs w:val="20"/>
          <w:color w:val="auto"/>
        </w:rPr>
      </w:pPr>
    </w:p>
    <w:p>
      <w:pPr>
        <w:ind w:right="260" w:firstLine="376"/>
        <w:spacing w:after="0" w:line="288" w:lineRule="auto"/>
        <w:rPr>
          <w:sz w:val="20"/>
          <w:szCs w:val="20"/>
          <w:color w:val="auto"/>
        </w:rPr>
      </w:pPr>
      <w:r>
        <w:rPr>
          <w:rFonts w:ascii="Arial" w:cs="Arial" w:eastAsia="Arial" w:hAnsi="Arial"/>
          <w:sz w:val="17"/>
          <w:szCs w:val="17"/>
          <w:color w:val="auto"/>
        </w:rPr>
        <w:t>Depreciation increased by 8.9%, or $6.6 million, from $74.3 million during the six-month period ended June 30, 2018 to $80.9 million during the six-month period ended June 30, 2019. The increase in depreciation resulted mainly from the increase in the average number of vessels in our</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820"/>
          </w:cols>
          <w:pgMar w:left="120" w:top="0" w:right="300"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fleet in the six months ended June 30, 2019, compared to the same period in 2018.</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47" w:lineRule="exact"/>
        <w:rPr>
          <w:sz w:val="20"/>
          <w:szCs w:val="20"/>
          <w:color w:val="auto"/>
        </w:rPr>
      </w:pPr>
    </w:p>
    <w:p>
      <w:pPr>
        <w:ind w:firstLine="376"/>
        <w:spacing w:after="0" w:line="275" w:lineRule="auto"/>
        <w:rPr>
          <w:sz w:val="20"/>
          <w:szCs w:val="20"/>
          <w:color w:val="auto"/>
        </w:rPr>
      </w:pPr>
      <w:r>
        <w:rPr>
          <w:rFonts w:ascii="Arial" w:cs="Arial" w:eastAsia="Arial" w:hAnsi="Arial"/>
          <w:sz w:val="17"/>
          <w:szCs w:val="17"/>
          <w:color w:val="auto"/>
        </w:rPr>
        <w:t>General and administrative expenses decreased by 4.0%, or $0.9 million, from $22.4 million during the six-month period ended June 30, 2018 to $21.5 million during the six-month period ended June 30, 2019. The decrease is mainly attributable to a decrease of $1.2 million in employee costs due to the favorable movement of the EUR/USD exchange 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Costs:</w:t>
      </w:r>
    </w:p>
    <w:p>
      <w:pPr>
        <w:spacing w:after="0" w:line="247" w:lineRule="exact"/>
        <w:rPr>
          <w:sz w:val="20"/>
          <w:szCs w:val="20"/>
          <w:color w:val="auto"/>
        </w:rPr>
      </w:pPr>
    </w:p>
    <w:p>
      <w:pPr>
        <w:ind w:right="140" w:firstLine="376"/>
        <w:spacing w:after="0" w:line="286" w:lineRule="auto"/>
        <w:rPr>
          <w:sz w:val="20"/>
          <w:szCs w:val="20"/>
          <w:color w:val="auto"/>
        </w:rPr>
      </w:pPr>
      <w:r>
        <w:rPr>
          <w:rFonts w:ascii="Arial" w:cs="Arial" w:eastAsia="Arial" w:hAnsi="Arial"/>
          <w:sz w:val="16"/>
          <w:szCs w:val="16"/>
          <w:color w:val="auto"/>
        </w:rPr>
        <w:t>Financial costs increased by 17.6%, or $13.8 million, from $78.6 million during the six-month period ended June 30, 2018 to $92.4 million during the six-month period ended June 30, 2019. The increase is mainly attributable to an increase of $12.5 million in interest expense on loans, bonds and cash flow hedges and an increase of $1.2 million in amortization of deferred loan fees mainly driven by an increase in write-offs of unamortized loan fees pursuant to the refinancing of the GasLog Partners $450.0 million facility. During the six-month period ended June 30, 2018, we had an average of $2,858.1 million of outstanding indebtedness having an aggregate weighted average interest rate of 4.6%, while during the six-month period ended June 30, 2019, we had an average of $2,977.9 million of outstanding indebtedness, with a weighted average interest rate of 5.3%, due primarily to an increase in LIBOR rates. These weighted average interest rates include interest expense on loans and cash flow hedges and interest expense on senior unsecured notes and cross-currency swaps.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Gain/(loss) on Derivatives:</w:t>
      </w:r>
    </w:p>
    <w:p>
      <w:pPr>
        <w:spacing w:after="0" w:line="247" w:lineRule="exact"/>
        <w:rPr>
          <w:sz w:val="20"/>
          <w:szCs w:val="20"/>
          <w:color w:val="auto"/>
        </w:rPr>
      </w:pPr>
    </w:p>
    <w:p>
      <w:pPr>
        <w:ind w:right="160" w:firstLine="376"/>
        <w:spacing w:after="0" w:line="289" w:lineRule="auto"/>
        <w:rPr>
          <w:sz w:val="20"/>
          <w:szCs w:val="20"/>
          <w:color w:val="auto"/>
        </w:rPr>
      </w:pPr>
      <w:r>
        <w:rPr>
          <w:rFonts w:ascii="Arial" w:cs="Arial" w:eastAsia="Arial" w:hAnsi="Arial"/>
          <w:sz w:val="16"/>
          <w:szCs w:val="16"/>
          <w:color w:val="auto"/>
        </w:rPr>
        <w:t>Gain on derivatives decreased by $69.9 million, from a gain of $18.9 million during the six-month period ended June 30, 2018 to a loss of $51.0 million during the six-month period ended June 30, 2019. The decrease is attributable to a decrease of $69.1 million in gain from mark-to-market valuation of our derivative financial instruments carried at fair value through profit or loss, which reflected a gain of $17.2 million for the six months ended June 30, 2018, as compared to a loss of $51.9 million for the six months ended June 30, 2019, and a decrease of $4.0 million in realized gain on forward foreign exchange contracts held for trading, partially offset by an increase of $2.6 million in realized gain from interest rate swaps held for trading and a decrease of $0.6 million in the ineffective portion of cash flow hedges.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Profit/(loss) for the Period:</w:t>
      </w:r>
    </w:p>
    <w:p>
      <w:pPr>
        <w:spacing w:after="0" w:line="247" w:lineRule="exact"/>
        <w:rPr>
          <w:sz w:val="20"/>
          <w:szCs w:val="20"/>
          <w:color w:val="auto"/>
        </w:rPr>
      </w:pPr>
    </w:p>
    <w:p>
      <w:pPr>
        <w:ind w:right="200" w:firstLine="376"/>
        <w:spacing w:after="0" w:line="288" w:lineRule="auto"/>
        <w:rPr>
          <w:sz w:val="20"/>
          <w:szCs w:val="20"/>
          <w:color w:val="auto"/>
        </w:rPr>
      </w:pPr>
      <w:r>
        <w:rPr>
          <w:rFonts w:ascii="Arial" w:cs="Arial" w:eastAsia="Arial" w:hAnsi="Arial"/>
          <w:sz w:val="17"/>
          <w:szCs w:val="17"/>
          <w:color w:val="auto"/>
        </w:rPr>
        <w:t>Profit for the period decreased by $61.4 million, from a profit of $56.8 million for the six-month period ended June 30, 2018 to a loss of $4.6 million for the six-month period ended June 30, 2019, as a result of the aforementioned factors.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Profit/(loss) Attributable to Owners of the Group:</w:t>
      </w:r>
    </w:p>
    <w:p>
      <w:pPr>
        <w:spacing w:after="0" w:line="247" w:lineRule="exact"/>
        <w:rPr>
          <w:sz w:val="20"/>
          <w:szCs w:val="20"/>
          <w:color w:val="auto"/>
        </w:rPr>
      </w:pPr>
    </w:p>
    <w:p>
      <w:pPr>
        <w:jc w:val="both"/>
        <w:ind w:right="60" w:firstLine="376"/>
        <w:spacing w:after="0" w:line="328" w:lineRule="auto"/>
        <w:rPr>
          <w:sz w:val="20"/>
          <w:szCs w:val="20"/>
          <w:color w:val="auto"/>
        </w:rPr>
      </w:pPr>
      <w:r>
        <w:rPr>
          <w:rFonts w:ascii="Arial" w:cs="Arial" w:eastAsia="Arial" w:hAnsi="Arial"/>
          <w:sz w:val="15"/>
          <w:szCs w:val="15"/>
          <w:color w:val="auto"/>
        </w:rPr>
        <w:t>Profit attributable to owners of the Group decreased by $52.6 million, from a profit of $15.7 million for the six-month period ended June 30, 2018 to a $36.9 million loss for the six-month period ended June 30, 2019. The increase in loss attributable to the owners of GasLog resulted mainly from the decrease in profit mentioned above, partially offset by the decrease in profit attributable to the non-controlling interests (non-controlling unitholders of GasLog Partners) following the decrease in the Partnership’s profit.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53" w:lineRule="exact"/>
        <w:rPr>
          <w:sz w:val="20"/>
          <w:szCs w:val="20"/>
          <w:color w:val="auto"/>
        </w:rPr>
      </w:pPr>
    </w:p>
    <w:p>
      <w:pPr>
        <w:ind w:right="240" w:firstLine="376"/>
        <w:spacing w:after="0" w:line="271" w:lineRule="auto"/>
        <w:rPr>
          <w:sz w:val="20"/>
          <w:szCs w:val="20"/>
          <w:color w:val="auto"/>
        </w:rPr>
      </w:pPr>
      <w:r>
        <w:rPr>
          <w:rFonts w:ascii="Arial" w:cs="Arial" w:eastAsia="Arial" w:hAnsi="Arial"/>
          <w:sz w:val="17"/>
          <w:szCs w:val="17"/>
          <w:color w:val="auto"/>
        </w:rPr>
        <w:t>For the six-month period ended June 30, 2019, we received 73.9% of our revenues from Shell, 14.0% of our revenues from various charterers in the spot/short-term market, 12.0% of our revenues from major LNG producers and 0.1% of our revenues from Egypt LNG, an entity in which we have a 25% ownership interest. For the six-month period ended June 30, 2018, we received 88.1% of our revenues from Shell, 6.8% of our revenues from various charterers in the spot/short-term market, 5.0% of our revenues from major LNG producers and 0.1% of our revenues from Egypt LNG.</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3" w:lineRule="exact"/>
        <w:rPr>
          <w:sz w:val="20"/>
          <w:szCs w:val="20"/>
          <w:color w:val="auto"/>
        </w:rPr>
      </w:pPr>
    </w:p>
    <w:p>
      <w:pPr>
        <w:ind w:right="60" w:firstLine="376"/>
        <w:spacing w:after="0" w:line="271" w:lineRule="auto"/>
        <w:rPr>
          <w:sz w:val="20"/>
          <w:szCs w:val="20"/>
          <w:color w:val="auto"/>
        </w:rPr>
      </w:pPr>
      <w:r>
        <w:rPr>
          <w:rFonts w:ascii="Arial" w:cs="Arial" w:eastAsia="Arial" w:hAnsi="Arial"/>
          <w:sz w:val="17"/>
          <w:szCs w:val="17"/>
          <w:color w:val="auto"/>
        </w:rPr>
        <w:t>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201" w:lineRule="exact"/>
        <w:rPr>
          <w:sz w:val="20"/>
          <w:szCs w:val="20"/>
          <w:color w:val="auto"/>
        </w:rPr>
      </w:pPr>
    </w:p>
    <w:p>
      <w:pPr>
        <w:ind w:right="120" w:firstLine="376"/>
        <w:spacing w:after="0" w:line="300" w:lineRule="auto"/>
        <w:rPr>
          <w:sz w:val="20"/>
          <w:szCs w:val="20"/>
          <w:color w:val="auto"/>
        </w:rPr>
      </w:pPr>
      <w:r>
        <w:rPr>
          <w:rFonts w:ascii="Arial" w:cs="Arial" w:eastAsia="Arial" w:hAnsi="Arial"/>
          <w:sz w:val="16"/>
          <w:szCs w:val="16"/>
          <w:color w:val="auto"/>
        </w:rPr>
        <w:t>We anticipate that our primary sources of funds will be available cash, cash from operations and borrowings under existing and new debt agreements. We may also seek to raise additional common or other forms of equity, subject in each case to market conditions. We believe that these sources of funds will be sufficient to meet our liquidity needs, although there can be no assurance that we will be able to obtain future debt and equity financing on terms acceptable to us.</w:t>
      </w:r>
    </w:p>
    <w:p>
      <w:pPr>
        <w:spacing w:after="0" w:line="180" w:lineRule="exact"/>
        <w:rPr>
          <w:sz w:val="20"/>
          <w:szCs w:val="20"/>
          <w:color w:val="auto"/>
        </w:rPr>
      </w:pPr>
    </w:p>
    <w:p>
      <w:pPr>
        <w:ind w:right="280" w:firstLine="376"/>
        <w:spacing w:after="0" w:line="288" w:lineRule="auto"/>
        <w:rPr>
          <w:sz w:val="20"/>
          <w:szCs w:val="20"/>
          <w:color w:val="auto"/>
        </w:rPr>
      </w:pPr>
      <w:r>
        <w:rPr>
          <w:rFonts w:ascii="Arial" w:cs="Arial" w:eastAsia="Arial" w:hAnsi="Arial"/>
          <w:sz w:val="17"/>
          <w:szCs w:val="17"/>
          <w:color w:val="auto"/>
        </w:rPr>
        <w:t>Our funding and treasury activities are intended to meet our operating and financing requirements while balancing investment returns in order to maintain appropriate liquidity. Cash and cash equivalents are held primarily in USD.</w:t>
      </w:r>
    </w:p>
    <w:p>
      <w:pPr>
        <w:spacing w:after="0" w:line="187" w:lineRule="exact"/>
        <w:rPr>
          <w:sz w:val="20"/>
          <w:szCs w:val="20"/>
          <w:color w:val="auto"/>
        </w:rPr>
      </w:pPr>
    </w:p>
    <w:p>
      <w:pPr>
        <w:ind w:right="240" w:firstLine="376"/>
        <w:spacing w:after="0" w:line="275" w:lineRule="auto"/>
        <w:rPr>
          <w:sz w:val="20"/>
          <w:szCs w:val="20"/>
          <w:color w:val="auto"/>
        </w:rPr>
      </w:pPr>
      <w:r>
        <w:rPr>
          <w:rFonts w:ascii="Arial" w:cs="Arial" w:eastAsia="Arial" w:hAnsi="Arial"/>
          <w:sz w:val="17"/>
          <w:szCs w:val="17"/>
          <w:color w:val="auto"/>
        </w:rPr>
        <w:t>As of June 30, 2019, GasLog had $295.8 million of cash and cash equivalents, of which $186.8 million was held in time deposits and the remaining balance in current accounts. In addition, as of June 30, 2019, GasLog had $44.0 million held in time deposits with an initial duration of more than three months but less than a year that have been classified as short-term investments.</w:t>
      </w:r>
    </w:p>
    <w:p>
      <w:pPr>
        <w:spacing w:after="0" w:line="198" w:lineRule="exact"/>
        <w:rPr>
          <w:sz w:val="20"/>
          <w:szCs w:val="20"/>
          <w:color w:val="auto"/>
        </w:rPr>
      </w:pPr>
    </w:p>
    <w:p>
      <w:pPr>
        <w:ind w:right="160" w:firstLine="405"/>
        <w:spacing w:after="0" w:line="275" w:lineRule="auto"/>
        <w:rPr>
          <w:sz w:val="20"/>
          <w:szCs w:val="20"/>
          <w:color w:val="auto"/>
        </w:rPr>
      </w:pPr>
      <w:r>
        <w:rPr>
          <w:rFonts w:ascii="Arial" w:cs="Arial" w:eastAsia="Arial" w:hAnsi="Arial"/>
          <w:sz w:val="17"/>
          <w:szCs w:val="17"/>
          <w:color w:val="auto"/>
        </w:rPr>
        <w:t>On March 6, 2019, the respective subsidiaries of GasLog Partners drew down $360.0 million under the 2019 Partnership Facility and prepaid in full their aggregate outstanding debt of $354.5 million, which would have been due in November 2019. On April 1, 2019, the Partnership drew down an additional $75.0 million under the 2019 Partnership Facility. In addition, during the six months ended June 30, 2019, the Group drew down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8" w:right="120" w:bottom="505" w:gutter="0" w:footer="0" w:header="0"/>
        </w:sectPr>
      </w:pPr>
    </w:p>
    <w:bookmarkStart w:id="24" w:name="page25"/>
    <w:bookmarkEnd w:id="24"/>
    <w:p>
      <w:pPr>
        <w:ind w:right="20"/>
        <w:spacing w:after="0" w:line="275" w:lineRule="auto"/>
        <w:rPr>
          <w:sz w:val="20"/>
          <w:szCs w:val="20"/>
          <w:color w:val="auto"/>
        </w:rPr>
      </w:pPr>
      <w:r>
        <w:rPr>
          <w:rFonts w:ascii="Arial" w:cs="Arial" w:eastAsia="Arial" w:hAnsi="Arial"/>
          <w:sz w:val="17"/>
          <w:szCs w:val="17"/>
          <w:color w:val="auto"/>
        </w:rPr>
        <w:t xml:space="preserve">$165.8 million to partially finance the delivery of the </w:t>
      </w:r>
      <w:r>
        <w:rPr>
          <w:rFonts w:ascii="Arial" w:cs="Arial" w:eastAsia="Arial" w:hAnsi="Arial"/>
          <w:sz w:val="17"/>
          <w:szCs w:val="17"/>
          <w:i w:val="1"/>
          <w:iCs w:val="1"/>
          <w:color w:val="auto"/>
        </w:rPr>
        <w:t>GasLog Gladstone</w:t>
      </w:r>
      <w:r>
        <w:rPr>
          <w:rFonts w:ascii="Arial" w:cs="Arial" w:eastAsia="Arial" w:hAnsi="Arial"/>
          <w:sz w:val="17"/>
          <w:szCs w:val="17"/>
          <w:color w:val="auto"/>
        </w:rPr>
        <w:t xml:space="preserve"> and repaid $91.2 million in accordance with the repayment terms under its loan facilities. On May 16, 2019, GasLog closed a follow-on issue of the 8.875% Senior Notes with net proceeds of $75.4 million. GasLog plans to use these proceeds to partially fund its committed newbuild program and for general corporate purposes, including working capital.</w:t>
      </w:r>
    </w:p>
    <w:p>
      <w:pPr>
        <w:spacing w:after="0" w:line="198" w:lineRule="exact"/>
        <w:rPr>
          <w:sz w:val="20"/>
          <w:szCs w:val="20"/>
          <w:color w:val="auto"/>
        </w:rPr>
      </w:pPr>
    </w:p>
    <w:p>
      <w:pPr>
        <w:ind w:right="200" w:firstLine="376"/>
        <w:spacing w:after="0" w:line="288" w:lineRule="auto"/>
        <w:rPr>
          <w:sz w:val="20"/>
          <w:szCs w:val="20"/>
          <w:color w:val="auto"/>
        </w:rPr>
      </w:pPr>
      <w:r>
        <w:rPr>
          <w:rFonts w:ascii="Arial" w:cs="Arial" w:eastAsia="Arial" w:hAnsi="Arial"/>
          <w:sz w:val="17"/>
          <w:szCs w:val="17"/>
          <w:color w:val="auto"/>
        </w:rPr>
        <w:t>As of June 30, 2019, GasLog had an aggregate of $3.1 billion of indebtedness outstanding under its credit facilities and bond agreements, of which $196.6 million was repayable within one year, and $209.6 million of lease liabilities</w:t>
      </w:r>
      <w:r>
        <w:rPr>
          <w:rFonts w:ascii="Arial" w:cs="Arial" w:eastAsia="Arial" w:hAnsi="Arial"/>
          <w:sz w:val="17"/>
          <w:szCs w:val="17"/>
          <w:i w:val="1"/>
          <w:iCs w:val="1"/>
          <w:color w:val="auto"/>
        </w:rPr>
        <w:t>,</w:t>
      </w:r>
      <w:r>
        <w:rPr>
          <w:rFonts w:ascii="Arial" w:cs="Arial" w:eastAsia="Arial" w:hAnsi="Arial"/>
          <w:sz w:val="17"/>
          <w:szCs w:val="17"/>
          <w:color w:val="auto"/>
        </w:rPr>
        <w:t xml:space="preserve"> of which $9.1 million was repayable within one year.</w:t>
      </w:r>
    </w:p>
    <w:p>
      <w:pPr>
        <w:spacing w:after="0" w:line="187" w:lineRule="exact"/>
        <w:rPr>
          <w:sz w:val="20"/>
          <w:szCs w:val="20"/>
          <w:color w:val="auto"/>
        </w:rPr>
      </w:pPr>
    </w:p>
    <w:p>
      <w:pPr>
        <w:ind w:right="140" w:firstLine="376"/>
        <w:spacing w:after="0" w:line="288" w:lineRule="auto"/>
        <w:rPr>
          <w:sz w:val="20"/>
          <w:szCs w:val="20"/>
          <w:color w:val="auto"/>
        </w:rPr>
      </w:pPr>
      <w:r>
        <w:rPr>
          <w:rFonts w:ascii="Arial" w:cs="Arial" w:eastAsia="Arial" w:hAnsi="Arial"/>
          <w:sz w:val="17"/>
          <w:szCs w:val="17"/>
          <w:color w:val="auto"/>
        </w:rPr>
        <w:t>As of June 30, 2019, there was undrawn available capacity of $100.0 million under the revolving credit facility of the credit agreement of up to $1.1 billion entered into on July 19, 2016 (the “Legacy Facility Refinancing”). In addition, there was unused availability of $7.6 million under the 2019 Partnership Facility.</w:t>
      </w:r>
    </w:p>
    <w:p>
      <w:pPr>
        <w:spacing w:after="0" w:line="187" w:lineRule="exact"/>
        <w:rPr>
          <w:sz w:val="20"/>
          <w:szCs w:val="20"/>
          <w:color w:val="auto"/>
        </w:rPr>
      </w:pPr>
    </w:p>
    <w:p>
      <w:pPr>
        <w:ind w:right="100" w:firstLine="376"/>
        <w:spacing w:after="0" w:line="288" w:lineRule="auto"/>
        <w:rPr>
          <w:sz w:val="20"/>
          <w:szCs w:val="20"/>
          <w:color w:val="auto"/>
        </w:rPr>
      </w:pPr>
      <w:r>
        <w:rPr>
          <w:rFonts w:ascii="Arial" w:cs="Arial" w:eastAsia="Arial" w:hAnsi="Arial"/>
          <w:sz w:val="17"/>
          <w:szCs w:val="17"/>
          <w:color w:val="auto"/>
        </w:rPr>
        <w:t>As of June 30, 2019, the total remaining balance of the contract prices of the eight LNG carriers on order was $1,315.9 million which GasLog expects to be funded with cash balances, cash from operations and borrowings under new debt agreements.</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GasLog has hedged 45.3% of its expected floating interest rate exposure on its outstanding debt (excluding the lease liability) as of June 30, 2019.</w:t>
      </w:r>
    </w:p>
    <w:p>
      <w:pPr>
        <w:spacing w:after="0" w:line="247" w:lineRule="exact"/>
        <w:rPr>
          <w:sz w:val="20"/>
          <w:szCs w:val="20"/>
          <w:color w:val="auto"/>
        </w:rPr>
      </w:pPr>
    </w:p>
    <w:p>
      <w:pPr>
        <w:ind w:right="120" w:firstLine="376"/>
        <w:spacing w:after="0" w:line="288" w:lineRule="auto"/>
        <w:rPr>
          <w:sz w:val="20"/>
          <w:szCs w:val="20"/>
          <w:color w:val="auto"/>
        </w:rPr>
      </w:pPr>
      <w:r>
        <w:rPr>
          <w:rFonts w:ascii="Arial" w:cs="Arial" w:eastAsia="Arial" w:hAnsi="Arial"/>
          <w:sz w:val="17"/>
          <w:szCs w:val="17"/>
          <w:color w:val="auto"/>
        </w:rPr>
        <w:t>Our credit facilities are described in Note 13 of our annual audited consolidated financial statements included in our Annual Report on Form 20-F filed with the SEC on March 5, 2019 and Note 7 of our unaudited condensed consolidated financial statements included elsewhere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 Position</w:t>
      </w:r>
    </w:p>
    <w:p>
      <w:pPr>
        <w:spacing w:after="0" w:line="253" w:lineRule="exact"/>
        <w:rPr>
          <w:sz w:val="20"/>
          <w:szCs w:val="20"/>
          <w:color w:val="auto"/>
        </w:rPr>
      </w:pPr>
    </w:p>
    <w:p>
      <w:pPr>
        <w:ind w:right="260" w:firstLine="405"/>
        <w:spacing w:after="0" w:line="288" w:lineRule="auto"/>
        <w:rPr>
          <w:sz w:val="20"/>
          <w:szCs w:val="20"/>
          <w:color w:val="auto"/>
        </w:rPr>
      </w:pPr>
      <w:r>
        <w:rPr>
          <w:rFonts w:ascii="Arial" w:cs="Arial" w:eastAsia="Arial" w:hAnsi="Arial"/>
          <w:sz w:val="17"/>
          <w:szCs w:val="17"/>
          <w:color w:val="auto"/>
        </w:rPr>
        <w:t>As of June 30, 2019, GasLog’s current assets totaled $384.8 million, while current liabilities totaled $306.8 million, resulting in a positive working capital position of $78.0 million.</w:t>
      </w:r>
    </w:p>
    <w:p>
      <w:pPr>
        <w:spacing w:after="0" w:line="187" w:lineRule="exact"/>
        <w:rPr>
          <w:sz w:val="20"/>
          <w:szCs w:val="20"/>
          <w:color w:val="auto"/>
        </w:rPr>
      </w:pPr>
    </w:p>
    <w:p>
      <w:pPr>
        <w:ind w:right="500" w:firstLine="405"/>
        <w:spacing w:after="0" w:line="358" w:lineRule="auto"/>
        <w:rPr>
          <w:sz w:val="20"/>
          <w:szCs w:val="20"/>
          <w:color w:val="auto"/>
        </w:rPr>
      </w:pPr>
      <w:r>
        <w:rPr>
          <w:rFonts w:ascii="Arial" w:cs="Arial" w:eastAsia="Arial" w:hAnsi="Arial"/>
          <w:sz w:val="15"/>
          <w:szCs w:val="15"/>
          <w:color w:val="auto"/>
        </w:rPr>
        <w:t>Taking into account generally expected market conditions, we anticipate that available cash and cash flow generated from operations will be sufficient to fund our operations, including our working capital requirements, and to make all other required principal and interest payments on our indebtedness during the next 12 months.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Six-month period ended June 30, 2018, compared to the six-month period ended June 30, 2019</w:t>
      </w:r>
    </w:p>
    <w:p>
      <w:pPr>
        <w:spacing w:after="0" w:line="2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net cash flows from operating, investing and financing activities for the periods indicated:</w:t>
      </w:r>
    </w:p>
    <w:p>
      <w:pPr>
        <w:spacing w:after="0" w:line="200" w:lineRule="exact"/>
        <w:rPr>
          <w:sz w:val="20"/>
          <w:szCs w:val="20"/>
          <w:color w:val="auto"/>
        </w:rPr>
      </w:pPr>
    </w:p>
    <w:p>
      <w:pPr>
        <w:spacing w:after="0" w:line="269" w:lineRule="exact"/>
        <w:rPr>
          <w:sz w:val="20"/>
          <w:szCs w:val="20"/>
          <w:color w:val="auto"/>
        </w:rPr>
      </w:pPr>
    </w:p>
    <w:tbl>
      <w:tblPr>
        <w:tblLayout w:type="fixed"/>
        <w:tblInd w:w="1020" w:type="dxa"/>
        <w:tblCellMar>
          <w:top w:w="0" w:type="dxa"/>
          <w:left w:w="0" w:type="dxa"/>
          <w:bottom w:w="0" w:type="dxa"/>
          <w:right w:w="0" w:type="dxa"/>
        </w:tblCellMar>
      </w:tblPr>
      <w:tr>
        <w:trPr>
          <w:trHeight w:val="222"/>
        </w:trPr>
        <w:tc>
          <w:tcPr>
            <w:tcW w:w="6800" w:type="dxa"/>
            <w:vAlign w:val="bottom"/>
          </w:tcPr>
          <w:p>
            <w:pPr>
              <w:spacing w:after="0"/>
              <w:rPr>
                <w:sz w:val="19"/>
                <w:szCs w:val="19"/>
                <w:color w:val="auto"/>
              </w:rPr>
            </w:pPr>
          </w:p>
        </w:tc>
        <w:tc>
          <w:tcPr>
            <w:tcW w:w="2800" w:type="dxa"/>
            <w:vAlign w:val="bottom"/>
            <w:gridSpan w:val="4"/>
          </w:tcPr>
          <w:p>
            <w:pPr>
              <w:jc w:val="right"/>
              <w:ind w:right="540"/>
              <w:spacing w:after="0"/>
              <w:rPr>
                <w:sz w:val="20"/>
                <w:szCs w:val="20"/>
                <w:color w:val="auto"/>
              </w:rPr>
            </w:pPr>
            <w:r>
              <w:rPr>
                <w:rFonts w:ascii="Arial" w:cs="Arial" w:eastAsia="Arial" w:hAnsi="Arial"/>
                <w:sz w:val="17"/>
                <w:szCs w:val="17"/>
                <w:b w:val="1"/>
                <w:bCs w:val="1"/>
                <w:color w:val="auto"/>
              </w:rPr>
              <w:t>For the six months ended</w:t>
            </w:r>
          </w:p>
        </w:tc>
      </w:tr>
      <w:tr>
        <w:trPr>
          <w:trHeight w:val="272"/>
        </w:trPr>
        <w:tc>
          <w:tcPr>
            <w:tcW w:w="6800" w:type="dxa"/>
            <w:vAlign w:val="bottom"/>
          </w:tcPr>
          <w:p>
            <w:pPr>
              <w:spacing w:after="0"/>
              <w:rPr>
                <w:sz w:val="23"/>
                <w:szCs w:val="2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w w:val="97"/>
              </w:rPr>
              <w:t>June 30, 2018</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7"/>
              </w:rPr>
              <w:t>June 30, 2019</w:t>
            </w:r>
          </w:p>
        </w:tc>
      </w:tr>
      <w:tr>
        <w:trPr>
          <w:trHeight w:val="253"/>
        </w:trPr>
        <w:tc>
          <w:tcPr>
            <w:tcW w:w="6800" w:type="dxa"/>
            <w:vAlign w:val="bottom"/>
          </w:tcPr>
          <w:p>
            <w:pPr>
              <w:spacing w:after="0"/>
              <w:rPr>
                <w:sz w:val="20"/>
                <w:szCs w:val="20"/>
                <w:color w:val="auto"/>
              </w:rPr>
            </w:pPr>
            <w:r>
              <w:rPr>
                <w:rFonts w:ascii="Arial" w:cs="Arial" w:eastAsia="Arial" w:hAnsi="Arial"/>
                <w:sz w:val="17"/>
                <w:szCs w:val="17"/>
                <w:b w:val="1"/>
                <w:bCs w:val="1"/>
                <w:i w:val="1"/>
                <w:iCs w:val="1"/>
                <w:color w:val="auto"/>
              </w:rPr>
              <w:t>Amounts in thousands of U.S. Dollars</w:t>
            </w:r>
          </w:p>
        </w:tc>
        <w:tc>
          <w:tcPr>
            <w:tcW w:w="120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74"/>
        </w:trPr>
        <w:tc>
          <w:tcPr>
            <w:tcW w:w="6800" w:type="dxa"/>
            <w:vAlign w:val="bottom"/>
            <w:shd w:val="clear" w:color="auto" w:fill="E5FFFF"/>
          </w:tcPr>
          <w:p>
            <w:pPr>
              <w:spacing w:after="0"/>
              <w:rPr>
                <w:sz w:val="20"/>
                <w:szCs w:val="20"/>
                <w:color w:val="auto"/>
              </w:rPr>
            </w:pPr>
            <w:r>
              <w:rPr>
                <w:rFonts w:ascii="Arial" w:cs="Arial" w:eastAsia="Arial" w:hAnsi="Arial"/>
                <w:sz w:val="17"/>
                <w:szCs w:val="17"/>
                <w:color w:val="auto"/>
              </w:rPr>
              <w:t>Net cash provided by operating activities</w:t>
            </w: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126,802</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98,773</w:t>
            </w:r>
          </w:p>
        </w:tc>
        <w:tc>
          <w:tcPr>
            <w:tcW w:w="120" w:type="dxa"/>
            <w:vAlign w:val="bottom"/>
            <w:shd w:val="clear" w:color="auto" w:fill="E5FFFF"/>
          </w:tcPr>
          <w:p>
            <w:pPr>
              <w:spacing w:after="0"/>
              <w:rPr>
                <w:sz w:val="23"/>
                <w:szCs w:val="23"/>
                <w:color w:val="auto"/>
              </w:rPr>
            </w:pPr>
          </w:p>
        </w:tc>
      </w:tr>
      <w:tr>
        <w:trPr>
          <w:trHeight w:val="267"/>
        </w:trPr>
        <w:tc>
          <w:tcPr>
            <w:tcW w:w="680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(614,626)</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(266,919)</w:t>
            </w:r>
          </w:p>
        </w:tc>
      </w:tr>
      <w:tr>
        <w:trPr>
          <w:trHeight w:val="274"/>
        </w:trPr>
        <w:tc>
          <w:tcPr>
            <w:tcW w:w="6800" w:type="dxa"/>
            <w:vAlign w:val="bottom"/>
            <w:shd w:val="clear" w:color="auto" w:fill="E5FFFF"/>
          </w:tcPr>
          <w:p>
            <w:pPr>
              <w:spacing w:after="0"/>
              <w:rPr>
                <w:sz w:val="20"/>
                <w:szCs w:val="20"/>
                <w:color w:val="auto"/>
              </w:rPr>
            </w:pPr>
            <w:r>
              <w:rPr>
                <w:rFonts w:ascii="Arial" w:cs="Arial" w:eastAsia="Arial" w:hAnsi="Arial"/>
                <w:sz w:val="17"/>
                <w:szCs w:val="17"/>
                <w:color w:val="auto"/>
              </w:rPr>
              <w:t>Net cash provided by financing activities</w:t>
            </w:r>
          </w:p>
        </w:tc>
        <w:tc>
          <w:tcPr>
            <w:tcW w:w="148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418,164</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121,221</w:t>
            </w:r>
          </w:p>
        </w:tc>
        <w:tc>
          <w:tcPr>
            <w:tcW w:w="120" w:type="dxa"/>
            <w:vAlign w:val="bottom"/>
            <w:shd w:val="clear" w:color="auto" w:fill="E5FFFF"/>
          </w:tcPr>
          <w:p>
            <w:pPr>
              <w:spacing w:after="0"/>
              <w:rPr>
                <w:sz w:val="23"/>
                <w:szCs w:val="23"/>
                <w:color w:val="auto"/>
              </w:rPr>
            </w:pPr>
          </w:p>
        </w:tc>
      </w:tr>
    </w:tbl>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47" w:lineRule="exact"/>
        <w:rPr>
          <w:sz w:val="20"/>
          <w:szCs w:val="20"/>
          <w:color w:val="auto"/>
        </w:rPr>
      </w:pPr>
    </w:p>
    <w:p>
      <w:pPr>
        <w:jc w:val="both"/>
        <w:ind w:right="20" w:firstLine="209"/>
        <w:spacing w:after="0" w:line="269" w:lineRule="auto"/>
        <w:rPr>
          <w:sz w:val="20"/>
          <w:szCs w:val="20"/>
          <w:color w:val="auto"/>
        </w:rPr>
      </w:pPr>
      <w:r>
        <w:rPr>
          <w:rFonts w:ascii="Arial" w:cs="Arial" w:eastAsia="Arial" w:hAnsi="Arial"/>
          <w:sz w:val="17"/>
          <w:szCs w:val="17"/>
          <w:color w:val="auto"/>
        </w:rPr>
        <w:t>Net cash provided by operating activities decreased by $28.0 million, from $126.8 million during the six-month period ended June 30, 2018 to $98.8 million during the six-month period ended June 30, 2019. The decrease was attributable to a decrease of $36.2 million caused by movements in working capital accounts, due primarily to the receipt of monthly charter hires in July 2019 as a consequence of the last day of June falling on a non-working day, an increase of $18.8 million in cash paid for interest, including the interest paid for leases, and a net decrease of $2.8 million from the remaining movements, partially offset by an increase in total revenues (revenues and net pool allocation) of $29.8 million.</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47" w:lineRule="exact"/>
        <w:rPr>
          <w:sz w:val="20"/>
          <w:szCs w:val="20"/>
          <w:color w:val="auto"/>
        </w:rPr>
      </w:pPr>
    </w:p>
    <w:p>
      <w:pPr>
        <w:ind w:right="260" w:firstLine="241"/>
        <w:spacing w:after="0" w:line="293" w:lineRule="auto"/>
        <w:rPr>
          <w:sz w:val="20"/>
          <w:szCs w:val="20"/>
          <w:color w:val="auto"/>
        </w:rPr>
      </w:pPr>
      <w:r>
        <w:rPr>
          <w:rFonts w:ascii="Arial" w:cs="Arial" w:eastAsia="Arial" w:hAnsi="Arial"/>
          <w:sz w:val="16"/>
          <w:szCs w:val="16"/>
          <w:color w:val="auto"/>
        </w:rPr>
        <w:t>Net cash used in investing activities decreased by $347.7 million, from $614.6 million in the six-month period ended June 30, 2018 to $266.9 million in the six-month period ended June 30, 2019. The decrease is mainly attributable to a decrease of $337.7 million in net cash used in payments for the construction costs of newbuildings and other fixed assets, a net increase of $7.0 million in cash from short-term investments in the six-month period ended June 30, 2019, compared to the same period of 2018, a decrease of $2.3 million in restricted cash and an increase of $0.8 million in cash from interest income.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Net Cash Provided by Financing Activities</w:t>
      </w:r>
    </w:p>
    <w:p>
      <w:pPr>
        <w:spacing w:after="0" w:line="247" w:lineRule="exact"/>
        <w:rPr>
          <w:sz w:val="20"/>
          <w:szCs w:val="20"/>
          <w:color w:val="auto"/>
        </w:rPr>
      </w:pPr>
    </w:p>
    <w:p>
      <w:pPr>
        <w:ind w:firstLine="376"/>
        <w:spacing w:after="0" w:line="271" w:lineRule="auto"/>
        <w:rPr>
          <w:sz w:val="20"/>
          <w:szCs w:val="20"/>
          <w:color w:val="auto"/>
        </w:rPr>
      </w:pPr>
      <w:r>
        <w:rPr>
          <w:rFonts w:ascii="Arial" w:cs="Arial" w:eastAsia="Arial" w:hAnsi="Arial"/>
          <w:sz w:val="17"/>
          <w:szCs w:val="17"/>
          <w:color w:val="auto"/>
        </w:rPr>
        <w:t>Net cash provided by financing activities decreased by $297.0 million, from $418.2 million in the six-month period ended June 30, 2018 to $121.2 million in the six-month period ended June 30, 2019. The decrease is mainly attributable to an increase of $336.7 million in bank loan repayments, a decrease of $111.5 million in proceeds from the GasLog Partners’ public offering in the first six months of 2018, an increase of $13.6 million in cash used for purchases of treasury shares or common units of GasLog Partners, an increase of $10.9 million in dividend payments, 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646670" cy="31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8" w:right="120" w:bottom="832" w:gutter="0" w:footer="0" w:header="0"/>
        </w:sectPr>
      </w:pPr>
    </w:p>
    <w:bookmarkStart w:id="25" w:name="page26"/>
    <w:bookmarkEnd w:id="25"/>
    <w:p>
      <w:pPr>
        <w:ind w:left="6" w:right="280"/>
        <w:spacing w:after="0" w:line="288" w:lineRule="auto"/>
        <w:rPr>
          <w:sz w:val="20"/>
          <w:szCs w:val="20"/>
          <w:color w:val="auto"/>
        </w:rPr>
      </w:pPr>
      <w:r>
        <w:rPr>
          <w:rFonts w:ascii="Arial" w:cs="Arial" w:eastAsia="Arial" w:hAnsi="Arial"/>
          <w:sz w:val="17"/>
          <w:szCs w:val="17"/>
          <w:color w:val="auto"/>
        </w:rPr>
        <w:t>increase of $1.9 million in payments of loan issuance costs and an increase of $1.2 million in payments for finance lease liabilities, partially offset by an increase of $179.5 million in proceeds from borrowings.</w:t>
      </w:r>
    </w:p>
    <w:p>
      <w:pPr>
        <w:spacing w:after="0" w:line="200" w:lineRule="exact"/>
        <w:rPr>
          <w:sz w:val="20"/>
          <w:szCs w:val="20"/>
          <w:color w:val="auto"/>
        </w:rPr>
      </w:pPr>
    </w:p>
    <w:p>
      <w:pPr>
        <w:spacing w:after="0" w:line="20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Contracted Charter Revenues and Days from Time Charters</w:t>
      </w:r>
    </w:p>
    <w:p>
      <w:pPr>
        <w:spacing w:after="0" w:line="253" w:lineRule="exact"/>
        <w:rPr>
          <w:sz w:val="20"/>
          <w:szCs w:val="20"/>
          <w:color w:val="auto"/>
        </w:rPr>
      </w:pPr>
    </w:p>
    <w:p>
      <w:pPr>
        <w:ind w:left="6" w:right="240" w:firstLine="376"/>
        <w:spacing w:after="0" w:line="288" w:lineRule="auto"/>
        <w:rPr>
          <w:sz w:val="20"/>
          <w:szCs w:val="20"/>
          <w:color w:val="auto"/>
        </w:rPr>
      </w:pPr>
      <w:r>
        <w:rPr>
          <w:rFonts w:ascii="Arial" w:cs="Arial" w:eastAsia="Arial" w:hAnsi="Arial"/>
          <w:sz w:val="17"/>
          <w:szCs w:val="17"/>
          <w:color w:val="auto"/>
        </w:rPr>
        <w:t>The following table summarizes GasLog’s (including the vessels contributed or sold to GasLog Partners) contracted charter revenues and contract cover after June 30, 2019.</w:t>
      </w:r>
    </w:p>
    <w:p>
      <w:pPr>
        <w:spacing w:after="0" w:line="181"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4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20" w:type="dxa"/>
            <w:vAlign w:val="bottom"/>
            <w:gridSpan w:val="5"/>
          </w:tcPr>
          <w:p>
            <w:pPr>
              <w:jc w:val="right"/>
              <w:ind w:right="734"/>
              <w:spacing w:after="0"/>
              <w:rPr>
                <w:sz w:val="20"/>
                <w:szCs w:val="20"/>
                <w:color w:val="auto"/>
              </w:rPr>
            </w:pPr>
            <w:r>
              <w:rPr>
                <w:rFonts w:ascii="Arial" w:cs="Arial" w:eastAsia="Arial" w:hAnsi="Arial"/>
                <w:sz w:val="17"/>
                <w:szCs w:val="17"/>
                <w:b w:val="1"/>
                <w:bCs w:val="1"/>
                <w:color w:val="auto"/>
              </w:rPr>
              <w:t>Contracted Charter Revenues and Days from Time Charters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9"/>
        </w:trPr>
        <w:tc>
          <w:tcPr>
            <w:tcW w:w="4140" w:type="dxa"/>
            <w:vAlign w:val="bottom"/>
          </w:tcPr>
          <w:p>
            <w:pPr>
              <w:spacing w:after="0"/>
              <w:rPr>
                <w:sz w:val="24"/>
                <w:szCs w:val="2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rPr>
              <w:t>After</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4"/>
        </w:trPr>
        <w:tc>
          <w:tcPr>
            <w:tcW w:w="414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June 30,</w:t>
            </w:r>
          </w:p>
        </w:tc>
        <w:tc>
          <w:tcPr>
            <w:tcW w:w="1220" w:type="dxa"/>
            <w:vAlign w:val="bottom"/>
          </w:tcPr>
          <w:p>
            <w:pPr>
              <w:spacing w:after="0"/>
              <w:rPr>
                <w:sz w:val="19"/>
                <w:szCs w:val="19"/>
                <w:color w:val="auto"/>
              </w:rPr>
            </w:pPr>
          </w:p>
        </w:tc>
        <w:tc>
          <w:tcPr>
            <w:tcW w:w="3400" w:type="dxa"/>
            <w:vAlign w:val="bottom"/>
            <w:gridSpan w:val="3"/>
          </w:tcPr>
          <w:p>
            <w:pPr>
              <w:jc w:val="right"/>
              <w:spacing w:after="0"/>
              <w:rPr>
                <w:sz w:val="20"/>
                <w:szCs w:val="20"/>
                <w:color w:val="auto"/>
              </w:rPr>
            </w:pPr>
            <w:r>
              <w:rPr>
                <w:rFonts w:ascii="Arial" w:cs="Arial" w:eastAsia="Arial" w:hAnsi="Arial"/>
                <w:sz w:val="17"/>
                <w:szCs w:val="17"/>
                <w:b w:val="1"/>
                <w:bCs w:val="1"/>
                <w:color w:val="auto"/>
              </w:rPr>
              <w:t>For the years ending December 31,</w:t>
            </w: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4"/>
        </w:trPr>
        <w:tc>
          <w:tcPr>
            <w:tcW w:w="4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2019</w:t>
            </w:r>
          </w:p>
        </w:tc>
        <w:tc>
          <w:tcPr>
            <w:tcW w:w="160" w:type="dxa"/>
            <w:vAlign w:val="bottom"/>
            <w:tcBorders>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2023</w:t>
            </w: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w w:val="90"/>
              </w:rPr>
              <w:t>2024-2032</w:t>
            </w:r>
          </w:p>
        </w:tc>
        <w:tc>
          <w:tcPr>
            <w:tcW w:w="8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8"/>
                <w:szCs w:val="18"/>
                <w:color w:val="auto"/>
              </w:rPr>
            </w:pPr>
          </w:p>
        </w:tc>
      </w:tr>
      <w:tr>
        <w:trPr>
          <w:trHeight w:val="208"/>
        </w:trPr>
        <w:tc>
          <w:tcPr>
            <w:tcW w:w="4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20" w:type="dxa"/>
            <w:vAlign w:val="bottom"/>
            <w:gridSpan w:val="5"/>
          </w:tcPr>
          <w:p>
            <w:pPr>
              <w:jc w:val="right"/>
              <w:ind w:right="894"/>
              <w:spacing w:after="0"/>
              <w:rPr>
                <w:sz w:val="20"/>
                <w:szCs w:val="20"/>
                <w:color w:val="auto"/>
              </w:rPr>
            </w:pPr>
            <w:r>
              <w:rPr>
                <w:rFonts w:ascii="Arial" w:cs="Arial" w:eastAsia="Arial" w:hAnsi="Arial"/>
                <w:sz w:val="17"/>
                <w:szCs w:val="17"/>
                <w:b w:val="1"/>
                <w:bCs w:val="1"/>
                <w:color w:val="auto"/>
              </w:rPr>
              <w:t>(in millions of U.S. dollars, except days and percentages)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4140" w:type="dxa"/>
            <w:vAlign w:val="bottom"/>
            <w:shd w:val="clear" w:color="auto" w:fill="E5FFFF"/>
          </w:tcPr>
          <w:p>
            <w:pPr>
              <w:spacing w:after="0" w:line="213" w:lineRule="exact"/>
              <w:rPr>
                <w:sz w:val="20"/>
                <w:szCs w:val="20"/>
                <w:color w:val="auto"/>
              </w:rPr>
            </w:pPr>
            <w:r>
              <w:rPr>
                <w:rFonts w:ascii="Arial" w:cs="Arial" w:eastAsia="Arial" w:hAnsi="Arial"/>
                <w:sz w:val="17"/>
                <w:szCs w:val="17"/>
                <w:color w:val="auto"/>
              </w:rPr>
              <w:t>Contracted time charter revenues</w:t>
            </w:r>
            <w:r>
              <w:rPr>
                <w:rFonts w:ascii="Arial" w:cs="Arial" w:eastAsia="Arial" w:hAnsi="Arial"/>
                <w:sz w:val="22"/>
                <w:szCs w:val="22"/>
                <w:color w:val="auto"/>
                <w:vertAlign w:val="superscript"/>
              </w:rPr>
              <w:t>(1)(2)</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286.4</w:t>
            </w:r>
          </w:p>
        </w:tc>
        <w:tc>
          <w:tcPr>
            <w:tcW w:w="122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513.3</w:t>
            </w:r>
          </w:p>
        </w:tc>
        <w:tc>
          <w:tcPr>
            <w:tcW w:w="112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513.6</w:t>
            </w:r>
          </w:p>
        </w:tc>
        <w:tc>
          <w:tcPr>
            <w:tcW w:w="112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517.3</w:t>
            </w:r>
          </w:p>
        </w:tc>
        <w:tc>
          <w:tcPr>
            <w:tcW w:w="1160" w:type="dxa"/>
            <w:vAlign w:val="bottom"/>
            <w:shd w:val="clear" w:color="auto" w:fill="E5FFFF"/>
          </w:tcPr>
          <w:p>
            <w:pPr>
              <w:jc w:val="right"/>
              <w:ind w:right="254"/>
              <w:spacing w:after="0"/>
              <w:rPr>
                <w:sz w:val="20"/>
                <w:szCs w:val="20"/>
                <w:color w:val="auto"/>
              </w:rPr>
            </w:pPr>
            <w:r>
              <w:rPr>
                <w:rFonts w:ascii="Arial" w:cs="Arial" w:eastAsia="Arial" w:hAnsi="Arial"/>
                <w:sz w:val="17"/>
                <w:szCs w:val="17"/>
                <w:color w:val="auto"/>
              </w:rPr>
              <w:t>487.7</w:t>
            </w:r>
          </w:p>
        </w:tc>
        <w:tc>
          <w:tcPr>
            <w:tcW w:w="1200" w:type="dxa"/>
            <w:vAlign w:val="bottom"/>
            <w:shd w:val="clear" w:color="auto" w:fill="E5FFFF"/>
          </w:tcPr>
          <w:p>
            <w:pPr>
              <w:jc w:val="right"/>
              <w:ind w:right="214"/>
              <w:spacing w:after="0"/>
              <w:rPr>
                <w:sz w:val="20"/>
                <w:szCs w:val="20"/>
                <w:color w:val="auto"/>
              </w:rPr>
            </w:pPr>
            <w:r>
              <w:rPr>
                <w:rFonts w:ascii="Arial" w:cs="Arial" w:eastAsia="Arial" w:hAnsi="Arial"/>
                <w:sz w:val="17"/>
                <w:szCs w:val="17"/>
                <w:color w:val="auto"/>
              </w:rPr>
              <w:t>1,612.4</w:t>
            </w:r>
          </w:p>
        </w:tc>
        <w:tc>
          <w:tcPr>
            <w:tcW w:w="8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3,930.7</w:t>
            </w:r>
          </w:p>
        </w:tc>
        <w:tc>
          <w:tcPr>
            <w:tcW w:w="140" w:type="dxa"/>
            <w:vAlign w:val="bottom"/>
            <w:shd w:val="clear" w:color="auto" w:fill="E5FFFF"/>
          </w:tcPr>
          <w:p>
            <w:pPr>
              <w:spacing w:after="0"/>
              <w:rPr>
                <w:sz w:val="18"/>
                <w:szCs w:val="18"/>
                <w:color w:val="auto"/>
              </w:rPr>
            </w:pPr>
          </w:p>
        </w:tc>
      </w:tr>
      <w:tr>
        <w:trPr>
          <w:trHeight w:val="214"/>
        </w:trPr>
        <w:tc>
          <w:tcPr>
            <w:tcW w:w="4140" w:type="dxa"/>
            <w:vAlign w:val="bottom"/>
          </w:tcPr>
          <w:p>
            <w:pPr>
              <w:spacing w:after="0" w:line="213" w:lineRule="exact"/>
              <w:rPr>
                <w:sz w:val="20"/>
                <w:szCs w:val="20"/>
                <w:color w:val="auto"/>
              </w:rPr>
            </w:pPr>
            <w:r>
              <w:rPr>
                <w:rFonts w:ascii="Arial" w:cs="Arial" w:eastAsia="Arial" w:hAnsi="Arial"/>
                <w:sz w:val="17"/>
                <w:szCs w:val="17"/>
                <w:color w:val="auto"/>
              </w:rPr>
              <w:t>Total contracted days</w:t>
            </w:r>
            <w:r>
              <w:rPr>
                <w:rFonts w:ascii="Arial" w:cs="Arial" w:eastAsia="Arial" w:hAnsi="Arial"/>
                <w:sz w:val="22"/>
                <w:szCs w:val="22"/>
                <w:color w:val="auto"/>
                <w:vertAlign w:val="superscript"/>
              </w:rPr>
              <w:t>(1)</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4,124</w:t>
            </w:r>
          </w:p>
        </w:tc>
        <w:tc>
          <w:tcPr>
            <w:tcW w:w="1220" w:type="dxa"/>
            <w:vAlign w:val="bottom"/>
          </w:tcPr>
          <w:p>
            <w:pPr>
              <w:jc w:val="right"/>
              <w:ind w:right="234"/>
              <w:spacing w:after="0"/>
              <w:rPr>
                <w:sz w:val="20"/>
                <w:szCs w:val="20"/>
                <w:color w:val="auto"/>
              </w:rPr>
            </w:pPr>
            <w:r>
              <w:rPr>
                <w:rFonts w:ascii="Arial" w:cs="Arial" w:eastAsia="Arial" w:hAnsi="Arial"/>
                <w:sz w:val="17"/>
                <w:szCs w:val="17"/>
                <w:color w:val="auto"/>
              </w:rPr>
              <w:t>7,252</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6,973</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6,904</w:t>
            </w:r>
          </w:p>
        </w:tc>
        <w:tc>
          <w:tcPr>
            <w:tcW w:w="1160" w:type="dxa"/>
            <w:vAlign w:val="bottom"/>
          </w:tcPr>
          <w:p>
            <w:pPr>
              <w:jc w:val="right"/>
              <w:ind w:right="254"/>
              <w:spacing w:after="0"/>
              <w:rPr>
                <w:sz w:val="20"/>
                <w:szCs w:val="20"/>
                <w:color w:val="auto"/>
              </w:rPr>
            </w:pPr>
            <w:r>
              <w:rPr>
                <w:rFonts w:ascii="Arial" w:cs="Arial" w:eastAsia="Arial" w:hAnsi="Arial"/>
                <w:sz w:val="17"/>
                <w:szCs w:val="17"/>
                <w:color w:val="auto"/>
              </w:rPr>
              <w:t>6,327</w:t>
            </w: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21,271</w:t>
            </w:r>
          </w:p>
        </w:tc>
        <w:tc>
          <w:tcPr>
            <w:tcW w:w="820" w:type="dxa"/>
            <w:vAlign w:val="bottom"/>
          </w:tcPr>
          <w:p>
            <w:pPr>
              <w:jc w:val="right"/>
              <w:spacing w:after="0"/>
              <w:rPr>
                <w:sz w:val="20"/>
                <w:szCs w:val="20"/>
                <w:color w:val="auto"/>
              </w:rPr>
            </w:pPr>
            <w:r>
              <w:rPr>
                <w:rFonts w:ascii="Arial" w:cs="Arial" w:eastAsia="Arial" w:hAnsi="Arial"/>
                <w:sz w:val="17"/>
                <w:szCs w:val="17"/>
                <w:color w:val="auto"/>
              </w:rPr>
              <w:t>52,851</w:t>
            </w:r>
          </w:p>
        </w:tc>
        <w:tc>
          <w:tcPr>
            <w:tcW w:w="140" w:type="dxa"/>
            <w:vAlign w:val="bottom"/>
          </w:tcPr>
          <w:p>
            <w:pPr>
              <w:spacing w:after="0"/>
              <w:rPr>
                <w:sz w:val="18"/>
                <w:szCs w:val="18"/>
                <w:color w:val="auto"/>
              </w:rPr>
            </w:pPr>
          </w:p>
        </w:tc>
      </w:tr>
      <w:tr>
        <w:trPr>
          <w:trHeight w:val="214"/>
        </w:trPr>
        <w:tc>
          <w:tcPr>
            <w:tcW w:w="4140" w:type="dxa"/>
            <w:vAlign w:val="bottom"/>
            <w:shd w:val="clear" w:color="auto" w:fill="E5FFFF"/>
          </w:tcPr>
          <w:p>
            <w:pPr>
              <w:spacing w:after="0" w:line="213" w:lineRule="exact"/>
              <w:rPr>
                <w:sz w:val="20"/>
                <w:szCs w:val="20"/>
                <w:color w:val="auto"/>
              </w:rPr>
            </w:pPr>
            <w:r>
              <w:rPr>
                <w:rFonts w:ascii="Arial" w:cs="Arial" w:eastAsia="Arial" w:hAnsi="Arial"/>
                <w:sz w:val="17"/>
                <w:szCs w:val="17"/>
                <w:color w:val="auto"/>
              </w:rPr>
              <w:t>Total available days</w:t>
            </w:r>
            <w:r>
              <w:rPr>
                <w:rFonts w:ascii="Arial" w:cs="Arial" w:eastAsia="Arial" w:hAnsi="Arial"/>
                <w:sz w:val="22"/>
                <w:szCs w:val="22"/>
                <w:color w:val="auto"/>
                <w:vertAlign w:val="superscript"/>
              </w:rPr>
              <w:t>(3)</w:t>
            </w:r>
          </w:p>
        </w:tc>
        <w:tc>
          <w:tcPr>
            <w:tcW w:w="10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5,046</w:t>
            </w:r>
          </w:p>
        </w:tc>
        <w:tc>
          <w:tcPr>
            <w:tcW w:w="122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10,695</w:t>
            </w:r>
          </w:p>
        </w:tc>
        <w:tc>
          <w:tcPr>
            <w:tcW w:w="112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12,232</w:t>
            </w:r>
          </w:p>
        </w:tc>
        <w:tc>
          <w:tcPr>
            <w:tcW w:w="1120" w:type="dxa"/>
            <w:vAlign w:val="bottom"/>
            <w:shd w:val="clear" w:color="auto" w:fill="E5FFFF"/>
          </w:tcPr>
          <w:p>
            <w:pPr>
              <w:jc w:val="right"/>
              <w:ind w:right="234"/>
              <w:spacing w:after="0"/>
              <w:rPr>
                <w:sz w:val="20"/>
                <w:szCs w:val="20"/>
                <w:color w:val="auto"/>
              </w:rPr>
            </w:pPr>
            <w:r>
              <w:rPr>
                <w:rFonts w:ascii="Arial" w:cs="Arial" w:eastAsia="Arial" w:hAnsi="Arial"/>
                <w:sz w:val="17"/>
                <w:szCs w:val="17"/>
                <w:color w:val="auto"/>
              </w:rPr>
              <w:t>12,775</w:t>
            </w:r>
          </w:p>
        </w:tc>
        <w:tc>
          <w:tcPr>
            <w:tcW w:w="1160" w:type="dxa"/>
            <w:vAlign w:val="bottom"/>
            <w:shd w:val="clear" w:color="auto" w:fill="E5FFFF"/>
          </w:tcPr>
          <w:p>
            <w:pPr>
              <w:jc w:val="right"/>
              <w:ind w:right="254"/>
              <w:spacing w:after="0"/>
              <w:rPr>
                <w:sz w:val="20"/>
                <w:szCs w:val="20"/>
                <w:color w:val="auto"/>
              </w:rPr>
            </w:pPr>
            <w:r>
              <w:rPr>
                <w:rFonts w:ascii="Arial" w:cs="Arial" w:eastAsia="Arial" w:hAnsi="Arial"/>
                <w:sz w:val="17"/>
                <w:szCs w:val="17"/>
                <w:color w:val="auto"/>
              </w:rPr>
              <w:t>12,535</w:t>
            </w:r>
          </w:p>
        </w:tc>
        <w:tc>
          <w:tcPr>
            <w:tcW w:w="1200" w:type="dxa"/>
            <w:vAlign w:val="bottom"/>
            <w:shd w:val="clear" w:color="auto" w:fill="E5FFFF"/>
          </w:tcPr>
          <w:p>
            <w:pPr>
              <w:jc w:val="right"/>
              <w:ind w:right="214"/>
              <w:spacing w:after="0"/>
              <w:rPr>
                <w:sz w:val="20"/>
                <w:szCs w:val="20"/>
                <w:color w:val="auto"/>
              </w:rPr>
            </w:pPr>
            <w:r>
              <w:rPr>
                <w:rFonts w:ascii="Arial" w:cs="Arial" w:eastAsia="Arial" w:hAnsi="Arial"/>
                <w:sz w:val="17"/>
                <w:szCs w:val="17"/>
                <w:color w:val="auto"/>
              </w:rPr>
              <w:t>113,220</w:t>
            </w:r>
          </w:p>
        </w:tc>
        <w:tc>
          <w:tcPr>
            <w:tcW w:w="8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166,503</w:t>
            </w:r>
          </w:p>
        </w:tc>
        <w:tc>
          <w:tcPr>
            <w:tcW w:w="140" w:type="dxa"/>
            <w:vAlign w:val="bottom"/>
            <w:shd w:val="clear" w:color="auto" w:fill="E5FFFF"/>
          </w:tcPr>
          <w:p>
            <w:pPr>
              <w:spacing w:after="0"/>
              <w:rPr>
                <w:sz w:val="18"/>
                <w:szCs w:val="18"/>
                <w:color w:val="auto"/>
              </w:rPr>
            </w:pPr>
          </w:p>
        </w:tc>
      </w:tr>
      <w:tr>
        <w:trPr>
          <w:trHeight w:val="214"/>
        </w:trPr>
        <w:tc>
          <w:tcPr>
            <w:tcW w:w="4140" w:type="dxa"/>
            <w:vAlign w:val="bottom"/>
          </w:tcPr>
          <w:p>
            <w:pPr>
              <w:spacing w:after="0" w:line="213" w:lineRule="exact"/>
              <w:rPr>
                <w:sz w:val="20"/>
                <w:szCs w:val="20"/>
                <w:color w:val="auto"/>
              </w:rPr>
            </w:pPr>
            <w:r>
              <w:rPr>
                <w:rFonts w:ascii="Arial" w:cs="Arial" w:eastAsia="Arial" w:hAnsi="Arial"/>
                <w:sz w:val="17"/>
                <w:szCs w:val="17"/>
                <w:color w:val="auto"/>
              </w:rPr>
              <w:t>Total unfixed days</w:t>
            </w:r>
            <w:r>
              <w:rPr>
                <w:rFonts w:ascii="Arial" w:cs="Arial" w:eastAsia="Arial" w:hAnsi="Arial"/>
                <w:sz w:val="22"/>
                <w:szCs w:val="22"/>
                <w:color w:val="auto"/>
                <w:vertAlign w:val="superscript"/>
              </w:rPr>
              <w:t>(4)</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922</w:t>
            </w:r>
          </w:p>
        </w:tc>
        <w:tc>
          <w:tcPr>
            <w:tcW w:w="1220" w:type="dxa"/>
            <w:vAlign w:val="bottom"/>
          </w:tcPr>
          <w:p>
            <w:pPr>
              <w:jc w:val="right"/>
              <w:ind w:right="234"/>
              <w:spacing w:after="0"/>
              <w:rPr>
                <w:sz w:val="20"/>
                <w:szCs w:val="20"/>
                <w:color w:val="auto"/>
              </w:rPr>
            </w:pPr>
            <w:r>
              <w:rPr>
                <w:rFonts w:ascii="Arial" w:cs="Arial" w:eastAsia="Arial" w:hAnsi="Arial"/>
                <w:sz w:val="17"/>
                <w:szCs w:val="17"/>
                <w:color w:val="auto"/>
              </w:rPr>
              <w:t>3,443</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5,259</w:t>
            </w:r>
          </w:p>
        </w:tc>
        <w:tc>
          <w:tcPr>
            <w:tcW w:w="1120" w:type="dxa"/>
            <w:vAlign w:val="bottom"/>
          </w:tcPr>
          <w:p>
            <w:pPr>
              <w:jc w:val="right"/>
              <w:ind w:right="234"/>
              <w:spacing w:after="0"/>
              <w:rPr>
                <w:sz w:val="20"/>
                <w:szCs w:val="20"/>
                <w:color w:val="auto"/>
              </w:rPr>
            </w:pPr>
            <w:r>
              <w:rPr>
                <w:rFonts w:ascii="Arial" w:cs="Arial" w:eastAsia="Arial" w:hAnsi="Arial"/>
                <w:sz w:val="17"/>
                <w:szCs w:val="17"/>
                <w:color w:val="auto"/>
              </w:rPr>
              <w:t>5,871</w:t>
            </w:r>
          </w:p>
        </w:tc>
        <w:tc>
          <w:tcPr>
            <w:tcW w:w="1160" w:type="dxa"/>
            <w:vAlign w:val="bottom"/>
          </w:tcPr>
          <w:p>
            <w:pPr>
              <w:jc w:val="right"/>
              <w:ind w:right="254"/>
              <w:spacing w:after="0"/>
              <w:rPr>
                <w:sz w:val="20"/>
                <w:szCs w:val="20"/>
                <w:color w:val="auto"/>
              </w:rPr>
            </w:pPr>
            <w:r>
              <w:rPr>
                <w:rFonts w:ascii="Arial" w:cs="Arial" w:eastAsia="Arial" w:hAnsi="Arial"/>
                <w:sz w:val="17"/>
                <w:szCs w:val="17"/>
                <w:color w:val="auto"/>
              </w:rPr>
              <w:t>6,208</w:t>
            </w:r>
          </w:p>
        </w:tc>
        <w:tc>
          <w:tcPr>
            <w:tcW w:w="1200" w:type="dxa"/>
            <w:vAlign w:val="bottom"/>
          </w:tcPr>
          <w:p>
            <w:pPr>
              <w:jc w:val="right"/>
              <w:ind w:right="214"/>
              <w:spacing w:after="0"/>
              <w:rPr>
                <w:sz w:val="20"/>
                <w:szCs w:val="20"/>
                <w:color w:val="auto"/>
              </w:rPr>
            </w:pPr>
            <w:r>
              <w:rPr>
                <w:rFonts w:ascii="Arial" w:cs="Arial" w:eastAsia="Arial" w:hAnsi="Arial"/>
                <w:sz w:val="17"/>
                <w:szCs w:val="17"/>
                <w:color w:val="auto"/>
              </w:rPr>
              <w:t>91,949</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113,652</w:t>
            </w:r>
          </w:p>
        </w:tc>
      </w:tr>
      <w:tr>
        <w:trPr>
          <w:trHeight w:val="214"/>
        </w:trPr>
        <w:tc>
          <w:tcPr>
            <w:tcW w:w="4140" w:type="dxa"/>
            <w:vAlign w:val="bottom"/>
            <w:shd w:val="clear" w:color="auto" w:fill="E5FFFF"/>
          </w:tcPr>
          <w:p>
            <w:pPr>
              <w:spacing w:after="0"/>
              <w:rPr>
                <w:sz w:val="20"/>
                <w:szCs w:val="20"/>
                <w:color w:val="auto"/>
              </w:rPr>
            </w:pPr>
            <w:r>
              <w:rPr>
                <w:rFonts w:ascii="Arial" w:cs="Arial" w:eastAsia="Arial" w:hAnsi="Arial"/>
                <w:sz w:val="17"/>
                <w:szCs w:val="17"/>
                <w:color w:val="auto"/>
                <w:w w:val="98"/>
              </w:rPr>
              <w:t>Percentage of total contracted days/total available days</w:t>
            </w:r>
          </w:p>
        </w:tc>
        <w:tc>
          <w:tcPr>
            <w:tcW w:w="1080" w:type="dxa"/>
            <w:vAlign w:val="bottom"/>
            <w:gridSpan w:val="2"/>
            <w:shd w:val="clear" w:color="auto" w:fill="E5FFFF"/>
          </w:tcPr>
          <w:p>
            <w:pPr>
              <w:jc w:val="right"/>
              <w:ind w:right="20"/>
              <w:spacing w:after="0"/>
              <w:rPr>
                <w:sz w:val="20"/>
                <w:szCs w:val="20"/>
                <w:color w:val="auto"/>
              </w:rPr>
            </w:pPr>
            <w:r>
              <w:rPr>
                <w:rFonts w:ascii="Arial" w:cs="Arial" w:eastAsia="Arial" w:hAnsi="Arial"/>
                <w:sz w:val="17"/>
                <w:szCs w:val="17"/>
                <w:color w:val="auto"/>
              </w:rPr>
              <w:t>81.7%</w:t>
            </w:r>
          </w:p>
        </w:tc>
        <w:tc>
          <w:tcPr>
            <w:tcW w:w="122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67.8%</w:t>
            </w:r>
          </w:p>
        </w:tc>
        <w:tc>
          <w:tcPr>
            <w:tcW w:w="112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57.0%</w:t>
            </w:r>
          </w:p>
        </w:tc>
        <w:tc>
          <w:tcPr>
            <w:tcW w:w="1120" w:type="dxa"/>
            <w:vAlign w:val="bottom"/>
            <w:shd w:val="clear" w:color="auto" w:fill="E5FFFF"/>
          </w:tcPr>
          <w:p>
            <w:pPr>
              <w:jc w:val="right"/>
              <w:ind w:right="94"/>
              <w:spacing w:after="0"/>
              <w:rPr>
                <w:sz w:val="20"/>
                <w:szCs w:val="20"/>
                <w:color w:val="auto"/>
              </w:rPr>
            </w:pPr>
            <w:r>
              <w:rPr>
                <w:rFonts w:ascii="Arial" w:cs="Arial" w:eastAsia="Arial" w:hAnsi="Arial"/>
                <w:sz w:val="17"/>
                <w:szCs w:val="17"/>
                <w:color w:val="auto"/>
              </w:rPr>
              <w:t>54.0%</w:t>
            </w:r>
          </w:p>
        </w:tc>
        <w:tc>
          <w:tcPr>
            <w:tcW w:w="1160" w:type="dxa"/>
            <w:vAlign w:val="bottom"/>
            <w:shd w:val="clear" w:color="auto" w:fill="E5FFFF"/>
          </w:tcPr>
          <w:p>
            <w:pPr>
              <w:jc w:val="right"/>
              <w:ind w:right="114"/>
              <w:spacing w:after="0"/>
              <w:rPr>
                <w:sz w:val="20"/>
                <w:szCs w:val="20"/>
                <w:color w:val="auto"/>
              </w:rPr>
            </w:pPr>
            <w:r>
              <w:rPr>
                <w:rFonts w:ascii="Arial" w:cs="Arial" w:eastAsia="Arial" w:hAnsi="Arial"/>
                <w:sz w:val="17"/>
                <w:szCs w:val="17"/>
                <w:color w:val="auto"/>
              </w:rPr>
              <w:t>50.5%</w:t>
            </w:r>
          </w:p>
        </w:tc>
        <w:tc>
          <w:tcPr>
            <w:tcW w:w="1200" w:type="dxa"/>
            <w:vAlign w:val="bottom"/>
            <w:shd w:val="clear" w:color="auto" w:fill="E5FFFF"/>
          </w:tcPr>
          <w:p>
            <w:pPr>
              <w:jc w:val="right"/>
              <w:ind w:right="74"/>
              <w:spacing w:after="0"/>
              <w:rPr>
                <w:sz w:val="20"/>
                <w:szCs w:val="20"/>
                <w:color w:val="auto"/>
              </w:rPr>
            </w:pPr>
            <w:r>
              <w:rPr>
                <w:rFonts w:ascii="Arial" w:cs="Arial" w:eastAsia="Arial" w:hAnsi="Arial"/>
                <w:sz w:val="17"/>
                <w:szCs w:val="17"/>
                <w:color w:val="auto"/>
              </w:rPr>
              <w:t>18.8%</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31.7%</w:t>
            </w:r>
          </w:p>
        </w:tc>
      </w:tr>
    </w:tbl>
    <w:p>
      <w:pPr>
        <w:spacing w:after="0" w:line="48" w:lineRule="exact"/>
        <w:rPr>
          <w:sz w:val="20"/>
          <w:szCs w:val="20"/>
          <w:color w:val="auto"/>
        </w:rPr>
      </w:pPr>
    </w:p>
    <w:p>
      <w:pPr>
        <w:ind w:left="6"/>
        <w:spacing w:after="0"/>
        <w:rPr>
          <w:sz w:val="20"/>
          <w:szCs w:val="20"/>
          <w:color w:val="auto"/>
        </w:rPr>
      </w:pPr>
      <w:r>
        <w:rPr>
          <w:rFonts w:ascii="Arial" w:cs="Arial" w:eastAsia="Arial" w:hAnsi="Arial"/>
          <w:sz w:val="23"/>
          <w:szCs w:val="23"/>
          <w:color w:val="auto"/>
        </w:rPr>
        <w:t>____________</w:t>
      </w:r>
    </w:p>
    <w:p>
      <w:pPr>
        <w:spacing w:after="0" w:line="225" w:lineRule="exact"/>
        <w:rPr>
          <w:sz w:val="20"/>
          <w:szCs w:val="20"/>
          <w:color w:val="auto"/>
        </w:rPr>
      </w:pPr>
    </w:p>
    <w:p>
      <w:pPr>
        <w:ind w:left="206" w:right="40" w:hanging="206"/>
        <w:spacing w:after="0" w:line="239" w:lineRule="auto"/>
        <w:tabs>
          <w:tab w:leader="none" w:pos="197"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 xml:space="preserve">Reflects time charter revenues and contracted days for eight of our currently wholly owned ships, the 15 ships currently owned by the Partnership, the bareboat vessel and the seven newbuildings on order for which we have secured time charters. Does not include charter revenues for four of our vessels operating in the spot market and the </w:t>
      </w:r>
      <w:r>
        <w:rPr>
          <w:rFonts w:ascii="Arial" w:cs="Arial" w:eastAsia="Arial" w:hAnsi="Arial"/>
          <w:sz w:val="13"/>
          <w:szCs w:val="13"/>
          <w:i w:val="1"/>
          <w:iCs w:val="1"/>
          <w:color w:val="auto"/>
        </w:rPr>
        <w:t>Methane Nile Eagle</w:t>
      </w:r>
      <w:r>
        <w:rPr>
          <w:rFonts w:ascii="Arial" w:cs="Arial" w:eastAsia="Arial" w:hAnsi="Arial"/>
          <w:sz w:val="13"/>
          <w:szCs w:val="13"/>
          <w:color w:val="auto"/>
        </w:rPr>
        <w:t>, in which we hold a 25% minority interest. Contracted revenue calculations assume: (a) 365 revenue days per annum, with 30 off-hire days when the ship undergoes scheduled dry-docking (every five years);</w:t>
      </w:r>
    </w:p>
    <w:p>
      <w:pPr>
        <w:spacing w:after="0" w:line="1" w:lineRule="exact"/>
        <w:rPr>
          <w:rFonts w:ascii="Arial" w:cs="Arial" w:eastAsia="Arial" w:hAnsi="Arial"/>
          <w:sz w:val="16"/>
          <w:szCs w:val="16"/>
          <w:color w:val="auto"/>
          <w:vertAlign w:val="superscript"/>
        </w:rPr>
      </w:pPr>
    </w:p>
    <w:p>
      <w:pPr>
        <w:ind w:left="206" w:hanging="1"/>
        <w:spacing w:after="0" w:line="224" w:lineRule="auto"/>
        <w:tabs>
          <w:tab w:leader="none" w:pos="421" w:val="left"/>
        </w:tabs>
        <w:numPr>
          <w:ilvl w:val="1"/>
          <w:numId w:val="11"/>
        </w:numPr>
        <w:rPr>
          <w:rFonts w:ascii="Arial" w:cs="Arial" w:eastAsia="Arial" w:hAnsi="Arial"/>
          <w:sz w:val="15"/>
          <w:szCs w:val="15"/>
          <w:color w:val="auto"/>
        </w:rPr>
      </w:pPr>
      <w:r>
        <w:rPr>
          <w:rFonts w:ascii="Arial" w:cs="Arial" w:eastAsia="Arial" w:hAnsi="Arial"/>
          <w:sz w:val="15"/>
          <w:szCs w:val="15"/>
          <w:color w:val="auto"/>
        </w:rPr>
        <w:t>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168" w:lineRule="exact"/>
        <w:rPr>
          <w:rFonts w:ascii="Arial" w:cs="Arial" w:eastAsia="Arial" w:hAnsi="Arial"/>
          <w:sz w:val="15"/>
          <w:szCs w:val="15"/>
          <w:color w:val="auto"/>
        </w:rPr>
      </w:pPr>
    </w:p>
    <w:p>
      <w:pPr>
        <w:ind w:left="206" w:hanging="206"/>
        <w:spacing w:after="0"/>
        <w:tabs>
          <w:tab w:leader="none" w:pos="206"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 xml:space="preserve">Does not include charter revenues for 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time charter agreement with Cheniere that was signed in July 2019.</w:t>
      </w:r>
    </w:p>
    <w:p>
      <w:pPr>
        <w:spacing w:after="0" w:line="193" w:lineRule="exact"/>
        <w:rPr>
          <w:rFonts w:ascii="Arial" w:cs="Arial" w:eastAsia="Arial" w:hAnsi="Arial"/>
          <w:sz w:val="19"/>
          <w:szCs w:val="19"/>
          <w:color w:val="auto"/>
          <w:vertAlign w:val="superscript"/>
        </w:rPr>
      </w:pPr>
    </w:p>
    <w:p>
      <w:pPr>
        <w:ind w:left="206" w:right="140" w:hanging="206"/>
        <w:spacing w:after="0" w:line="213" w:lineRule="auto"/>
        <w:tabs>
          <w:tab w:leader="none" w:pos="197"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Available days represent total calendar days after deducting 30 off-hire days when the ship undergoes scheduled dry-docking. The available days for the vessels operating in the spot/short-term market are included.</w:t>
      </w:r>
    </w:p>
    <w:p>
      <w:pPr>
        <w:spacing w:after="0" w:line="194" w:lineRule="exact"/>
        <w:rPr>
          <w:rFonts w:ascii="Arial" w:cs="Arial" w:eastAsia="Arial" w:hAnsi="Arial"/>
          <w:sz w:val="19"/>
          <w:szCs w:val="19"/>
          <w:color w:val="auto"/>
          <w:vertAlign w:val="superscript"/>
        </w:rPr>
      </w:pPr>
    </w:p>
    <w:p>
      <w:pPr>
        <w:ind w:left="206" w:right="120" w:hanging="206"/>
        <w:spacing w:after="0" w:line="213" w:lineRule="auto"/>
        <w:tabs>
          <w:tab w:leader="none" w:pos="197"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200" w:lineRule="exact"/>
        <w:rPr>
          <w:sz w:val="20"/>
          <w:szCs w:val="20"/>
          <w:color w:val="auto"/>
        </w:rPr>
      </w:pPr>
    </w:p>
    <w:p>
      <w:pPr>
        <w:spacing w:after="0" w:line="233" w:lineRule="exact"/>
        <w:rPr>
          <w:sz w:val="20"/>
          <w:szCs w:val="20"/>
          <w:color w:val="auto"/>
        </w:rPr>
      </w:pPr>
    </w:p>
    <w:p>
      <w:pPr>
        <w:ind w:left="6" w:firstLine="376"/>
        <w:spacing w:after="0" w:line="301" w:lineRule="auto"/>
        <w:rPr>
          <w:sz w:val="20"/>
          <w:szCs w:val="20"/>
          <w:color w:val="auto"/>
        </w:rPr>
      </w:pPr>
      <w:r>
        <w:rPr>
          <w:rFonts w:ascii="Arial" w:cs="Arial" w:eastAsia="Arial" w:hAnsi="Arial"/>
          <w:sz w:val="15"/>
          <w:szCs w:val="15"/>
          <w:color w:val="auto"/>
        </w:rPr>
        <w:t>Other than the assumptions reflected in the footnotes to the table, including our assumption that our newbuildings are delivered on schedule, the table does not reflect events occurring after June 30, 2019.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the four of our vessels that are operating in the spot term market, any additional ships we may acquire in the future, nor does it reflect the options under our time charters that permit our charterers to extend the time charter terms for successive multi-year periods. The entry into time charter contracts for the four vessels that are operating in the spot term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5, 2019.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Significant Accounting Policies</w:t>
      </w:r>
    </w:p>
    <w:p>
      <w:pPr>
        <w:spacing w:after="0" w:line="253" w:lineRule="exact"/>
        <w:rPr>
          <w:sz w:val="20"/>
          <w:szCs w:val="20"/>
          <w:color w:val="auto"/>
        </w:rPr>
      </w:pPr>
    </w:p>
    <w:p>
      <w:pPr>
        <w:ind w:left="6" w:right="500" w:firstLine="376"/>
        <w:spacing w:after="0" w:line="321" w:lineRule="auto"/>
        <w:rPr>
          <w:sz w:val="20"/>
          <w:szCs w:val="20"/>
          <w:color w:val="auto"/>
        </w:rPr>
      </w:pPr>
      <w:r>
        <w:rPr>
          <w:rFonts w:ascii="Arial" w:cs="Arial" w:eastAsia="Arial" w:hAnsi="Arial"/>
          <w:sz w:val="16"/>
          <w:szCs w:val="16"/>
          <w:color w:val="auto"/>
        </w:rPr>
        <w:t>For a description of all of our significant accounting policies, see Note 2 of our annual audited consolidated financial statements included in our Annual Report on Form 20-F filed on March 5, 2019 and Note 2 of our unaudited condensed consolidated financial statements included elsewhere in this report.</w:t>
      </w:r>
    </w:p>
    <w:p>
      <w:pPr>
        <w:spacing w:after="0" w:line="154" w:lineRule="exact"/>
        <w:rPr>
          <w:sz w:val="20"/>
          <w:szCs w:val="20"/>
          <w:color w:val="auto"/>
        </w:rPr>
      </w:pPr>
    </w:p>
    <w:p>
      <w:pPr>
        <w:jc w:val="center"/>
        <w:ind w:right="-5"/>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646670" cy="31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8" w:right="120"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7"/>
          <w:szCs w:val="17"/>
          <w:b w:val="1"/>
          <w:bCs w:val="1"/>
          <w:color w:val="auto"/>
        </w:rPr>
        <w:t>GASLOG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UNAUDITED CONDENSED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600" w:type="dxa"/>
            <w:vAlign w:val="bottom"/>
            <w:tcBorders>
              <w:bottom w:val="single" w:sz="8" w:color="0000FF"/>
            </w:tcBorders>
            <w:gridSpan w:val="3"/>
            <w:shd w:val="clear" w:color="auto" w:fill="E5FFFF"/>
          </w:tcPr>
          <w:p>
            <w:pPr>
              <w:spacing w:after="0" w:line="172" w:lineRule="exact"/>
              <w:rPr>
                <w:sz w:val="20"/>
                <w:szCs w:val="20"/>
                <w:color w:val="auto"/>
              </w:rPr>
            </w:pPr>
            <w:r>
              <w:rPr>
                <w:rFonts w:ascii="Arial" w:cs="Arial" w:eastAsia="Arial" w:hAnsi="Arial"/>
                <w:sz w:val="17"/>
                <w:szCs w:val="17"/>
                <w:color w:val="0000FF"/>
                <w:w w:val="89"/>
              </w:rPr>
              <w:t>Unaudited condensed consolidated statements of financial position as of December 31, 2018 and June 30, 2019</w:t>
            </w:r>
          </w:p>
        </w:tc>
        <w:tc>
          <w:tcPr>
            <w:tcW w:w="3420" w:type="dxa"/>
            <w:vAlign w:val="bottom"/>
            <w:tcBorders>
              <w:bottom w:val="single" w:sz="8" w:color="E5FFFF"/>
            </w:tcBorders>
            <w:gridSpan w:val="4"/>
            <w:shd w:val="clear" w:color="auto" w:fill="E5FFFF"/>
          </w:tcPr>
          <w:p>
            <w:pPr>
              <w:spacing w:after="0"/>
              <w:rPr>
                <w:sz w:val="16"/>
                <w:szCs w:val="16"/>
                <w:color w:val="auto"/>
              </w:rPr>
            </w:pPr>
          </w:p>
        </w:tc>
        <w:tc>
          <w:tcPr>
            <w:tcW w:w="960" w:type="dxa"/>
            <w:vAlign w:val="bottom"/>
            <w:tcBorders>
              <w:bottom w:val="single" w:sz="8" w:color="E5FFFF"/>
            </w:tcBorders>
            <w:shd w:val="clear" w:color="auto" w:fill="E5FFFF"/>
          </w:tcPr>
          <w:p>
            <w:pPr>
              <w:jc w:val="center"/>
              <w:spacing w:after="0" w:line="172" w:lineRule="exact"/>
              <w:rPr>
                <w:sz w:val="20"/>
                <w:szCs w:val="20"/>
                <w:color w:val="auto"/>
              </w:rPr>
            </w:pPr>
            <w:r>
              <w:rPr>
                <w:rFonts w:ascii="Arial" w:cs="Arial" w:eastAsia="Arial" w:hAnsi="Arial"/>
                <w:sz w:val="17"/>
                <w:szCs w:val="17"/>
                <w:color w:val="auto"/>
                <w:w w:val="93"/>
              </w:rPr>
              <w:t>F-2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20" w:type="dxa"/>
            <w:vAlign w:val="bottom"/>
            <w:gridSpan w:val="7"/>
          </w:tcPr>
          <w:p>
            <w:pPr>
              <w:spacing w:after="0" w:line="172" w:lineRule="exact"/>
              <w:rPr>
                <w:sz w:val="20"/>
                <w:szCs w:val="20"/>
                <w:color w:val="auto"/>
              </w:rPr>
            </w:pPr>
            <w:r>
              <w:rPr>
                <w:rFonts w:ascii="Arial" w:cs="Arial" w:eastAsia="Arial" w:hAnsi="Arial"/>
                <w:sz w:val="17"/>
                <w:szCs w:val="17"/>
                <w:color w:val="0000FF"/>
              </w:rPr>
              <w:t>Unaudited condensed consolidated statements of profit or loss for the three and six months ended June 30, 2018 and 2019</w:t>
            </w:r>
          </w:p>
        </w:tc>
        <w:tc>
          <w:tcPr>
            <w:tcW w:w="960" w:type="dxa"/>
            <w:vAlign w:val="bottom"/>
          </w:tcPr>
          <w:p>
            <w:pPr>
              <w:jc w:val="center"/>
              <w:spacing w:after="0" w:line="172" w:lineRule="exact"/>
              <w:rPr>
                <w:sz w:val="20"/>
                <w:szCs w:val="20"/>
                <w:color w:val="auto"/>
              </w:rPr>
            </w:pPr>
            <w:r>
              <w:rPr>
                <w:rFonts w:ascii="Arial" w:cs="Arial" w:eastAsia="Arial" w:hAnsi="Arial"/>
                <w:sz w:val="17"/>
                <w:szCs w:val="17"/>
                <w:color w:val="auto"/>
                <w:w w:val="93"/>
              </w:rPr>
              <w:t>F-3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00" w:type="dxa"/>
            <w:vAlign w:val="bottom"/>
            <w:tcBorders>
              <w:top w:val="single" w:sz="8" w:color="0000FF"/>
            </w:tcBorders>
          </w:tcPr>
          <w:p>
            <w:pPr>
              <w:spacing w:after="0" w:line="20" w:lineRule="exact"/>
              <w:rPr>
                <w:sz w:val="1"/>
                <w:szCs w:val="1"/>
                <w:color w:val="auto"/>
              </w:rPr>
            </w:pPr>
          </w:p>
        </w:tc>
        <w:tc>
          <w:tcPr>
            <w:tcW w:w="28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9520" w:type="dxa"/>
            <w:vAlign w:val="bottom"/>
            <w:tcBorders>
              <w:bottom w:val="single" w:sz="8" w:color="0000FF"/>
            </w:tcBorders>
            <w:gridSpan w:val="6"/>
            <w:shd w:val="clear" w:color="auto" w:fill="E5FFFF"/>
          </w:tcPr>
          <w:p>
            <w:pPr>
              <w:spacing w:after="0" w:line="172" w:lineRule="exact"/>
              <w:rPr>
                <w:sz w:val="20"/>
                <w:szCs w:val="20"/>
                <w:color w:val="auto"/>
              </w:rPr>
            </w:pPr>
            <w:r>
              <w:rPr>
                <w:rFonts w:ascii="Arial" w:cs="Arial" w:eastAsia="Arial" w:hAnsi="Arial"/>
                <w:sz w:val="17"/>
                <w:szCs w:val="17"/>
                <w:color w:val="0000FF"/>
                <w:w w:val="89"/>
              </w:rPr>
              <w:t>Unaudited condensed consolidated statements of comprehensive income or loss for the three and six months ended June 30, 2018 and 2019</w:t>
            </w:r>
          </w:p>
        </w:tc>
        <w:tc>
          <w:tcPr>
            <w:tcW w:w="1500" w:type="dxa"/>
            <w:vAlign w:val="bottom"/>
            <w:tcBorders>
              <w:bottom w:val="single" w:sz="8" w:color="E5FFFF"/>
            </w:tcBorders>
            <w:shd w:val="clear" w:color="auto" w:fill="E5FFFF"/>
          </w:tcPr>
          <w:p>
            <w:pPr>
              <w:spacing w:after="0"/>
              <w:rPr>
                <w:sz w:val="16"/>
                <w:szCs w:val="16"/>
                <w:color w:val="auto"/>
              </w:rPr>
            </w:pPr>
          </w:p>
        </w:tc>
        <w:tc>
          <w:tcPr>
            <w:tcW w:w="960" w:type="dxa"/>
            <w:vAlign w:val="bottom"/>
            <w:tcBorders>
              <w:bottom w:val="single" w:sz="8" w:color="E5FFFF"/>
            </w:tcBorders>
            <w:shd w:val="clear" w:color="auto" w:fill="E5FFFF"/>
          </w:tcPr>
          <w:p>
            <w:pPr>
              <w:jc w:val="center"/>
              <w:spacing w:after="0" w:line="172" w:lineRule="exact"/>
              <w:rPr>
                <w:sz w:val="20"/>
                <w:szCs w:val="20"/>
                <w:color w:val="auto"/>
              </w:rPr>
            </w:pPr>
            <w:r>
              <w:rPr>
                <w:rFonts w:ascii="Arial" w:cs="Arial" w:eastAsia="Arial" w:hAnsi="Arial"/>
                <w:sz w:val="17"/>
                <w:szCs w:val="17"/>
                <w:color w:val="auto"/>
                <w:w w:val="93"/>
              </w:rPr>
              <w:t>F-4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20" w:type="dxa"/>
            <w:vAlign w:val="bottom"/>
            <w:gridSpan w:val="7"/>
          </w:tcPr>
          <w:p>
            <w:pPr>
              <w:spacing w:after="0" w:line="172" w:lineRule="exact"/>
              <w:rPr>
                <w:sz w:val="20"/>
                <w:szCs w:val="20"/>
                <w:color w:val="auto"/>
              </w:rPr>
            </w:pPr>
            <w:r>
              <w:rPr>
                <w:rFonts w:ascii="Arial" w:cs="Arial" w:eastAsia="Arial" w:hAnsi="Arial"/>
                <w:sz w:val="17"/>
                <w:szCs w:val="17"/>
                <w:color w:val="0000FF"/>
              </w:rPr>
              <w:t>Unaudited condensed consolidated statements of changes in equity for the six months ended June 30, 2018 and 2019</w:t>
            </w:r>
          </w:p>
        </w:tc>
        <w:tc>
          <w:tcPr>
            <w:tcW w:w="960" w:type="dxa"/>
            <w:vAlign w:val="bottom"/>
          </w:tcPr>
          <w:p>
            <w:pPr>
              <w:jc w:val="center"/>
              <w:spacing w:after="0" w:line="172" w:lineRule="exact"/>
              <w:rPr>
                <w:sz w:val="20"/>
                <w:szCs w:val="20"/>
                <w:color w:val="auto"/>
              </w:rPr>
            </w:pPr>
            <w:r>
              <w:rPr>
                <w:rFonts w:ascii="Arial" w:cs="Arial" w:eastAsia="Arial" w:hAnsi="Arial"/>
                <w:sz w:val="17"/>
                <w:szCs w:val="17"/>
                <w:color w:val="auto"/>
                <w:w w:val="93"/>
              </w:rPr>
              <w:t>F-5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00" w:type="dxa"/>
            <w:vAlign w:val="bottom"/>
            <w:tcBorders>
              <w:top w:val="single" w:sz="8" w:color="0000FF"/>
            </w:tcBorders>
          </w:tcPr>
          <w:p>
            <w:pPr>
              <w:spacing w:after="0" w:line="20" w:lineRule="exact"/>
              <w:rPr>
                <w:sz w:val="1"/>
                <w:szCs w:val="1"/>
                <w:color w:val="auto"/>
              </w:rPr>
            </w:pPr>
          </w:p>
        </w:tc>
        <w:tc>
          <w:tcPr>
            <w:tcW w:w="28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1020" w:type="dxa"/>
            <w:vAlign w:val="bottom"/>
            <w:gridSpan w:val="7"/>
            <w:shd w:val="clear" w:color="auto" w:fill="E5FFFF"/>
          </w:tcPr>
          <w:p>
            <w:pPr>
              <w:spacing w:after="0" w:line="172" w:lineRule="exact"/>
              <w:rPr>
                <w:sz w:val="20"/>
                <w:szCs w:val="20"/>
                <w:color w:val="auto"/>
              </w:rPr>
            </w:pPr>
            <w:r>
              <w:rPr>
                <w:rFonts w:ascii="Arial" w:cs="Arial" w:eastAsia="Arial" w:hAnsi="Arial"/>
                <w:sz w:val="17"/>
                <w:szCs w:val="17"/>
                <w:color w:val="0000FF"/>
              </w:rPr>
              <w:t>Unaudited condensed consolidated statements of cash flows for the six months ended June 30, 2018 and 2019</w:t>
            </w:r>
          </w:p>
        </w:tc>
        <w:tc>
          <w:tcPr>
            <w:tcW w:w="960" w:type="dxa"/>
            <w:vAlign w:val="bottom"/>
            <w:shd w:val="clear" w:color="auto" w:fill="E5FFFF"/>
          </w:tcPr>
          <w:p>
            <w:pPr>
              <w:jc w:val="center"/>
              <w:spacing w:after="0" w:line="172" w:lineRule="exact"/>
              <w:rPr>
                <w:sz w:val="20"/>
                <w:szCs w:val="20"/>
                <w:color w:val="auto"/>
              </w:rPr>
            </w:pPr>
            <w:r>
              <w:rPr>
                <w:rFonts w:ascii="Arial" w:cs="Arial" w:eastAsia="Arial" w:hAnsi="Arial"/>
                <w:sz w:val="17"/>
                <w:szCs w:val="17"/>
                <w:color w:val="auto"/>
                <w:w w:val="93"/>
              </w:rPr>
              <w:t>F-6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top w:val="single" w:sz="8" w:color="0000FF"/>
            </w:tcBorders>
            <w:gridSpan w:val="2"/>
          </w:tcPr>
          <w:p>
            <w:pPr>
              <w:spacing w:after="0" w:line="172" w:lineRule="exact"/>
              <w:rPr>
                <w:sz w:val="20"/>
                <w:szCs w:val="20"/>
                <w:color w:val="auto"/>
              </w:rPr>
            </w:pPr>
            <w:r>
              <w:rPr>
                <w:rFonts w:ascii="Arial" w:cs="Arial" w:eastAsia="Arial" w:hAnsi="Arial"/>
                <w:sz w:val="17"/>
                <w:szCs w:val="17"/>
                <w:color w:val="0000FF"/>
              </w:rPr>
              <w:t>Notes to the unaudited condensed consolidated financial statements</w:t>
            </w:r>
          </w:p>
        </w:tc>
        <w:tc>
          <w:tcPr>
            <w:tcW w:w="3540" w:type="dxa"/>
            <w:vAlign w:val="bottom"/>
            <w:tcBorders>
              <w:top w:val="single" w:sz="8" w:color="E5FFFF"/>
            </w:tcBorders>
            <w:gridSpan w:val="5"/>
          </w:tcPr>
          <w:p>
            <w:pPr>
              <w:spacing w:after="0"/>
              <w:rPr>
                <w:sz w:val="14"/>
                <w:szCs w:val="14"/>
                <w:color w:val="auto"/>
              </w:rPr>
            </w:pPr>
          </w:p>
        </w:tc>
        <w:tc>
          <w:tcPr>
            <w:tcW w:w="960" w:type="dxa"/>
            <w:vAlign w:val="bottom"/>
            <w:tcBorders>
              <w:top w:val="single" w:sz="8" w:color="E5FFFF"/>
            </w:tcBorders>
          </w:tcPr>
          <w:p>
            <w:pPr>
              <w:jc w:val="center"/>
              <w:spacing w:after="0" w:line="172" w:lineRule="exact"/>
              <w:rPr>
                <w:sz w:val="20"/>
                <w:szCs w:val="20"/>
                <w:color w:val="auto"/>
              </w:rPr>
            </w:pPr>
            <w:r>
              <w:rPr>
                <w:rFonts w:ascii="Arial" w:cs="Arial" w:eastAsia="Arial" w:hAnsi="Arial"/>
                <w:sz w:val="17"/>
                <w:szCs w:val="17"/>
                <w:color w:val="auto"/>
                <w:w w:val="93"/>
              </w:rPr>
              <w:t>F-7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600" w:type="dxa"/>
            <w:vAlign w:val="bottom"/>
            <w:tcBorders>
              <w:top w:val="single" w:sz="8" w:color="0000FF"/>
            </w:tcBorders>
          </w:tcPr>
          <w:p>
            <w:pPr>
              <w:spacing w:after="0"/>
              <w:rPr>
                <w:sz w:val="24"/>
                <w:szCs w:val="24"/>
                <w:color w:val="auto"/>
              </w:rPr>
            </w:pPr>
          </w:p>
        </w:tc>
        <w:tc>
          <w:tcPr>
            <w:tcW w:w="6420" w:type="dxa"/>
            <w:vAlign w:val="bottom"/>
            <w:gridSpan w:val="6"/>
          </w:tcPr>
          <w:p>
            <w:pPr>
              <w:ind w:left="1260"/>
              <w:spacing w:after="0"/>
              <w:rPr>
                <w:sz w:val="20"/>
                <w:szCs w:val="20"/>
                <w:color w:val="auto"/>
              </w:rPr>
            </w:pPr>
            <w:r>
              <w:rPr>
                <w:rFonts w:ascii="Arial" w:cs="Arial" w:eastAsia="Arial" w:hAnsi="Arial"/>
                <w:sz w:val="17"/>
                <w:szCs w:val="17"/>
                <w:color w:val="auto"/>
              </w:rPr>
              <w:t>F-1</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808080"/>
            </w:tcBorders>
          </w:tcPr>
          <w:p>
            <w:pPr>
              <w:spacing w:after="0"/>
              <w:rPr>
                <w:sz w:val="12"/>
                <w:szCs w:val="12"/>
                <w:color w:val="auto"/>
              </w:rPr>
            </w:pPr>
          </w:p>
        </w:tc>
        <w:tc>
          <w:tcPr>
            <w:tcW w:w="4600" w:type="dxa"/>
            <w:vAlign w:val="bottom"/>
            <w:tcBorders>
              <w:bottom w:val="single" w:sz="8" w:color="808080"/>
            </w:tcBorders>
          </w:tcPr>
          <w:p>
            <w:pPr>
              <w:spacing w:after="0"/>
              <w:rPr>
                <w:sz w:val="12"/>
                <w:szCs w:val="12"/>
                <w:color w:val="auto"/>
              </w:rPr>
            </w:pPr>
          </w:p>
        </w:tc>
        <w:tc>
          <w:tcPr>
            <w:tcW w:w="28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22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2"/>
        </w:trPr>
        <w:tc>
          <w:tcPr>
            <w:tcW w:w="6980" w:type="dxa"/>
            <w:vAlign w:val="bottom"/>
          </w:tcPr>
          <w:p>
            <w:pPr>
              <w:spacing w:after="0"/>
              <w:rPr>
                <w:sz w:val="20"/>
                <w:szCs w:val="20"/>
                <w:color w:val="auto"/>
              </w:rPr>
            </w:pPr>
            <w:r>
              <w:rPr>
                <w:rFonts w:ascii="Arial" w:cs="Arial" w:eastAsia="Arial" w:hAnsi="Arial"/>
                <w:sz w:val="17"/>
                <w:szCs w:val="17"/>
                <w:b w:val="1"/>
                <w:bCs w:val="1"/>
                <w:color w:val="auto"/>
              </w:rPr>
              <w:t>GasLog Ltd. and its Subsidiaries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6980" w:type="dxa"/>
            <w:vAlign w:val="bottom"/>
          </w:tcPr>
          <w:p>
            <w:pPr>
              <w:spacing w:after="0"/>
              <w:rPr>
                <w:sz w:val="20"/>
                <w:szCs w:val="20"/>
                <w:color w:val="auto"/>
              </w:rPr>
            </w:pPr>
            <w:r>
              <w:rPr>
                <w:rFonts w:ascii="Arial" w:cs="Arial" w:eastAsia="Arial" w:hAnsi="Arial"/>
                <w:sz w:val="17"/>
                <w:szCs w:val="17"/>
                <w:b w:val="1"/>
                <w:bCs w:val="1"/>
                <w:color w:val="auto"/>
              </w:rPr>
              <w:t>Unaudited condensed consolidated statements of financial position</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b w:val="1"/>
                <w:bCs w:val="1"/>
                <w:color w:val="auto"/>
              </w:rPr>
              <w:t>As of December 31, 2018 and June 30, 2019</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7"/>
                <w:szCs w:val="17"/>
                <w:b w:val="1"/>
                <w:bCs w:val="1"/>
                <w:color w:val="auto"/>
              </w:rPr>
              <w:t>(Amounts expressed in thousands of U.S. Dollars)</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698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17"/>
                <w:szCs w:val="17"/>
                <w:b w:val="1"/>
                <w:bCs w:val="1"/>
                <w:color w:val="auto"/>
              </w:rPr>
              <w:t>Note</w:t>
            </w:r>
          </w:p>
        </w:tc>
        <w:tc>
          <w:tcPr>
            <w:tcW w:w="20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December 31, 2018</w:t>
            </w:r>
          </w:p>
        </w:tc>
        <w:tc>
          <w:tcPr>
            <w:tcW w:w="18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June 30, 2019</w:t>
            </w:r>
          </w:p>
        </w:tc>
        <w:tc>
          <w:tcPr>
            <w:tcW w:w="0" w:type="dxa"/>
            <w:vAlign w:val="bottom"/>
          </w:tcPr>
          <w:p>
            <w:pPr>
              <w:spacing w:after="0"/>
              <w:rPr>
                <w:sz w:val="1"/>
                <w:szCs w:val="1"/>
                <w:color w:val="auto"/>
              </w:rPr>
            </w:pPr>
          </w:p>
        </w:tc>
      </w:tr>
      <w:tr>
        <w:trPr>
          <w:trHeight w:val="200"/>
        </w:trPr>
        <w:tc>
          <w:tcPr>
            <w:tcW w:w="69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Assets</w:t>
            </w:r>
          </w:p>
        </w:tc>
        <w:tc>
          <w:tcPr>
            <w:tcW w:w="82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spacing w:after="0"/>
              <w:rPr>
                <w:sz w:val="17"/>
                <w:szCs w:val="17"/>
                <w:color w:val="auto"/>
              </w:rPr>
            </w:pPr>
          </w:p>
        </w:tc>
        <w:tc>
          <w:tcPr>
            <w:tcW w:w="300" w:type="dxa"/>
            <w:vAlign w:val="bottom"/>
            <w:tcBorders>
              <w:top w:val="single" w:sz="8" w:color="E5FFFF"/>
            </w:tcBorders>
            <w:shd w:val="clear" w:color="auto" w:fill="E5FFFF"/>
          </w:tcPr>
          <w:p>
            <w:pPr>
              <w:spacing w:after="0"/>
              <w:rPr>
                <w:sz w:val="17"/>
                <w:szCs w:val="17"/>
                <w:color w:val="auto"/>
              </w:rPr>
            </w:pPr>
          </w:p>
        </w:tc>
        <w:tc>
          <w:tcPr>
            <w:tcW w:w="174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b w:val="1"/>
                <w:bCs w:val="1"/>
                <w:color w:val="auto"/>
              </w:rPr>
              <w:t>Non-current 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Goodwill</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4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9,511</w:t>
            </w:r>
          </w:p>
        </w:tc>
        <w:tc>
          <w:tcPr>
            <w:tcW w:w="186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9,511</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Investment in associates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4</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20,713</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21,001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Deferred financing costs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4,576</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1,520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2,543</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24,028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15</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8,966</w:t>
            </w:r>
          </w:p>
        </w:tc>
        <w:tc>
          <w:tcPr>
            <w:tcW w:w="300" w:type="dxa"/>
            <w:vAlign w:val="bottom"/>
            <w:shd w:val="clear" w:color="auto" w:fill="E5FFFF"/>
          </w:tcPr>
          <w:p>
            <w:pPr>
              <w:spacing w:after="0"/>
              <w:rPr>
                <w:sz w:val="18"/>
                <w:szCs w:val="18"/>
                <w:color w:val="auto"/>
              </w:rPr>
            </w:pPr>
          </w:p>
        </w:tc>
        <w:tc>
          <w:tcPr>
            <w:tcW w:w="186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Tangible fixed assets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4,323,582</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4,465,279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Vessels under construction</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5</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159,275</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185,723</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Right-of-use assets</w:t>
            </w:r>
          </w:p>
        </w:tc>
        <w:tc>
          <w:tcPr>
            <w:tcW w:w="820" w:type="dxa"/>
            <w:vAlign w:val="bottom"/>
            <w:tcBorders>
              <w:bottom w:val="single" w:sz="8" w:color="E5FFFF"/>
            </w:tcBorders>
          </w:tcPr>
          <w:p>
            <w:pPr>
              <w:jc w:val="center"/>
              <w:spacing w:after="0"/>
              <w:rPr>
                <w:sz w:val="20"/>
                <w:szCs w:val="20"/>
                <w:color w:val="auto"/>
              </w:rPr>
            </w:pPr>
            <w:r>
              <w:rPr>
                <w:rFonts w:ascii="Arial" w:cs="Arial" w:eastAsia="Arial" w:hAnsi="Arial"/>
                <w:sz w:val="17"/>
                <w:szCs w:val="17"/>
                <w:color w:val="auto"/>
                <w:w w:val="84"/>
              </w:rPr>
              <w:t>6</w:t>
            </w: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206,753</w:t>
            </w: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210,606</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Total non-current assets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4,735,919</w:t>
            </w: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4,917,668</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980" w:type="dxa"/>
            <w:vAlign w:val="bottom"/>
          </w:tcPr>
          <w:p>
            <w:pPr>
              <w:spacing w:after="0" w:line="194" w:lineRule="exact"/>
              <w:rPr>
                <w:sz w:val="20"/>
                <w:szCs w:val="20"/>
                <w:color w:val="auto"/>
              </w:rPr>
            </w:pPr>
            <w:r>
              <w:rPr>
                <w:rFonts w:ascii="Arial" w:cs="Arial" w:eastAsia="Arial" w:hAnsi="Arial"/>
                <w:sz w:val="17"/>
                <w:szCs w:val="17"/>
                <w:b w:val="1"/>
                <w:bCs w:val="1"/>
                <w:color w:val="auto"/>
              </w:rPr>
              <w:t>Current assets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Trade and other receivables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20,244</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19,937</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Dividends receivable and other amounts due from related parties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8</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33,395</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9,789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15</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6,222</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452</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Inventories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7,753</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Prepayments and other current assets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3,680</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6,631</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Short-term investments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25,000</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Cash and cash equivalents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342,594</w:t>
            </w: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295,791</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current assets</w:t>
            </w:r>
          </w:p>
        </w:tc>
        <w:tc>
          <w:tcPr>
            <w:tcW w:w="820" w:type="dxa"/>
            <w:vAlign w:val="bottom"/>
            <w:tcBorders>
              <w:bottom w:val="single" w:sz="8" w:color="E5FFFF"/>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438,888</w:t>
            </w: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384,752</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assets</w:t>
            </w:r>
          </w:p>
        </w:tc>
        <w:tc>
          <w:tcPr>
            <w:tcW w:w="820" w:type="dxa"/>
            <w:vAlign w:val="bottom"/>
            <w:tcBorders>
              <w:bottom w:val="single" w:sz="8" w:color="E5FFFF"/>
            </w:tcBorders>
            <w:shd w:val="clear" w:color="auto" w:fill="E5FFFF"/>
          </w:tcPr>
          <w:p>
            <w:pPr>
              <w:spacing w:after="0"/>
              <w:rPr>
                <w:sz w:val="18"/>
                <w:szCs w:val="18"/>
                <w:color w:val="auto"/>
              </w:rPr>
            </w:pPr>
          </w:p>
        </w:tc>
        <w:tc>
          <w:tcPr>
            <w:tcW w:w="300" w:type="dxa"/>
            <w:vAlign w:val="bottom"/>
            <w:tcBorders>
              <w:bottom w:val="single" w:sz="8" w:color="E5FFFF"/>
            </w:tcBorders>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5,174,807</w:t>
            </w:r>
          </w:p>
        </w:tc>
        <w:tc>
          <w:tcPr>
            <w:tcW w:w="300" w:type="dxa"/>
            <w:vAlign w:val="bottom"/>
            <w:tcBorders>
              <w:bottom w:val="single" w:sz="8" w:color="E5FFFF"/>
            </w:tcBorders>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5,302,420</w:t>
            </w:r>
          </w:p>
        </w:tc>
        <w:tc>
          <w:tcPr>
            <w:tcW w:w="12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b w:val="1"/>
                <w:bCs w:val="1"/>
                <w:color w:val="auto"/>
              </w:rPr>
              <w:t>Equity and liabilities</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98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Equity</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Preference shares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13</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46</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Share capital</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13</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810</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810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Contributed surplus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13</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850,576</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820,707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Reserves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18,962</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14,174</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Treasury shares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13</w:t>
            </w:r>
          </w:p>
        </w:tc>
        <w:tc>
          <w:tcPr>
            <w:tcW w:w="300" w:type="dxa"/>
            <w:vAlign w:val="bottom"/>
          </w:tcPr>
          <w:p>
            <w:pPr>
              <w:spacing w:after="0"/>
              <w:rPr>
                <w:sz w:val="18"/>
                <w:szCs w:val="18"/>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7"/>
                <w:szCs w:val="17"/>
                <w:color w:val="auto"/>
              </w:rPr>
              <w:t>(3,266)</w:t>
            </w:r>
          </w:p>
        </w:tc>
        <w:tc>
          <w:tcPr>
            <w:tcW w:w="1860" w:type="dxa"/>
            <w:vAlign w:val="bottom"/>
            <w:gridSpan w:val="2"/>
          </w:tcPr>
          <w:p>
            <w:pPr>
              <w:jc w:val="right"/>
              <w:ind w:right="60"/>
              <w:spacing w:after="0"/>
              <w:rPr>
                <w:sz w:val="20"/>
                <w:szCs w:val="20"/>
                <w:color w:val="auto"/>
              </w:rPr>
            </w:pPr>
            <w:r>
              <w:rPr>
                <w:rFonts w:ascii="Arial" w:cs="Arial" w:eastAsia="Arial" w:hAnsi="Arial"/>
                <w:sz w:val="17"/>
                <w:szCs w:val="17"/>
                <w:color w:val="auto"/>
              </w:rPr>
              <w:t>(2,342)</w:t>
            </w: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Retained earnings/(Accumulated deficit)</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12,614</w:t>
            </w:r>
          </w:p>
        </w:tc>
        <w:tc>
          <w:tcPr>
            <w:tcW w:w="300" w:type="dxa"/>
            <w:vAlign w:val="bottom"/>
            <w:shd w:val="clear" w:color="auto" w:fill="E5FFFF"/>
          </w:tcPr>
          <w:p>
            <w:pPr>
              <w:spacing w:after="0"/>
              <w:rPr>
                <w:sz w:val="18"/>
                <w:szCs w:val="18"/>
                <w:color w:val="auto"/>
              </w:rPr>
            </w:pPr>
          </w:p>
        </w:tc>
        <w:tc>
          <w:tcPr>
            <w:tcW w:w="18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(24,116)</w:t>
            </w: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7"/>
                <w:szCs w:val="17"/>
                <w:b w:val="1"/>
                <w:bCs w:val="1"/>
                <w:color w:val="auto"/>
              </w:rPr>
              <w:t>Equity attributable to owners of the Group</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879,742</w:t>
            </w:r>
          </w:p>
        </w:tc>
        <w:tc>
          <w:tcPr>
            <w:tcW w:w="30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809,279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Non-controlling interests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1,103,380</w:t>
            </w: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1,073,189</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equity</w:t>
            </w:r>
          </w:p>
        </w:tc>
        <w:tc>
          <w:tcPr>
            <w:tcW w:w="820" w:type="dxa"/>
            <w:vAlign w:val="bottom"/>
            <w:tcBorders>
              <w:bottom w:val="single" w:sz="8" w:color="E5FFFF"/>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1,983,122</w:t>
            </w: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1,882,468</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E5FFFF"/>
          </w:tcPr>
          <w:p>
            <w:pPr>
              <w:spacing w:after="0" w:line="194" w:lineRule="exact"/>
              <w:rPr>
                <w:sz w:val="20"/>
                <w:szCs w:val="20"/>
                <w:color w:val="auto"/>
              </w:rPr>
            </w:pPr>
            <w:r>
              <w:rPr>
                <w:rFonts w:ascii="Arial" w:cs="Arial" w:eastAsia="Arial" w:hAnsi="Arial"/>
                <w:sz w:val="17"/>
                <w:szCs w:val="17"/>
                <w:b w:val="1"/>
                <w:bCs w:val="1"/>
                <w:color w:val="auto"/>
              </w:rPr>
              <w:t>Current liabilities</w:t>
            </w:r>
          </w:p>
        </w:tc>
        <w:tc>
          <w:tcPr>
            <w:tcW w:w="82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740" w:type="dxa"/>
            <w:vAlign w:val="bottom"/>
            <w:shd w:val="clear" w:color="auto" w:fill="E5FFFF"/>
          </w:tcPr>
          <w:p>
            <w:pPr>
              <w:spacing w:after="0"/>
              <w:rPr>
                <w:sz w:val="16"/>
                <w:szCs w:val="16"/>
                <w:color w:val="auto"/>
              </w:rPr>
            </w:pPr>
          </w:p>
        </w:tc>
        <w:tc>
          <w:tcPr>
            <w:tcW w:w="300" w:type="dxa"/>
            <w:vAlign w:val="bottom"/>
            <w:shd w:val="clear" w:color="auto" w:fill="E5FFFF"/>
          </w:tcPr>
          <w:p>
            <w:pPr>
              <w:spacing w:after="0"/>
              <w:rPr>
                <w:sz w:val="16"/>
                <w:szCs w:val="16"/>
                <w:color w:val="auto"/>
              </w:rPr>
            </w:pPr>
          </w:p>
        </w:tc>
        <w:tc>
          <w:tcPr>
            <w:tcW w:w="17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Trade accounts payable</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right"/>
              <w:ind w:right="300"/>
              <w:spacing w:after="0"/>
              <w:rPr>
                <w:sz w:val="20"/>
                <w:szCs w:val="20"/>
                <w:color w:val="auto"/>
              </w:rPr>
            </w:pPr>
            <w:r>
              <w:rPr>
                <w:rFonts w:ascii="Arial" w:cs="Arial" w:eastAsia="Arial" w:hAnsi="Arial"/>
                <w:sz w:val="17"/>
                <w:szCs w:val="17"/>
                <w:color w:val="auto"/>
              </w:rPr>
              <w:t>11,890</w:t>
            </w:r>
          </w:p>
        </w:tc>
        <w:tc>
          <w:tcPr>
            <w:tcW w:w="1740" w:type="dxa"/>
            <w:vAlign w:val="bottom"/>
          </w:tcPr>
          <w:p>
            <w:pPr>
              <w:jc w:val="right"/>
              <w:spacing w:after="0"/>
              <w:rPr>
                <w:sz w:val="20"/>
                <w:szCs w:val="20"/>
                <w:color w:val="auto"/>
              </w:rPr>
            </w:pPr>
            <w:r>
              <w:rPr>
                <w:rFonts w:ascii="Arial" w:cs="Arial" w:eastAsia="Arial" w:hAnsi="Arial"/>
                <w:sz w:val="17"/>
                <w:szCs w:val="17"/>
                <w:color w:val="auto"/>
              </w:rPr>
              <w:t>17,488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Ship management creditors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580</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782</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Amounts due to related parties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8</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169</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15</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2,091</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3,783</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Other payables and accruals</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12</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127,450</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79,052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Borrowings, current portion</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7</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520,550</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196,604</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Lease liability, current portion</w:t>
            </w:r>
          </w:p>
        </w:tc>
        <w:tc>
          <w:tcPr>
            <w:tcW w:w="820" w:type="dxa"/>
            <w:vAlign w:val="bottom"/>
            <w:tcBorders>
              <w:bottom w:val="single" w:sz="8" w:color="E5FFFF"/>
            </w:tcBorders>
          </w:tcPr>
          <w:p>
            <w:pPr>
              <w:jc w:val="center"/>
              <w:spacing w:after="0"/>
              <w:rPr>
                <w:sz w:val="20"/>
                <w:szCs w:val="20"/>
                <w:color w:val="auto"/>
              </w:rPr>
            </w:pPr>
            <w:r>
              <w:rPr>
                <w:rFonts w:ascii="Arial" w:cs="Arial" w:eastAsia="Arial" w:hAnsi="Arial"/>
                <w:sz w:val="17"/>
                <w:szCs w:val="17"/>
                <w:color w:val="auto"/>
                <w:w w:val="84"/>
              </w:rPr>
              <w:t>6</w:t>
            </w: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6,675</w:t>
            </w: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9,052</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Total current liabilities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669,405</w:t>
            </w: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306,840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980" w:type="dxa"/>
            <w:vAlign w:val="bottom"/>
          </w:tcPr>
          <w:p>
            <w:pPr>
              <w:spacing w:after="0" w:line="194" w:lineRule="exact"/>
              <w:rPr>
                <w:sz w:val="20"/>
                <w:szCs w:val="20"/>
                <w:color w:val="auto"/>
              </w:rPr>
            </w:pPr>
            <w:r>
              <w:rPr>
                <w:rFonts w:ascii="Arial" w:cs="Arial" w:eastAsia="Arial" w:hAnsi="Arial"/>
                <w:sz w:val="17"/>
                <w:szCs w:val="17"/>
                <w:b w:val="1"/>
                <w:bCs w:val="1"/>
                <w:color w:val="auto"/>
              </w:rPr>
              <w:t>Non-current liabilities</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15</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10,001</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46,062</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Arial" w:cs="Arial" w:eastAsia="Arial" w:hAnsi="Arial"/>
                <w:sz w:val="17"/>
                <w:szCs w:val="17"/>
                <w:color w:val="auto"/>
              </w:rPr>
              <w:t>Borrowings, non-current portion</w:t>
            </w:r>
          </w:p>
        </w:tc>
        <w:tc>
          <w:tcPr>
            <w:tcW w:w="82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2,307,909</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2,859,358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E5FFFF"/>
          </w:tcPr>
          <w:p>
            <w:pPr>
              <w:spacing w:after="0"/>
              <w:rPr>
                <w:sz w:val="20"/>
                <w:szCs w:val="20"/>
                <w:color w:val="auto"/>
              </w:rPr>
            </w:pPr>
            <w:r>
              <w:rPr>
                <w:rFonts w:ascii="Arial" w:cs="Arial" w:eastAsia="Arial" w:hAnsi="Arial"/>
                <w:sz w:val="17"/>
                <w:szCs w:val="17"/>
                <w:color w:val="auto"/>
              </w:rPr>
              <w:t>Lease liability, non-current portion</w:t>
            </w:r>
          </w:p>
        </w:tc>
        <w:tc>
          <w:tcPr>
            <w:tcW w:w="8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6</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199,424</w:t>
            </w:r>
          </w:p>
        </w:tc>
        <w:tc>
          <w:tcPr>
            <w:tcW w:w="300" w:type="dxa"/>
            <w:vAlign w:val="bottom"/>
            <w:shd w:val="clear" w:color="auto" w:fill="E5FFFF"/>
          </w:tcPr>
          <w:p>
            <w:pPr>
              <w:spacing w:after="0"/>
              <w:rPr>
                <w:sz w:val="18"/>
                <w:szCs w:val="18"/>
                <w:color w:val="auto"/>
              </w:rPr>
            </w:pPr>
          </w:p>
        </w:tc>
        <w:tc>
          <w:tcPr>
            <w:tcW w:w="17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200,585</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Other non-current liabilities</w:t>
            </w:r>
          </w:p>
        </w:tc>
        <w:tc>
          <w:tcPr>
            <w:tcW w:w="820" w:type="dxa"/>
            <w:vAlign w:val="bottom"/>
            <w:tcBorders>
              <w:bottom w:val="single" w:sz="8" w:color="E5FFFF"/>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4,946</w:t>
            </w:r>
          </w:p>
        </w:tc>
        <w:tc>
          <w:tcPr>
            <w:tcW w:w="300" w:type="dxa"/>
            <w:vAlign w:val="bottom"/>
            <w:tcBorders>
              <w:bottom w:val="single" w:sz="8" w:color="E5FF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7,107</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Total non-current liabilities</w:t>
            </w: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2,522,280</w:t>
            </w:r>
          </w:p>
        </w:tc>
        <w:tc>
          <w:tcPr>
            <w:tcW w:w="300" w:type="dxa"/>
            <w:vAlign w:val="bottom"/>
            <w:shd w:val="clear" w:color="auto" w:fill="E5FFFF"/>
          </w:tcPr>
          <w:p>
            <w:pPr>
              <w:spacing w:after="0"/>
              <w:rPr>
                <w:sz w:val="18"/>
                <w:szCs w:val="18"/>
                <w:color w:val="auto"/>
              </w:rPr>
            </w:pPr>
          </w:p>
        </w:tc>
        <w:tc>
          <w:tcPr>
            <w:tcW w:w="17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3,113,112</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tcPr>
          <w:p>
            <w:pPr>
              <w:spacing w:after="0"/>
              <w:rPr>
                <w:sz w:val="20"/>
                <w:szCs w:val="20"/>
                <w:color w:val="auto"/>
              </w:rPr>
            </w:pPr>
            <w:r>
              <w:rPr>
                <w:rFonts w:ascii="Arial" w:cs="Arial" w:eastAsia="Arial" w:hAnsi="Arial"/>
                <w:sz w:val="17"/>
                <w:szCs w:val="17"/>
                <w:b w:val="1"/>
                <w:bCs w:val="1"/>
                <w:color w:val="auto"/>
              </w:rPr>
              <w:t>Total equity and liabilities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5,174,807</w:t>
            </w:r>
          </w:p>
        </w:tc>
        <w:tc>
          <w:tcPr>
            <w:tcW w:w="3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5,302,420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GasLog Ltd. and its Subsidiaries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statements of profit or loss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and six months ended June 30, 2018 and 2019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640"/>
              <w:spacing w:after="0"/>
              <w:rPr>
                <w:sz w:val="20"/>
                <w:szCs w:val="20"/>
                <w:color w:val="auto"/>
              </w:rPr>
            </w:pPr>
            <w:r>
              <w:rPr>
                <w:rFonts w:ascii="Arial" w:cs="Arial" w:eastAsia="Arial" w:hAnsi="Arial"/>
                <w:sz w:val="17"/>
                <w:szCs w:val="17"/>
                <w:b w:val="1"/>
                <w:bCs w:val="1"/>
                <w:color w:val="auto"/>
              </w:rPr>
              <w:t>For the three months ended</w:t>
            </w:r>
          </w:p>
        </w:tc>
        <w:tc>
          <w:tcPr>
            <w:tcW w:w="2800" w:type="dxa"/>
            <w:vAlign w:val="bottom"/>
            <w:gridSpan w:val="4"/>
          </w:tcPr>
          <w:p>
            <w:pPr>
              <w:jc w:val="right"/>
              <w:ind w:right="460"/>
              <w:spacing w:after="0"/>
              <w:rPr>
                <w:sz w:val="20"/>
                <w:szCs w:val="20"/>
                <w:color w:val="auto"/>
              </w:rPr>
            </w:pPr>
            <w:r>
              <w:rPr>
                <w:rFonts w:ascii="Arial" w:cs="Arial" w:eastAsia="Arial" w:hAnsi="Arial"/>
                <w:sz w:val="17"/>
                <w:szCs w:val="17"/>
                <w:b w:val="1"/>
                <w:bCs w:val="1"/>
                <w:color w:val="auto"/>
              </w:rPr>
              <w:t>For the 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00" w:type="dxa"/>
            <w:vAlign w:val="bottom"/>
          </w:tcPr>
          <w:p>
            <w:pPr>
              <w:ind w:left="240"/>
              <w:spacing w:after="0"/>
              <w:rPr>
                <w:sz w:val="20"/>
                <w:szCs w:val="20"/>
                <w:color w:val="auto"/>
              </w:rPr>
            </w:pPr>
            <w:r>
              <w:rPr>
                <w:rFonts w:ascii="Arial" w:cs="Arial" w:eastAsia="Arial" w:hAnsi="Arial"/>
                <w:sz w:val="17"/>
                <w:szCs w:val="17"/>
                <w:b w:val="1"/>
                <w:bCs w:val="1"/>
                <w:color w:val="auto"/>
              </w:rPr>
              <w:t>Note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7"/>
              </w:rPr>
              <w:t>June 30, 2018</w:t>
            </w:r>
          </w:p>
        </w:tc>
        <w:tc>
          <w:tcPr>
            <w:tcW w:w="15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7"/>
              </w:rPr>
              <w:t>June 30, 2019</w:t>
            </w:r>
          </w:p>
        </w:tc>
        <w:tc>
          <w:tcPr>
            <w:tcW w:w="14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5"/>
              </w:rPr>
              <w:t>June 30, 2018</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7"/>
              </w:rPr>
              <w:t>June 30, 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Revenues</w:t>
            </w:r>
          </w:p>
        </w:tc>
        <w:tc>
          <w:tcPr>
            <w:tcW w:w="700" w:type="dxa"/>
            <w:vAlign w:val="bottom"/>
            <w:tcBorders>
              <w:top w:val="single" w:sz="8" w:color="auto"/>
            </w:tcBorders>
            <w:shd w:val="clear" w:color="auto" w:fill="E5FFFF"/>
          </w:tcPr>
          <w:p>
            <w:pPr>
              <w:jc w:val="center"/>
              <w:ind w:left="54"/>
              <w:spacing w:after="0"/>
              <w:rPr>
                <w:sz w:val="20"/>
                <w:szCs w:val="20"/>
                <w:color w:val="auto"/>
              </w:rPr>
            </w:pPr>
            <w:r>
              <w:rPr>
                <w:rFonts w:ascii="Arial" w:cs="Arial" w:eastAsia="Arial" w:hAnsi="Arial"/>
                <w:sz w:val="17"/>
                <w:szCs w:val="17"/>
                <w:color w:val="auto"/>
                <w:w w:val="84"/>
              </w:rPr>
              <w:t>9</w:t>
            </w:r>
          </w:p>
        </w:tc>
        <w:tc>
          <w:tcPr>
            <w:tcW w:w="14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132,824</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154,251</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271,302</w:t>
            </w:r>
          </w:p>
        </w:tc>
        <w:tc>
          <w:tcPr>
            <w:tcW w:w="28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320,798</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Net pool allocation</w:t>
            </w:r>
          </w:p>
        </w:tc>
        <w:tc>
          <w:tcPr>
            <w:tcW w:w="700" w:type="dxa"/>
            <w:vAlign w:val="bottom"/>
          </w:tcPr>
          <w:p>
            <w:pPr>
              <w:jc w:val="center"/>
              <w:ind w:left="54"/>
              <w:spacing w:after="0"/>
              <w:rPr>
                <w:sz w:val="20"/>
                <w:szCs w:val="20"/>
                <w:color w:val="auto"/>
              </w:rPr>
            </w:pPr>
            <w:r>
              <w:rPr>
                <w:rFonts w:ascii="Arial" w:cs="Arial" w:eastAsia="Arial" w:hAnsi="Arial"/>
                <w:sz w:val="17"/>
                <w:szCs w:val="17"/>
                <w:color w:val="auto"/>
                <w:w w:val="84"/>
              </w:rPr>
              <w:t>9</w:t>
            </w:r>
          </w:p>
        </w:tc>
        <w:tc>
          <w:tcPr>
            <w:tcW w:w="1940" w:type="dxa"/>
            <w:vAlign w:val="bottom"/>
            <w:gridSpan w:val="4"/>
          </w:tcPr>
          <w:p>
            <w:pPr>
              <w:jc w:val="right"/>
              <w:ind w:right="300"/>
              <w:spacing w:after="0"/>
              <w:rPr>
                <w:sz w:val="20"/>
                <w:szCs w:val="20"/>
                <w:color w:val="auto"/>
              </w:rPr>
            </w:pPr>
            <w:r>
              <w:rPr>
                <w:rFonts w:ascii="Arial" w:cs="Arial" w:eastAsia="Arial" w:hAnsi="Arial"/>
                <w:sz w:val="17"/>
                <w:szCs w:val="17"/>
                <w:color w:val="auto"/>
              </w:rPr>
              <w:t>6,958</w:t>
            </w:r>
          </w:p>
        </w:tc>
        <w:tc>
          <w:tcPr>
            <w:tcW w:w="1500" w:type="dxa"/>
            <w:vAlign w:val="bottom"/>
            <w:gridSpan w:val="2"/>
          </w:tcPr>
          <w:p>
            <w:pPr>
              <w:jc w:val="right"/>
              <w:ind w:right="300"/>
              <w:spacing w:after="0"/>
              <w:rPr>
                <w:sz w:val="20"/>
                <w:szCs w:val="20"/>
                <w:color w:val="auto"/>
              </w:rPr>
            </w:pPr>
            <w:r>
              <w:rPr>
                <w:rFonts w:ascii="Arial" w:cs="Arial" w:eastAsia="Arial" w:hAnsi="Arial"/>
                <w:sz w:val="17"/>
                <w:szCs w:val="17"/>
                <w:color w:val="auto"/>
              </w:rPr>
              <w:t>2,658</w:t>
            </w:r>
          </w:p>
        </w:tc>
        <w:tc>
          <w:tcPr>
            <w:tcW w:w="1480" w:type="dxa"/>
            <w:vAlign w:val="bottom"/>
            <w:gridSpan w:val="2"/>
          </w:tcPr>
          <w:p>
            <w:pPr>
              <w:jc w:val="right"/>
              <w:ind w:right="280"/>
              <w:spacing w:after="0"/>
              <w:rPr>
                <w:sz w:val="20"/>
                <w:szCs w:val="20"/>
                <w:color w:val="auto"/>
              </w:rPr>
            </w:pPr>
            <w:r>
              <w:rPr>
                <w:rFonts w:ascii="Arial" w:cs="Arial" w:eastAsia="Arial" w:hAnsi="Arial"/>
                <w:sz w:val="17"/>
                <w:szCs w:val="17"/>
                <w:color w:val="auto"/>
              </w:rPr>
              <w:t>15,611</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(4,080)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7"/>
                <w:szCs w:val="17"/>
                <w:color w:val="auto"/>
              </w:rPr>
              <w:t>Voyage expenses and commissions</w:t>
            </w:r>
          </w:p>
        </w:tc>
        <w:tc>
          <w:tcPr>
            <w:tcW w:w="700" w:type="dxa"/>
            <w:vAlign w:val="bottom"/>
            <w:shd w:val="clear" w:color="auto" w:fill="E5FFFF"/>
          </w:tcPr>
          <w:p>
            <w:pPr>
              <w:spacing w:after="0"/>
              <w:rPr>
                <w:sz w:val="18"/>
                <w:szCs w:val="18"/>
                <w:color w:val="auto"/>
              </w:rPr>
            </w:pPr>
          </w:p>
        </w:tc>
        <w:tc>
          <w:tcPr>
            <w:tcW w:w="1940" w:type="dxa"/>
            <w:vAlign w:val="bottom"/>
            <w:gridSpan w:val="4"/>
            <w:shd w:val="clear" w:color="auto" w:fill="E5FFFF"/>
          </w:tcPr>
          <w:p>
            <w:pPr>
              <w:jc w:val="right"/>
              <w:ind w:right="240"/>
              <w:spacing w:after="0"/>
              <w:rPr>
                <w:sz w:val="20"/>
                <w:szCs w:val="20"/>
                <w:color w:val="auto"/>
              </w:rPr>
            </w:pPr>
            <w:r>
              <w:rPr>
                <w:rFonts w:ascii="Arial" w:cs="Arial" w:eastAsia="Arial" w:hAnsi="Arial"/>
                <w:sz w:val="17"/>
                <w:szCs w:val="17"/>
                <w:color w:val="auto"/>
              </w:rPr>
              <w:t>(4,634)</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(5,867)</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(9,915)</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(12,784)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Vessel operating and supervision costs</w:t>
            </w:r>
          </w:p>
        </w:tc>
        <w:tc>
          <w:tcPr>
            <w:tcW w:w="700" w:type="dxa"/>
            <w:vAlign w:val="bottom"/>
          </w:tcPr>
          <w:p>
            <w:pPr>
              <w:jc w:val="center"/>
              <w:ind w:left="54"/>
              <w:spacing w:after="0"/>
              <w:rPr>
                <w:sz w:val="20"/>
                <w:szCs w:val="20"/>
                <w:color w:val="auto"/>
              </w:rPr>
            </w:pPr>
            <w:r>
              <w:rPr>
                <w:rFonts w:ascii="Arial" w:cs="Arial" w:eastAsia="Arial" w:hAnsi="Arial"/>
                <w:sz w:val="17"/>
                <w:szCs w:val="17"/>
                <w:color w:val="auto"/>
                <w:w w:val="84"/>
              </w:rPr>
              <w:t>11</w:t>
            </w:r>
          </w:p>
        </w:tc>
        <w:tc>
          <w:tcPr>
            <w:tcW w:w="1940" w:type="dxa"/>
            <w:vAlign w:val="bottom"/>
            <w:gridSpan w:val="4"/>
          </w:tcPr>
          <w:p>
            <w:pPr>
              <w:jc w:val="right"/>
              <w:ind w:right="240"/>
              <w:spacing w:after="0"/>
              <w:rPr>
                <w:sz w:val="20"/>
                <w:szCs w:val="20"/>
                <w:color w:val="auto"/>
              </w:rPr>
            </w:pPr>
            <w:r>
              <w:rPr>
                <w:rFonts w:ascii="Arial" w:cs="Arial" w:eastAsia="Arial" w:hAnsi="Arial"/>
                <w:sz w:val="17"/>
                <w:szCs w:val="17"/>
                <w:color w:val="auto"/>
              </w:rPr>
              <w:t>(32,703)</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(33,358)</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(67,016)</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(66,328)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7"/>
                <w:szCs w:val="17"/>
                <w:color w:val="auto"/>
              </w:rPr>
              <w:t>Depreciation</w:t>
            </w:r>
          </w:p>
        </w:tc>
        <w:tc>
          <w:tcPr>
            <w:tcW w:w="700" w:type="dxa"/>
            <w:vAlign w:val="bottom"/>
            <w:shd w:val="clear" w:color="auto" w:fill="E5FFFF"/>
          </w:tcPr>
          <w:p>
            <w:pPr>
              <w:jc w:val="center"/>
              <w:ind w:left="54"/>
              <w:spacing w:after="0"/>
              <w:rPr>
                <w:sz w:val="20"/>
                <w:szCs w:val="20"/>
                <w:color w:val="auto"/>
              </w:rPr>
            </w:pPr>
            <w:r>
              <w:rPr>
                <w:rFonts w:ascii="Arial" w:cs="Arial" w:eastAsia="Arial" w:hAnsi="Arial"/>
                <w:sz w:val="17"/>
                <w:szCs w:val="17"/>
                <w:color w:val="auto"/>
                <w:w w:val="84"/>
              </w:rPr>
              <w:t>5,6</w:t>
            </w:r>
          </w:p>
        </w:tc>
        <w:tc>
          <w:tcPr>
            <w:tcW w:w="1940" w:type="dxa"/>
            <w:vAlign w:val="bottom"/>
            <w:gridSpan w:val="4"/>
            <w:shd w:val="clear" w:color="auto" w:fill="E5FFFF"/>
          </w:tcPr>
          <w:p>
            <w:pPr>
              <w:jc w:val="right"/>
              <w:ind w:right="240"/>
              <w:spacing w:after="0"/>
              <w:rPr>
                <w:sz w:val="20"/>
                <w:szCs w:val="20"/>
                <w:color w:val="auto"/>
              </w:rPr>
            </w:pPr>
            <w:r>
              <w:rPr>
                <w:rFonts w:ascii="Arial" w:cs="Arial" w:eastAsia="Arial" w:hAnsi="Arial"/>
                <w:sz w:val="17"/>
                <w:szCs w:val="17"/>
                <w:color w:val="auto"/>
              </w:rPr>
              <w:t>(38,813)</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(41,350)</w:t>
            </w:r>
          </w:p>
        </w:tc>
        <w:tc>
          <w:tcPr>
            <w:tcW w:w="148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(74,342)</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(80,949)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700" w:type="dxa"/>
            <w:vAlign w:val="bottom"/>
          </w:tcPr>
          <w:p>
            <w:pPr>
              <w:jc w:val="center"/>
              <w:ind w:left="54"/>
              <w:spacing w:after="0"/>
              <w:rPr>
                <w:sz w:val="20"/>
                <w:szCs w:val="20"/>
                <w:color w:val="auto"/>
              </w:rPr>
            </w:pPr>
            <w:r>
              <w:rPr>
                <w:rFonts w:ascii="Arial" w:cs="Arial" w:eastAsia="Arial" w:hAnsi="Arial"/>
                <w:sz w:val="17"/>
                <w:szCs w:val="17"/>
                <w:color w:val="auto"/>
                <w:w w:val="84"/>
              </w:rPr>
              <w:t>10</w:t>
            </w:r>
          </w:p>
        </w:tc>
        <w:tc>
          <w:tcPr>
            <w:tcW w:w="1940" w:type="dxa"/>
            <w:vAlign w:val="bottom"/>
            <w:gridSpan w:val="4"/>
          </w:tcPr>
          <w:p>
            <w:pPr>
              <w:jc w:val="right"/>
              <w:ind w:right="240"/>
              <w:spacing w:after="0"/>
              <w:rPr>
                <w:sz w:val="20"/>
                <w:szCs w:val="20"/>
                <w:color w:val="auto"/>
              </w:rPr>
            </w:pPr>
            <w:r>
              <w:rPr>
                <w:rFonts w:ascii="Arial" w:cs="Arial" w:eastAsia="Arial" w:hAnsi="Arial"/>
                <w:sz w:val="17"/>
                <w:szCs w:val="17"/>
                <w:color w:val="auto"/>
              </w:rPr>
              <w:t>(10,352)</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(11,172)</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(22,365)</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(21,549)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 from operations</w:t>
            </w:r>
          </w:p>
        </w:tc>
        <w:tc>
          <w:tcPr>
            <w:tcW w:w="70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53,280</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65,162</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113,275</w:t>
            </w:r>
          </w:p>
        </w:tc>
        <w:tc>
          <w:tcPr>
            <w:tcW w:w="28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135,108</w:t>
            </w:r>
          </w:p>
        </w:tc>
        <w:tc>
          <w:tcPr>
            <w:tcW w:w="120" w:type="dxa"/>
            <w:vAlign w:val="bottom"/>
            <w:tcBorders>
              <w:top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Financial costs</w:t>
            </w:r>
          </w:p>
        </w:tc>
        <w:tc>
          <w:tcPr>
            <w:tcW w:w="700" w:type="dxa"/>
            <w:vAlign w:val="bottom"/>
          </w:tcPr>
          <w:p>
            <w:pPr>
              <w:jc w:val="center"/>
              <w:ind w:left="54"/>
              <w:spacing w:after="0"/>
              <w:rPr>
                <w:sz w:val="20"/>
                <w:szCs w:val="20"/>
                <w:color w:val="auto"/>
              </w:rPr>
            </w:pPr>
            <w:r>
              <w:rPr>
                <w:rFonts w:ascii="Arial" w:cs="Arial" w:eastAsia="Arial" w:hAnsi="Arial"/>
                <w:sz w:val="17"/>
                <w:szCs w:val="17"/>
                <w:color w:val="auto"/>
                <w:w w:val="84"/>
              </w:rPr>
              <w:t>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(42,000)</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(46,897)</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(78,597)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(92,404)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7"/>
                <w:szCs w:val="17"/>
                <w:color w:val="auto"/>
              </w:rPr>
              <w:t>Financial income</w:t>
            </w:r>
          </w:p>
        </w:tc>
        <w:tc>
          <w:tcPr>
            <w:tcW w:w="700" w:type="dxa"/>
            <w:vAlign w:val="bottom"/>
            <w:shd w:val="clear" w:color="auto" w:fill="E5FFFF"/>
          </w:tcPr>
          <w:p>
            <w:pPr>
              <w:spacing w:after="0"/>
              <w:rPr>
                <w:sz w:val="18"/>
                <w:szCs w:val="18"/>
                <w:color w:val="auto"/>
              </w:rPr>
            </w:pPr>
          </w:p>
        </w:tc>
        <w:tc>
          <w:tcPr>
            <w:tcW w:w="1940" w:type="dxa"/>
            <w:vAlign w:val="bottom"/>
            <w:gridSpan w:val="4"/>
            <w:shd w:val="clear" w:color="auto" w:fill="E5FFFF"/>
          </w:tcPr>
          <w:p>
            <w:pPr>
              <w:jc w:val="right"/>
              <w:ind w:right="300"/>
              <w:spacing w:after="0"/>
              <w:rPr>
                <w:sz w:val="20"/>
                <w:szCs w:val="20"/>
                <w:color w:val="auto"/>
              </w:rPr>
            </w:pPr>
            <w:r>
              <w:rPr>
                <w:rFonts w:ascii="Arial" w:cs="Arial" w:eastAsia="Arial" w:hAnsi="Arial"/>
                <w:sz w:val="17"/>
                <w:szCs w:val="17"/>
                <w:color w:val="auto"/>
              </w:rPr>
              <w:t>1,294</w:t>
            </w:r>
          </w:p>
        </w:tc>
        <w:tc>
          <w:tcPr>
            <w:tcW w:w="150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1,709</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2,310</w:t>
            </w:r>
          </w:p>
        </w:tc>
        <w:tc>
          <w:tcPr>
            <w:tcW w:w="28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3,168</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Gain/(loss) on derivatives</w:t>
            </w:r>
          </w:p>
        </w:tc>
        <w:tc>
          <w:tcPr>
            <w:tcW w:w="700" w:type="dxa"/>
            <w:vAlign w:val="bottom"/>
          </w:tcPr>
          <w:p>
            <w:pPr>
              <w:jc w:val="center"/>
              <w:ind w:left="54"/>
              <w:spacing w:after="0"/>
              <w:rPr>
                <w:sz w:val="20"/>
                <w:szCs w:val="20"/>
                <w:color w:val="auto"/>
              </w:rPr>
            </w:pPr>
            <w:r>
              <w:rPr>
                <w:rFonts w:ascii="Arial" w:cs="Arial" w:eastAsia="Arial" w:hAnsi="Arial"/>
                <w:sz w:val="17"/>
                <w:szCs w:val="17"/>
                <w:color w:val="auto"/>
                <w:w w:val="84"/>
              </w:rPr>
              <w:t>16</w:t>
            </w:r>
          </w:p>
        </w:tc>
        <w:tc>
          <w:tcPr>
            <w:tcW w:w="1940" w:type="dxa"/>
            <w:vAlign w:val="bottom"/>
            <w:gridSpan w:val="4"/>
          </w:tcPr>
          <w:p>
            <w:pPr>
              <w:jc w:val="right"/>
              <w:ind w:right="300"/>
              <w:spacing w:after="0"/>
              <w:rPr>
                <w:sz w:val="20"/>
                <w:szCs w:val="20"/>
                <w:color w:val="auto"/>
              </w:rPr>
            </w:pPr>
            <w:r>
              <w:rPr>
                <w:rFonts w:ascii="Arial" w:cs="Arial" w:eastAsia="Arial" w:hAnsi="Arial"/>
                <w:sz w:val="17"/>
                <w:szCs w:val="17"/>
                <w:color w:val="auto"/>
              </w:rPr>
              <w:t>1,167</w:t>
            </w: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(30,799)</w:t>
            </w:r>
          </w:p>
        </w:tc>
        <w:tc>
          <w:tcPr>
            <w:tcW w:w="1200" w:type="dxa"/>
            <w:vAlign w:val="bottom"/>
          </w:tcPr>
          <w:p>
            <w:pPr>
              <w:jc w:val="right"/>
              <w:spacing w:after="0"/>
              <w:rPr>
                <w:sz w:val="20"/>
                <w:szCs w:val="20"/>
                <w:color w:val="auto"/>
              </w:rPr>
            </w:pPr>
            <w:r>
              <w:rPr>
                <w:rFonts w:ascii="Arial" w:cs="Arial" w:eastAsia="Arial" w:hAnsi="Arial"/>
                <w:sz w:val="17"/>
                <w:szCs w:val="17"/>
                <w:color w:val="auto"/>
              </w:rPr>
              <w:t>18,938</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(51,043)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700" w:type="dxa"/>
            <w:vAlign w:val="bottom"/>
            <w:shd w:val="clear" w:color="auto" w:fill="E5FFFF"/>
          </w:tcPr>
          <w:p>
            <w:pPr>
              <w:jc w:val="center"/>
              <w:ind w:left="54"/>
              <w:spacing w:after="0"/>
              <w:rPr>
                <w:sz w:val="20"/>
                <w:szCs w:val="20"/>
                <w:color w:val="auto"/>
              </w:rPr>
            </w:pPr>
            <w:r>
              <w:rPr>
                <w:rFonts w:ascii="Arial" w:cs="Arial" w:eastAsia="Arial" w:hAnsi="Arial"/>
                <w:sz w:val="17"/>
                <w:szCs w:val="17"/>
                <w:color w:val="auto"/>
                <w:w w:val="84"/>
              </w:rPr>
              <w:t>4</w:t>
            </w:r>
          </w:p>
        </w:tc>
        <w:tc>
          <w:tcPr>
            <w:tcW w:w="1940" w:type="dxa"/>
            <w:vAlign w:val="bottom"/>
            <w:gridSpan w:val="4"/>
            <w:shd w:val="clear" w:color="auto" w:fill="E5FFFF"/>
          </w:tcPr>
          <w:p>
            <w:pPr>
              <w:jc w:val="right"/>
              <w:ind w:right="300"/>
              <w:spacing w:after="0"/>
              <w:rPr>
                <w:sz w:val="20"/>
                <w:szCs w:val="20"/>
                <w:color w:val="auto"/>
              </w:rPr>
            </w:pPr>
            <w:r>
              <w:rPr>
                <w:rFonts w:ascii="Arial" w:cs="Arial" w:eastAsia="Arial" w:hAnsi="Arial"/>
                <w:sz w:val="17"/>
                <w:szCs w:val="17"/>
                <w:color w:val="auto"/>
              </w:rPr>
              <w:t>471</w:t>
            </w:r>
          </w:p>
        </w:tc>
        <w:tc>
          <w:tcPr>
            <w:tcW w:w="150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313</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827</w:t>
            </w:r>
          </w:p>
        </w:tc>
        <w:tc>
          <w:tcPr>
            <w:tcW w:w="28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558</w:t>
            </w:r>
          </w:p>
        </w:tc>
        <w:tc>
          <w:tcPr>
            <w:tcW w:w="12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other expenses, net</w:t>
            </w:r>
          </w:p>
        </w:tc>
        <w:tc>
          <w:tcPr>
            <w:tcW w:w="700" w:type="dxa"/>
            <w:vAlign w:val="bottom"/>
            <w:tcBorders>
              <w:bottom w:val="single" w:sz="8" w:color="E5FFFF"/>
            </w:tcBorders>
          </w:tcPr>
          <w:p>
            <w:pPr>
              <w:spacing w:after="0"/>
              <w:rPr>
                <w:sz w:val="18"/>
                <w:szCs w:val="18"/>
                <w:color w:val="auto"/>
              </w:rPr>
            </w:pPr>
          </w:p>
        </w:tc>
        <w:tc>
          <w:tcPr>
            <w:tcW w:w="140" w:type="dxa"/>
            <w:vAlign w:val="bottom"/>
            <w:tcBorders>
              <w:bottom w:val="single" w:sz="8" w:color="E5FFFF"/>
            </w:tcBorders>
          </w:tcPr>
          <w:p>
            <w:pPr>
              <w:spacing w:after="0"/>
              <w:rPr>
                <w:sz w:val="18"/>
                <w:szCs w:val="18"/>
                <w:color w:val="auto"/>
              </w:rPr>
            </w:pPr>
          </w:p>
        </w:tc>
        <w:tc>
          <w:tcPr>
            <w:tcW w:w="300" w:type="dxa"/>
            <w:vAlign w:val="bottom"/>
            <w:tcBorders>
              <w:bottom w:val="single" w:sz="8" w:color="E5FF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(39,068)</w:t>
            </w:r>
          </w:p>
        </w:tc>
        <w:tc>
          <w:tcPr>
            <w:tcW w:w="300" w:type="dxa"/>
            <w:vAlign w:val="bottom"/>
            <w:tcBorders>
              <w:bottom w:val="single" w:sz="8" w:color="E5FF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(75,674)</w:t>
            </w:r>
          </w:p>
        </w:tc>
        <w:tc>
          <w:tcPr>
            <w:tcW w:w="300" w:type="dxa"/>
            <w:vAlign w:val="bottom"/>
            <w:tcBorders>
              <w:bottom w:val="single" w:sz="8" w:color="E5FF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(56,522)</w:t>
            </w:r>
          </w:p>
        </w:tc>
        <w:tc>
          <w:tcPr>
            <w:tcW w:w="280" w:type="dxa"/>
            <w:vAlign w:val="bottom"/>
            <w:tcBorders>
              <w:bottom w:val="single" w:sz="8" w:color="E5FF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(139,721)</w:t>
            </w:r>
          </w:p>
        </w:tc>
        <w:tc>
          <w:tcPr>
            <w:tcW w:w="120" w:type="dxa"/>
            <w:vAlign w:val="bottom"/>
            <w:tcBorders>
              <w:bottom w:val="single" w:sz="8" w:color="E5FF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Profit/(loss) for the period</w:t>
            </w:r>
          </w:p>
        </w:tc>
        <w:tc>
          <w:tcPr>
            <w:tcW w:w="700" w:type="dxa"/>
            <w:vAlign w:val="bottom"/>
            <w:tcBorders>
              <w:bottom w:val="single" w:sz="8" w:color="E5FFFF"/>
            </w:tcBorders>
            <w:shd w:val="clear" w:color="auto" w:fill="E5FFFF"/>
          </w:tcPr>
          <w:p>
            <w:pPr>
              <w:spacing w:after="0"/>
              <w:rPr>
                <w:sz w:val="18"/>
                <w:szCs w:val="18"/>
                <w:color w:val="auto"/>
              </w:rPr>
            </w:pPr>
          </w:p>
        </w:tc>
        <w:tc>
          <w:tcPr>
            <w:tcW w:w="140" w:type="dxa"/>
            <w:vAlign w:val="bottom"/>
            <w:tcBorders>
              <w:bottom w:val="single" w:sz="8" w:color="E5FFFF"/>
            </w:tcBorders>
            <w:shd w:val="clear" w:color="auto" w:fill="E5FFFF"/>
          </w:tcPr>
          <w:p>
            <w:pPr>
              <w:spacing w:after="0"/>
              <w:rPr>
                <w:sz w:val="18"/>
                <w:szCs w:val="18"/>
                <w:color w:val="auto"/>
              </w:rPr>
            </w:pPr>
          </w:p>
        </w:tc>
        <w:tc>
          <w:tcPr>
            <w:tcW w:w="300" w:type="dxa"/>
            <w:vAlign w:val="bottom"/>
            <w:tcBorders>
              <w:bottom w:val="single" w:sz="8" w:color="E5FFFF"/>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14,212</w:t>
            </w:r>
          </w:p>
        </w:tc>
        <w:tc>
          <w:tcPr>
            <w:tcW w:w="300" w:type="dxa"/>
            <w:vAlign w:val="bottom"/>
            <w:tcBorders>
              <w:bottom w:val="single" w:sz="8" w:color="E5FFFF"/>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(10,512)</w:t>
            </w:r>
          </w:p>
        </w:tc>
        <w:tc>
          <w:tcPr>
            <w:tcW w:w="300" w:type="dxa"/>
            <w:vAlign w:val="bottom"/>
            <w:tcBorders>
              <w:bottom w:val="single" w:sz="8" w:color="E5FFFF"/>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56,753</w:t>
            </w:r>
          </w:p>
        </w:tc>
        <w:tc>
          <w:tcPr>
            <w:tcW w:w="280" w:type="dxa"/>
            <w:vAlign w:val="bottom"/>
            <w:tcBorders>
              <w:bottom w:val="single" w:sz="8" w:color="E5FFFF"/>
            </w:tcBorders>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(4,613)</w:t>
            </w:r>
          </w:p>
        </w:tc>
        <w:tc>
          <w:tcPr>
            <w:tcW w:w="120" w:type="dxa"/>
            <w:vAlign w:val="bottom"/>
            <w:tcBorders>
              <w:bottom w:val="single" w:sz="8" w:color="E5FFFF"/>
            </w:tcBorders>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7"/>
                <w:szCs w:val="17"/>
                <w:color w:val="auto"/>
              </w:rPr>
              <w:t>Attributable to:</w:t>
            </w: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7"/>
                <w:szCs w:val="17"/>
                <w:color w:val="auto"/>
              </w:rPr>
              <w:t>Owners of the Group</w:t>
            </w:r>
          </w:p>
        </w:tc>
        <w:tc>
          <w:tcPr>
            <w:tcW w:w="700" w:type="dxa"/>
            <w:vAlign w:val="bottom"/>
            <w:shd w:val="clear" w:color="auto" w:fill="E5FFFF"/>
          </w:tcPr>
          <w:p>
            <w:pPr>
              <w:spacing w:after="0"/>
              <w:rPr>
                <w:sz w:val="18"/>
                <w:szCs w:val="18"/>
                <w:color w:val="auto"/>
              </w:rPr>
            </w:pPr>
          </w:p>
        </w:tc>
        <w:tc>
          <w:tcPr>
            <w:tcW w:w="1940" w:type="dxa"/>
            <w:vAlign w:val="bottom"/>
            <w:gridSpan w:val="4"/>
            <w:shd w:val="clear" w:color="auto" w:fill="E5FFFF"/>
          </w:tcPr>
          <w:p>
            <w:pPr>
              <w:jc w:val="right"/>
              <w:ind w:right="240"/>
              <w:spacing w:after="0"/>
              <w:rPr>
                <w:sz w:val="20"/>
                <w:szCs w:val="20"/>
                <w:color w:val="auto"/>
              </w:rPr>
            </w:pPr>
            <w:r>
              <w:rPr>
                <w:rFonts w:ascii="Arial" w:cs="Arial" w:eastAsia="Arial" w:hAnsi="Arial"/>
                <w:sz w:val="17"/>
                <w:szCs w:val="17"/>
                <w:color w:val="auto"/>
              </w:rPr>
              <w:t>(3,620)</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(25,998)</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15,684</w:t>
            </w:r>
          </w:p>
        </w:tc>
        <w:tc>
          <w:tcPr>
            <w:tcW w:w="28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(36,945)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700" w:type="dxa"/>
            <w:vAlign w:val="bottom"/>
          </w:tcPr>
          <w:p>
            <w:pPr>
              <w:jc w:val="center"/>
              <w:ind w:left="54"/>
              <w:spacing w:after="0"/>
              <w:rPr>
                <w:sz w:val="20"/>
                <w:szCs w:val="20"/>
                <w:color w:val="auto"/>
              </w:rPr>
            </w:pPr>
            <w:r>
              <w:rPr>
                <w:rFonts w:ascii="Arial" w:cs="Arial" w:eastAsia="Arial" w:hAnsi="Arial"/>
                <w:sz w:val="17"/>
                <w:szCs w:val="17"/>
                <w:color w:val="auto"/>
                <w:w w:val="84"/>
              </w:rPr>
              <w:t>3</w:t>
            </w:r>
          </w:p>
        </w:tc>
        <w:tc>
          <w:tcPr>
            <w:tcW w:w="1940" w:type="dxa"/>
            <w:vAlign w:val="bottom"/>
            <w:gridSpan w:val="4"/>
          </w:tcPr>
          <w:p>
            <w:pPr>
              <w:jc w:val="right"/>
              <w:ind w:right="300"/>
              <w:spacing w:after="0"/>
              <w:rPr>
                <w:sz w:val="20"/>
                <w:szCs w:val="20"/>
                <w:color w:val="auto"/>
              </w:rPr>
            </w:pPr>
            <w:r>
              <w:rPr>
                <w:rFonts w:ascii="Arial" w:cs="Arial" w:eastAsia="Arial" w:hAnsi="Arial"/>
                <w:sz w:val="17"/>
                <w:szCs w:val="17"/>
                <w:color w:val="auto"/>
              </w:rPr>
              <w:t>17,832</w:t>
            </w:r>
          </w:p>
        </w:tc>
        <w:tc>
          <w:tcPr>
            <w:tcW w:w="1500" w:type="dxa"/>
            <w:vAlign w:val="bottom"/>
            <w:gridSpan w:val="2"/>
          </w:tcPr>
          <w:p>
            <w:pPr>
              <w:jc w:val="right"/>
              <w:ind w:right="300"/>
              <w:spacing w:after="0"/>
              <w:rPr>
                <w:sz w:val="20"/>
                <w:szCs w:val="20"/>
                <w:color w:val="auto"/>
              </w:rPr>
            </w:pPr>
            <w:r>
              <w:rPr>
                <w:rFonts w:ascii="Arial" w:cs="Arial" w:eastAsia="Arial" w:hAnsi="Arial"/>
                <w:sz w:val="17"/>
                <w:szCs w:val="17"/>
                <w:color w:val="auto"/>
              </w:rPr>
              <w:t>15,486</w:t>
            </w:r>
          </w:p>
        </w:tc>
        <w:tc>
          <w:tcPr>
            <w:tcW w:w="1200" w:type="dxa"/>
            <w:vAlign w:val="bottom"/>
          </w:tcPr>
          <w:p>
            <w:pPr>
              <w:jc w:val="right"/>
              <w:spacing w:after="0"/>
              <w:rPr>
                <w:sz w:val="20"/>
                <w:szCs w:val="20"/>
                <w:color w:val="auto"/>
              </w:rPr>
            </w:pPr>
            <w:r>
              <w:rPr>
                <w:rFonts w:ascii="Arial" w:cs="Arial" w:eastAsia="Arial" w:hAnsi="Arial"/>
                <w:sz w:val="17"/>
                <w:szCs w:val="17"/>
                <w:color w:val="auto"/>
              </w:rPr>
              <w:t>41,069</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32,332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Borders>
              <w:top w:val="single" w:sz="8" w:color="E5FFFF"/>
              <w:bottom w:val="single" w:sz="8" w:color="E5FFFF"/>
            </w:tcBorders>
            <w:shd w:val="clear" w:color="auto" w:fill="E5FFFF"/>
          </w:tcPr>
          <w:p>
            <w:pPr>
              <w:spacing w:after="0"/>
              <w:rPr>
                <w:sz w:val="18"/>
                <w:szCs w:val="18"/>
                <w:color w:val="auto"/>
              </w:rPr>
            </w:pPr>
          </w:p>
        </w:tc>
        <w:tc>
          <w:tcPr>
            <w:tcW w:w="70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14,212</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(10,512)</w:t>
            </w:r>
          </w:p>
        </w:tc>
        <w:tc>
          <w:tcPr>
            <w:tcW w:w="300" w:type="dxa"/>
            <w:vAlign w:val="bottom"/>
            <w:tcBorders>
              <w:top w:val="single" w:sz="8" w:color="E5FFFF"/>
              <w:bottom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56,753</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(4,613</w:t>
            </w:r>
          </w:p>
        </w:tc>
        <w:tc>
          <w:tcPr>
            <w:tcW w:w="120" w:type="dxa"/>
            <w:vAlign w:val="bottom"/>
            <w:tcBorders>
              <w:top w:val="single" w:sz="8" w:color="E5FFFF"/>
              <w:bottom w:val="single" w:sz="8" w:color="E5FFFF"/>
            </w:tcBorders>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(Loss)/earnings per share – basic and diluted</w:t>
            </w:r>
          </w:p>
        </w:tc>
        <w:tc>
          <w:tcPr>
            <w:tcW w:w="700" w:type="dxa"/>
            <w:vAlign w:val="bottom"/>
            <w:shd w:val="clear" w:color="auto" w:fill="E5FFFF"/>
          </w:tcPr>
          <w:p>
            <w:pPr>
              <w:jc w:val="center"/>
              <w:ind w:left="54"/>
              <w:spacing w:after="0"/>
              <w:rPr>
                <w:sz w:val="20"/>
                <w:szCs w:val="20"/>
                <w:color w:val="auto"/>
              </w:rPr>
            </w:pPr>
            <w:r>
              <w:rPr>
                <w:rFonts w:ascii="Arial" w:cs="Arial" w:eastAsia="Arial" w:hAnsi="Arial"/>
                <w:sz w:val="17"/>
                <w:szCs w:val="17"/>
                <w:color w:val="auto"/>
                <w:w w:val="84"/>
              </w:rPr>
              <w:t>19</w:t>
            </w:r>
          </w:p>
        </w:tc>
        <w:tc>
          <w:tcPr>
            <w:tcW w:w="1940" w:type="dxa"/>
            <w:vAlign w:val="bottom"/>
            <w:gridSpan w:val="4"/>
            <w:shd w:val="clear" w:color="auto" w:fill="E5FFFF"/>
          </w:tcPr>
          <w:p>
            <w:pPr>
              <w:jc w:val="right"/>
              <w:ind w:right="240"/>
              <w:spacing w:after="0"/>
              <w:rPr>
                <w:sz w:val="20"/>
                <w:szCs w:val="20"/>
                <w:color w:val="auto"/>
              </w:rPr>
            </w:pPr>
            <w:r>
              <w:rPr>
                <w:rFonts w:ascii="Arial" w:cs="Arial" w:eastAsia="Arial" w:hAnsi="Arial"/>
                <w:sz w:val="17"/>
                <w:szCs w:val="17"/>
                <w:b w:val="1"/>
                <w:bCs w:val="1"/>
                <w:color w:val="auto"/>
              </w:rPr>
              <w:t>(0.08)</w:t>
            </w:r>
          </w:p>
        </w:tc>
        <w:tc>
          <w:tcPr>
            <w:tcW w:w="150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b w:val="1"/>
                <w:bCs w:val="1"/>
                <w:color w:val="auto"/>
              </w:rPr>
              <w:t>(0.35)</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0.13</w:t>
            </w:r>
          </w:p>
        </w:tc>
        <w:tc>
          <w:tcPr>
            <w:tcW w:w="28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b w:val="1"/>
                <w:bCs w:val="1"/>
                <w:color w:val="auto"/>
              </w:rPr>
              <w:t>(0.52)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10660" w:type="dxa"/>
            <w:vAlign w:val="bottom"/>
            <w:gridSpan w:val="10"/>
          </w:tcPr>
          <w:p>
            <w:pPr>
              <w:jc w:val="right"/>
              <w:ind w:right="96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gridSpan w:val="4"/>
          </w:tcPr>
          <w:p>
            <w:pPr>
              <w:jc w:val="right"/>
              <w:ind w:right="1580"/>
              <w:spacing w:after="0"/>
              <w:rPr>
                <w:sz w:val="20"/>
                <w:szCs w:val="20"/>
                <w:color w:val="auto"/>
              </w:rPr>
            </w:pPr>
            <w:r>
              <w:rPr>
                <w:rFonts w:ascii="Arial" w:cs="Arial" w:eastAsia="Arial" w:hAnsi="Arial"/>
                <w:sz w:val="17"/>
                <w:szCs w:val="17"/>
                <w:color w:val="auto"/>
              </w:rPr>
              <w:t>F-3</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808080"/>
            </w:tcBorders>
          </w:tcPr>
          <w:p>
            <w:pPr>
              <w:spacing w:after="0"/>
              <w:rPr>
                <w:sz w:val="12"/>
                <w:szCs w:val="12"/>
                <w:color w:val="auto"/>
              </w:rPr>
            </w:pPr>
          </w:p>
        </w:tc>
        <w:tc>
          <w:tcPr>
            <w:tcW w:w="50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GasLog Ltd. and its Subsidiaries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condensed consolidated statements of comprehensive income or loss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three and six months ended June 30, 2018 and 2019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0" w:type="dxa"/>
            <w:vAlign w:val="bottom"/>
            <w:gridSpan w:val="4"/>
          </w:tcPr>
          <w:p>
            <w:pPr>
              <w:jc w:val="right"/>
              <w:ind w:right="560"/>
              <w:spacing w:after="0"/>
              <w:rPr>
                <w:sz w:val="20"/>
                <w:szCs w:val="20"/>
                <w:color w:val="auto"/>
              </w:rPr>
            </w:pPr>
            <w:r>
              <w:rPr>
                <w:rFonts w:ascii="Arial" w:cs="Arial" w:eastAsia="Arial" w:hAnsi="Arial"/>
                <w:sz w:val="17"/>
                <w:szCs w:val="17"/>
                <w:b w:val="1"/>
                <w:bCs w:val="1"/>
                <w:color w:val="auto"/>
              </w:rPr>
              <w:t>For the three months ended</w:t>
            </w:r>
          </w:p>
        </w:tc>
        <w:tc>
          <w:tcPr>
            <w:tcW w:w="2800" w:type="dxa"/>
            <w:vAlign w:val="bottom"/>
            <w:gridSpan w:val="5"/>
          </w:tcPr>
          <w:p>
            <w:pPr>
              <w:jc w:val="right"/>
              <w:ind w:right="540"/>
              <w:spacing w:after="0"/>
              <w:rPr>
                <w:sz w:val="20"/>
                <w:szCs w:val="20"/>
                <w:color w:val="auto"/>
              </w:rPr>
            </w:pPr>
            <w:r>
              <w:rPr>
                <w:rFonts w:ascii="Arial" w:cs="Arial" w:eastAsia="Arial" w:hAnsi="Arial"/>
                <w:sz w:val="17"/>
                <w:szCs w:val="17"/>
                <w:b w:val="1"/>
                <w:bCs w:val="1"/>
                <w:color w:val="auto"/>
              </w:rPr>
              <w:t>For the six months ended</w:t>
            </w:r>
          </w:p>
        </w:tc>
      </w:tr>
      <w:tr>
        <w:trPr>
          <w:trHeight w:val="224"/>
        </w:trPr>
        <w:tc>
          <w:tcPr>
            <w:tcW w:w="5060" w:type="dxa"/>
            <w:vAlign w:val="bottom"/>
          </w:tcPr>
          <w:p>
            <w:pPr>
              <w:spacing w:after="0"/>
              <w:rPr>
                <w:sz w:val="19"/>
                <w:szCs w:val="19"/>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Note</w:t>
            </w:r>
          </w:p>
        </w:tc>
        <w:tc>
          <w:tcPr>
            <w:tcW w:w="15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7"/>
              </w:rPr>
              <w:t>June 30, 2018</w:t>
            </w:r>
          </w:p>
        </w:tc>
        <w:tc>
          <w:tcPr>
            <w:tcW w:w="15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7"/>
              </w:rPr>
              <w:t>June 30, 2019</w:t>
            </w:r>
          </w:p>
        </w:tc>
        <w:tc>
          <w:tcPr>
            <w:tcW w:w="1480" w:type="dxa"/>
            <w:vAlign w:val="bottom"/>
            <w:gridSpan w:val="2"/>
          </w:tcPr>
          <w:p>
            <w:pPr>
              <w:ind w:left="100"/>
              <w:spacing w:after="0"/>
              <w:rPr>
                <w:sz w:val="20"/>
                <w:szCs w:val="20"/>
                <w:color w:val="auto"/>
              </w:rPr>
            </w:pPr>
            <w:r>
              <w:rPr>
                <w:rFonts w:ascii="Arial" w:cs="Arial" w:eastAsia="Arial" w:hAnsi="Arial"/>
                <w:sz w:val="17"/>
                <w:szCs w:val="17"/>
                <w:b w:val="1"/>
                <w:bCs w:val="1"/>
                <w:color w:val="auto"/>
              </w:rPr>
              <w:t>June 30, 2018</w:t>
            </w:r>
          </w:p>
        </w:tc>
        <w:tc>
          <w:tcPr>
            <w:tcW w:w="132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7"/>
              </w:rPr>
              <w:t>June 30, 2019</w:t>
            </w:r>
          </w:p>
        </w:tc>
      </w:tr>
      <w:tr>
        <w:trPr>
          <w:trHeight w:val="214"/>
        </w:trPr>
        <w:tc>
          <w:tcPr>
            <w:tcW w:w="5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Profit/(loss) for the period</w:t>
            </w:r>
          </w:p>
        </w:tc>
        <w:tc>
          <w:tcPr>
            <w:tcW w:w="840" w:type="dxa"/>
            <w:vAlign w:val="bottom"/>
            <w:tcBorders>
              <w:top w:val="single" w:sz="8" w:color="auto"/>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14,212</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(10,512)</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56,753</w:t>
            </w:r>
          </w:p>
        </w:tc>
        <w:tc>
          <w:tcPr>
            <w:tcW w:w="28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(4,613)</w:t>
            </w:r>
          </w:p>
        </w:tc>
        <w:tc>
          <w:tcPr>
            <w:tcW w:w="120" w:type="dxa"/>
            <w:vAlign w:val="bottom"/>
            <w:tcBorders>
              <w:top w:val="single" w:sz="8" w:color="E5FFFF"/>
            </w:tcBorders>
            <w:gridSpan w:val="2"/>
            <w:shd w:val="clear" w:color="auto" w:fill="E5FFFF"/>
          </w:tcPr>
          <w:p>
            <w:pPr>
              <w:spacing w:after="0"/>
              <w:rPr>
                <w:sz w:val="18"/>
                <w:szCs w:val="18"/>
                <w:color w:val="auto"/>
              </w:rPr>
            </w:pPr>
          </w:p>
        </w:tc>
      </w:tr>
      <w:tr>
        <w:trPr>
          <w:trHeight w:val="214"/>
        </w:trPr>
        <w:tc>
          <w:tcPr>
            <w:tcW w:w="5060" w:type="dxa"/>
            <w:vAlign w:val="bottom"/>
          </w:tcPr>
          <w:p>
            <w:pPr>
              <w:spacing w:after="0"/>
              <w:rPr>
                <w:sz w:val="20"/>
                <w:szCs w:val="20"/>
                <w:color w:val="auto"/>
              </w:rPr>
            </w:pPr>
            <w:r>
              <w:rPr>
                <w:rFonts w:ascii="Arial" w:cs="Arial" w:eastAsia="Arial" w:hAnsi="Arial"/>
                <w:sz w:val="17"/>
                <w:szCs w:val="17"/>
                <w:b w:val="1"/>
                <w:bCs w:val="1"/>
                <w:color w:val="auto"/>
              </w:rPr>
              <w:t>Other comprehensive income/(loss):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06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Items that may be reclassified subsequently to profit or loss:</w:t>
            </w:r>
          </w:p>
        </w:tc>
        <w:tc>
          <w:tcPr>
            <w:tcW w:w="8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7"/>
                <w:szCs w:val="17"/>
                <w:color w:val="auto"/>
                <w:w w:val="99"/>
              </w:rPr>
              <w:t>Effective portion of changes in fair value of cash flow hedges, net of</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5060" w:type="dxa"/>
            <w:vAlign w:val="bottom"/>
          </w:tcPr>
          <w:p>
            <w:pPr>
              <w:ind w:left="180"/>
              <w:spacing w:after="0"/>
              <w:rPr>
                <w:sz w:val="20"/>
                <w:szCs w:val="20"/>
                <w:color w:val="auto"/>
              </w:rPr>
            </w:pPr>
            <w:r>
              <w:rPr>
                <w:rFonts w:ascii="Arial" w:cs="Arial" w:eastAsia="Arial" w:hAnsi="Arial"/>
                <w:sz w:val="17"/>
                <w:szCs w:val="17"/>
                <w:color w:val="auto"/>
              </w:rPr>
              <w:t>amounts recycled to profit or loss</w:t>
            </w:r>
          </w:p>
        </w:tc>
        <w:tc>
          <w:tcPr>
            <w:tcW w:w="840" w:type="dxa"/>
            <w:vAlign w:val="bottom"/>
          </w:tcPr>
          <w:p>
            <w:pPr>
              <w:jc w:val="right"/>
              <w:ind w:right="254"/>
              <w:spacing w:after="0"/>
              <w:rPr>
                <w:sz w:val="20"/>
                <w:szCs w:val="20"/>
                <w:color w:val="auto"/>
              </w:rPr>
            </w:pPr>
            <w:r>
              <w:rPr>
                <w:rFonts w:ascii="Arial" w:cs="Arial" w:eastAsia="Arial" w:hAnsi="Arial"/>
                <w:sz w:val="17"/>
                <w:szCs w:val="17"/>
                <w:color w:val="auto"/>
              </w:rPr>
              <w:t>15</w:t>
            </w:r>
          </w:p>
        </w:tc>
        <w:tc>
          <w:tcPr>
            <w:tcW w:w="3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(296)</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(1,225)</w:t>
            </w:r>
          </w:p>
        </w:tc>
        <w:tc>
          <w:tcPr>
            <w:tcW w:w="1200" w:type="dxa"/>
            <w:vAlign w:val="bottom"/>
          </w:tcPr>
          <w:p>
            <w:pPr>
              <w:jc w:val="right"/>
              <w:spacing w:after="0"/>
              <w:rPr>
                <w:sz w:val="20"/>
                <w:szCs w:val="20"/>
                <w:color w:val="auto"/>
              </w:rPr>
            </w:pPr>
            <w:r>
              <w:rPr>
                <w:rFonts w:ascii="Arial" w:cs="Arial" w:eastAsia="Arial" w:hAnsi="Arial"/>
                <w:sz w:val="17"/>
                <w:szCs w:val="17"/>
                <w:color w:val="auto"/>
              </w:rPr>
              <w:t>1,210</w:t>
            </w:r>
          </w:p>
        </w:tc>
        <w:tc>
          <w:tcPr>
            <w:tcW w:w="2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(2,464)</w:t>
            </w:r>
          </w:p>
        </w:tc>
      </w:tr>
      <w:tr>
        <w:trPr>
          <w:trHeight w:val="214"/>
        </w:trPr>
        <w:tc>
          <w:tcPr>
            <w:tcW w:w="50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Other comprehensive (loss)/income for the period</w:t>
            </w:r>
          </w:p>
        </w:tc>
        <w:tc>
          <w:tcPr>
            <w:tcW w:w="840" w:type="dxa"/>
            <w:vAlign w:val="bottom"/>
            <w:tcBorders>
              <w:top w:val="single" w:sz="8" w:color="E5FFFF"/>
            </w:tcBorders>
            <w:shd w:val="clear" w:color="auto" w:fill="E5FFFF"/>
          </w:tcPr>
          <w:p>
            <w:pPr>
              <w:spacing w:after="0"/>
              <w:rPr>
                <w:sz w:val="18"/>
                <w:szCs w:val="18"/>
                <w:color w:val="auto"/>
              </w:rPr>
            </w:pP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(296)</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(1,225)</w:t>
            </w:r>
          </w:p>
        </w:tc>
        <w:tc>
          <w:tcPr>
            <w:tcW w:w="30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1,210</w:t>
            </w:r>
          </w:p>
        </w:tc>
        <w:tc>
          <w:tcPr>
            <w:tcW w:w="28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(2,464)</w:t>
            </w:r>
          </w:p>
        </w:tc>
        <w:tc>
          <w:tcPr>
            <w:tcW w:w="120" w:type="dxa"/>
            <w:vAlign w:val="bottom"/>
            <w:tcBorders>
              <w:top w:val="single" w:sz="8" w:color="E5FFFF"/>
            </w:tcBorders>
            <w:gridSpan w:val="2"/>
            <w:shd w:val="clear" w:color="auto" w:fill="E5FFFF"/>
          </w:tcPr>
          <w:p>
            <w:pPr>
              <w:spacing w:after="0"/>
              <w:rPr>
                <w:sz w:val="18"/>
                <w:szCs w:val="18"/>
                <w:color w:val="auto"/>
              </w:rPr>
            </w:pPr>
          </w:p>
        </w:tc>
      </w:tr>
      <w:tr>
        <w:trPr>
          <w:trHeight w:val="248"/>
        </w:trPr>
        <w:tc>
          <w:tcPr>
            <w:tcW w:w="506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 comprehensive income/(loss) for the period</w:t>
            </w:r>
          </w:p>
        </w:tc>
        <w:tc>
          <w:tcPr>
            <w:tcW w:w="840" w:type="dxa"/>
            <w:vAlign w:val="bottom"/>
            <w:tcBorders>
              <w:bottom w:val="single" w:sz="8" w:color="E5FFFF"/>
            </w:tcBorders>
          </w:tcPr>
          <w:p>
            <w:pPr>
              <w:spacing w:after="0"/>
              <w:rPr>
                <w:sz w:val="21"/>
                <w:szCs w:val="21"/>
                <w:color w:val="auto"/>
              </w:rPr>
            </w:pPr>
          </w:p>
        </w:tc>
        <w:tc>
          <w:tcPr>
            <w:tcW w:w="300" w:type="dxa"/>
            <w:vAlign w:val="bottom"/>
            <w:tcBorders>
              <w:bottom w:val="single" w:sz="8" w:color="E5FF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13,916</w:t>
            </w:r>
          </w:p>
        </w:tc>
        <w:tc>
          <w:tcPr>
            <w:tcW w:w="300" w:type="dxa"/>
            <w:vAlign w:val="bottom"/>
            <w:tcBorders>
              <w:bottom w:val="single" w:sz="8" w:color="E5FF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(11,737)</w:t>
            </w:r>
          </w:p>
        </w:tc>
        <w:tc>
          <w:tcPr>
            <w:tcW w:w="300" w:type="dxa"/>
            <w:vAlign w:val="bottom"/>
            <w:tcBorders>
              <w:bottom w:val="single" w:sz="8" w:color="E5FF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57,963</w:t>
            </w:r>
          </w:p>
        </w:tc>
        <w:tc>
          <w:tcPr>
            <w:tcW w:w="280" w:type="dxa"/>
            <w:vAlign w:val="bottom"/>
            <w:tcBorders>
              <w:bottom w:val="single" w:sz="8" w:color="E5FF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(7,077)</w:t>
            </w:r>
          </w:p>
        </w:tc>
        <w:tc>
          <w:tcPr>
            <w:tcW w:w="120" w:type="dxa"/>
            <w:vAlign w:val="bottom"/>
            <w:tcBorders>
              <w:bottom w:val="single" w:sz="8" w:color="E5FFFF"/>
            </w:tcBorders>
            <w:gridSpan w:val="2"/>
          </w:tcPr>
          <w:p>
            <w:pPr>
              <w:spacing w:after="0"/>
              <w:rPr>
                <w:sz w:val="21"/>
                <w:szCs w:val="21"/>
                <w:color w:val="auto"/>
              </w:rPr>
            </w:pPr>
          </w:p>
        </w:tc>
      </w:tr>
      <w:tr>
        <w:trPr>
          <w:trHeight w:val="168"/>
        </w:trPr>
        <w:tc>
          <w:tcPr>
            <w:tcW w:w="5060" w:type="dxa"/>
            <w:vAlign w:val="bottom"/>
            <w:shd w:val="clear" w:color="auto" w:fill="E5FFFF"/>
          </w:tcPr>
          <w:p>
            <w:pPr>
              <w:spacing w:after="0" w:line="168" w:lineRule="exact"/>
              <w:rPr>
                <w:sz w:val="20"/>
                <w:szCs w:val="20"/>
                <w:color w:val="auto"/>
              </w:rPr>
            </w:pPr>
            <w:r>
              <w:rPr>
                <w:rFonts w:ascii="Arial" w:cs="Arial" w:eastAsia="Arial" w:hAnsi="Arial"/>
                <w:sz w:val="17"/>
                <w:szCs w:val="17"/>
                <w:color w:val="auto"/>
              </w:rPr>
              <w:t>Attributable to:</w:t>
            </w:r>
          </w:p>
        </w:tc>
        <w:tc>
          <w:tcPr>
            <w:tcW w:w="8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20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20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120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200" w:type="dxa"/>
            <w:vAlign w:val="bottom"/>
            <w:shd w:val="clear" w:color="auto" w:fill="E5FFFF"/>
          </w:tcPr>
          <w:p>
            <w:pPr>
              <w:spacing w:after="0"/>
              <w:rPr>
                <w:sz w:val="14"/>
                <w:szCs w:val="14"/>
                <w:color w:val="auto"/>
              </w:rPr>
            </w:pPr>
          </w:p>
        </w:tc>
        <w:tc>
          <w:tcPr>
            <w:tcW w:w="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r>
      <w:tr>
        <w:trPr>
          <w:trHeight w:val="214"/>
        </w:trPr>
        <w:tc>
          <w:tcPr>
            <w:tcW w:w="5060" w:type="dxa"/>
            <w:vAlign w:val="bottom"/>
          </w:tcPr>
          <w:p>
            <w:pPr>
              <w:spacing w:after="0"/>
              <w:rPr>
                <w:sz w:val="20"/>
                <w:szCs w:val="20"/>
                <w:color w:val="auto"/>
              </w:rPr>
            </w:pPr>
            <w:r>
              <w:rPr>
                <w:rFonts w:ascii="Arial" w:cs="Arial" w:eastAsia="Arial" w:hAnsi="Arial"/>
                <w:sz w:val="17"/>
                <w:szCs w:val="17"/>
                <w:color w:val="auto"/>
              </w:rPr>
              <w:t>Owners of the Group</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(3,916)</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(27,223)</w:t>
            </w:r>
          </w:p>
        </w:tc>
        <w:tc>
          <w:tcPr>
            <w:tcW w:w="1200" w:type="dxa"/>
            <w:vAlign w:val="bottom"/>
          </w:tcPr>
          <w:p>
            <w:pPr>
              <w:jc w:val="right"/>
              <w:spacing w:after="0"/>
              <w:rPr>
                <w:sz w:val="20"/>
                <w:szCs w:val="20"/>
                <w:color w:val="auto"/>
              </w:rPr>
            </w:pPr>
            <w:r>
              <w:rPr>
                <w:rFonts w:ascii="Arial" w:cs="Arial" w:eastAsia="Arial" w:hAnsi="Arial"/>
                <w:sz w:val="17"/>
                <w:szCs w:val="17"/>
                <w:color w:val="auto"/>
              </w:rPr>
              <w:t>16,894</w:t>
            </w:r>
          </w:p>
        </w:tc>
        <w:tc>
          <w:tcPr>
            <w:tcW w:w="280" w:type="dxa"/>
            <w:vAlign w:val="bottom"/>
          </w:tcPr>
          <w:p>
            <w:pPr>
              <w:spacing w:after="0"/>
              <w:rPr>
                <w:sz w:val="18"/>
                <w:szCs w:val="18"/>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7"/>
                <w:szCs w:val="17"/>
                <w:color w:val="auto"/>
              </w:rPr>
              <w:t>(39,409)</w:t>
            </w:r>
          </w:p>
        </w:tc>
      </w:tr>
      <w:tr>
        <w:trPr>
          <w:trHeight w:val="214"/>
        </w:trPr>
        <w:tc>
          <w:tcPr>
            <w:tcW w:w="5060" w:type="dxa"/>
            <w:vAlign w:val="bottom"/>
            <w:shd w:val="clear" w:color="auto" w:fill="E5FFFF"/>
          </w:tcPr>
          <w:p>
            <w:pPr>
              <w:spacing w:after="0"/>
              <w:rPr>
                <w:sz w:val="20"/>
                <w:szCs w:val="20"/>
                <w:color w:val="auto"/>
              </w:rPr>
            </w:pPr>
            <w:r>
              <w:rPr>
                <w:rFonts w:ascii="Arial" w:cs="Arial" w:eastAsia="Arial" w:hAnsi="Arial"/>
                <w:sz w:val="17"/>
                <w:szCs w:val="17"/>
                <w:color w:val="auto"/>
              </w:rPr>
              <w:t>Non-controlling interests</w:t>
            </w:r>
          </w:p>
        </w:tc>
        <w:tc>
          <w:tcPr>
            <w:tcW w:w="8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50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17,832</w:t>
            </w:r>
          </w:p>
        </w:tc>
        <w:tc>
          <w:tcPr>
            <w:tcW w:w="150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15,486</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41,069</w:t>
            </w:r>
          </w:p>
        </w:tc>
        <w:tc>
          <w:tcPr>
            <w:tcW w:w="28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32,332</w:t>
            </w:r>
          </w:p>
        </w:tc>
        <w:tc>
          <w:tcPr>
            <w:tcW w:w="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r>
      <w:tr>
        <w:trPr>
          <w:trHeight w:val="220"/>
        </w:trPr>
        <w:tc>
          <w:tcPr>
            <w:tcW w:w="5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13,916</w:t>
            </w:r>
          </w:p>
        </w:tc>
        <w:tc>
          <w:tcPr>
            <w:tcW w:w="3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(11,737</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57,963</w:t>
            </w:r>
          </w:p>
        </w:tc>
        <w:tc>
          <w:tcPr>
            <w:tcW w:w="2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(7,077</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1440" w:gutter="0" w:footer="0" w:header="0"/>
        </w:sectPr>
      </w:pPr>
    </w:p>
    <w:bookmarkStart w:id="30" w:name="page31"/>
    <w:bookmarkEnd w:id="30"/>
    <w:p>
      <w:pPr>
        <w:ind w:left="6"/>
        <w:spacing w:after="0"/>
        <w:rPr>
          <w:sz w:val="20"/>
          <w:szCs w:val="20"/>
          <w:color w:val="auto"/>
        </w:rPr>
      </w:pPr>
      <w:r>
        <w:rPr>
          <w:rFonts w:ascii="Arial" w:cs="Arial" w:eastAsia="Arial" w:hAnsi="Arial"/>
          <w:sz w:val="17"/>
          <w:szCs w:val="17"/>
          <w:b w:val="1"/>
          <w:bCs w:val="1"/>
          <w:color w:val="auto"/>
        </w:rPr>
        <w:t>GasLog Ltd. and its Subsidiaries</w:t>
      </w:r>
    </w:p>
    <w:p>
      <w:pPr>
        <w:spacing w:after="0" w:line="24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Unaudited condensed consolidated statements of changes in equity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For the six months ended June 30, 2018 and 2019</w:t>
      </w:r>
    </w:p>
    <w:p>
      <w:pPr>
        <w:spacing w:after="0" w:line="18"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(Amounts expressed in thousands of U.S. Dollars)</w:t>
      </w:r>
    </w:p>
    <w:p>
      <w:pPr>
        <w:spacing w:after="0" w:line="238"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Share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70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capital</w:t>
            </w: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Preference</w:t>
            </w: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Contributed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43"/>
              <w:spacing w:after="0"/>
              <w:rPr>
                <w:sz w:val="20"/>
                <w:szCs w:val="20"/>
                <w:color w:val="auto"/>
              </w:rPr>
            </w:pPr>
            <w:r>
              <w:rPr>
                <w:rFonts w:ascii="Arial" w:cs="Arial" w:eastAsia="Arial" w:hAnsi="Arial"/>
                <w:sz w:val="17"/>
                <w:szCs w:val="17"/>
                <w:b w:val="1"/>
                <w:bCs w:val="1"/>
                <w:color w:val="auto"/>
                <w:w w:val="91"/>
              </w:rPr>
              <w:t>Treasury</w:t>
            </w: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(Accumulated</w:t>
            </w: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Attributable</w:t>
            </w:r>
          </w:p>
        </w:tc>
        <w:tc>
          <w:tcPr>
            <w:tcW w:w="10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Non -</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2700" w:type="dxa"/>
            <w:vAlign w:val="bottom"/>
          </w:tcPr>
          <w:p>
            <w:pPr>
              <w:spacing w:after="0"/>
              <w:rPr>
                <w:sz w:val="18"/>
                <w:szCs w:val="18"/>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(Note</w:t>
            </w: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3"/>
              </w:rPr>
              <w:t>shares</w:t>
            </w: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surplus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143"/>
              <w:spacing w:after="0"/>
              <w:rPr>
                <w:sz w:val="20"/>
                <w:szCs w:val="20"/>
                <w:color w:val="auto"/>
              </w:rPr>
            </w:pPr>
            <w:r>
              <w:rPr>
                <w:rFonts w:ascii="Arial" w:cs="Arial" w:eastAsia="Arial" w:hAnsi="Arial"/>
                <w:sz w:val="17"/>
                <w:szCs w:val="17"/>
                <w:b w:val="1"/>
                <w:bCs w:val="1"/>
                <w:color w:val="auto"/>
                <w:w w:val="83"/>
              </w:rPr>
              <w:t>shares</w:t>
            </w: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deficit)/retained</w:t>
            </w: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to owners of</w:t>
            </w:r>
          </w:p>
        </w:tc>
        <w:tc>
          <w:tcPr>
            <w:tcW w:w="100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1"/>
              </w:rPr>
              <w:t>controlling</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27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b w:val="1"/>
                <w:bCs w:val="1"/>
                <w:color w:val="auto"/>
                <w:w w:val="97"/>
              </w:rPr>
              <w:t>13)</w:t>
            </w:r>
          </w:p>
        </w:tc>
        <w:tc>
          <w:tcPr>
            <w:tcW w:w="18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(Note 13)</w:t>
            </w:r>
          </w:p>
        </w:tc>
        <w:tc>
          <w:tcPr>
            <w:tcW w:w="11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(Note 13)</w:t>
            </w:r>
          </w:p>
        </w:tc>
        <w:tc>
          <w:tcPr>
            <w:tcW w:w="98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2"/>
              </w:rPr>
              <w:t>Reserves</w:t>
            </w:r>
          </w:p>
        </w:tc>
        <w:tc>
          <w:tcPr>
            <w:tcW w:w="960" w:type="dxa"/>
            <w:vAlign w:val="bottom"/>
            <w:gridSpan w:val="2"/>
          </w:tcPr>
          <w:p>
            <w:pPr>
              <w:jc w:val="center"/>
              <w:ind w:right="143"/>
              <w:spacing w:after="0"/>
              <w:rPr>
                <w:sz w:val="20"/>
                <w:szCs w:val="20"/>
                <w:color w:val="auto"/>
              </w:rPr>
            </w:pPr>
            <w:r>
              <w:rPr>
                <w:rFonts w:ascii="Arial" w:cs="Arial" w:eastAsia="Arial" w:hAnsi="Arial"/>
                <w:sz w:val="17"/>
                <w:szCs w:val="17"/>
                <w:b w:val="1"/>
                <w:bCs w:val="1"/>
                <w:color w:val="auto"/>
                <w:w w:val="90"/>
              </w:rPr>
              <w:t>(Note 13)</w:t>
            </w:r>
          </w:p>
        </w:tc>
        <w:tc>
          <w:tcPr>
            <w:tcW w:w="13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earnings</w:t>
            </w: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the Group</w:t>
            </w: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interests</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Total</w:t>
            </w:r>
          </w:p>
        </w:tc>
      </w:tr>
      <w:tr>
        <w:trPr>
          <w:trHeight w:val="214"/>
        </w:trPr>
        <w:tc>
          <w:tcPr>
            <w:tcW w:w="27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Balance as of December 31, 2017</w:t>
            </w:r>
          </w:p>
        </w:tc>
        <w:tc>
          <w:tcPr>
            <w:tcW w:w="580" w:type="dxa"/>
            <w:vAlign w:val="bottom"/>
            <w:tcBorders>
              <w:top w:val="single" w:sz="8" w:color="auto"/>
              <w:bottom w:val="single" w:sz="8" w:color="auto"/>
            </w:tcBorders>
            <w:shd w:val="clear" w:color="auto" w:fill="E5FFFF"/>
          </w:tcPr>
          <w:p>
            <w:pPr>
              <w:ind w:left="340"/>
              <w:spacing w:after="0"/>
              <w:rPr>
                <w:sz w:val="20"/>
                <w:szCs w:val="20"/>
                <w:color w:val="auto"/>
              </w:rPr>
            </w:pPr>
            <w:r>
              <w:rPr>
                <w:rFonts w:ascii="Arial" w:cs="Arial" w:eastAsia="Arial" w:hAnsi="Arial"/>
                <w:sz w:val="17"/>
                <w:szCs w:val="17"/>
                <w:b w:val="1"/>
                <w:bCs w:val="1"/>
                <w:color w:val="auto"/>
                <w:w w:val="77"/>
              </w:rPr>
              <w:t>810</w:t>
            </w:r>
          </w:p>
        </w:tc>
        <w:tc>
          <w:tcPr>
            <w:tcW w:w="18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w:t>
            </w:r>
          </w:p>
        </w:tc>
        <w:tc>
          <w:tcPr>
            <w:tcW w:w="18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911,766</w:t>
            </w:r>
          </w:p>
        </w:tc>
        <w:tc>
          <w:tcPr>
            <w:tcW w:w="16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18,347</w:t>
            </w:r>
          </w:p>
        </w:tc>
        <w:tc>
          <w:tcPr>
            <w:tcW w:w="18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(6,960)</w:t>
            </w:r>
          </w:p>
        </w:tc>
        <w:tc>
          <w:tcPr>
            <w:tcW w:w="16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(5,980)</w:t>
            </w:r>
          </w:p>
        </w:tc>
        <w:tc>
          <w:tcPr>
            <w:tcW w:w="180" w:type="dxa"/>
            <w:vAlign w:val="bottom"/>
            <w:tcBorders>
              <w:top w:val="single" w:sz="8" w:color="E5FFFF"/>
            </w:tcBorders>
            <w:shd w:val="clear" w:color="auto" w:fill="E5FFFF"/>
          </w:tcPr>
          <w:p>
            <w:pPr>
              <w:spacing w:after="0"/>
              <w:rPr>
                <w:sz w:val="18"/>
                <w:szCs w:val="18"/>
                <w:color w:val="auto"/>
              </w:rPr>
            </w:pPr>
          </w:p>
        </w:tc>
        <w:tc>
          <w:tcPr>
            <w:tcW w:w="9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918,029</w:t>
            </w:r>
          </w:p>
        </w:tc>
        <w:tc>
          <w:tcPr>
            <w:tcW w:w="18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845,105</w:t>
            </w:r>
          </w:p>
        </w:tc>
        <w:tc>
          <w:tcPr>
            <w:tcW w:w="18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1,763,134</w:t>
            </w:r>
          </w:p>
        </w:tc>
        <w:tc>
          <w:tcPr>
            <w:tcW w:w="160" w:type="dxa"/>
            <w:vAlign w:val="bottom"/>
            <w:tcBorders>
              <w:top w:val="single" w:sz="8" w:color="E5FFFF"/>
            </w:tcBorders>
            <w:shd w:val="clear" w:color="auto" w:fill="E5FFFF"/>
          </w:tcPr>
          <w:p>
            <w:pPr>
              <w:spacing w:after="0"/>
              <w:rPr>
                <w:sz w:val="18"/>
                <w:szCs w:val="18"/>
                <w:color w:val="auto"/>
              </w:rPr>
            </w:pPr>
          </w:p>
        </w:tc>
      </w:tr>
      <w:tr>
        <w:trPr>
          <w:trHeight w:val="208"/>
        </w:trPr>
        <w:tc>
          <w:tcPr>
            <w:tcW w:w="2700" w:type="dxa"/>
            <w:vAlign w:val="bottom"/>
            <w:tcBorders>
              <w:bottom w:val="single" w:sz="8" w:color="E5FFFF"/>
            </w:tcBorders>
          </w:tcPr>
          <w:p>
            <w:pPr>
              <w:spacing w:after="0" w:line="208" w:lineRule="exact"/>
              <w:rPr>
                <w:sz w:val="20"/>
                <w:szCs w:val="20"/>
                <w:color w:val="auto"/>
              </w:rPr>
            </w:pPr>
            <w:r>
              <w:rPr>
                <w:rFonts w:ascii="Arial" w:cs="Arial" w:eastAsia="Arial" w:hAnsi="Arial"/>
                <w:sz w:val="17"/>
                <w:szCs w:val="17"/>
                <w:color w:val="auto"/>
              </w:rPr>
              <w:t>Opening adjustment</w:t>
            </w:r>
            <w:r>
              <w:rPr>
                <w:rFonts w:ascii="Arial" w:cs="Arial" w:eastAsia="Arial" w:hAnsi="Arial"/>
                <w:sz w:val="22"/>
                <w:szCs w:val="22"/>
                <w:color w:val="auto"/>
                <w:vertAlign w:val="superscript"/>
              </w:rPr>
              <w:t>(1)</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w w:val="82"/>
              </w:rPr>
              <w:t>—</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8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18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60" w:type="dxa"/>
            <w:vAlign w:val="bottom"/>
            <w:tcBorders>
              <w:bottom w:val="single" w:sz="8" w:color="E5FFFF"/>
            </w:tcBorders>
          </w:tcPr>
          <w:p>
            <w:pPr>
              <w:spacing w:after="0"/>
              <w:rPr>
                <w:sz w:val="18"/>
                <w:szCs w:val="18"/>
                <w:color w:val="auto"/>
              </w:rPr>
            </w:pPr>
          </w:p>
        </w:tc>
      </w:tr>
      <w:tr>
        <w:trPr>
          <w:trHeight w:val="208"/>
        </w:trPr>
        <w:tc>
          <w:tcPr>
            <w:tcW w:w="27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Balance as of January 1, 2018</w:t>
            </w:r>
          </w:p>
        </w:tc>
        <w:tc>
          <w:tcPr>
            <w:tcW w:w="580" w:type="dxa"/>
            <w:vAlign w:val="bottom"/>
            <w:tcBorders>
              <w:bottom w:val="single" w:sz="8" w:color="auto"/>
            </w:tcBorders>
            <w:shd w:val="clear" w:color="auto" w:fill="E5FFFF"/>
          </w:tcPr>
          <w:p>
            <w:pPr>
              <w:ind w:left="340"/>
              <w:spacing w:after="0"/>
              <w:rPr>
                <w:sz w:val="20"/>
                <w:szCs w:val="20"/>
                <w:color w:val="auto"/>
              </w:rPr>
            </w:pPr>
            <w:r>
              <w:rPr>
                <w:rFonts w:ascii="Arial" w:cs="Arial" w:eastAsia="Arial" w:hAnsi="Arial"/>
                <w:sz w:val="17"/>
                <w:szCs w:val="17"/>
                <w:b w:val="1"/>
                <w:bCs w:val="1"/>
                <w:color w:val="auto"/>
                <w:w w:val="77"/>
              </w:rPr>
              <w:t>810</w:t>
            </w: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w:t>
            </w:r>
          </w:p>
        </w:tc>
        <w:tc>
          <w:tcPr>
            <w:tcW w:w="18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911,766</w:t>
            </w:r>
          </w:p>
        </w:tc>
        <w:tc>
          <w:tcPr>
            <w:tcW w:w="16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17,911</w:t>
            </w:r>
          </w:p>
        </w:tc>
        <w:tc>
          <w:tcPr>
            <w:tcW w:w="18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(6,960)</w:t>
            </w:r>
          </w:p>
        </w:tc>
        <w:tc>
          <w:tcPr>
            <w:tcW w:w="160" w:type="dxa"/>
            <w:vAlign w:val="bottom"/>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(5,790)</w:t>
            </w:r>
          </w:p>
        </w:tc>
        <w:tc>
          <w:tcPr>
            <w:tcW w:w="18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917,783</w:t>
            </w: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845,105</w:t>
            </w: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1,762,888</w:t>
            </w:r>
          </w:p>
        </w:tc>
        <w:tc>
          <w:tcPr>
            <w:tcW w:w="160" w:type="dxa"/>
            <w:vAlign w:val="bottom"/>
            <w:shd w:val="clear" w:color="auto" w:fill="E5FFFF"/>
          </w:tcPr>
          <w:p>
            <w:pPr>
              <w:spacing w:after="0"/>
              <w:rPr>
                <w:sz w:val="18"/>
                <w:szCs w:val="18"/>
                <w:color w:val="auto"/>
              </w:rPr>
            </w:pPr>
          </w:p>
        </w:tc>
      </w:tr>
      <w:tr>
        <w:trPr>
          <w:trHeight w:val="184"/>
        </w:trPr>
        <w:tc>
          <w:tcPr>
            <w:tcW w:w="2700" w:type="dxa"/>
            <w:vAlign w:val="bottom"/>
          </w:tcPr>
          <w:p>
            <w:pPr>
              <w:spacing w:after="0" w:line="185" w:lineRule="exact"/>
              <w:rPr>
                <w:sz w:val="20"/>
                <w:szCs w:val="20"/>
                <w:color w:val="auto"/>
              </w:rPr>
            </w:pPr>
            <w:r>
              <w:rPr>
                <w:rFonts w:ascii="Arial" w:cs="Arial" w:eastAsia="Arial" w:hAnsi="Arial"/>
                <w:sz w:val="17"/>
                <w:szCs w:val="17"/>
                <w:color w:val="auto"/>
                <w:w w:val="96"/>
              </w:rPr>
              <w:t>Net proceeds from GasLog Partners’</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700" w:type="dxa"/>
            <w:vAlign w:val="bottom"/>
          </w:tcPr>
          <w:p>
            <w:pPr>
              <w:ind w:left="160"/>
              <w:spacing w:after="0"/>
              <w:rPr>
                <w:sz w:val="20"/>
                <w:szCs w:val="20"/>
                <w:color w:val="auto"/>
              </w:rPr>
            </w:pPr>
            <w:r>
              <w:rPr>
                <w:rFonts w:ascii="Arial" w:cs="Arial" w:eastAsia="Arial" w:hAnsi="Arial"/>
                <w:sz w:val="17"/>
                <w:szCs w:val="17"/>
                <w:color w:val="auto"/>
              </w:rPr>
              <w:t>public offering</w:t>
            </w: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111,184</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111,184</w:t>
            </w:r>
          </w:p>
        </w:tc>
      </w:tr>
      <w:tr>
        <w:trPr>
          <w:trHeight w:val="211"/>
        </w:trPr>
        <w:tc>
          <w:tcPr>
            <w:tcW w:w="2700" w:type="dxa"/>
            <w:vAlign w:val="bottom"/>
            <w:shd w:val="clear" w:color="auto" w:fill="E5FFFF"/>
          </w:tcPr>
          <w:p>
            <w:pPr>
              <w:spacing w:after="0"/>
              <w:rPr>
                <w:sz w:val="20"/>
                <w:szCs w:val="20"/>
                <w:color w:val="auto"/>
              </w:rPr>
            </w:pPr>
            <w:r>
              <w:rPr>
                <w:rFonts w:ascii="Arial" w:cs="Arial" w:eastAsia="Arial" w:hAnsi="Arial"/>
                <w:sz w:val="17"/>
                <w:szCs w:val="17"/>
                <w:color w:val="auto"/>
              </w:rPr>
              <w:t>Dividend paid (common and</w:t>
            </w:r>
          </w:p>
        </w:tc>
        <w:tc>
          <w:tcPr>
            <w:tcW w:w="5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r>
      <w:tr>
        <w:trPr>
          <w:trHeight w:val="224"/>
        </w:trPr>
        <w:tc>
          <w:tcPr>
            <w:tcW w:w="27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preference shares)</w:t>
            </w:r>
          </w:p>
        </w:tc>
        <w:tc>
          <w:tcPr>
            <w:tcW w:w="760" w:type="dxa"/>
            <w:vAlign w:val="bottom"/>
            <w:gridSpan w:val="2"/>
            <w:shd w:val="clear" w:color="auto" w:fill="E5FFFF"/>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(28,452)</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5FFFF"/>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(28,452)</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(42,771)</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(71,223)</w:t>
            </w:r>
          </w:p>
        </w:tc>
      </w:tr>
      <w:tr>
        <w:trPr>
          <w:trHeight w:val="204"/>
        </w:trPr>
        <w:tc>
          <w:tcPr>
            <w:tcW w:w="2700" w:type="dxa"/>
            <w:vAlign w:val="bottom"/>
          </w:tcPr>
          <w:p>
            <w:pPr>
              <w:spacing w:after="0"/>
              <w:rPr>
                <w:sz w:val="20"/>
                <w:szCs w:val="20"/>
                <w:color w:val="auto"/>
              </w:rPr>
            </w:pPr>
            <w:r>
              <w:rPr>
                <w:rFonts w:ascii="Arial" w:cs="Arial" w:eastAsia="Arial" w:hAnsi="Arial"/>
                <w:sz w:val="17"/>
                <w:szCs w:val="17"/>
                <w:color w:val="auto"/>
              </w:rPr>
              <w:t>Share-based compensation, net of</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700" w:type="dxa"/>
            <w:vAlign w:val="bottom"/>
          </w:tcPr>
          <w:p>
            <w:pPr>
              <w:ind w:left="160"/>
              <w:spacing w:after="0"/>
              <w:rPr>
                <w:sz w:val="20"/>
                <w:szCs w:val="20"/>
                <w:color w:val="auto"/>
              </w:rPr>
            </w:pPr>
            <w:r>
              <w:rPr>
                <w:rFonts w:ascii="Arial" w:cs="Arial" w:eastAsia="Arial" w:hAnsi="Arial"/>
                <w:sz w:val="17"/>
                <w:szCs w:val="17"/>
                <w:color w:val="auto"/>
              </w:rPr>
              <w:t>accrued dividend</w:t>
            </w: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2,233</w:t>
            </w:r>
          </w:p>
        </w:tc>
        <w:tc>
          <w:tcPr>
            <w:tcW w:w="180" w:type="dxa"/>
            <w:vAlign w:val="bottom"/>
          </w:tcPr>
          <w:p>
            <w:pPr>
              <w:spacing w:after="0"/>
              <w:rPr>
                <w:sz w:val="18"/>
                <w:szCs w:val="18"/>
                <w:color w:val="auto"/>
              </w:rPr>
            </w:pP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2,233</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2,233</w:t>
            </w:r>
          </w:p>
        </w:tc>
      </w:tr>
      <w:tr>
        <w:trPr>
          <w:trHeight w:val="211"/>
        </w:trPr>
        <w:tc>
          <w:tcPr>
            <w:tcW w:w="2700" w:type="dxa"/>
            <w:vAlign w:val="bottom"/>
            <w:shd w:val="clear" w:color="auto" w:fill="E5FFFF"/>
          </w:tcPr>
          <w:p>
            <w:pPr>
              <w:spacing w:after="0"/>
              <w:rPr>
                <w:sz w:val="20"/>
                <w:szCs w:val="20"/>
                <w:color w:val="auto"/>
              </w:rPr>
            </w:pPr>
            <w:r>
              <w:rPr>
                <w:rFonts w:ascii="Arial" w:cs="Arial" w:eastAsia="Arial" w:hAnsi="Arial"/>
                <w:sz w:val="17"/>
                <w:szCs w:val="17"/>
                <w:color w:val="auto"/>
              </w:rPr>
              <w:t>Settlement of share-based</w:t>
            </w:r>
          </w:p>
        </w:tc>
        <w:tc>
          <w:tcPr>
            <w:tcW w:w="5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r>
      <w:tr>
        <w:trPr>
          <w:trHeight w:val="224"/>
        </w:trPr>
        <w:tc>
          <w:tcPr>
            <w:tcW w:w="27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compensation</w:t>
            </w:r>
          </w:p>
        </w:tc>
        <w:tc>
          <w:tcPr>
            <w:tcW w:w="760" w:type="dxa"/>
            <w:vAlign w:val="bottom"/>
            <w:gridSpan w:val="2"/>
            <w:shd w:val="clear" w:color="auto" w:fill="E5FFFF"/>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(2,464)</w:t>
            </w:r>
          </w:p>
        </w:tc>
        <w:tc>
          <w:tcPr>
            <w:tcW w:w="8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2,550</w:t>
            </w:r>
          </w:p>
        </w:tc>
        <w:tc>
          <w:tcPr>
            <w:tcW w:w="160" w:type="dxa"/>
            <w:vAlign w:val="bottom"/>
            <w:shd w:val="clear" w:color="auto" w:fill="E5FFFF"/>
          </w:tcPr>
          <w:p>
            <w:pPr>
              <w:spacing w:after="0"/>
              <w:rPr>
                <w:sz w:val="19"/>
                <w:szCs w:val="19"/>
                <w:color w:val="auto"/>
              </w:rPr>
            </w:pP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86</w:t>
            </w:r>
          </w:p>
        </w:tc>
        <w:tc>
          <w:tcPr>
            <w:tcW w:w="18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86</w:t>
            </w:r>
          </w:p>
        </w:tc>
      </w:tr>
      <w:tr>
        <w:trPr>
          <w:trHeight w:val="214"/>
        </w:trPr>
        <w:tc>
          <w:tcPr>
            <w:tcW w:w="2700" w:type="dxa"/>
            <w:vAlign w:val="bottom"/>
          </w:tcPr>
          <w:p>
            <w:pPr>
              <w:spacing w:after="0"/>
              <w:rPr>
                <w:sz w:val="20"/>
                <w:szCs w:val="20"/>
                <w:color w:val="auto"/>
              </w:rPr>
            </w:pPr>
            <w:r>
              <w:rPr>
                <w:rFonts w:ascii="Arial" w:cs="Arial" w:eastAsia="Arial" w:hAnsi="Arial"/>
                <w:sz w:val="17"/>
                <w:szCs w:val="17"/>
                <w:color w:val="auto"/>
              </w:rPr>
              <w:t>Treasury shares, net</w:t>
            </w: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3"/>
              <w:spacing w:after="0"/>
              <w:rPr>
                <w:sz w:val="20"/>
                <w:szCs w:val="20"/>
                <w:color w:val="auto"/>
              </w:rPr>
            </w:pPr>
            <w:r>
              <w:rPr>
                <w:rFonts w:ascii="Arial" w:cs="Arial" w:eastAsia="Arial" w:hAnsi="Arial"/>
                <w:sz w:val="17"/>
                <w:szCs w:val="17"/>
                <w:color w:val="auto"/>
              </w:rPr>
              <w:t>(62)</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(62)</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(62)</w:t>
            </w:r>
          </w:p>
        </w:tc>
      </w:tr>
      <w:tr>
        <w:trPr>
          <w:trHeight w:val="214"/>
        </w:trPr>
        <w:tc>
          <w:tcPr>
            <w:tcW w:w="2700" w:type="dxa"/>
            <w:vAlign w:val="bottom"/>
            <w:shd w:val="clear" w:color="auto" w:fill="E5FFFF"/>
          </w:tcPr>
          <w:p>
            <w:pPr>
              <w:spacing w:after="0"/>
              <w:rPr>
                <w:sz w:val="20"/>
                <w:szCs w:val="20"/>
                <w:color w:val="auto"/>
              </w:rPr>
            </w:pPr>
            <w:r>
              <w:rPr>
                <w:rFonts w:ascii="Arial" w:cs="Arial" w:eastAsia="Arial" w:hAnsi="Arial"/>
                <w:sz w:val="17"/>
                <w:szCs w:val="17"/>
                <w:color w:val="auto"/>
              </w:rPr>
              <w:t>Profit for the period</w:t>
            </w:r>
          </w:p>
        </w:tc>
        <w:tc>
          <w:tcPr>
            <w:tcW w:w="760" w:type="dxa"/>
            <w:vAlign w:val="bottom"/>
            <w:gridSpan w:val="2"/>
            <w:shd w:val="clear" w:color="auto" w:fill="E5FFFF"/>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5FFFF"/>
          </w:tcPr>
          <w:p>
            <w:pPr>
              <w:jc w:val="right"/>
              <w:ind w:right="123"/>
              <w:spacing w:after="0"/>
              <w:rPr>
                <w:sz w:val="20"/>
                <w:szCs w:val="20"/>
                <w:color w:val="auto"/>
              </w:rPr>
            </w:pPr>
            <w:r>
              <w:rPr>
                <w:rFonts w:ascii="Arial" w:cs="Arial" w:eastAsia="Arial" w:hAnsi="Arial"/>
                <w:sz w:val="17"/>
                <w:szCs w:val="17"/>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15,684</w:t>
            </w: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15,684</w:t>
            </w:r>
          </w:p>
        </w:tc>
        <w:tc>
          <w:tcPr>
            <w:tcW w:w="18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41,069</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56,753</w:t>
            </w:r>
          </w:p>
        </w:tc>
      </w:tr>
      <w:tr>
        <w:trPr>
          <w:trHeight w:val="204"/>
        </w:trPr>
        <w:tc>
          <w:tcPr>
            <w:tcW w:w="2700" w:type="dxa"/>
            <w:vAlign w:val="bottom"/>
          </w:tcPr>
          <w:p>
            <w:pPr>
              <w:spacing w:after="0"/>
              <w:rPr>
                <w:sz w:val="20"/>
                <w:szCs w:val="20"/>
                <w:color w:val="auto"/>
              </w:rPr>
            </w:pPr>
            <w:r>
              <w:rPr>
                <w:rFonts w:ascii="Arial" w:cs="Arial" w:eastAsia="Arial" w:hAnsi="Arial"/>
                <w:sz w:val="17"/>
                <w:szCs w:val="17"/>
                <w:color w:val="auto"/>
                <w:w w:val="97"/>
              </w:rPr>
              <w:t>Other comprehensive income for the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8"/>
        </w:trPr>
        <w:tc>
          <w:tcPr>
            <w:tcW w:w="2700" w:type="dxa"/>
            <w:vAlign w:val="bottom"/>
          </w:tcPr>
          <w:p>
            <w:pPr>
              <w:ind w:left="160"/>
              <w:spacing w:after="0"/>
              <w:rPr>
                <w:sz w:val="20"/>
                <w:szCs w:val="20"/>
                <w:color w:val="auto"/>
              </w:rPr>
            </w:pPr>
            <w:r>
              <w:rPr>
                <w:rFonts w:ascii="Arial" w:cs="Arial" w:eastAsia="Arial" w:hAnsi="Arial"/>
                <w:sz w:val="17"/>
                <w:szCs w:val="17"/>
                <w:color w:val="auto"/>
              </w:rPr>
              <w:t>period</w:t>
            </w: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1,210</w:t>
            </w:r>
          </w:p>
        </w:tc>
        <w:tc>
          <w:tcPr>
            <w:tcW w:w="180" w:type="dxa"/>
            <w:vAlign w:val="bottom"/>
          </w:tcPr>
          <w:p>
            <w:pPr>
              <w:spacing w:after="0"/>
              <w:rPr>
                <w:sz w:val="18"/>
                <w:szCs w:val="18"/>
                <w:color w:val="auto"/>
              </w:rPr>
            </w:pP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1,210</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1,210</w:t>
            </w:r>
          </w:p>
        </w:tc>
      </w:tr>
      <w:tr>
        <w:trPr>
          <w:trHeight w:val="184"/>
        </w:trPr>
        <w:tc>
          <w:tcPr>
            <w:tcW w:w="2700" w:type="dxa"/>
            <w:vAlign w:val="bottom"/>
            <w:tcBorders>
              <w:top w:val="single" w:sz="8" w:color="E5FFFF"/>
            </w:tcBorders>
            <w:shd w:val="clear" w:color="auto" w:fill="E5FFFF"/>
          </w:tcPr>
          <w:p>
            <w:pPr>
              <w:spacing w:after="0" w:line="184" w:lineRule="exact"/>
              <w:rPr>
                <w:sz w:val="20"/>
                <w:szCs w:val="20"/>
                <w:color w:val="auto"/>
              </w:rPr>
            </w:pPr>
            <w:r>
              <w:rPr>
                <w:rFonts w:ascii="Arial" w:cs="Arial" w:eastAsia="Arial" w:hAnsi="Arial"/>
                <w:sz w:val="17"/>
                <w:szCs w:val="17"/>
                <w:b w:val="1"/>
                <w:bCs w:val="1"/>
                <w:color w:val="auto"/>
              </w:rPr>
              <w:t>Total comprehensive income for</w:t>
            </w:r>
          </w:p>
        </w:tc>
        <w:tc>
          <w:tcPr>
            <w:tcW w:w="58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82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96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80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80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120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94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82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82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r>
      <w:tr>
        <w:trPr>
          <w:trHeight w:val="230"/>
        </w:trPr>
        <w:tc>
          <w:tcPr>
            <w:tcW w:w="2700" w:type="dxa"/>
            <w:vAlign w:val="bottom"/>
            <w:shd w:val="clear" w:color="auto" w:fill="E5FFFF"/>
          </w:tcPr>
          <w:p>
            <w:pPr>
              <w:ind w:left="160"/>
              <w:spacing w:after="0"/>
              <w:rPr>
                <w:sz w:val="20"/>
                <w:szCs w:val="20"/>
                <w:color w:val="auto"/>
              </w:rPr>
            </w:pPr>
            <w:r>
              <w:rPr>
                <w:rFonts w:ascii="Arial" w:cs="Arial" w:eastAsia="Arial" w:hAnsi="Arial"/>
                <w:sz w:val="17"/>
                <w:szCs w:val="17"/>
                <w:b w:val="1"/>
                <w:bCs w:val="1"/>
                <w:color w:val="auto"/>
              </w:rPr>
              <w:t>the period</w:t>
            </w:r>
          </w:p>
        </w:tc>
        <w:tc>
          <w:tcPr>
            <w:tcW w:w="760" w:type="dxa"/>
            <w:vAlign w:val="bottom"/>
            <w:gridSpan w:val="2"/>
            <w:shd w:val="clear" w:color="auto" w:fill="E5FFFF"/>
          </w:tcPr>
          <w:p>
            <w:pPr>
              <w:ind w:left="42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1,210</w:t>
            </w:r>
          </w:p>
        </w:tc>
        <w:tc>
          <w:tcPr>
            <w:tcW w:w="18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123"/>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15,684</w:t>
            </w: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16,894</w:t>
            </w:r>
          </w:p>
        </w:tc>
        <w:tc>
          <w:tcPr>
            <w:tcW w:w="18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b w:val="1"/>
                <w:bCs w:val="1"/>
                <w:color w:val="auto"/>
              </w:rPr>
              <w:t>41,069</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b w:val="1"/>
                <w:bCs w:val="1"/>
                <w:color w:val="auto"/>
              </w:rPr>
              <w:t>57,963</w:t>
            </w:r>
          </w:p>
        </w:tc>
      </w:tr>
      <w:tr>
        <w:trPr>
          <w:trHeight w:val="208"/>
        </w:trPr>
        <w:tc>
          <w:tcPr>
            <w:tcW w:w="270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Balance as of June 30, 2018</w:t>
            </w: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b w:val="1"/>
                <w:bCs w:val="1"/>
                <w:color w:val="auto"/>
                <w:w w:val="77"/>
              </w:rPr>
              <w:t>810</w:t>
            </w:r>
          </w:p>
        </w:tc>
        <w:tc>
          <w:tcPr>
            <w:tcW w:w="180" w:type="dxa"/>
            <w:vAlign w:val="bottom"/>
            <w:tcBorders>
              <w:bottom w:val="single" w:sz="8" w:color="E5FF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180" w:type="dxa"/>
            <w:vAlign w:val="bottom"/>
            <w:tcBorders>
              <w:bottom w:val="single" w:sz="8" w:color="E5FF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883,314</w:t>
            </w:r>
          </w:p>
        </w:tc>
        <w:tc>
          <w:tcPr>
            <w:tcW w:w="160" w:type="dxa"/>
            <w:vAlign w:val="bottom"/>
            <w:tcBorders>
              <w:bottom w:val="single" w:sz="8" w:color="E5FF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18,890</w:t>
            </w:r>
          </w:p>
        </w:tc>
        <w:tc>
          <w:tcPr>
            <w:tcW w:w="180" w:type="dxa"/>
            <w:vAlign w:val="bottom"/>
            <w:tcBorders>
              <w:bottom w:val="single" w:sz="8" w:color="E5FF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(4,472)</w:t>
            </w:r>
          </w:p>
        </w:tc>
        <w:tc>
          <w:tcPr>
            <w:tcW w:w="160" w:type="dxa"/>
            <w:vAlign w:val="bottom"/>
            <w:tcBorders>
              <w:bottom w:val="single" w:sz="8" w:color="E5FF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9,894</w:t>
            </w:r>
          </w:p>
        </w:tc>
        <w:tc>
          <w:tcPr>
            <w:tcW w:w="180" w:type="dxa"/>
            <w:vAlign w:val="bottom"/>
            <w:tcBorders>
              <w:bottom w:val="single" w:sz="8" w:color="E5FF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908,482</w:t>
            </w:r>
          </w:p>
        </w:tc>
        <w:tc>
          <w:tcPr>
            <w:tcW w:w="180" w:type="dxa"/>
            <w:vAlign w:val="bottom"/>
            <w:tcBorders>
              <w:bottom w:val="single" w:sz="8" w:color="E5FF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954,587</w:t>
            </w:r>
          </w:p>
        </w:tc>
        <w:tc>
          <w:tcPr>
            <w:tcW w:w="180" w:type="dxa"/>
            <w:vAlign w:val="bottom"/>
            <w:tcBorders>
              <w:bottom w:val="single" w:sz="8" w:color="E5FF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1,863,069</w:t>
            </w:r>
          </w:p>
        </w:tc>
        <w:tc>
          <w:tcPr>
            <w:tcW w:w="160" w:type="dxa"/>
            <w:vAlign w:val="bottom"/>
            <w:tcBorders>
              <w:bottom w:val="single" w:sz="8" w:color="E5FFFF"/>
            </w:tcBorders>
          </w:tcPr>
          <w:p>
            <w:pPr>
              <w:spacing w:after="0"/>
              <w:rPr>
                <w:sz w:val="18"/>
                <w:szCs w:val="18"/>
                <w:color w:val="auto"/>
              </w:rPr>
            </w:pPr>
          </w:p>
        </w:tc>
      </w:tr>
      <w:tr>
        <w:trPr>
          <w:trHeight w:val="208"/>
        </w:trPr>
        <w:tc>
          <w:tcPr>
            <w:tcW w:w="2700" w:type="dxa"/>
            <w:vAlign w:val="bottom"/>
            <w:shd w:val="clear" w:color="auto" w:fill="E5FFFF"/>
          </w:tcPr>
          <w:p>
            <w:pPr>
              <w:spacing w:after="0"/>
              <w:rPr>
                <w:sz w:val="18"/>
                <w:szCs w:val="18"/>
                <w:color w:val="auto"/>
              </w:rPr>
            </w:pPr>
          </w:p>
        </w:tc>
        <w:tc>
          <w:tcPr>
            <w:tcW w:w="580" w:type="dxa"/>
            <w:vAlign w:val="bottom"/>
            <w:tcBorders>
              <w:bottom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r>
      <w:tr>
        <w:trPr>
          <w:trHeight w:val="208"/>
        </w:trPr>
        <w:tc>
          <w:tcPr>
            <w:tcW w:w="270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Balance as of December 31, 2018</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w w:val="77"/>
              </w:rPr>
              <w:t>810</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18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850,576</w:t>
            </w:r>
          </w:p>
        </w:tc>
        <w:tc>
          <w:tcPr>
            <w:tcW w:w="16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18,962</w:t>
            </w:r>
          </w:p>
        </w:tc>
        <w:tc>
          <w:tcPr>
            <w:tcW w:w="18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(3,266)</w:t>
            </w:r>
          </w:p>
        </w:tc>
        <w:tc>
          <w:tcPr>
            <w:tcW w:w="16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12,614</w:t>
            </w:r>
          </w:p>
        </w:tc>
        <w:tc>
          <w:tcPr>
            <w:tcW w:w="18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879,742</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1,103,380</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1,983,122</w:t>
            </w:r>
          </w:p>
        </w:tc>
        <w:tc>
          <w:tcPr>
            <w:tcW w:w="160" w:type="dxa"/>
            <w:vAlign w:val="bottom"/>
            <w:tcBorders>
              <w:bottom w:val="single" w:sz="8" w:color="E5FFFF"/>
            </w:tcBorders>
          </w:tcPr>
          <w:p>
            <w:pPr>
              <w:spacing w:after="0"/>
              <w:rPr>
                <w:sz w:val="18"/>
                <w:szCs w:val="18"/>
                <w:color w:val="auto"/>
              </w:rPr>
            </w:pPr>
          </w:p>
        </w:tc>
      </w:tr>
      <w:tr>
        <w:trPr>
          <w:trHeight w:val="208"/>
        </w:trPr>
        <w:tc>
          <w:tcPr>
            <w:tcW w:w="2700" w:type="dxa"/>
            <w:vAlign w:val="bottom"/>
            <w:shd w:val="clear" w:color="auto" w:fill="E5FFFF"/>
          </w:tcPr>
          <w:p>
            <w:pPr>
              <w:spacing w:after="0" w:line="208" w:lineRule="exact"/>
              <w:rPr>
                <w:sz w:val="20"/>
                <w:szCs w:val="20"/>
                <w:color w:val="auto"/>
              </w:rPr>
            </w:pPr>
            <w:r>
              <w:rPr>
                <w:rFonts w:ascii="Arial" w:cs="Arial" w:eastAsia="Arial" w:hAnsi="Arial"/>
                <w:sz w:val="17"/>
                <w:szCs w:val="17"/>
                <w:color w:val="auto"/>
              </w:rPr>
              <w:t>Opening adjustment</w:t>
            </w:r>
            <w:r>
              <w:rPr>
                <w:rFonts w:ascii="Arial" w:cs="Arial" w:eastAsia="Arial" w:hAnsi="Arial"/>
                <w:sz w:val="22"/>
                <w:szCs w:val="22"/>
                <w:color w:val="auto"/>
                <w:vertAlign w:val="superscript"/>
              </w:rPr>
              <w:t>(2)</w:t>
            </w:r>
          </w:p>
        </w:tc>
        <w:tc>
          <w:tcPr>
            <w:tcW w:w="580" w:type="dxa"/>
            <w:vAlign w:val="bottom"/>
            <w:tcBorders>
              <w:bottom w:val="single" w:sz="8" w:color="auto"/>
            </w:tcBorders>
            <w:shd w:val="clear" w:color="auto" w:fill="E5FFFF"/>
          </w:tcPr>
          <w:p>
            <w:pPr>
              <w:ind w:left="420"/>
              <w:spacing w:after="0"/>
              <w:rPr>
                <w:sz w:val="20"/>
                <w:szCs w:val="20"/>
                <w:color w:val="auto"/>
              </w:rPr>
            </w:pPr>
            <w:r>
              <w:rPr>
                <w:rFonts w:ascii="Arial" w:cs="Arial" w:eastAsia="Arial" w:hAnsi="Arial"/>
                <w:sz w:val="17"/>
                <w:szCs w:val="17"/>
                <w:color w:val="auto"/>
                <w:w w:val="82"/>
              </w:rPr>
              <w:t>—</w:t>
            </w: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E5FFFF"/>
          </w:tcPr>
          <w:p>
            <w:pPr>
              <w:spacing w:after="0"/>
              <w:rPr>
                <w:sz w:val="18"/>
                <w:szCs w:val="18"/>
                <w:color w:val="auto"/>
              </w:rPr>
            </w:pP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215</w:t>
            </w:r>
          </w:p>
        </w:tc>
        <w:tc>
          <w:tcPr>
            <w:tcW w:w="180" w:type="dxa"/>
            <w:vAlign w:val="bottom"/>
            <w:shd w:val="clear" w:color="auto" w:fill="E5FFFF"/>
          </w:tcPr>
          <w:p>
            <w:pPr>
              <w:spacing w:after="0"/>
              <w:rPr>
                <w:sz w:val="18"/>
                <w:szCs w:val="18"/>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215</w:t>
            </w: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128</w:t>
            </w:r>
          </w:p>
        </w:tc>
        <w:tc>
          <w:tcPr>
            <w:tcW w:w="18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343</w:t>
            </w:r>
          </w:p>
        </w:tc>
        <w:tc>
          <w:tcPr>
            <w:tcW w:w="160" w:type="dxa"/>
            <w:vAlign w:val="bottom"/>
            <w:shd w:val="clear" w:color="auto" w:fill="E5FFFF"/>
          </w:tcPr>
          <w:p>
            <w:pPr>
              <w:spacing w:after="0"/>
              <w:rPr>
                <w:sz w:val="18"/>
                <w:szCs w:val="18"/>
                <w:color w:val="auto"/>
              </w:rPr>
            </w:pPr>
          </w:p>
        </w:tc>
      </w:tr>
      <w:tr>
        <w:trPr>
          <w:trHeight w:val="208"/>
        </w:trPr>
        <w:tc>
          <w:tcPr>
            <w:tcW w:w="270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Balance as of January 1, 2019</w:t>
            </w: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w w:val="77"/>
              </w:rPr>
              <w:t>810</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18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850,576</w:t>
            </w:r>
          </w:p>
        </w:tc>
        <w:tc>
          <w:tcPr>
            <w:tcW w:w="16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18,962</w:t>
            </w:r>
          </w:p>
        </w:tc>
        <w:tc>
          <w:tcPr>
            <w:tcW w:w="18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(3,266)</w:t>
            </w:r>
          </w:p>
        </w:tc>
        <w:tc>
          <w:tcPr>
            <w:tcW w:w="160" w:type="dxa"/>
            <w:vAlign w:val="bottom"/>
            <w:tcBorders>
              <w:bottom w:val="single" w:sz="8" w:color="E5FF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12,829</w:t>
            </w:r>
          </w:p>
        </w:tc>
        <w:tc>
          <w:tcPr>
            <w:tcW w:w="180" w:type="dxa"/>
            <w:vAlign w:val="bottom"/>
            <w:tcBorders>
              <w:bottom w:val="single" w:sz="8" w:color="E5FF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879,957</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1,103,508</w:t>
            </w:r>
          </w:p>
        </w:tc>
        <w:tc>
          <w:tcPr>
            <w:tcW w:w="18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1,983,465</w:t>
            </w:r>
          </w:p>
        </w:tc>
        <w:tc>
          <w:tcPr>
            <w:tcW w:w="160" w:type="dxa"/>
            <w:vAlign w:val="bottom"/>
            <w:tcBorders>
              <w:bottom w:val="single" w:sz="8" w:color="E5FFFF"/>
            </w:tcBorders>
          </w:tcPr>
          <w:p>
            <w:pPr>
              <w:spacing w:after="0"/>
              <w:rPr>
                <w:sz w:val="18"/>
                <w:szCs w:val="18"/>
                <w:color w:val="auto"/>
              </w:rPr>
            </w:pPr>
          </w:p>
        </w:tc>
      </w:tr>
      <w:tr>
        <w:trPr>
          <w:trHeight w:val="208"/>
        </w:trPr>
        <w:tc>
          <w:tcPr>
            <w:tcW w:w="2700" w:type="dxa"/>
            <w:vAlign w:val="bottom"/>
            <w:shd w:val="clear" w:color="auto" w:fill="E5FFFF"/>
          </w:tcPr>
          <w:p>
            <w:pPr>
              <w:spacing w:after="0"/>
              <w:rPr>
                <w:sz w:val="20"/>
                <w:szCs w:val="20"/>
                <w:color w:val="auto"/>
              </w:rPr>
            </w:pPr>
            <w:r>
              <w:rPr>
                <w:rFonts w:ascii="Arial" w:cs="Arial" w:eastAsia="Arial" w:hAnsi="Arial"/>
                <w:sz w:val="17"/>
                <w:szCs w:val="17"/>
                <w:color w:val="auto"/>
              </w:rPr>
              <w:t>Equity offering costs</w:t>
            </w:r>
          </w:p>
        </w:tc>
        <w:tc>
          <w:tcPr>
            <w:tcW w:w="580" w:type="dxa"/>
            <w:vAlign w:val="bottom"/>
            <w:shd w:val="clear" w:color="auto" w:fill="E5FFFF"/>
          </w:tcPr>
          <w:p>
            <w:pPr>
              <w:ind w:left="420"/>
              <w:spacing w:after="0"/>
              <w:rPr>
                <w:sz w:val="20"/>
                <w:szCs w:val="20"/>
                <w:color w:val="auto"/>
              </w:rPr>
            </w:pPr>
            <w:r>
              <w:rPr>
                <w:rFonts w:ascii="Arial" w:cs="Arial" w:eastAsia="Arial" w:hAnsi="Arial"/>
                <w:sz w:val="17"/>
                <w:szCs w:val="17"/>
                <w:color w:val="auto"/>
                <w:w w:val="82"/>
              </w:rPr>
              <w:t>—</w:t>
            </w: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FFFF"/>
          </w:tcPr>
          <w:p>
            <w:pPr>
              <w:spacing w:after="0"/>
              <w:rPr>
                <w:sz w:val="18"/>
                <w:szCs w:val="18"/>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(580)</w:t>
            </w: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FFFF"/>
          </w:tcPr>
          <w:p>
            <w:pPr>
              <w:spacing w:after="0"/>
              <w:rPr>
                <w:sz w:val="18"/>
                <w:szCs w:val="18"/>
                <w:color w:val="auto"/>
              </w:rPr>
            </w:pPr>
          </w:p>
        </w:tc>
        <w:tc>
          <w:tcPr>
            <w:tcW w:w="8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(580)</w:t>
            </w: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92</w:t>
            </w: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(488)</w:t>
            </w:r>
          </w:p>
        </w:tc>
        <w:tc>
          <w:tcPr>
            <w:tcW w:w="160" w:type="dxa"/>
            <w:vAlign w:val="bottom"/>
            <w:shd w:val="clear" w:color="auto" w:fill="E5FFFF"/>
          </w:tcPr>
          <w:p>
            <w:pPr>
              <w:spacing w:after="0"/>
              <w:rPr>
                <w:sz w:val="18"/>
                <w:szCs w:val="18"/>
                <w:color w:val="auto"/>
              </w:rPr>
            </w:pPr>
          </w:p>
        </w:tc>
      </w:tr>
      <w:tr>
        <w:trPr>
          <w:trHeight w:val="204"/>
        </w:trPr>
        <w:tc>
          <w:tcPr>
            <w:tcW w:w="2700" w:type="dxa"/>
            <w:vAlign w:val="bottom"/>
          </w:tcPr>
          <w:p>
            <w:pPr>
              <w:spacing w:after="0"/>
              <w:rPr>
                <w:sz w:val="20"/>
                <w:szCs w:val="20"/>
                <w:color w:val="auto"/>
              </w:rPr>
            </w:pPr>
            <w:r>
              <w:rPr>
                <w:rFonts w:ascii="Arial" w:cs="Arial" w:eastAsia="Arial" w:hAnsi="Arial"/>
                <w:sz w:val="17"/>
                <w:szCs w:val="17"/>
                <w:color w:val="auto"/>
              </w:rPr>
              <w:t>Dividend paid (common and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700" w:type="dxa"/>
            <w:vAlign w:val="bottom"/>
          </w:tcPr>
          <w:p>
            <w:pPr>
              <w:ind w:left="160"/>
              <w:spacing w:after="0"/>
              <w:rPr>
                <w:sz w:val="20"/>
                <w:szCs w:val="20"/>
                <w:color w:val="auto"/>
              </w:rPr>
            </w:pPr>
            <w:r>
              <w:rPr>
                <w:rFonts w:ascii="Arial" w:cs="Arial" w:eastAsia="Arial" w:hAnsi="Arial"/>
                <w:sz w:val="17"/>
                <w:szCs w:val="17"/>
                <w:color w:val="auto"/>
              </w:rPr>
              <w:t>preference shares) (Notes 3, 13)</w:t>
            </w: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(29,289)</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(29,289)</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(52,822)</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(82,111)</w:t>
            </w:r>
          </w:p>
        </w:tc>
      </w:tr>
      <w:tr>
        <w:trPr>
          <w:trHeight w:val="211"/>
        </w:trPr>
        <w:tc>
          <w:tcPr>
            <w:tcW w:w="2700" w:type="dxa"/>
            <w:vAlign w:val="bottom"/>
            <w:shd w:val="clear" w:color="auto" w:fill="E5FFFF"/>
          </w:tcPr>
          <w:p>
            <w:pPr>
              <w:spacing w:after="0"/>
              <w:rPr>
                <w:sz w:val="20"/>
                <w:szCs w:val="20"/>
                <w:color w:val="auto"/>
              </w:rPr>
            </w:pPr>
            <w:r>
              <w:rPr>
                <w:rFonts w:ascii="Arial" w:cs="Arial" w:eastAsia="Arial" w:hAnsi="Arial"/>
                <w:sz w:val="17"/>
                <w:szCs w:val="17"/>
                <w:color w:val="auto"/>
              </w:rPr>
              <w:t>Share-based compensation, net of</w:t>
            </w:r>
          </w:p>
        </w:tc>
        <w:tc>
          <w:tcPr>
            <w:tcW w:w="5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r>
      <w:tr>
        <w:trPr>
          <w:trHeight w:val="224"/>
        </w:trPr>
        <w:tc>
          <w:tcPr>
            <w:tcW w:w="27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accrued dividend (Note 18)</w:t>
            </w:r>
          </w:p>
        </w:tc>
        <w:tc>
          <w:tcPr>
            <w:tcW w:w="760" w:type="dxa"/>
            <w:vAlign w:val="bottom"/>
            <w:gridSpan w:val="2"/>
            <w:shd w:val="clear" w:color="auto" w:fill="E5FFFF"/>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w:t>
            </w:r>
          </w:p>
        </w:tc>
        <w:tc>
          <w:tcPr>
            <w:tcW w:w="8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2,306</w:t>
            </w:r>
          </w:p>
        </w:tc>
        <w:tc>
          <w:tcPr>
            <w:tcW w:w="180" w:type="dxa"/>
            <w:vAlign w:val="bottom"/>
            <w:shd w:val="clear" w:color="auto" w:fill="E5FFFF"/>
          </w:tcPr>
          <w:p>
            <w:pPr>
              <w:spacing w:after="0"/>
              <w:rPr>
                <w:sz w:val="19"/>
                <w:szCs w:val="19"/>
                <w:color w:val="auto"/>
              </w:rPr>
            </w:pPr>
          </w:p>
        </w:tc>
        <w:tc>
          <w:tcPr>
            <w:tcW w:w="960" w:type="dxa"/>
            <w:vAlign w:val="bottom"/>
            <w:gridSpan w:val="2"/>
            <w:shd w:val="clear" w:color="auto" w:fill="E5FFFF"/>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2,306</w:t>
            </w:r>
          </w:p>
        </w:tc>
        <w:tc>
          <w:tcPr>
            <w:tcW w:w="18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2,306</w:t>
            </w:r>
          </w:p>
        </w:tc>
      </w:tr>
      <w:tr>
        <w:trPr>
          <w:trHeight w:val="204"/>
        </w:trPr>
        <w:tc>
          <w:tcPr>
            <w:tcW w:w="2700" w:type="dxa"/>
            <w:vAlign w:val="bottom"/>
          </w:tcPr>
          <w:p>
            <w:pPr>
              <w:spacing w:after="0"/>
              <w:rPr>
                <w:sz w:val="20"/>
                <w:szCs w:val="20"/>
                <w:color w:val="auto"/>
              </w:rPr>
            </w:pPr>
            <w:r>
              <w:rPr>
                <w:rFonts w:ascii="Arial" w:cs="Arial" w:eastAsia="Arial" w:hAnsi="Arial"/>
                <w:sz w:val="17"/>
                <w:szCs w:val="17"/>
                <w:color w:val="auto"/>
              </w:rPr>
              <w:t>Settlement of share-based</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700" w:type="dxa"/>
            <w:vAlign w:val="bottom"/>
          </w:tcPr>
          <w:p>
            <w:pPr>
              <w:ind w:left="160"/>
              <w:spacing w:after="0"/>
              <w:rPr>
                <w:sz w:val="20"/>
                <w:szCs w:val="20"/>
                <w:color w:val="auto"/>
              </w:rPr>
            </w:pPr>
            <w:r>
              <w:rPr>
                <w:rFonts w:ascii="Arial" w:cs="Arial" w:eastAsia="Arial" w:hAnsi="Arial"/>
                <w:sz w:val="17"/>
                <w:szCs w:val="17"/>
                <w:color w:val="auto"/>
              </w:rPr>
              <w:t>compensation</w:t>
            </w: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(4,630)</w:t>
            </w:r>
          </w:p>
        </w:tc>
        <w:tc>
          <w:tcPr>
            <w:tcW w:w="800" w:type="dxa"/>
            <w:vAlign w:val="bottom"/>
          </w:tcPr>
          <w:p>
            <w:pPr>
              <w:jc w:val="right"/>
              <w:spacing w:after="0"/>
              <w:rPr>
                <w:sz w:val="20"/>
                <w:szCs w:val="20"/>
                <w:color w:val="auto"/>
              </w:rPr>
            </w:pPr>
            <w:r>
              <w:rPr>
                <w:rFonts w:ascii="Arial" w:cs="Arial" w:eastAsia="Arial" w:hAnsi="Arial"/>
                <w:sz w:val="17"/>
                <w:szCs w:val="17"/>
                <w:color w:val="auto"/>
              </w:rPr>
              <w:t>4,676</w:t>
            </w:r>
          </w:p>
        </w:tc>
        <w:tc>
          <w:tcPr>
            <w:tcW w:w="1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46</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r>
      <w:tr>
        <w:trPr>
          <w:trHeight w:val="221"/>
        </w:trPr>
        <w:tc>
          <w:tcPr>
            <w:tcW w:w="2700" w:type="dxa"/>
            <w:vAlign w:val="bottom"/>
            <w:shd w:val="clear" w:color="auto" w:fill="E5FFFF"/>
          </w:tcPr>
          <w:p>
            <w:pPr>
              <w:spacing w:after="0"/>
              <w:rPr>
                <w:sz w:val="20"/>
                <w:szCs w:val="20"/>
                <w:color w:val="auto"/>
              </w:rPr>
            </w:pPr>
            <w:r>
              <w:rPr>
                <w:rFonts w:ascii="Arial" w:cs="Arial" w:eastAsia="Arial" w:hAnsi="Arial"/>
                <w:sz w:val="17"/>
                <w:szCs w:val="17"/>
                <w:color w:val="auto"/>
              </w:rPr>
              <w:t>Treasury shares, net</w:t>
            </w:r>
          </w:p>
        </w:tc>
        <w:tc>
          <w:tcPr>
            <w:tcW w:w="760" w:type="dxa"/>
            <w:vAlign w:val="bottom"/>
            <w:gridSpan w:val="2"/>
            <w:shd w:val="clear" w:color="auto" w:fill="E5FFFF"/>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E5FFFF"/>
          </w:tcPr>
          <w:p>
            <w:pPr>
              <w:jc w:val="right"/>
              <w:ind w:right="83"/>
              <w:spacing w:after="0"/>
              <w:rPr>
                <w:sz w:val="20"/>
                <w:szCs w:val="20"/>
                <w:color w:val="auto"/>
              </w:rPr>
            </w:pPr>
            <w:r>
              <w:rPr>
                <w:rFonts w:ascii="Arial" w:cs="Arial" w:eastAsia="Arial" w:hAnsi="Arial"/>
                <w:sz w:val="17"/>
                <w:szCs w:val="17"/>
                <w:color w:val="auto"/>
              </w:rPr>
              <w:t>(3,752)</w:t>
            </w: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(3,752)</w:t>
            </w:r>
          </w:p>
        </w:tc>
        <w:tc>
          <w:tcPr>
            <w:tcW w:w="10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(9,921)</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(13,673)</w:t>
            </w:r>
          </w:p>
        </w:tc>
      </w:tr>
      <w:tr>
        <w:trPr>
          <w:trHeight w:val="214"/>
        </w:trPr>
        <w:tc>
          <w:tcPr>
            <w:tcW w:w="2700" w:type="dxa"/>
            <w:vAlign w:val="bottom"/>
          </w:tcPr>
          <w:p>
            <w:pPr>
              <w:spacing w:after="0"/>
              <w:rPr>
                <w:sz w:val="20"/>
                <w:szCs w:val="20"/>
                <w:color w:val="auto"/>
              </w:rPr>
            </w:pPr>
            <w:r>
              <w:rPr>
                <w:rFonts w:ascii="Arial" w:cs="Arial" w:eastAsia="Arial" w:hAnsi="Arial"/>
                <w:sz w:val="17"/>
                <w:szCs w:val="17"/>
                <w:color w:val="auto"/>
              </w:rPr>
              <w:t>(Loss)/profit for the period</w:t>
            </w:r>
          </w:p>
        </w:tc>
        <w:tc>
          <w:tcPr>
            <w:tcW w:w="76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(36,945)</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(36,945)</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32,332</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(4,613)</w:t>
            </w:r>
          </w:p>
        </w:tc>
      </w:tr>
      <w:tr>
        <w:trPr>
          <w:trHeight w:val="204"/>
        </w:trPr>
        <w:tc>
          <w:tcPr>
            <w:tcW w:w="2700" w:type="dxa"/>
            <w:vAlign w:val="bottom"/>
            <w:shd w:val="clear" w:color="auto" w:fill="E5FFFF"/>
          </w:tcPr>
          <w:p>
            <w:pPr>
              <w:spacing w:after="0"/>
              <w:rPr>
                <w:sz w:val="20"/>
                <w:szCs w:val="20"/>
                <w:color w:val="auto"/>
              </w:rPr>
            </w:pPr>
            <w:r>
              <w:rPr>
                <w:rFonts w:ascii="Arial" w:cs="Arial" w:eastAsia="Arial" w:hAnsi="Arial"/>
                <w:sz w:val="17"/>
                <w:szCs w:val="17"/>
                <w:color w:val="auto"/>
              </w:rPr>
              <w:t>Other comprehensive loss for the</w:t>
            </w:r>
          </w:p>
        </w:tc>
        <w:tc>
          <w:tcPr>
            <w:tcW w:w="58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9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r>
      <w:tr>
        <w:trPr>
          <w:trHeight w:val="224"/>
        </w:trPr>
        <w:tc>
          <w:tcPr>
            <w:tcW w:w="27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period</w:t>
            </w:r>
          </w:p>
        </w:tc>
        <w:tc>
          <w:tcPr>
            <w:tcW w:w="760" w:type="dxa"/>
            <w:vAlign w:val="bottom"/>
            <w:gridSpan w:val="2"/>
            <w:shd w:val="clear" w:color="auto" w:fill="E5FFFF"/>
          </w:tcPr>
          <w:p>
            <w:pPr>
              <w:ind w:left="4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(2,464)</w:t>
            </w:r>
          </w:p>
        </w:tc>
        <w:tc>
          <w:tcPr>
            <w:tcW w:w="960" w:type="dxa"/>
            <w:vAlign w:val="bottom"/>
            <w:gridSpan w:val="2"/>
            <w:shd w:val="clear" w:color="auto" w:fill="E5FFFF"/>
          </w:tcPr>
          <w:p>
            <w:pPr>
              <w:jc w:val="right"/>
              <w:ind w:right="123"/>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E5FF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(2,464)</w:t>
            </w:r>
          </w:p>
        </w:tc>
        <w:tc>
          <w:tcPr>
            <w:tcW w:w="100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(2,464)</w:t>
            </w:r>
          </w:p>
        </w:tc>
      </w:tr>
      <w:tr>
        <w:trPr>
          <w:trHeight w:val="178"/>
        </w:trPr>
        <w:tc>
          <w:tcPr>
            <w:tcW w:w="2700" w:type="dxa"/>
            <w:vAlign w:val="bottom"/>
          </w:tcPr>
          <w:p>
            <w:pPr>
              <w:spacing w:after="0" w:line="178" w:lineRule="exact"/>
              <w:rPr>
                <w:sz w:val="20"/>
                <w:szCs w:val="20"/>
                <w:color w:val="auto"/>
              </w:rPr>
            </w:pPr>
            <w:r>
              <w:rPr>
                <w:rFonts w:ascii="Arial" w:cs="Arial" w:eastAsia="Arial" w:hAnsi="Arial"/>
                <w:sz w:val="17"/>
                <w:szCs w:val="17"/>
                <w:b w:val="1"/>
                <w:bCs w:val="1"/>
                <w:color w:val="auto"/>
                <w:w w:val="94"/>
              </w:rPr>
              <w:t>Total comprehensive (loss)/income</w:t>
            </w:r>
          </w:p>
        </w:tc>
        <w:tc>
          <w:tcPr>
            <w:tcW w:w="5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22"/>
        </w:trPr>
        <w:tc>
          <w:tcPr>
            <w:tcW w:w="2700" w:type="dxa"/>
            <w:vAlign w:val="bottom"/>
          </w:tcPr>
          <w:p>
            <w:pPr>
              <w:ind w:left="160"/>
              <w:spacing w:after="0"/>
              <w:rPr>
                <w:sz w:val="20"/>
                <w:szCs w:val="20"/>
                <w:color w:val="auto"/>
              </w:rPr>
            </w:pPr>
            <w:r>
              <w:rPr>
                <w:rFonts w:ascii="Arial" w:cs="Arial" w:eastAsia="Arial" w:hAnsi="Arial"/>
                <w:sz w:val="17"/>
                <w:szCs w:val="17"/>
                <w:b w:val="1"/>
                <w:bCs w:val="1"/>
                <w:color w:val="auto"/>
              </w:rPr>
              <w:t>for the period</w:t>
            </w:r>
          </w:p>
        </w:tc>
        <w:tc>
          <w:tcPr>
            <w:tcW w:w="760" w:type="dxa"/>
            <w:vAlign w:val="bottom"/>
            <w:gridSpan w:val="2"/>
          </w:tcPr>
          <w:p>
            <w:pPr>
              <w:ind w:left="42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(2,464)</w:t>
            </w:r>
          </w:p>
        </w:tc>
        <w:tc>
          <w:tcPr>
            <w:tcW w:w="960" w:type="dxa"/>
            <w:vAlign w:val="bottom"/>
            <w:gridSpan w:val="2"/>
          </w:tcPr>
          <w:p>
            <w:pPr>
              <w:jc w:val="right"/>
              <w:ind w:right="123"/>
              <w:spacing w:after="0"/>
              <w:rPr>
                <w:sz w:val="20"/>
                <w:szCs w:val="20"/>
                <w:color w:val="auto"/>
              </w:rPr>
            </w:pPr>
            <w:r>
              <w:rPr>
                <w:rFonts w:ascii="Arial" w:cs="Arial" w:eastAsia="Arial" w:hAnsi="Arial"/>
                <w:sz w:val="17"/>
                <w:szCs w:val="17"/>
                <w:b w:val="1"/>
                <w:bCs w:val="1"/>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(36,945)</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(39,409)</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32,332</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(7,077)</w:t>
            </w:r>
          </w:p>
        </w:tc>
      </w:tr>
      <w:tr>
        <w:trPr>
          <w:trHeight w:val="21"/>
        </w:trPr>
        <w:tc>
          <w:tcPr>
            <w:tcW w:w="2700" w:type="dxa"/>
            <w:vAlign w:val="bottom"/>
            <w:tcBorders>
              <w:bottom w:val="single" w:sz="8" w:color="E5FF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FF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FFFF"/>
            </w:tcBorders>
          </w:tcPr>
          <w:p>
            <w:pPr>
              <w:spacing w:after="0" w:line="20" w:lineRule="exact"/>
              <w:rPr>
                <w:sz w:val="1"/>
                <w:szCs w:val="1"/>
                <w:color w:val="auto"/>
              </w:rPr>
            </w:pPr>
          </w:p>
        </w:tc>
      </w:tr>
      <w:tr>
        <w:trPr>
          <w:trHeight w:val="222"/>
        </w:trPr>
        <w:tc>
          <w:tcPr>
            <w:tcW w:w="27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Balance as of June 30, 2019</w:t>
            </w:r>
          </w:p>
        </w:tc>
        <w:tc>
          <w:tcPr>
            <w:tcW w:w="580" w:type="dxa"/>
            <w:vAlign w:val="bottom"/>
            <w:tcBorders>
              <w:bottom w:val="single" w:sz="8" w:color="auto"/>
            </w:tcBorders>
            <w:shd w:val="clear" w:color="auto" w:fill="E5FFFF"/>
          </w:tcPr>
          <w:p>
            <w:pPr>
              <w:ind w:left="340"/>
              <w:spacing w:after="0"/>
              <w:rPr>
                <w:sz w:val="20"/>
                <w:szCs w:val="20"/>
                <w:color w:val="auto"/>
              </w:rPr>
            </w:pPr>
            <w:r>
              <w:rPr>
                <w:rFonts w:ascii="Arial" w:cs="Arial" w:eastAsia="Arial" w:hAnsi="Arial"/>
                <w:sz w:val="17"/>
                <w:szCs w:val="17"/>
                <w:b w:val="1"/>
                <w:bCs w:val="1"/>
                <w:color w:val="auto"/>
                <w:w w:val="77"/>
              </w:rPr>
              <w:t>810</w:t>
            </w:r>
          </w:p>
        </w:tc>
        <w:tc>
          <w:tcPr>
            <w:tcW w:w="180" w:type="dxa"/>
            <w:vAlign w:val="bottom"/>
            <w:tcBorders>
              <w:bottom w:val="single" w:sz="8" w:color="E5FFFF"/>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w:t>
            </w:r>
          </w:p>
        </w:tc>
        <w:tc>
          <w:tcPr>
            <w:tcW w:w="180" w:type="dxa"/>
            <w:vAlign w:val="bottom"/>
            <w:tcBorders>
              <w:bottom w:val="single" w:sz="8" w:color="E5FFFF"/>
            </w:tcBorders>
            <w:shd w:val="clear" w:color="auto" w:fill="E5FFFF"/>
          </w:tcPr>
          <w:p>
            <w:pPr>
              <w:spacing w:after="0"/>
              <w:rPr>
                <w:sz w:val="19"/>
                <w:szCs w:val="19"/>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820,707</w:t>
            </w:r>
          </w:p>
        </w:tc>
        <w:tc>
          <w:tcPr>
            <w:tcW w:w="160" w:type="dxa"/>
            <w:vAlign w:val="bottom"/>
            <w:tcBorders>
              <w:bottom w:val="single" w:sz="8" w:color="E5FFFF"/>
            </w:tcBorders>
            <w:shd w:val="clear" w:color="auto" w:fill="E5FFFF"/>
          </w:tcPr>
          <w:p>
            <w:pPr>
              <w:spacing w:after="0"/>
              <w:rPr>
                <w:sz w:val="19"/>
                <w:szCs w:val="19"/>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14,174</w:t>
            </w:r>
          </w:p>
        </w:tc>
        <w:tc>
          <w:tcPr>
            <w:tcW w:w="180" w:type="dxa"/>
            <w:vAlign w:val="bottom"/>
            <w:tcBorders>
              <w:bottom w:val="single" w:sz="8" w:color="E5FFFF"/>
            </w:tcBorders>
            <w:shd w:val="clear" w:color="auto" w:fill="E5FFFF"/>
          </w:tcPr>
          <w:p>
            <w:pPr>
              <w:spacing w:after="0"/>
              <w:rPr>
                <w:sz w:val="19"/>
                <w:szCs w:val="19"/>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(2,342</w:t>
            </w:r>
          </w:p>
        </w:tc>
        <w:tc>
          <w:tcPr>
            <w:tcW w:w="160" w:type="dxa"/>
            <w:vAlign w:val="bottom"/>
            <w:tcBorders>
              <w:bottom w:val="single" w:sz="8" w:color="E5FFFF"/>
            </w:tcBorders>
            <w:shd w:val="clear" w:color="auto" w:fill="E5FFFF"/>
          </w:tcPr>
          <w:p>
            <w:pPr>
              <w:jc w:val="right"/>
              <w:ind w:right="83"/>
              <w:spacing w:after="0"/>
              <w:rPr>
                <w:sz w:val="20"/>
                <w:szCs w:val="20"/>
                <w:color w:val="auto"/>
              </w:rPr>
            </w:pPr>
            <w:r>
              <w:rPr>
                <w:rFonts w:ascii="Arial" w:cs="Arial" w:eastAsia="Arial" w:hAnsi="Arial"/>
                <w:sz w:val="7"/>
                <w:szCs w:val="7"/>
                <w:b w:val="1"/>
                <w:bCs w:val="1"/>
                <w:color w:val="auto"/>
                <w:w w:val="83"/>
              </w:rPr>
              <w:t>)</w:t>
            </w:r>
          </w:p>
        </w:tc>
        <w:tc>
          <w:tcPr>
            <w:tcW w:w="12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(24,116</w:t>
            </w:r>
          </w:p>
        </w:tc>
        <w:tc>
          <w:tcPr>
            <w:tcW w:w="180" w:type="dxa"/>
            <w:vAlign w:val="bottom"/>
            <w:tcBorders>
              <w:bottom w:val="single" w:sz="8" w:color="E5FFFF"/>
            </w:tcBorders>
            <w:shd w:val="clear" w:color="auto" w:fill="E5FF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809,279</w:t>
            </w:r>
          </w:p>
        </w:tc>
        <w:tc>
          <w:tcPr>
            <w:tcW w:w="180" w:type="dxa"/>
            <w:vAlign w:val="bottom"/>
            <w:tcBorders>
              <w:bottom w:val="single" w:sz="8" w:color="E5FFFF"/>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1,073,189</w:t>
            </w:r>
          </w:p>
        </w:tc>
        <w:tc>
          <w:tcPr>
            <w:tcW w:w="180" w:type="dxa"/>
            <w:vAlign w:val="bottom"/>
            <w:tcBorders>
              <w:bottom w:val="single" w:sz="8" w:color="E5FFFF"/>
            </w:tcBorders>
            <w:shd w:val="clear" w:color="auto" w:fill="E5FFFF"/>
          </w:tcPr>
          <w:p>
            <w:pPr>
              <w:spacing w:after="0"/>
              <w:rPr>
                <w:sz w:val="19"/>
                <w:szCs w:val="19"/>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1,882,468</w:t>
            </w:r>
          </w:p>
        </w:tc>
        <w:tc>
          <w:tcPr>
            <w:tcW w:w="160" w:type="dxa"/>
            <w:vAlign w:val="bottom"/>
            <w:tcBorders>
              <w:bottom w:val="single" w:sz="8" w:color="E5FFFF"/>
            </w:tcBorders>
            <w:shd w:val="clear" w:color="auto" w:fill="E5FF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46" w:right="420" w:hanging="146"/>
        <w:spacing w:after="0" w:line="227" w:lineRule="auto"/>
        <w:tabs>
          <w:tab w:leader="none" w:pos="14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 xml:space="preserve">Adjusted so as to reflect certain amendments introduced due to the adoption of International Financial Reporting Standard (“IFRS”)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and IFRS 9 </w:t>
      </w:r>
      <w:r>
        <w:rPr>
          <w:rFonts w:ascii="Arial" w:cs="Arial" w:eastAsia="Arial" w:hAnsi="Arial"/>
          <w:sz w:val="14"/>
          <w:szCs w:val="14"/>
          <w:i w:val="1"/>
          <w:iCs w:val="1"/>
          <w:color w:val="auto"/>
        </w:rPr>
        <w:t>Financial Instruments</w:t>
      </w:r>
      <w:r>
        <w:rPr>
          <w:rFonts w:ascii="Arial" w:cs="Arial" w:eastAsia="Arial" w:hAnsi="Arial"/>
          <w:sz w:val="14"/>
          <w:szCs w:val="14"/>
          <w:color w:val="auto"/>
        </w:rPr>
        <w:t>, which became effective on January 1, 2018.</w:t>
      </w:r>
    </w:p>
    <w:p>
      <w:pPr>
        <w:spacing w:after="0" w:line="61" w:lineRule="exact"/>
        <w:rPr>
          <w:rFonts w:ascii="Arial" w:cs="Arial" w:eastAsia="Arial" w:hAnsi="Arial"/>
          <w:sz w:val="18"/>
          <w:szCs w:val="18"/>
          <w:color w:val="auto"/>
          <w:vertAlign w:val="superscript"/>
        </w:rPr>
      </w:pPr>
    </w:p>
    <w:p>
      <w:pPr>
        <w:ind w:left="146" w:hanging="146"/>
        <w:spacing w:after="0"/>
        <w:tabs>
          <w:tab w:leader="none" w:pos="146"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 xml:space="preserve">Restated so as to reflect an adjustment introduced due to the adoption of IFRS 16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January 1, 2019 (Note 2(a)).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47"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7646670" cy="31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2" w:right="12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2"/>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GasLog Ltd. and its Subsidiaries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Unaudited condensed consolidated statements of cash flows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For the six months ended June 30, 2018 and 2019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(Amounts expressed in thousands of U.S. Dollars)</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4"/>
          </w:tcPr>
          <w:p>
            <w:pPr>
              <w:jc w:val="right"/>
              <w:ind w:right="920"/>
              <w:spacing w:after="0"/>
              <w:rPr>
                <w:sz w:val="20"/>
                <w:szCs w:val="20"/>
                <w:color w:val="auto"/>
              </w:rPr>
            </w:pPr>
            <w:r>
              <w:rPr>
                <w:rFonts w:ascii="Arial" w:cs="Arial" w:eastAsia="Arial" w:hAnsi="Arial"/>
                <w:sz w:val="17"/>
                <w:szCs w:val="17"/>
                <w:b w:val="1"/>
                <w:bCs w:val="1"/>
                <w:color w:val="auto"/>
              </w:rPr>
              <w:t>For the 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860" w:type="dxa"/>
            <w:vAlign w:val="bottom"/>
            <w:gridSpan w:val="2"/>
          </w:tcPr>
          <w:p>
            <w:pPr>
              <w:ind w:left="200"/>
              <w:spacing w:after="0"/>
              <w:rPr>
                <w:sz w:val="20"/>
                <w:szCs w:val="20"/>
                <w:color w:val="auto"/>
              </w:rPr>
            </w:pPr>
            <w:r>
              <w:rPr>
                <w:rFonts w:ascii="Arial" w:cs="Arial" w:eastAsia="Arial" w:hAnsi="Arial"/>
                <w:sz w:val="17"/>
                <w:szCs w:val="17"/>
                <w:b w:val="1"/>
                <w:bCs w:val="1"/>
                <w:color w:val="auto"/>
              </w:rPr>
              <w:t>Note</w:t>
            </w:r>
          </w:p>
        </w:tc>
        <w:tc>
          <w:tcPr>
            <w:tcW w:w="19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June 30, 2018</w:t>
            </w:r>
          </w:p>
        </w:tc>
        <w:tc>
          <w:tcPr>
            <w:tcW w:w="166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June 30, 2019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74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540" w:type="dxa"/>
            <w:vAlign w:val="bottom"/>
            <w:tcBorders>
              <w:top w:val="single" w:sz="8" w:color="auto"/>
            </w:tcBorders>
            <w:shd w:val="clear" w:color="auto" w:fill="E5FFFF"/>
          </w:tcPr>
          <w:p>
            <w:pPr>
              <w:spacing w:after="0"/>
              <w:rPr>
                <w:sz w:val="17"/>
                <w:szCs w:val="17"/>
                <w:color w:val="auto"/>
              </w:rPr>
            </w:pPr>
          </w:p>
        </w:tc>
        <w:tc>
          <w:tcPr>
            <w:tcW w:w="12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Profit/(loss) for the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56,753</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(4,613)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Adjustments for:</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Depreciation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74,342</w:t>
            </w:r>
          </w:p>
        </w:tc>
        <w:tc>
          <w:tcPr>
            <w:tcW w:w="1540" w:type="dxa"/>
            <w:vAlign w:val="bottom"/>
          </w:tcPr>
          <w:p>
            <w:pPr>
              <w:jc w:val="right"/>
              <w:spacing w:after="0"/>
              <w:rPr>
                <w:sz w:val="20"/>
                <w:szCs w:val="20"/>
                <w:color w:val="auto"/>
              </w:rPr>
            </w:pPr>
            <w:r>
              <w:rPr>
                <w:rFonts w:ascii="Arial" w:cs="Arial" w:eastAsia="Arial" w:hAnsi="Arial"/>
                <w:sz w:val="17"/>
                <w:szCs w:val="17"/>
                <w:color w:val="auto"/>
              </w:rPr>
              <w:t>80,949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(827)</w:t>
            </w:r>
          </w:p>
        </w:tc>
        <w:tc>
          <w:tcPr>
            <w:tcW w:w="16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(558)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Financial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(2,310)</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(3,168)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Financial costs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78,597</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92,404</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Unrealized foreign exchange losses/(gains) on cash and cash equivalents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63</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w w:val="97"/>
              </w:rPr>
              <w:t>Unrealized (gain)/loss on derivative financial instruments held for trading including ineffective portion of</w:t>
            </w:r>
          </w:p>
        </w:tc>
        <w:tc>
          <w:tcPr>
            <w:tcW w:w="7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40" w:type="dxa"/>
            <w:vAlign w:val="bottom"/>
            <w:shd w:val="clear" w:color="auto" w:fill="E5FFFF"/>
          </w:tcPr>
          <w:p>
            <w:pPr>
              <w:ind w:left="160"/>
              <w:spacing w:after="0"/>
              <w:rPr>
                <w:sz w:val="20"/>
                <w:szCs w:val="20"/>
                <w:color w:val="auto"/>
              </w:rPr>
            </w:pPr>
            <w:r>
              <w:rPr>
                <w:rFonts w:ascii="Arial" w:cs="Arial" w:eastAsia="Arial" w:hAnsi="Arial"/>
                <w:sz w:val="17"/>
                <w:szCs w:val="17"/>
                <w:color w:val="auto"/>
              </w:rPr>
              <w:t>cash flow hedges</w:t>
            </w:r>
          </w:p>
        </w:tc>
        <w:tc>
          <w:tcPr>
            <w:tcW w:w="7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4"/>
              </w:rPr>
              <w:t>16</w:t>
            </w:r>
          </w:p>
        </w:tc>
        <w:tc>
          <w:tcPr>
            <w:tcW w:w="120" w:type="dxa"/>
            <w:vAlign w:val="bottom"/>
            <w:shd w:val="clear" w:color="auto" w:fill="E5FFFF"/>
          </w:tcPr>
          <w:p>
            <w:pPr>
              <w:spacing w:after="0"/>
              <w:rPr>
                <w:sz w:val="19"/>
                <w:szCs w:val="19"/>
                <w:color w:val="auto"/>
              </w:rPr>
            </w:pPr>
          </w:p>
        </w:tc>
        <w:tc>
          <w:tcPr>
            <w:tcW w:w="19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(16,705)</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51,882</w:t>
            </w:r>
          </w:p>
        </w:tc>
        <w:tc>
          <w:tcPr>
            <w:tcW w:w="1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18</w:t>
            </w: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2,515</w:t>
            </w:r>
          </w:p>
        </w:tc>
        <w:tc>
          <w:tcPr>
            <w:tcW w:w="1540" w:type="dxa"/>
            <w:vAlign w:val="bottom"/>
          </w:tcPr>
          <w:p>
            <w:pPr>
              <w:jc w:val="right"/>
              <w:spacing w:after="0"/>
              <w:rPr>
                <w:sz w:val="20"/>
                <w:szCs w:val="20"/>
                <w:color w:val="auto"/>
              </w:rPr>
            </w:pPr>
            <w:r>
              <w:rPr>
                <w:rFonts w:ascii="Arial" w:cs="Arial" w:eastAsia="Arial" w:hAnsi="Arial"/>
                <w:sz w:val="17"/>
                <w:szCs w:val="17"/>
                <w:color w:val="auto"/>
              </w:rPr>
              <w:t>2,587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top w:val="single" w:sz="8" w:color="E5FFFF"/>
            </w:tcBorders>
            <w:shd w:val="clear" w:color="auto" w:fill="E5FFFF"/>
          </w:tcPr>
          <w:p>
            <w:pPr>
              <w:spacing w:after="0"/>
              <w:rPr>
                <w:sz w:val="18"/>
                <w:szCs w:val="18"/>
                <w:color w:val="auto"/>
              </w:rPr>
            </w:pPr>
          </w:p>
        </w:tc>
        <w:tc>
          <w:tcPr>
            <w:tcW w:w="7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192,428</w:t>
            </w:r>
          </w:p>
        </w:tc>
        <w:tc>
          <w:tcPr>
            <w:tcW w:w="24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219,361</w:t>
            </w:r>
          </w:p>
        </w:tc>
        <w:tc>
          <w:tcPr>
            <w:tcW w:w="12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Movements in working capital</w:t>
            </w:r>
          </w:p>
        </w:tc>
        <w:tc>
          <w:tcPr>
            <w:tcW w:w="7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(1,712)</w:t>
            </w:r>
          </w:p>
        </w:tc>
        <w:tc>
          <w:tcPr>
            <w:tcW w:w="240" w:type="dxa"/>
            <w:vAlign w:val="bottom"/>
            <w:tcBorders>
              <w:bottom w:val="single" w:sz="8" w:color="E5FF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(37,897)</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Cash provided by operations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190,716</w:t>
            </w:r>
          </w:p>
        </w:tc>
        <w:tc>
          <w:tcPr>
            <w:tcW w:w="240" w:type="dxa"/>
            <w:vAlign w:val="bottom"/>
            <w:shd w:val="clear" w:color="auto" w:fill="E5FFFF"/>
          </w:tcPr>
          <w:p>
            <w:pPr>
              <w:spacing w:after="0"/>
              <w:rPr>
                <w:sz w:val="18"/>
                <w:szCs w:val="18"/>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181,464</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Interest paid</w:t>
            </w:r>
          </w:p>
        </w:tc>
        <w:tc>
          <w:tcPr>
            <w:tcW w:w="7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(63,914)</w:t>
            </w:r>
          </w:p>
        </w:tc>
        <w:tc>
          <w:tcPr>
            <w:tcW w:w="240" w:type="dxa"/>
            <w:vAlign w:val="bottom"/>
            <w:tcBorders>
              <w:bottom w:val="single" w:sz="8" w:color="E5FF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(82,691)</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126,802</w:t>
            </w:r>
          </w:p>
        </w:tc>
        <w:tc>
          <w:tcPr>
            <w:tcW w:w="240" w:type="dxa"/>
            <w:vAlign w:val="bottom"/>
            <w:shd w:val="clear" w:color="auto" w:fill="E5FFFF"/>
          </w:tcPr>
          <w:p>
            <w:pPr>
              <w:spacing w:after="0"/>
              <w:rPr>
                <w:sz w:val="18"/>
                <w:szCs w:val="18"/>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98,773</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tcPr>
          <w:p>
            <w:pPr>
              <w:spacing w:after="0" w:line="194" w:lineRule="exact"/>
              <w:rPr>
                <w:sz w:val="20"/>
                <w:szCs w:val="20"/>
                <w:color w:val="auto"/>
              </w:rPr>
            </w:pPr>
            <w:r>
              <w:rPr>
                <w:rFonts w:ascii="Arial" w:cs="Arial" w:eastAsia="Arial" w:hAnsi="Arial"/>
                <w:sz w:val="17"/>
                <w:szCs w:val="17"/>
                <w:b w:val="1"/>
                <w:bCs w:val="1"/>
                <w:color w:val="auto"/>
              </w:rPr>
              <w:t>Cash flows from investing activities: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Payments for tangible fixed assets and vessels under construction</w:t>
            </w:r>
          </w:p>
        </w:tc>
        <w:tc>
          <w:tcPr>
            <w:tcW w:w="7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4"/>
              </w:rPr>
              <w:t>17</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(588,899)</w:t>
            </w:r>
          </w:p>
        </w:tc>
        <w:tc>
          <w:tcPr>
            <w:tcW w:w="16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(256,888)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Return of capital expenditures</w:t>
            </w:r>
          </w:p>
        </w:tc>
        <w:tc>
          <w:tcPr>
            <w:tcW w:w="740" w:type="dxa"/>
            <w:vAlign w:val="bottom"/>
          </w:tcPr>
          <w:p>
            <w:pPr>
              <w:jc w:val="center"/>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5,629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Other investments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Payments for right-of-use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(30)</w:t>
            </w: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Dividends received from associate</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500</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538</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Purchase of short-term investments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(36,000)</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(54,000)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Maturity of short-term investments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10,000</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35,000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Restricted cash</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(2,321)</w:t>
            </w: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Financial income received</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2,124</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2,960</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7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(614,626)</w:t>
            </w:r>
          </w:p>
        </w:tc>
        <w:tc>
          <w:tcPr>
            <w:tcW w:w="240" w:type="dxa"/>
            <w:vAlign w:val="bottom"/>
            <w:tcBorders>
              <w:bottom w:val="single" w:sz="8" w:color="E5FF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(266,919)</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shd w:val="clear" w:color="auto" w:fill="E5FFFF"/>
          </w:tcPr>
          <w:p>
            <w:pPr>
              <w:spacing w:after="0" w:line="194" w:lineRule="exact"/>
              <w:rPr>
                <w:sz w:val="20"/>
                <w:szCs w:val="20"/>
                <w:color w:val="auto"/>
              </w:rPr>
            </w:pPr>
            <w:r>
              <w:rPr>
                <w:rFonts w:ascii="Arial" w:cs="Arial" w:eastAsia="Arial" w:hAnsi="Arial"/>
                <w:sz w:val="17"/>
                <w:szCs w:val="17"/>
                <w:b w:val="1"/>
                <w:bCs w:val="1"/>
                <w:color w:val="auto"/>
              </w:rPr>
              <w:t>Cash flows from financing activities:</w:t>
            </w:r>
          </w:p>
        </w:tc>
        <w:tc>
          <w:tcPr>
            <w:tcW w:w="7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68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5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Proceeds from bank loans and bonds</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17</w:t>
            </w: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498,225</w:t>
            </w:r>
          </w:p>
        </w:tc>
        <w:tc>
          <w:tcPr>
            <w:tcW w:w="1540" w:type="dxa"/>
            <w:vAlign w:val="bottom"/>
          </w:tcPr>
          <w:p>
            <w:pPr>
              <w:jc w:val="right"/>
              <w:spacing w:after="0"/>
              <w:rPr>
                <w:sz w:val="20"/>
                <w:szCs w:val="20"/>
                <w:color w:val="auto"/>
              </w:rPr>
            </w:pPr>
            <w:r>
              <w:rPr>
                <w:rFonts w:ascii="Arial" w:cs="Arial" w:eastAsia="Arial" w:hAnsi="Arial"/>
                <w:sz w:val="17"/>
                <w:szCs w:val="17"/>
                <w:color w:val="auto"/>
              </w:rPr>
              <w:t>677,680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Bank loan repayments</w:t>
            </w:r>
          </w:p>
        </w:tc>
        <w:tc>
          <w:tcPr>
            <w:tcW w:w="7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4"/>
              </w:rPr>
              <w:t>17</w:t>
            </w: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(108,958)</w:t>
            </w:r>
          </w:p>
        </w:tc>
        <w:tc>
          <w:tcPr>
            <w:tcW w:w="16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(445,604)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Payment of loan issuance costs</w:t>
            </w:r>
          </w:p>
        </w:tc>
        <w:tc>
          <w:tcPr>
            <w:tcW w:w="740" w:type="dxa"/>
            <w:vAlign w:val="bottom"/>
          </w:tcPr>
          <w:p>
            <w:pPr>
              <w:jc w:val="center"/>
              <w:spacing w:after="0"/>
              <w:rPr>
                <w:sz w:val="20"/>
                <w:szCs w:val="20"/>
                <w:color w:val="auto"/>
              </w:rPr>
            </w:pPr>
            <w:r>
              <w:rPr>
                <w:rFonts w:ascii="Arial" w:cs="Arial" w:eastAsia="Arial" w:hAnsi="Arial"/>
                <w:sz w:val="17"/>
                <w:szCs w:val="17"/>
                <w:color w:val="auto"/>
                <w:w w:val="94"/>
              </w:rPr>
              <w:t>17</w:t>
            </w: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(7,295)</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(9,175)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Proceeds from GasLog Partners’ public common unit offerings (net of underwriting discounts and</w:t>
            </w:r>
          </w:p>
        </w:tc>
        <w:tc>
          <w:tcPr>
            <w:tcW w:w="7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68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5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40" w:type="dxa"/>
            <w:vAlign w:val="bottom"/>
            <w:shd w:val="clear" w:color="auto" w:fill="E5FFFF"/>
          </w:tcPr>
          <w:p>
            <w:pPr>
              <w:ind w:left="160"/>
              <w:spacing w:after="0"/>
              <w:rPr>
                <w:sz w:val="20"/>
                <w:szCs w:val="20"/>
                <w:color w:val="auto"/>
              </w:rPr>
            </w:pPr>
            <w:r>
              <w:rPr>
                <w:rFonts w:ascii="Arial" w:cs="Arial" w:eastAsia="Arial" w:hAnsi="Arial"/>
                <w:sz w:val="17"/>
                <w:szCs w:val="17"/>
                <w:color w:val="auto"/>
              </w:rPr>
              <w:t>commissions)</w:t>
            </w:r>
          </w:p>
        </w:tc>
        <w:tc>
          <w:tcPr>
            <w:tcW w:w="7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24</w:t>
            </w:r>
          </w:p>
        </w:tc>
        <w:tc>
          <w:tcPr>
            <w:tcW w:w="166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w w:val="94"/>
              </w:rPr>
              <w:t>Proceeds from GasLog Partners’ preference unit offering (net of underwriting discounts and commissions)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111,544</w:t>
            </w: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Payment of equity raising costs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(660)</w:t>
            </w:r>
          </w:p>
        </w:tc>
        <w:tc>
          <w:tcPr>
            <w:tcW w:w="16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(894)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Dividends paid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(71,223)</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(82,111)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Purchase of treasury shares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(62)</w:t>
            </w:r>
          </w:p>
        </w:tc>
        <w:tc>
          <w:tcPr>
            <w:tcW w:w="16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(13,673)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Proceeds from stock options’ exercise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157</w:t>
            </w:r>
          </w:p>
        </w:tc>
        <w:tc>
          <w:tcPr>
            <w:tcW w:w="16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Payments for right-of-use assets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E5FFFF"/>
          </w:tcPr>
          <w:p>
            <w:pPr>
              <w:jc w:val="right"/>
              <w:ind w:right="6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Payments for lease liability</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(3,588)</w:t>
            </w:r>
          </w:p>
        </w:tc>
        <w:tc>
          <w:tcPr>
            <w:tcW w:w="1660" w:type="dxa"/>
            <w:vAlign w:val="bottom"/>
            <w:gridSpan w:val="2"/>
          </w:tcPr>
          <w:p>
            <w:pPr>
              <w:jc w:val="right"/>
              <w:ind w:right="60"/>
              <w:spacing w:after="0"/>
              <w:rPr>
                <w:sz w:val="20"/>
                <w:szCs w:val="20"/>
                <w:color w:val="auto"/>
              </w:rPr>
            </w:pPr>
            <w:r>
              <w:rPr>
                <w:rFonts w:ascii="Arial" w:cs="Arial" w:eastAsia="Arial" w:hAnsi="Arial"/>
                <w:sz w:val="17"/>
                <w:szCs w:val="17"/>
                <w:color w:val="auto"/>
              </w:rPr>
              <w:t>(4,770)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74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418,164</w:t>
            </w:r>
          </w:p>
        </w:tc>
        <w:tc>
          <w:tcPr>
            <w:tcW w:w="240" w:type="dxa"/>
            <w:vAlign w:val="bottom"/>
            <w:tcBorders>
              <w:top w:val="single" w:sz="8" w:color="E5FFFF"/>
            </w:tcBorders>
            <w:shd w:val="clear" w:color="auto" w:fill="E5FFFF"/>
          </w:tcPr>
          <w:p>
            <w:pPr>
              <w:spacing w:after="0"/>
              <w:rPr>
                <w:sz w:val="18"/>
                <w:szCs w:val="18"/>
                <w:color w:val="auto"/>
              </w:rPr>
            </w:pP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121,221</w:t>
            </w:r>
          </w:p>
        </w:tc>
        <w:tc>
          <w:tcPr>
            <w:tcW w:w="12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Effects of exchange rate changes on cash and cash equivalents</w:t>
            </w:r>
          </w:p>
        </w:tc>
        <w:tc>
          <w:tcPr>
            <w:tcW w:w="7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240" w:type="dxa"/>
            <w:vAlign w:val="bottom"/>
            <w:tcBorders>
              <w:bottom w:val="single" w:sz="8" w:color="E5FF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Decrease in cash and cash equivalents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(69,723)</w:t>
            </w:r>
          </w:p>
        </w:tc>
        <w:tc>
          <w:tcPr>
            <w:tcW w:w="240" w:type="dxa"/>
            <w:vAlign w:val="bottom"/>
            <w:shd w:val="clear" w:color="auto" w:fill="E5FFFF"/>
          </w:tcPr>
          <w:p>
            <w:pPr>
              <w:spacing w:after="0"/>
              <w:rPr>
                <w:sz w:val="18"/>
                <w:szCs w:val="18"/>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(46,803)</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Cash and cash equivalents, beginning of the period</w:t>
            </w:r>
          </w:p>
        </w:tc>
        <w:tc>
          <w:tcPr>
            <w:tcW w:w="740" w:type="dxa"/>
            <w:vAlign w:val="bottom"/>
            <w:tcBorders>
              <w:bottom w:val="single" w:sz="8" w:color="E5FFFF"/>
            </w:tcBorders>
          </w:tcPr>
          <w:p>
            <w:pPr>
              <w:spacing w:after="0"/>
              <w:rPr>
                <w:sz w:val="18"/>
                <w:szCs w:val="18"/>
                <w:color w:val="auto"/>
              </w:rPr>
            </w:pPr>
          </w:p>
        </w:tc>
        <w:tc>
          <w:tcPr>
            <w:tcW w:w="120" w:type="dxa"/>
            <w:vAlign w:val="bottom"/>
            <w:tcBorders>
              <w:bottom w:val="single" w:sz="8" w:color="E5FF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384,092</w:t>
            </w:r>
          </w:p>
        </w:tc>
        <w:tc>
          <w:tcPr>
            <w:tcW w:w="240" w:type="dxa"/>
            <w:vAlign w:val="bottom"/>
            <w:tcBorders>
              <w:bottom w:val="single" w:sz="8" w:color="E5FF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342,594</w:t>
            </w:r>
          </w:p>
        </w:tc>
        <w:tc>
          <w:tcPr>
            <w:tcW w:w="12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Cash and cash equivalents, end of the period</w:t>
            </w:r>
          </w:p>
        </w:tc>
        <w:tc>
          <w:tcPr>
            <w:tcW w:w="74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314,369</w:t>
            </w:r>
          </w:p>
        </w:tc>
        <w:tc>
          <w:tcPr>
            <w:tcW w:w="240" w:type="dxa"/>
            <w:vAlign w:val="bottom"/>
            <w:tcBorders>
              <w:bottom w:val="single" w:sz="8" w:color="E5FFFF"/>
            </w:tcBorders>
            <w:shd w:val="clear" w:color="auto" w:fill="E5FFFF"/>
          </w:tcPr>
          <w:p>
            <w:pPr>
              <w:spacing w:after="0"/>
              <w:rPr>
                <w:sz w:val="18"/>
                <w:szCs w:val="18"/>
                <w:color w:val="auto"/>
              </w:rPr>
            </w:pPr>
          </w:p>
        </w:tc>
        <w:tc>
          <w:tcPr>
            <w:tcW w:w="1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295,791</w:t>
            </w:r>
          </w:p>
        </w:tc>
        <w:tc>
          <w:tcPr>
            <w:tcW w:w="12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Non-cash investing and financing activities</w:t>
            </w:r>
          </w:p>
        </w:tc>
        <w:tc>
          <w:tcPr>
            <w:tcW w:w="740" w:type="dxa"/>
            <w:vAlign w:val="bottom"/>
            <w:shd w:val="clear" w:color="auto" w:fill="E5FFFF"/>
          </w:tcPr>
          <w:p>
            <w:pPr>
              <w:jc w:val="center"/>
              <w:spacing w:after="0"/>
              <w:rPr>
                <w:sz w:val="20"/>
                <w:szCs w:val="20"/>
                <w:color w:val="auto"/>
              </w:rPr>
            </w:pPr>
            <w:r>
              <w:rPr>
                <w:rFonts w:ascii="Arial" w:cs="Arial" w:eastAsia="Arial" w:hAnsi="Arial"/>
                <w:sz w:val="17"/>
                <w:szCs w:val="17"/>
                <w:b w:val="1"/>
                <w:bCs w:val="1"/>
                <w:color w:val="auto"/>
                <w:w w:val="94"/>
              </w:rPr>
              <w:t>17</w:t>
            </w:r>
          </w:p>
        </w:tc>
        <w:tc>
          <w:tcPr>
            <w:tcW w:w="120" w:type="dxa"/>
            <w:vAlign w:val="bottom"/>
            <w:shd w:val="clear" w:color="auto" w:fill="E5FFFF"/>
          </w:tcPr>
          <w:p>
            <w:pPr>
              <w:spacing w:after="0"/>
              <w:rPr>
                <w:sz w:val="18"/>
                <w:szCs w:val="18"/>
                <w:color w:val="auto"/>
              </w:rPr>
            </w:pPr>
          </w:p>
        </w:tc>
        <w:tc>
          <w:tcPr>
            <w:tcW w:w="16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5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Capital expenditures included in liabilities at the end of the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15,312</w:t>
            </w:r>
          </w:p>
        </w:tc>
        <w:tc>
          <w:tcPr>
            <w:tcW w:w="1540" w:type="dxa"/>
            <w:vAlign w:val="bottom"/>
          </w:tcPr>
          <w:p>
            <w:pPr>
              <w:jc w:val="right"/>
              <w:spacing w:after="0"/>
              <w:rPr>
                <w:sz w:val="20"/>
                <w:szCs w:val="20"/>
                <w:color w:val="auto"/>
              </w:rPr>
            </w:pPr>
            <w:r>
              <w:rPr>
                <w:rFonts w:ascii="Arial" w:cs="Arial" w:eastAsia="Arial" w:hAnsi="Arial"/>
                <w:sz w:val="17"/>
                <w:szCs w:val="17"/>
                <w:color w:val="auto"/>
              </w:rPr>
              <w:t>12,744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Capital expenditures included in liabilities at the end of the period – Right-of-use assets</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114</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Equity raising costs included in liabilities at the end of the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88</w:t>
            </w:r>
          </w:p>
        </w:tc>
        <w:tc>
          <w:tcPr>
            <w:tcW w:w="1540" w:type="dxa"/>
            <w:vAlign w:val="bottom"/>
          </w:tcPr>
          <w:p>
            <w:pPr>
              <w:jc w:val="right"/>
              <w:spacing w:after="0"/>
              <w:rPr>
                <w:sz w:val="20"/>
                <w:szCs w:val="20"/>
                <w:color w:val="auto"/>
              </w:rPr>
            </w:pPr>
            <w:r>
              <w:rPr>
                <w:rFonts w:ascii="Arial" w:cs="Arial" w:eastAsia="Arial" w:hAnsi="Arial"/>
                <w:sz w:val="17"/>
                <w:szCs w:val="17"/>
                <w:color w:val="auto"/>
              </w:rPr>
              <w:t>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shd w:val="clear" w:color="auto" w:fill="E5FFFF"/>
          </w:tcPr>
          <w:p>
            <w:pPr>
              <w:spacing w:after="0"/>
              <w:rPr>
                <w:sz w:val="20"/>
                <w:szCs w:val="20"/>
                <w:color w:val="auto"/>
              </w:rPr>
            </w:pPr>
            <w:r>
              <w:rPr>
                <w:rFonts w:ascii="Arial" w:cs="Arial" w:eastAsia="Arial" w:hAnsi="Arial"/>
                <w:sz w:val="17"/>
                <w:szCs w:val="17"/>
                <w:color w:val="auto"/>
              </w:rPr>
              <w:t>Loan issuance costs included in liabilities at the end of the period</w:t>
            </w:r>
          </w:p>
        </w:tc>
        <w:tc>
          <w:tcPr>
            <w:tcW w:w="7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79</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1,989</w:t>
            </w: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Liabilities related to leases at the end of the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501"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GasLog Ltd. and its Subsidiaries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six months ended June 30, 2018 and 2019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expressed in thousands of U.S. Dollars, except share and per share data)</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Operations</w:t>
      </w:r>
    </w:p>
    <w:p>
      <w:pPr>
        <w:spacing w:after="0" w:line="253" w:lineRule="exact"/>
        <w:rPr>
          <w:sz w:val="20"/>
          <w:szCs w:val="20"/>
          <w:color w:val="auto"/>
        </w:rPr>
      </w:pPr>
    </w:p>
    <w:p>
      <w:pPr>
        <w:ind w:right="20" w:firstLine="460"/>
        <w:spacing w:after="0" w:line="285" w:lineRule="auto"/>
        <w:rPr>
          <w:sz w:val="20"/>
          <w:szCs w:val="20"/>
          <w:color w:val="auto"/>
        </w:rPr>
      </w:pPr>
      <w:r>
        <w:rPr>
          <w:rFonts w:ascii="Arial" w:cs="Arial" w:eastAsia="Arial" w:hAnsi="Arial"/>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New York, Singapore and Monaco. The registered office of GasLog is Clarendon House, 2 Church Street, Hamilton HM 11, Bermuda. GasLog’s chairman, Peter G. Livanos, is GasLog’s largest shareholder through his ownership of Ceres Shipping Ltd. (“Ceres Shipping”), which controls Blenheim Holdings Ltd. As of June 30, 2019, entities controlled by members of the Livanos family, including GasLog’s chairman, are deemed to beneficially own approximately 40.21% of GasLog’s issued and outstanding common shares. As a result of his ownership of GasLog’s common shares, Mr. Livanos can effectively control the outcome of most matters on which GasLog’s shareholders are entitled to vote.</w:t>
      </w:r>
    </w:p>
    <w:p>
      <w:pPr>
        <w:spacing w:after="0" w:line="192" w:lineRule="exact"/>
        <w:rPr>
          <w:sz w:val="20"/>
          <w:szCs w:val="20"/>
          <w:color w:val="auto"/>
        </w:rPr>
      </w:pPr>
    </w:p>
    <w:p>
      <w:pPr>
        <w:ind w:right="240" w:firstLine="428"/>
        <w:spacing w:after="0" w:line="271" w:lineRule="auto"/>
        <w:rPr>
          <w:sz w:val="20"/>
          <w:szCs w:val="20"/>
          <w:color w:val="auto"/>
        </w:rPr>
      </w:pPr>
      <w:r>
        <w:rPr>
          <w:rFonts w:ascii="Arial" w:cs="Arial" w:eastAsia="Arial" w:hAnsi="Arial"/>
          <w:sz w:val="17"/>
          <w:szCs w:val="17"/>
          <w:color w:val="auto"/>
        </w:rPr>
        <w:t>As of June 30, 2019, GasLog held a 35.0% ownership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201" w:lineRule="exact"/>
        <w:rPr>
          <w:sz w:val="20"/>
          <w:szCs w:val="20"/>
          <w:color w:val="auto"/>
        </w:rPr>
      </w:pPr>
    </w:p>
    <w:p>
      <w:pPr>
        <w:ind w:right="140" w:firstLine="460"/>
        <w:spacing w:after="0" w:line="321" w:lineRule="auto"/>
        <w:rPr>
          <w:sz w:val="20"/>
          <w:szCs w:val="20"/>
          <w:color w:val="auto"/>
        </w:rPr>
      </w:pPr>
      <w:r>
        <w:rPr>
          <w:rFonts w:ascii="Arial" w:cs="Arial" w:eastAsia="Arial" w:hAnsi="Arial"/>
          <w:sz w:val="16"/>
          <w:szCs w:val="16"/>
          <w:color w:val="auto"/>
        </w:rPr>
        <w:t>The accompanying unaudited condensed consolidated financial statements include the financial statements of GasLog and its subsidiaries. Unless indicated otherwise, the subsidiaries listed below are 100% held (either directly or indirectly) by GasLog. As of June 30, 2019, the Group’s structure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2"/>
              </w:rPr>
              <w:t>Cargo</w:t>
            </w: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180"/>
              <w:spacing w:after="0" w:line="157" w:lineRule="exact"/>
              <w:rPr>
                <w:sz w:val="20"/>
                <w:szCs w:val="20"/>
                <w:color w:val="auto"/>
              </w:rPr>
            </w:pPr>
            <w:r>
              <w:rPr>
                <w:rFonts w:ascii="Arial" w:cs="Arial" w:eastAsia="Arial" w:hAnsi="Arial"/>
                <w:sz w:val="15"/>
                <w:szCs w:val="15"/>
                <w:b w:val="1"/>
                <w:bCs w:val="1"/>
                <w:color w:val="auto"/>
                <w:w w:val="86"/>
              </w:rPr>
              <w:t>Place of</w:t>
            </w:r>
          </w:p>
        </w:tc>
        <w:tc>
          <w:tcPr>
            <w:tcW w:w="1640" w:type="dxa"/>
            <w:vAlign w:val="bottom"/>
            <w:gridSpan w:val="2"/>
          </w:tcPr>
          <w:p>
            <w:pPr>
              <w:ind w:left="480"/>
              <w:spacing w:after="0" w:line="157" w:lineRule="exact"/>
              <w:rPr>
                <w:sz w:val="20"/>
                <w:szCs w:val="20"/>
                <w:color w:val="auto"/>
              </w:rPr>
            </w:pPr>
            <w:r>
              <w:rPr>
                <w:rFonts w:ascii="Arial" w:cs="Arial" w:eastAsia="Arial" w:hAnsi="Arial"/>
                <w:sz w:val="15"/>
                <w:szCs w:val="15"/>
                <w:b w:val="1"/>
                <w:bCs w:val="1"/>
                <w:color w:val="auto"/>
              </w:rPr>
              <w:t>Date of</w:t>
            </w: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160"/>
              <w:spacing w:after="0" w:line="157" w:lineRule="exact"/>
              <w:rPr>
                <w:sz w:val="20"/>
                <w:szCs w:val="20"/>
                <w:color w:val="auto"/>
              </w:rPr>
            </w:pPr>
            <w:r>
              <w:rPr>
                <w:rFonts w:ascii="Arial" w:cs="Arial" w:eastAsia="Arial" w:hAnsi="Arial"/>
                <w:sz w:val="15"/>
                <w:szCs w:val="15"/>
                <w:b w:val="1"/>
                <w:bCs w:val="1"/>
                <w:color w:val="auto"/>
                <w:w w:val="89"/>
              </w:rPr>
              <w:t>capacity</w:t>
            </w: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228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180" w:type="dxa"/>
            <w:vAlign w:val="bottom"/>
          </w:tcPr>
          <w:p>
            <w:pPr>
              <w:spacing w:after="0"/>
              <w:rPr>
                <w:sz w:val="15"/>
                <w:szCs w:val="15"/>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incorporation</w:t>
            </w:r>
          </w:p>
        </w:tc>
        <w:tc>
          <w:tcPr>
            <w:tcW w:w="1640" w:type="dxa"/>
            <w:vAlign w:val="bottom"/>
            <w:gridSpan w:val="2"/>
          </w:tcPr>
          <w:p>
            <w:pPr>
              <w:ind w:left="280"/>
              <w:spacing w:after="0"/>
              <w:rPr>
                <w:sz w:val="20"/>
                <w:szCs w:val="20"/>
                <w:color w:val="auto"/>
              </w:rPr>
            </w:pPr>
            <w:r>
              <w:rPr>
                <w:rFonts w:ascii="Arial" w:cs="Arial" w:eastAsia="Arial" w:hAnsi="Arial"/>
                <w:sz w:val="15"/>
                <w:szCs w:val="15"/>
                <w:b w:val="1"/>
                <w:bCs w:val="1"/>
                <w:color w:val="auto"/>
              </w:rPr>
              <w:t>incorporation</w:t>
            </w:r>
          </w:p>
        </w:tc>
        <w:tc>
          <w:tcPr>
            <w:tcW w:w="2200" w:type="dxa"/>
            <w:vAlign w:val="bottom"/>
            <w:gridSpan w:val="2"/>
          </w:tcPr>
          <w:p>
            <w:pPr>
              <w:ind w:left="400"/>
              <w:spacing w:after="0"/>
              <w:rPr>
                <w:sz w:val="20"/>
                <w:szCs w:val="20"/>
                <w:color w:val="auto"/>
              </w:rPr>
            </w:pPr>
            <w:r>
              <w:rPr>
                <w:rFonts w:ascii="Arial" w:cs="Arial" w:eastAsia="Arial" w:hAnsi="Arial"/>
                <w:sz w:val="15"/>
                <w:szCs w:val="15"/>
                <w:b w:val="1"/>
                <w:bCs w:val="1"/>
                <w:color w:val="auto"/>
              </w:rPr>
              <w:t>Principal activities</w:t>
            </w:r>
          </w:p>
        </w:tc>
        <w:tc>
          <w:tcPr>
            <w:tcW w:w="114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(cbm)</w:t>
            </w:r>
          </w:p>
        </w:tc>
        <w:tc>
          <w:tcPr>
            <w:tcW w:w="160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79"/>
              </w:rPr>
              <w:t>Vessel</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2"/>
              </w:rPr>
              <w:t>Delivery date</w:t>
            </w:r>
          </w:p>
        </w:tc>
      </w:tr>
      <w:tr>
        <w:trPr>
          <w:trHeight w:val="151"/>
        </w:trPr>
        <w:tc>
          <w:tcPr>
            <w:tcW w:w="20" w:type="dxa"/>
            <w:vAlign w:val="bottom"/>
          </w:tcPr>
          <w:p>
            <w:pPr>
              <w:spacing w:after="0"/>
              <w:rPr>
                <w:sz w:val="13"/>
                <w:szCs w:val="13"/>
                <w:color w:val="auto"/>
              </w:rPr>
            </w:pPr>
          </w:p>
        </w:tc>
        <w:tc>
          <w:tcPr>
            <w:tcW w:w="2260" w:type="dxa"/>
            <w:vAlign w:val="bottom"/>
            <w:tcBorders>
              <w:top w:val="single" w:sz="8" w:color="auto"/>
            </w:tcBorders>
          </w:tcPr>
          <w:p>
            <w:pPr>
              <w:spacing w:after="0" w:line="151" w:lineRule="exact"/>
              <w:rPr>
                <w:sz w:val="20"/>
                <w:szCs w:val="20"/>
                <w:color w:val="auto"/>
              </w:rPr>
            </w:pPr>
            <w:r>
              <w:rPr>
                <w:rFonts w:ascii="Arial" w:cs="Arial" w:eastAsia="Arial" w:hAnsi="Arial"/>
                <w:sz w:val="15"/>
                <w:szCs w:val="15"/>
                <w:b w:val="1"/>
                <w:bCs w:val="1"/>
                <w:color w:val="auto"/>
              </w:rPr>
              <w:t>Subsidiaries:</w:t>
            </w:r>
          </w:p>
        </w:tc>
        <w:tc>
          <w:tcPr>
            <w:tcW w:w="1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GasLog Investments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BVI</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July 2003</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Holding company</w:t>
            </w:r>
          </w:p>
        </w:tc>
        <w:tc>
          <w:tcPr>
            <w:tcW w:w="114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rPr>
              <w:t>—</w:t>
            </w:r>
          </w:p>
        </w:tc>
      </w:tr>
      <w:tr>
        <w:trPr>
          <w:trHeight w:val="138"/>
        </w:trPr>
        <w:tc>
          <w:tcPr>
            <w:tcW w:w="20" w:type="dxa"/>
            <w:vAlign w:val="bottom"/>
          </w:tcPr>
          <w:p>
            <w:pPr>
              <w:spacing w:after="0"/>
              <w:rPr>
                <w:sz w:val="11"/>
                <w:szCs w:val="11"/>
                <w:color w:val="auto"/>
              </w:rPr>
            </w:pPr>
          </w:p>
        </w:tc>
        <w:tc>
          <w:tcPr>
            <w:tcW w:w="2260" w:type="dxa"/>
            <w:vAlign w:val="bottom"/>
          </w:tcPr>
          <w:p>
            <w:pPr>
              <w:spacing w:after="0" w:line="138" w:lineRule="exact"/>
              <w:rPr>
                <w:sz w:val="20"/>
                <w:szCs w:val="20"/>
                <w:color w:val="auto"/>
              </w:rPr>
            </w:pPr>
            <w:r>
              <w:rPr>
                <w:rFonts w:ascii="Arial" w:cs="Arial" w:eastAsia="Arial" w:hAnsi="Arial"/>
                <w:sz w:val="15"/>
                <w:szCs w:val="15"/>
                <w:color w:val="auto"/>
              </w:rPr>
              <w:t>GasLog Carriers Ltd. (“GasLog</w:t>
            </w:r>
          </w:p>
        </w:tc>
        <w:tc>
          <w:tcPr>
            <w:tcW w:w="1940" w:type="dxa"/>
            <w:vAlign w:val="bottom"/>
            <w:gridSpan w:val="3"/>
          </w:tcPr>
          <w:p>
            <w:pPr>
              <w:ind w:left="180"/>
              <w:spacing w:after="0" w:line="138"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38" w:lineRule="exact"/>
              <w:rPr>
                <w:sz w:val="20"/>
                <w:szCs w:val="20"/>
                <w:color w:val="auto"/>
              </w:rPr>
            </w:pPr>
            <w:r>
              <w:rPr>
                <w:rFonts w:ascii="Arial" w:cs="Arial" w:eastAsia="Arial" w:hAnsi="Arial"/>
                <w:sz w:val="15"/>
                <w:szCs w:val="15"/>
                <w:color w:val="auto"/>
              </w:rPr>
              <w:t>February 2008</w:t>
            </w:r>
          </w:p>
        </w:tc>
        <w:tc>
          <w:tcPr>
            <w:tcW w:w="2200" w:type="dxa"/>
            <w:vAlign w:val="bottom"/>
            <w:gridSpan w:val="2"/>
          </w:tcPr>
          <w:p>
            <w:pPr>
              <w:spacing w:after="0" w:line="138" w:lineRule="exact"/>
              <w:rPr>
                <w:sz w:val="20"/>
                <w:szCs w:val="20"/>
                <w:color w:val="auto"/>
              </w:rPr>
            </w:pPr>
            <w:r>
              <w:rPr>
                <w:rFonts w:ascii="Arial" w:cs="Arial" w:eastAsia="Arial" w:hAnsi="Arial"/>
                <w:sz w:val="15"/>
                <w:szCs w:val="15"/>
                <w:color w:val="auto"/>
              </w:rPr>
              <w:t>Holding company</w:t>
            </w:r>
          </w:p>
        </w:tc>
        <w:tc>
          <w:tcPr>
            <w:tcW w:w="1140" w:type="dxa"/>
            <w:vAlign w:val="bottom"/>
            <w:gridSpan w:val="2"/>
          </w:tcPr>
          <w:p>
            <w:pPr>
              <w:jc w:val="center"/>
              <w:ind w:right="180"/>
              <w:spacing w:after="0" w:line="138"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38"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38" w:lineRule="exact"/>
              <w:rPr>
                <w:sz w:val="20"/>
                <w:szCs w:val="20"/>
                <w:color w:val="auto"/>
              </w:rPr>
            </w:pPr>
            <w:r>
              <w:rPr>
                <w:rFonts w:ascii="Arial" w:cs="Arial" w:eastAsia="Arial" w:hAnsi="Arial"/>
                <w:sz w:val="15"/>
                <w:szCs w:val="15"/>
                <w:color w:val="auto"/>
              </w:rPr>
              <w:t>—</w:t>
            </w:r>
          </w:p>
        </w:tc>
      </w:tr>
      <w:tr>
        <w:trPr>
          <w:trHeight w:val="176"/>
        </w:trPr>
        <w:tc>
          <w:tcPr>
            <w:tcW w:w="20" w:type="dxa"/>
            <w:vAlign w:val="bottom"/>
          </w:tcPr>
          <w:p>
            <w:pPr>
              <w:spacing w:after="0"/>
              <w:rPr>
                <w:sz w:val="15"/>
                <w:szCs w:val="15"/>
                <w:color w:val="auto"/>
              </w:rPr>
            </w:pPr>
          </w:p>
        </w:tc>
        <w:tc>
          <w:tcPr>
            <w:tcW w:w="2260" w:type="dxa"/>
            <w:vAlign w:val="bottom"/>
          </w:tcPr>
          <w:p>
            <w:pPr>
              <w:ind w:left="160"/>
              <w:spacing w:after="0"/>
              <w:rPr>
                <w:sz w:val="20"/>
                <w:szCs w:val="20"/>
                <w:color w:val="auto"/>
              </w:rPr>
            </w:pPr>
            <w:r>
              <w:rPr>
                <w:rFonts w:ascii="Arial" w:cs="Arial" w:eastAsia="Arial" w:hAnsi="Arial"/>
                <w:sz w:val="15"/>
                <w:szCs w:val="15"/>
                <w:color w:val="auto"/>
              </w:rPr>
              <w:t>Carriers”)</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GasLog Shipping Company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January 2006</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Holding company</w:t>
            </w:r>
          </w:p>
        </w:tc>
        <w:tc>
          <w:tcPr>
            <w:tcW w:w="114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GasLog Partners GP LLC</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Marshall Islands</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January 2014</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Holding company</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GasLog Cyprus Investments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Cyprus</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December 2016</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Holding company</w:t>
            </w:r>
          </w:p>
        </w:tc>
        <w:tc>
          <w:tcPr>
            <w:tcW w:w="96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44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1200" w:type="dxa"/>
            <w:vAlign w:val="bottom"/>
            <w:shd w:val="clear" w:color="auto" w:fill="E5FF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GasLog Services UK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England and Wales</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May 2014</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Service company</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GasLog Services US Inc.</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Delaware</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May 2014</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Service company</w:t>
            </w:r>
          </w:p>
        </w:tc>
        <w:tc>
          <w:tcPr>
            <w:tcW w:w="114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GasLog Asia Pte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Singapore</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May 2015</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Service company</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GasLog LNG Services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August 2004</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 management services</w:t>
            </w:r>
          </w:p>
        </w:tc>
        <w:tc>
          <w:tcPr>
            <w:tcW w:w="114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GasLog Monaco S.A.M.</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Monaco</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February 2010</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Service company</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GAS-one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February 2008</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155,000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60"/>
              <w:spacing w:after="0" w:line="157" w:lineRule="exact"/>
              <w:rPr>
                <w:sz w:val="20"/>
                <w:szCs w:val="20"/>
                <w:color w:val="auto"/>
              </w:rPr>
            </w:pPr>
            <w:r>
              <w:rPr>
                <w:rFonts w:ascii="Arial" w:cs="Arial" w:eastAsia="Arial" w:hAnsi="Arial"/>
                <w:sz w:val="15"/>
                <w:szCs w:val="15"/>
                <w:i w:val="1"/>
                <w:iCs w:val="1"/>
                <w:color w:val="auto"/>
                <w:w w:val="90"/>
              </w:rPr>
              <w:t>GasLog Savannah</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4"/>
              </w:rPr>
              <w:t>May 2010</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GAS-two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February 2008</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155,000</w:t>
            </w:r>
          </w:p>
        </w:tc>
        <w:tc>
          <w:tcPr>
            <w:tcW w:w="180" w:type="dxa"/>
            <w:vAlign w:val="bottom"/>
          </w:tcPr>
          <w:p>
            <w:pPr>
              <w:spacing w:after="0"/>
              <w:rPr>
                <w:sz w:val="13"/>
                <w:szCs w:val="13"/>
                <w:color w:val="auto"/>
              </w:rPr>
            </w:pP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i w:val="1"/>
                <w:iCs w:val="1"/>
                <w:color w:val="auto"/>
                <w:w w:val="91"/>
              </w:rPr>
              <w:t>GasLog Singapore</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93"/>
              </w:rPr>
              <w:t>July 2010</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GAS-six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February 2011</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155,000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60"/>
              <w:spacing w:after="0" w:line="157" w:lineRule="exact"/>
              <w:rPr>
                <w:sz w:val="20"/>
                <w:szCs w:val="20"/>
                <w:color w:val="auto"/>
              </w:rPr>
            </w:pPr>
            <w:r>
              <w:rPr>
                <w:rFonts w:ascii="Arial" w:cs="Arial" w:eastAsia="Arial" w:hAnsi="Arial"/>
                <w:sz w:val="15"/>
                <w:szCs w:val="15"/>
                <w:i w:val="1"/>
                <w:iCs w:val="1"/>
                <w:color w:val="auto"/>
                <w:w w:val="89"/>
              </w:rPr>
              <w:t>GasLog Skagen</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3"/>
              </w:rPr>
              <w:t>July 2013</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GAS-nine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June 2011</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155,000</w:t>
            </w:r>
          </w:p>
        </w:tc>
        <w:tc>
          <w:tcPr>
            <w:tcW w:w="180" w:type="dxa"/>
            <w:vAlign w:val="bottom"/>
          </w:tcPr>
          <w:p>
            <w:pPr>
              <w:spacing w:after="0"/>
              <w:rPr>
                <w:sz w:val="13"/>
                <w:szCs w:val="13"/>
                <w:color w:val="auto"/>
              </w:rPr>
            </w:pPr>
          </w:p>
        </w:tc>
        <w:tc>
          <w:tcPr>
            <w:tcW w:w="1600" w:type="dxa"/>
            <w:vAlign w:val="bottom"/>
            <w:gridSpan w:val="2"/>
          </w:tcPr>
          <w:p>
            <w:pPr>
              <w:jc w:val="center"/>
              <w:ind w:right="160"/>
              <w:spacing w:after="0" w:line="157" w:lineRule="exact"/>
              <w:rPr>
                <w:sz w:val="20"/>
                <w:szCs w:val="20"/>
                <w:color w:val="auto"/>
              </w:rPr>
            </w:pPr>
            <w:r>
              <w:rPr>
                <w:rFonts w:ascii="Arial" w:cs="Arial" w:eastAsia="Arial" w:hAnsi="Arial"/>
                <w:sz w:val="15"/>
                <w:szCs w:val="15"/>
                <w:i w:val="1"/>
                <w:iCs w:val="1"/>
                <w:color w:val="auto"/>
                <w:w w:val="91"/>
              </w:rPr>
              <w:t>GasLog Saratoga</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89"/>
              </w:rPr>
              <w:t>December 2014</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GAS-ten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June 2011</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155,000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i w:val="1"/>
                <w:iCs w:val="1"/>
                <w:color w:val="auto"/>
                <w:w w:val="90"/>
              </w:rPr>
              <w:t>GasLog Salem</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7"/>
              </w:rPr>
              <w:t>April 2015</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GAS-fifteen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August 2013</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153,600</w:t>
            </w:r>
          </w:p>
        </w:tc>
        <w:tc>
          <w:tcPr>
            <w:tcW w:w="180" w:type="dxa"/>
            <w:vAlign w:val="bottom"/>
          </w:tcPr>
          <w:p>
            <w:pPr>
              <w:spacing w:after="0"/>
              <w:rPr>
                <w:sz w:val="13"/>
                <w:szCs w:val="13"/>
                <w:color w:val="auto"/>
              </w:rPr>
            </w:pP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i w:val="1"/>
                <w:iCs w:val="1"/>
                <w:color w:val="auto"/>
                <w:w w:val="91"/>
              </w:rPr>
              <w:t>GasLog Chelsea</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92"/>
              </w:rPr>
              <w:t>October 2013</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GAS-eighteen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January 2014</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145,000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i w:val="1"/>
                <w:iCs w:val="1"/>
                <w:color w:val="auto"/>
                <w:w w:val="89"/>
              </w:rPr>
              <w:t>Methane Lydon Volney</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7"/>
              </w:rPr>
              <w:t>April 2014</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GAS-twenty two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May 2014</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174,000</w:t>
            </w:r>
          </w:p>
        </w:tc>
        <w:tc>
          <w:tcPr>
            <w:tcW w:w="180" w:type="dxa"/>
            <w:vAlign w:val="bottom"/>
          </w:tcPr>
          <w:p>
            <w:pPr>
              <w:spacing w:after="0"/>
              <w:rPr>
                <w:sz w:val="13"/>
                <w:szCs w:val="13"/>
                <w:color w:val="auto"/>
              </w:rPr>
            </w:pPr>
          </w:p>
        </w:tc>
        <w:tc>
          <w:tcPr>
            <w:tcW w:w="1600" w:type="dxa"/>
            <w:vAlign w:val="bottom"/>
            <w:gridSpan w:val="2"/>
          </w:tcPr>
          <w:p>
            <w:pPr>
              <w:jc w:val="center"/>
              <w:ind w:right="160"/>
              <w:spacing w:after="0" w:line="157" w:lineRule="exact"/>
              <w:rPr>
                <w:sz w:val="20"/>
                <w:szCs w:val="20"/>
                <w:color w:val="auto"/>
              </w:rPr>
            </w:pPr>
            <w:r>
              <w:rPr>
                <w:rFonts w:ascii="Arial" w:cs="Arial" w:eastAsia="Arial" w:hAnsi="Arial"/>
                <w:sz w:val="15"/>
                <w:szCs w:val="15"/>
                <w:i w:val="1"/>
                <w:iCs w:val="1"/>
                <w:color w:val="auto"/>
                <w:w w:val="90"/>
              </w:rPr>
              <w:t>GasLog Genoa</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93"/>
              </w:rPr>
              <w:t>March 2018</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GAS-twenty three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May 2014</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174,000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i w:val="1"/>
                <w:iCs w:val="1"/>
                <w:color w:val="auto"/>
                <w:w w:val="91"/>
              </w:rPr>
              <w:t>GasLog Gladstone</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3"/>
              </w:rPr>
              <w:t>March 2019</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GAS-twenty four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June 2014</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174,000</w:t>
            </w:r>
          </w:p>
        </w:tc>
        <w:tc>
          <w:tcPr>
            <w:tcW w:w="180" w:type="dxa"/>
            <w:vAlign w:val="bottom"/>
          </w:tcPr>
          <w:p>
            <w:pPr>
              <w:spacing w:after="0"/>
              <w:rPr>
                <w:sz w:val="13"/>
                <w:szCs w:val="13"/>
                <w:color w:val="auto"/>
              </w:rPr>
            </w:pPr>
          </w:p>
        </w:tc>
        <w:tc>
          <w:tcPr>
            <w:tcW w:w="1600" w:type="dxa"/>
            <w:vAlign w:val="bottom"/>
            <w:gridSpan w:val="2"/>
          </w:tcPr>
          <w:p>
            <w:pPr>
              <w:jc w:val="center"/>
              <w:ind w:right="160"/>
              <w:spacing w:after="0" w:line="157" w:lineRule="exact"/>
              <w:rPr>
                <w:sz w:val="20"/>
                <w:szCs w:val="20"/>
                <w:color w:val="auto"/>
              </w:rPr>
            </w:pPr>
            <w:r>
              <w:rPr>
                <w:rFonts w:ascii="Arial" w:cs="Arial" w:eastAsia="Arial" w:hAnsi="Arial"/>
                <w:sz w:val="15"/>
                <w:szCs w:val="15"/>
                <w:i w:val="1"/>
                <w:iCs w:val="1"/>
                <w:color w:val="auto"/>
                <w:w w:val="92"/>
              </w:rPr>
              <w:t>GasLog Houston</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90"/>
              </w:rPr>
              <w:t>January 2018</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GAS-twenty five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June 2014</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174,000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i w:val="1"/>
                <w:iCs w:val="1"/>
                <w:color w:val="auto"/>
                <w:w w:val="92"/>
              </w:rPr>
              <w:t>GasLog Hong Kong</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3"/>
              </w:rPr>
              <w:t>March 2018</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GAS-twenty six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January 2015</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Lease asset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170,000</w:t>
            </w:r>
          </w:p>
        </w:tc>
        <w:tc>
          <w:tcPr>
            <w:tcW w:w="180" w:type="dxa"/>
            <w:vAlign w:val="bottom"/>
          </w:tcPr>
          <w:p>
            <w:pPr>
              <w:spacing w:after="0"/>
              <w:rPr>
                <w:sz w:val="13"/>
                <w:szCs w:val="13"/>
                <w:color w:val="auto"/>
              </w:rPr>
            </w:pPr>
          </w:p>
        </w:tc>
        <w:tc>
          <w:tcPr>
            <w:tcW w:w="1600" w:type="dxa"/>
            <w:vAlign w:val="bottom"/>
            <w:gridSpan w:val="2"/>
          </w:tcPr>
          <w:p>
            <w:pPr>
              <w:jc w:val="center"/>
              <w:ind w:right="160"/>
              <w:spacing w:after="0" w:line="157" w:lineRule="exact"/>
              <w:rPr>
                <w:sz w:val="20"/>
                <w:szCs w:val="20"/>
                <w:color w:val="auto"/>
              </w:rPr>
            </w:pPr>
            <w:r>
              <w:rPr>
                <w:rFonts w:ascii="Arial" w:cs="Arial" w:eastAsia="Arial" w:hAnsi="Arial"/>
                <w:sz w:val="15"/>
                <w:szCs w:val="15"/>
                <w:i w:val="1"/>
                <w:iCs w:val="1"/>
                <w:color w:val="auto"/>
                <w:w w:val="93"/>
              </w:rPr>
              <w:t>Methane Julia Louise</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93"/>
              </w:rPr>
              <w:t>March 2015</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GAS-twenty eight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September 2016</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180,000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4"/>
              </w:rPr>
              <w:t>Hull No. 2213</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88"/>
              </w:rPr>
              <w:t>Q2 2020</w:t>
            </w:r>
            <w:r>
              <w:rPr>
                <w:rFonts w:ascii="Arial" w:cs="Arial" w:eastAsia="Arial" w:hAnsi="Arial"/>
                <w:sz w:val="18"/>
                <w:szCs w:val="18"/>
                <w:color w:val="auto"/>
                <w:w w:val="88"/>
                <w:vertAlign w:val="superscript"/>
              </w:rPr>
              <w:t>(1)</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GAS-twenty nine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September 2016</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Dormant</w:t>
            </w:r>
            <w:r>
              <w:rPr>
                <w:rFonts w:ascii="Arial" w:cs="Arial" w:eastAsia="Arial" w:hAnsi="Arial"/>
                <w:sz w:val="18"/>
                <w:szCs w:val="18"/>
                <w:color w:val="auto"/>
                <w:vertAlign w:val="superscript"/>
              </w:rPr>
              <w:t>(2)</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GAS-thirty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December 2017</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180,000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4"/>
              </w:rPr>
              <w:t>Hull No. 2262</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88"/>
              </w:rPr>
              <w:t>Q3 2020</w:t>
            </w:r>
            <w:r>
              <w:rPr>
                <w:rFonts w:ascii="Arial" w:cs="Arial" w:eastAsia="Arial" w:hAnsi="Arial"/>
                <w:sz w:val="18"/>
                <w:szCs w:val="18"/>
                <w:color w:val="auto"/>
                <w:w w:val="88"/>
                <w:vertAlign w:val="superscript"/>
              </w:rPr>
              <w:t>(1)</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GAS-thirty one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December 2017</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180,000</w:t>
            </w:r>
          </w:p>
        </w:tc>
        <w:tc>
          <w:tcPr>
            <w:tcW w:w="180" w:type="dxa"/>
            <w:vAlign w:val="bottom"/>
          </w:tcPr>
          <w:p>
            <w:pPr>
              <w:spacing w:after="0"/>
              <w:rPr>
                <w:sz w:val="13"/>
                <w:szCs w:val="13"/>
                <w:color w:val="auto"/>
              </w:rPr>
            </w:pP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4"/>
              </w:rPr>
              <w:t>Hull No. 2274</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88"/>
              </w:rPr>
              <w:t>Q2 2020</w:t>
            </w:r>
            <w:r>
              <w:rPr>
                <w:rFonts w:ascii="Arial" w:cs="Arial" w:eastAsia="Arial" w:hAnsi="Arial"/>
                <w:sz w:val="18"/>
                <w:szCs w:val="18"/>
                <w:color w:val="auto"/>
                <w:w w:val="88"/>
                <w:vertAlign w:val="superscript"/>
              </w:rPr>
              <w:t>(1)</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GAS-thirty two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December 2017</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174,000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4"/>
              </w:rPr>
              <w:t>Hull No. 2300</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88"/>
              </w:rPr>
              <w:t>Q4 2020</w:t>
            </w:r>
            <w:r>
              <w:rPr>
                <w:rFonts w:ascii="Arial" w:cs="Arial" w:eastAsia="Arial" w:hAnsi="Arial"/>
                <w:sz w:val="18"/>
                <w:szCs w:val="18"/>
                <w:color w:val="auto"/>
                <w:w w:val="88"/>
                <w:vertAlign w:val="superscript"/>
              </w:rPr>
              <w:t>(1)</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GAS-thirty three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May 2018</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174,000</w:t>
            </w:r>
          </w:p>
        </w:tc>
        <w:tc>
          <w:tcPr>
            <w:tcW w:w="180" w:type="dxa"/>
            <w:vAlign w:val="bottom"/>
          </w:tcPr>
          <w:p>
            <w:pPr>
              <w:spacing w:after="0"/>
              <w:rPr>
                <w:sz w:val="13"/>
                <w:szCs w:val="13"/>
                <w:color w:val="auto"/>
              </w:rPr>
            </w:pP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4"/>
              </w:rPr>
              <w:t>Hull No. 2301</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88"/>
              </w:rPr>
              <w:t>Q4 2020</w:t>
            </w:r>
            <w:r>
              <w:rPr>
                <w:rFonts w:ascii="Arial" w:cs="Arial" w:eastAsia="Arial" w:hAnsi="Arial"/>
                <w:sz w:val="18"/>
                <w:szCs w:val="18"/>
                <w:color w:val="auto"/>
                <w:w w:val="88"/>
                <w:vertAlign w:val="superscript"/>
              </w:rPr>
              <w:t>(1)</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GAS-thirty four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May 2018</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180,000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4"/>
              </w:rPr>
              <w:t>Hull No. 2311</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88"/>
              </w:rPr>
              <w:t>Q2 2021</w:t>
            </w:r>
            <w:r>
              <w:rPr>
                <w:rFonts w:ascii="Arial" w:cs="Arial" w:eastAsia="Arial" w:hAnsi="Arial"/>
                <w:sz w:val="18"/>
                <w:szCs w:val="18"/>
                <w:color w:val="auto"/>
                <w:w w:val="88"/>
                <w:vertAlign w:val="superscript"/>
              </w:rPr>
              <w:t>(1)</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GAS-thirty five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December 2018</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180,000</w:t>
            </w:r>
          </w:p>
        </w:tc>
        <w:tc>
          <w:tcPr>
            <w:tcW w:w="180" w:type="dxa"/>
            <w:vAlign w:val="bottom"/>
          </w:tcPr>
          <w:p>
            <w:pPr>
              <w:spacing w:after="0"/>
              <w:rPr>
                <w:sz w:val="13"/>
                <w:szCs w:val="13"/>
                <w:color w:val="auto"/>
              </w:rPr>
            </w:pP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4"/>
              </w:rPr>
              <w:t>Hull No. 2312</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88"/>
              </w:rPr>
              <w:t>Q3 2021</w:t>
            </w:r>
            <w:r>
              <w:rPr>
                <w:rFonts w:ascii="Arial" w:cs="Arial" w:eastAsia="Arial" w:hAnsi="Arial"/>
                <w:sz w:val="18"/>
                <w:szCs w:val="18"/>
                <w:color w:val="auto"/>
                <w:w w:val="88"/>
                <w:vertAlign w:val="superscript"/>
              </w:rPr>
              <w:t>(1)</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GAS-thirty six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December 2018</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Dormant</w:t>
            </w:r>
          </w:p>
        </w:tc>
        <w:tc>
          <w:tcPr>
            <w:tcW w:w="114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GAS-thirty seven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December 2018</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Dormant</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38"/>
        </w:trPr>
        <w:tc>
          <w:tcPr>
            <w:tcW w:w="20" w:type="dxa"/>
            <w:vAlign w:val="bottom"/>
          </w:tcPr>
          <w:p>
            <w:pPr>
              <w:spacing w:after="0"/>
              <w:rPr>
                <w:sz w:val="11"/>
                <w:szCs w:val="11"/>
                <w:color w:val="auto"/>
              </w:rPr>
            </w:pPr>
          </w:p>
        </w:tc>
        <w:tc>
          <w:tcPr>
            <w:tcW w:w="2260" w:type="dxa"/>
            <w:vAlign w:val="bottom"/>
            <w:shd w:val="clear" w:color="auto" w:fill="E5FFFF"/>
          </w:tcPr>
          <w:p>
            <w:pPr>
              <w:spacing w:after="0" w:line="138" w:lineRule="exact"/>
              <w:rPr>
                <w:sz w:val="20"/>
                <w:szCs w:val="20"/>
                <w:color w:val="auto"/>
              </w:rPr>
            </w:pPr>
            <w:r>
              <w:rPr>
                <w:rFonts w:ascii="Arial" w:cs="Arial" w:eastAsia="Arial" w:hAnsi="Arial"/>
                <w:sz w:val="15"/>
                <w:szCs w:val="15"/>
                <w:color w:val="auto"/>
                <w:w w:val="98"/>
              </w:rPr>
              <w:t>GasLog Hellas-1 Special Maritime</w:t>
            </w:r>
          </w:p>
        </w:tc>
        <w:tc>
          <w:tcPr>
            <w:tcW w:w="1940" w:type="dxa"/>
            <w:vAlign w:val="bottom"/>
            <w:gridSpan w:val="3"/>
            <w:shd w:val="clear" w:color="auto" w:fill="E5FFFF"/>
          </w:tcPr>
          <w:p>
            <w:pPr>
              <w:ind w:left="180"/>
              <w:spacing w:after="0" w:line="138" w:lineRule="exact"/>
              <w:rPr>
                <w:sz w:val="20"/>
                <w:szCs w:val="20"/>
                <w:color w:val="auto"/>
              </w:rPr>
            </w:pPr>
            <w:r>
              <w:rPr>
                <w:rFonts w:ascii="Arial" w:cs="Arial" w:eastAsia="Arial" w:hAnsi="Arial"/>
                <w:sz w:val="15"/>
                <w:szCs w:val="15"/>
                <w:color w:val="auto"/>
              </w:rPr>
              <w:t>Greece</w:t>
            </w:r>
          </w:p>
        </w:tc>
        <w:tc>
          <w:tcPr>
            <w:tcW w:w="1640" w:type="dxa"/>
            <w:vAlign w:val="bottom"/>
            <w:gridSpan w:val="2"/>
            <w:shd w:val="clear" w:color="auto" w:fill="E5FFFF"/>
          </w:tcPr>
          <w:p>
            <w:pPr>
              <w:spacing w:after="0" w:line="138" w:lineRule="exact"/>
              <w:rPr>
                <w:sz w:val="20"/>
                <w:szCs w:val="20"/>
                <w:color w:val="auto"/>
              </w:rPr>
            </w:pPr>
            <w:r>
              <w:rPr>
                <w:rFonts w:ascii="Arial" w:cs="Arial" w:eastAsia="Arial" w:hAnsi="Arial"/>
                <w:sz w:val="15"/>
                <w:szCs w:val="15"/>
                <w:color w:val="auto"/>
              </w:rPr>
              <w:t>June 2019</w:t>
            </w:r>
          </w:p>
        </w:tc>
        <w:tc>
          <w:tcPr>
            <w:tcW w:w="2200" w:type="dxa"/>
            <w:vAlign w:val="bottom"/>
            <w:gridSpan w:val="2"/>
            <w:shd w:val="clear" w:color="auto" w:fill="E5FFFF"/>
          </w:tcPr>
          <w:p>
            <w:pPr>
              <w:spacing w:after="0" w:line="138"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38" w:lineRule="exact"/>
              <w:rPr>
                <w:sz w:val="20"/>
                <w:szCs w:val="20"/>
                <w:color w:val="auto"/>
              </w:rPr>
            </w:pPr>
            <w:r>
              <w:rPr>
                <w:rFonts w:ascii="Arial" w:cs="Arial" w:eastAsia="Arial" w:hAnsi="Arial"/>
                <w:sz w:val="15"/>
                <w:szCs w:val="15"/>
                <w:color w:val="auto"/>
                <w:w w:val="92"/>
              </w:rPr>
              <w:t>180,000</w:t>
            </w:r>
          </w:p>
        </w:tc>
        <w:tc>
          <w:tcPr>
            <w:tcW w:w="180" w:type="dxa"/>
            <w:vAlign w:val="bottom"/>
            <w:shd w:val="clear" w:color="auto" w:fill="E5FFFF"/>
          </w:tcPr>
          <w:p>
            <w:pPr>
              <w:spacing w:after="0"/>
              <w:rPr>
                <w:sz w:val="11"/>
                <w:szCs w:val="11"/>
                <w:color w:val="auto"/>
              </w:rPr>
            </w:pPr>
          </w:p>
        </w:tc>
        <w:tc>
          <w:tcPr>
            <w:tcW w:w="1600" w:type="dxa"/>
            <w:vAlign w:val="bottom"/>
            <w:gridSpan w:val="2"/>
            <w:shd w:val="clear" w:color="auto" w:fill="E5FFFF"/>
          </w:tcPr>
          <w:p>
            <w:pPr>
              <w:jc w:val="center"/>
              <w:ind w:right="180"/>
              <w:spacing w:after="0" w:line="138" w:lineRule="exact"/>
              <w:rPr>
                <w:sz w:val="20"/>
                <w:szCs w:val="20"/>
                <w:color w:val="auto"/>
              </w:rPr>
            </w:pPr>
            <w:r>
              <w:rPr>
                <w:rFonts w:ascii="Arial" w:cs="Arial" w:eastAsia="Arial" w:hAnsi="Arial"/>
                <w:sz w:val="13"/>
                <w:szCs w:val="13"/>
                <w:i w:val="1"/>
                <w:iCs w:val="1"/>
                <w:color w:val="auto"/>
              </w:rPr>
              <w:t>GasLog Warsaw</w:t>
            </w:r>
            <w:r>
              <w:rPr>
                <w:rFonts w:ascii="Arial" w:cs="Arial" w:eastAsia="Arial" w:hAnsi="Arial"/>
                <w:sz w:val="15"/>
                <w:szCs w:val="15"/>
                <w:color w:val="auto"/>
                <w:vertAlign w:val="superscript"/>
              </w:rPr>
              <w:t>(2)</w:t>
            </w:r>
          </w:p>
        </w:tc>
        <w:tc>
          <w:tcPr>
            <w:tcW w:w="1200" w:type="dxa"/>
            <w:vAlign w:val="bottom"/>
            <w:shd w:val="clear" w:color="auto" w:fill="E5FFFF"/>
          </w:tcPr>
          <w:p>
            <w:pPr>
              <w:jc w:val="center"/>
              <w:spacing w:after="0" w:line="138" w:lineRule="exact"/>
              <w:rPr>
                <w:sz w:val="20"/>
                <w:szCs w:val="20"/>
                <w:color w:val="auto"/>
              </w:rPr>
            </w:pPr>
            <w:r>
              <w:rPr>
                <w:rFonts w:ascii="Arial" w:cs="Arial" w:eastAsia="Arial" w:hAnsi="Arial"/>
                <w:sz w:val="15"/>
                <w:szCs w:val="15"/>
                <w:color w:val="auto"/>
                <w:w w:val="93"/>
              </w:rPr>
              <w:t>July 2019</w:t>
            </w:r>
          </w:p>
        </w:tc>
      </w:tr>
      <w:tr>
        <w:trPr>
          <w:trHeight w:val="176"/>
        </w:trPr>
        <w:tc>
          <w:tcPr>
            <w:tcW w:w="20" w:type="dxa"/>
            <w:vAlign w:val="bottom"/>
          </w:tcPr>
          <w:p>
            <w:pPr>
              <w:spacing w:after="0"/>
              <w:rPr>
                <w:sz w:val="15"/>
                <w:szCs w:val="15"/>
                <w:color w:val="auto"/>
              </w:rPr>
            </w:pPr>
          </w:p>
        </w:tc>
        <w:tc>
          <w:tcPr>
            <w:tcW w:w="2260" w:type="dxa"/>
            <w:vAlign w:val="bottom"/>
            <w:shd w:val="clear" w:color="auto" w:fill="E5FFFF"/>
          </w:tcPr>
          <w:p>
            <w:pPr>
              <w:ind w:left="160"/>
              <w:spacing w:after="0"/>
              <w:rPr>
                <w:sz w:val="20"/>
                <w:szCs w:val="20"/>
                <w:color w:val="auto"/>
              </w:rPr>
            </w:pPr>
            <w:r>
              <w:rPr>
                <w:rFonts w:ascii="Arial" w:cs="Arial" w:eastAsia="Arial" w:hAnsi="Arial"/>
                <w:sz w:val="15"/>
                <w:szCs w:val="15"/>
                <w:color w:val="auto"/>
              </w:rPr>
              <w:t>Enterprise</w:t>
            </w:r>
          </w:p>
        </w:tc>
        <w:tc>
          <w:tcPr>
            <w:tcW w:w="180" w:type="dxa"/>
            <w:vAlign w:val="bottom"/>
            <w:shd w:val="clear" w:color="auto" w:fill="E5FFFF"/>
          </w:tcPr>
          <w:p>
            <w:pPr>
              <w:spacing w:after="0"/>
              <w:rPr>
                <w:sz w:val="15"/>
                <w:szCs w:val="15"/>
                <w:color w:val="auto"/>
              </w:rPr>
            </w:pPr>
          </w:p>
        </w:tc>
        <w:tc>
          <w:tcPr>
            <w:tcW w:w="15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0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44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1200" w:type="dxa"/>
            <w:vAlign w:val="bottom"/>
            <w:shd w:val="clear" w:color="auto" w:fill="E5FFFF"/>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GasLog Shipping Limited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BVI</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July 2003</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Dormant</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b w:val="1"/>
                <w:bCs w:val="1"/>
                <w:color w:val="auto"/>
              </w:rPr>
              <w:t>35.0% interest subsidiaries:</w:t>
            </w:r>
          </w:p>
        </w:tc>
        <w:tc>
          <w:tcPr>
            <w:tcW w:w="180" w:type="dxa"/>
            <w:vAlign w:val="bottom"/>
            <w:shd w:val="clear" w:color="auto" w:fill="E5FFFF"/>
          </w:tcPr>
          <w:p>
            <w:pPr>
              <w:spacing w:after="0"/>
              <w:rPr>
                <w:sz w:val="13"/>
                <w:szCs w:val="13"/>
                <w:color w:val="auto"/>
              </w:rPr>
            </w:pPr>
          </w:p>
        </w:tc>
        <w:tc>
          <w:tcPr>
            <w:tcW w:w="156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144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204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96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44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1200" w:type="dxa"/>
            <w:vAlign w:val="bottom"/>
            <w:shd w:val="clear" w:color="auto" w:fill="E5FF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GasLog Partners LP</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Marshall Islands</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January 2014</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Holding company</w:t>
            </w:r>
          </w:p>
        </w:tc>
        <w:tc>
          <w:tcPr>
            <w:tcW w:w="114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GasLog Partners Holdings LLC</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Marshall Islands</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April 2014</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Holding company</w:t>
            </w:r>
          </w:p>
        </w:tc>
        <w:tc>
          <w:tcPr>
            <w:tcW w:w="114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rPr>
              <w:t>—</w:t>
            </w: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color w:val="auto"/>
                <w:w w:val="93"/>
              </w:rPr>
              <w:t>—</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rPr>
              <w:t>—</w:t>
            </w:r>
          </w:p>
        </w:tc>
      </w:tr>
      <w:tr>
        <w:trPr>
          <w:trHeight w:val="157"/>
        </w:trPr>
        <w:tc>
          <w:tcPr>
            <w:tcW w:w="20" w:type="dxa"/>
            <w:vAlign w:val="bottom"/>
          </w:tcPr>
          <w:p>
            <w:pPr>
              <w:spacing w:after="0"/>
              <w:rPr>
                <w:sz w:val="13"/>
                <w:szCs w:val="13"/>
                <w:color w:val="auto"/>
              </w:rPr>
            </w:pPr>
          </w:p>
        </w:tc>
        <w:tc>
          <w:tcPr>
            <w:tcW w:w="2260" w:type="dxa"/>
            <w:vAlign w:val="bottom"/>
          </w:tcPr>
          <w:p>
            <w:pPr>
              <w:spacing w:after="0" w:line="157" w:lineRule="exact"/>
              <w:rPr>
                <w:sz w:val="20"/>
                <w:szCs w:val="20"/>
                <w:color w:val="auto"/>
              </w:rPr>
            </w:pPr>
            <w:r>
              <w:rPr>
                <w:rFonts w:ascii="Arial" w:cs="Arial" w:eastAsia="Arial" w:hAnsi="Arial"/>
                <w:sz w:val="15"/>
                <w:szCs w:val="15"/>
                <w:color w:val="auto"/>
              </w:rPr>
              <w:t>GAS-three Ltd.</w:t>
            </w:r>
          </w:p>
        </w:tc>
        <w:tc>
          <w:tcPr>
            <w:tcW w:w="1940" w:type="dxa"/>
            <w:vAlign w:val="bottom"/>
            <w:gridSpan w:val="3"/>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tcPr>
          <w:p>
            <w:pPr>
              <w:spacing w:after="0" w:line="157" w:lineRule="exact"/>
              <w:rPr>
                <w:sz w:val="20"/>
                <w:szCs w:val="20"/>
                <w:color w:val="auto"/>
              </w:rPr>
            </w:pPr>
            <w:r>
              <w:rPr>
                <w:rFonts w:ascii="Arial" w:cs="Arial" w:eastAsia="Arial" w:hAnsi="Arial"/>
                <w:sz w:val="15"/>
                <w:szCs w:val="15"/>
                <w:color w:val="auto"/>
              </w:rPr>
              <w:t>April 2010</w:t>
            </w:r>
          </w:p>
        </w:tc>
        <w:tc>
          <w:tcPr>
            <w:tcW w:w="2200" w:type="dxa"/>
            <w:vAlign w:val="bottom"/>
            <w:gridSpan w:val="2"/>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tcPr>
          <w:p>
            <w:pPr>
              <w:jc w:val="center"/>
              <w:spacing w:after="0" w:line="157" w:lineRule="exact"/>
              <w:rPr>
                <w:sz w:val="20"/>
                <w:szCs w:val="20"/>
                <w:color w:val="auto"/>
              </w:rPr>
            </w:pPr>
            <w:r>
              <w:rPr>
                <w:rFonts w:ascii="Arial" w:cs="Arial" w:eastAsia="Arial" w:hAnsi="Arial"/>
                <w:sz w:val="15"/>
                <w:szCs w:val="15"/>
                <w:color w:val="auto"/>
                <w:w w:val="92"/>
              </w:rPr>
              <w:t>155,000</w:t>
            </w:r>
          </w:p>
        </w:tc>
        <w:tc>
          <w:tcPr>
            <w:tcW w:w="180" w:type="dxa"/>
            <w:vAlign w:val="bottom"/>
          </w:tcPr>
          <w:p>
            <w:pPr>
              <w:spacing w:after="0"/>
              <w:rPr>
                <w:sz w:val="13"/>
                <w:szCs w:val="13"/>
                <w:color w:val="auto"/>
              </w:rPr>
            </w:pPr>
          </w:p>
        </w:tc>
        <w:tc>
          <w:tcPr>
            <w:tcW w:w="1600" w:type="dxa"/>
            <w:vAlign w:val="bottom"/>
            <w:gridSpan w:val="2"/>
          </w:tcPr>
          <w:p>
            <w:pPr>
              <w:jc w:val="center"/>
              <w:ind w:right="180"/>
              <w:spacing w:after="0" w:line="157" w:lineRule="exact"/>
              <w:rPr>
                <w:sz w:val="20"/>
                <w:szCs w:val="20"/>
                <w:color w:val="auto"/>
              </w:rPr>
            </w:pPr>
            <w:r>
              <w:rPr>
                <w:rFonts w:ascii="Arial" w:cs="Arial" w:eastAsia="Arial" w:hAnsi="Arial"/>
                <w:sz w:val="15"/>
                <w:szCs w:val="15"/>
                <w:i w:val="1"/>
                <w:iCs w:val="1"/>
                <w:color w:val="auto"/>
                <w:w w:val="91"/>
              </w:rPr>
              <w:t>GasLog Shanghai</w:t>
            </w:r>
          </w:p>
        </w:tc>
        <w:tc>
          <w:tcPr>
            <w:tcW w:w="1200" w:type="dxa"/>
            <w:vAlign w:val="bottom"/>
          </w:tcPr>
          <w:p>
            <w:pPr>
              <w:jc w:val="center"/>
              <w:spacing w:after="0" w:line="157" w:lineRule="exact"/>
              <w:rPr>
                <w:sz w:val="20"/>
                <w:szCs w:val="20"/>
                <w:color w:val="auto"/>
              </w:rPr>
            </w:pPr>
            <w:r>
              <w:rPr>
                <w:rFonts w:ascii="Arial" w:cs="Arial" w:eastAsia="Arial" w:hAnsi="Arial"/>
                <w:sz w:val="15"/>
                <w:szCs w:val="15"/>
                <w:color w:val="auto"/>
                <w:w w:val="90"/>
              </w:rPr>
              <w:t>January 2013</w:t>
            </w:r>
          </w:p>
        </w:tc>
      </w:tr>
      <w:tr>
        <w:trPr>
          <w:trHeight w:val="157"/>
        </w:trPr>
        <w:tc>
          <w:tcPr>
            <w:tcW w:w="20" w:type="dxa"/>
            <w:vAlign w:val="bottom"/>
          </w:tcPr>
          <w:p>
            <w:pPr>
              <w:spacing w:after="0"/>
              <w:rPr>
                <w:sz w:val="13"/>
                <w:szCs w:val="13"/>
                <w:color w:val="auto"/>
              </w:rPr>
            </w:pPr>
          </w:p>
        </w:tc>
        <w:tc>
          <w:tcPr>
            <w:tcW w:w="2260" w:type="dxa"/>
            <w:vAlign w:val="bottom"/>
            <w:shd w:val="clear" w:color="auto" w:fill="E5FFFF"/>
          </w:tcPr>
          <w:p>
            <w:pPr>
              <w:spacing w:after="0" w:line="157" w:lineRule="exact"/>
              <w:rPr>
                <w:sz w:val="20"/>
                <w:szCs w:val="20"/>
                <w:color w:val="auto"/>
              </w:rPr>
            </w:pPr>
            <w:r>
              <w:rPr>
                <w:rFonts w:ascii="Arial" w:cs="Arial" w:eastAsia="Arial" w:hAnsi="Arial"/>
                <w:sz w:val="15"/>
                <w:szCs w:val="15"/>
                <w:color w:val="auto"/>
              </w:rPr>
              <w:t>GAS-four Ltd.</w:t>
            </w:r>
          </w:p>
        </w:tc>
        <w:tc>
          <w:tcPr>
            <w:tcW w:w="1940" w:type="dxa"/>
            <w:vAlign w:val="bottom"/>
            <w:gridSpan w:val="3"/>
            <w:shd w:val="clear" w:color="auto" w:fill="E5FFFF"/>
          </w:tcPr>
          <w:p>
            <w:pPr>
              <w:ind w:left="180"/>
              <w:spacing w:after="0" w:line="157" w:lineRule="exact"/>
              <w:rPr>
                <w:sz w:val="20"/>
                <w:szCs w:val="20"/>
                <w:color w:val="auto"/>
              </w:rPr>
            </w:pPr>
            <w:r>
              <w:rPr>
                <w:rFonts w:ascii="Arial" w:cs="Arial" w:eastAsia="Arial" w:hAnsi="Arial"/>
                <w:sz w:val="15"/>
                <w:szCs w:val="15"/>
                <w:color w:val="auto"/>
              </w:rPr>
              <w:t>Bermuda</w:t>
            </w:r>
          </w:p>
        </w:tc>
        <w:tc>
          <w:tcPr>
            <w:tcW w:w="16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April 2010</w:t>
            </w:r>
          </w:p>
        </w:tc>
        <w:tc>
          <w:tcPr>
            <w:tcW w:w="220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Vessel-owning company</w:t>
            </w:r>
          </w:p>
        </w:tc>
        <w:tc>
          <w:tcPr>
            <w:tcW w:w="9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2"/>
              </w:rPr>
              <w:t>155,000</w:t>
            </w:r>
          </w:p>
        </w:tc>
        <w:tc>
          <w:tcPr>
            <w:tcW w:w="180" w:type="dxa"/>
            <w:vAlign w:val="bottom"/>
            <w:shd w:val="clear" w:color="auto" w:fill="E5FFFF"/>
          </w:tcPr>
          <w:p>
            <w:pPr>
              <w:spacing w:after="0"/>
              <w:rPr>
                <w:sz w:val="13"/>
                <w:szCs w:val="13"/>
                <w:color w:val="auto"/>
              </w:rPr>
            </w:pPr>
          </w:p>
        </w:tc>
        <w:tc>
          <w:tcPr>
            <w:tcW w:w="1600" w:type="dxa"/>
            <w:vAlign w:val="bottom"/>
            <w:gridSpan w:val="2"/>
            <w:shd w:val="clear" w:color="auto" w:fill="E5FFFF"/>
          </w:tcPr>
          <w:p>
            <w:pPr>
              <w:jc w:val="center"/>
              <w:ind w:right="180"/>
              <w:spacing w:after="0" w:line="157" w:lineRule="exact"/>
              <w:rPr>
                <w:sz w:val="20"/>
                <w:szCs w:val="20"/>
                <w:color w:val="auto"/>
              </w:rPr>
            </w:pPr>
            <w:r>
              <w:rPr>
                <w:rFonts w:ascii="Arial" w:cs="Arial" w:eastAsia="Arial" w:hAnsi="Arial"/>
                <w:sz w:val="15"/>
                <w:szCs w:val="15"/>
                <w:i w:val="1"/>
                <w:iCs w:val="1"/>
                <w:color w:val="auto"/>
                <w:w w:val="91"/>
              </w:rPr>
              <w:t>GasLog Santiago</w:t>
            </w:r>
          </w:p>
        </w:tc>
        <w:tc>
          <w:tcPr>
            <w:tcW w:w="120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3"/>
              </w:rPr>
              <w:t>March 2013</w:t>
            </w: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1440" w:gutter="0" w:footer="0" w:header="0"/>
        </w:sectPr>
      </w:pPr>
    </w:p>
    <w:bookmarkStart w:id="33" w:name="page34"/>
    <w:bookmarkEnd w:id="33"/>
    <w:tbl>
      <w:tblPr>
        <w:tblLayout w:type="fixed"/>
        <w:tblInd w:w="6" w:type="dxa"/>
        <w:tblCellMar>
          <w:top w:w="0" w:type="dxa"/>
          <w:left w:w="0" w:type="dxa"/>
          <w:bottom w:w="0" w:type="dxa"/>
          <w:right w:w="0" w:type="dxa"/>
        </w:tblCellMar>
      </w:tblPr>
      <w:tr>
        <w:trPr>
          <w:trHeight w:val="176"/>
        </w:trPr>
        <w:tc>
          <w:tcPr>
            <w:tcW w:w="2060" w:type="dxa"/>
            <w:vAlign w:val="bottom"/>
            <w:gridSpan w:val="3"/>
          </w:tcPr>
          <w:p>
            <w:pPr>
              <w:spacing w:after="0"/>
              <w:rPr>
                <w:sz w:val="20"/>
                <w:szCs w:val="20"/>
                <w:color w:val="auto"/>
              </w:rPr>
            </w:pPr>
            <w:r>
              <w:rPr>
                <w:rFonts w:ascii="Arial" w:cs="Arial" w:eastAsia="Arial" w:hAnsi="Arial"/>
                <w:sz w:val="15"/>
                <w:szCs w:val="15"/>
                <w:color w:val="auto"/>
              </w:rPr>
              <w:t>GAS-five Ltd.</w:t>
            </w:r>
          </w:p>
        </w:tc>
        <w:tc>
          <w:tcPr>
            <w:tcW w:w="1560" w:type="dxa"/>
            <w:vAlign w:val="bottom"/>
          </w:tcPr>
          <w:p>
            <w:pPr>
              <w:ind w:left="400"/>
              <w:spacing w:after="0"/>
              <w:rPr>
                <w:sz w:val="20"/>
                <w:szCs w:val="20"/>
                <w:color w:val="auto"/>
              </w:rPr>
            </w:pPr>
            <w:r>
              <w:rPr>
                <w:rFonts w:ascii="Arial" w:cs="Arial" w:eastAsia="Arial" w:hAnsi="Arial"/>
                <w:sz w:val="15"/>
                <w:szCs w:val="15"/>
                <w:color w:val="auto"/>
              </w:rPr>
              <w:t>Bermuda</w:t>
            </w:r>
          </w:p>
        </w:tc>
        <w:tc>
          <w:tcPr>
            <w:tcW w:w="1900" w:type="dxa"/>
            <w:vAlign w:val="bottom"/>
          </w:tcPr>
          <w:p>
            <w:pPr>
              <w:ind w:left="600"/>
              <w:spacing w:after="0"/>
              <w:rPr>
                <w:sz w:val="20"/>
                <w:szCs w:val="20"/>
                <w:color w:val="auto"/>
              </w:rPr>
            </w:pPr>
            <w:r>
              <w:rPr>
                <w:rFonts w:ascii="Arial" w:cs="Arial" w:eastAsia="Arial" w:hAnsi="Arial"/>
                <w:sz w:val="15"/>
                <w:szCs w:val="15"/>
                <w:color w:val="auto"/>
              </w:rPr>
              <w:t>February 2011</w:t>
            </w:r>
          </w:p>
        </w:tc>
        <w:tc>
          <w:tcPr>
            <w:tcW w:w="2300" w:type="dxa"/>
            <w:vAlign w:val="bottom"/>
          </w:tcPr>
          <w:p>
            <w:pPr>
              <w:ind w:left="340"/>
              <w:spacing w:after="0"/>
              <w:rPr>
                <w:sz w:val="20"/>
                <w:szCs w:val="20"/>
                <w:color w:val="auto"/>
              </w:rPr>
            </w:pPr>
            <w:r>
              <w:rPr>
                <w:rFonts w:ascii="Arial" w:cs="Arial" w:eastAsia="Arial" w:hAnsi="Arial"/>
                <w:sz w:val="15"/>
                <w:szCs w:val="15"/>
                <w:color w:val="auto"/>
              </w:rPr>
              <w:t>Vessel-owning company</w:t>
            </w:r>
          </w:p>
        </w:tc>
        <w:tc>
          <w:tcPr>
            <w:tcW w:w="1180" w:type="dxa"/>
            <w:vAlign w:val="bottom"/>
          </w:tcPr>
          <w:p>
            <w:pPr>
              <w:jc w:val="center"/>
              <w:ind w:left="204"/>
              <w:spacing w:after="0"/>
              <w:rPr>
                <w:sz w:val="20"/>
                <w:szCs w:val="20"/>
                <w:color w:val="auto"/>
              </w:rPr>
            </w:pPr>
            <w:r>
              <w:rPr>
                <w:rFonts w:ascii="Arial" w:cs="Arial" w:eastAsia="Arial" w:hAnsi="Arial"/>
                <w:sz w:val="15"/>
                <w:szCs w:val="15"/>
                <w:color w:val="auto"/>
                <w:w w:val="92"/>
              </w:rPr>
              <w:t>155,000</w:t>
            </w:r>
          </w:p>
        </w:tc>
        <w:tc>
          <w:tcPr>
            <w:tcW w:w="1760" w:type="dxa"/>
            <w:vAlign w:val="bottom"/>
          </w:tcPr>
          <w:p>
            <w:pPr>
              <w:jc w:val="center"/>
              <w:spacing w:after="0"/>
              <w:rPr>
                <w:sz w:val="20"/>
                <w:szCs w:val="20"/>
                <w:color w:val="auto"/>
              </w:rPr>
            </w:pPr>
            <w:r>
              <w:rPr>
                <w:rFonts w:ascii="Arial" w:cs="Arial" w:eastAsia="Arial" w:hAnsi="Arial"/>
                <w:sz w:val="15"/>
                <w:szCs w:val="15"/>
                <w:i w:val="1"/>
                <w:iCs w:val="1"/>
                <w:color w:val="auto"/>
                <w:w w:val="88"/>
              </w:rPr>
              <w:t>GasLog Sydney</w:t>
            </w:r>
          </w:p>
        </w:tc>
        <w:tc>
          <w:tcPr>
            <w:tcW w:w="1240" w:type="dxa"/>
            <w:vAlign w:val="bottom"/>
          </w:tcPr>
          <w:p>
            <w:pPr>
              <w:jc w:val="center"/>
              <w:spacing w:after="0"/>
              <w:rPr>
                <w:sz w:val="20"/>
                <w:szCs w:val="20"/>
                <w:color w:val="auto"/>
              </w:rPr>
            </w:pPr>
            <w:r>
              <w:rPr>
                <w:rFonts w:ascii="Arial" w:cs="Arial" w:eastAsia="Arial" w:hAnsi="Arial"/>
                <w:sz w:val="15"/>
                <w:szCs w:val="15"/>
                <w:color w:val="auto"/>
                <w:w w:val="94"/>
              </w:rPr>
              <w:t>May 2013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GAS-seven Ltd.</w:t>
            </w:r>
          </w:p>
        </w:tc>
        <w:tc>
          <w:tcPr>
            <w:tcW w:w="1560" w:type="dxa"/>
            <w:vAlign w:val="bottom"/>
            <w:shd w:val="clear" w:color="auto" w:fill="E5FFFF"/>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shd w:val="clear" w:color="auto" w:fill="E5FFFF"/>
          </w:tcPr>
          <w:p>
            <w:pPr>
              <w:ind w:left="600"/>
              <w:spacing w:after="0" w:line="157" w:lineRule="exact"/>
              <w:rPr>
                <w:sz w:val="20"/>
                <w:szCs w:val="20"/>
                <w:color w:val="auto"/>
              </w:rPr>
            </w:pPr>
            <w:r>
              <w:rPr>
                <w:rFonts w:ascii="Arial" w:cs="Arial" w:eastAsia="Arial" w:hAnsi="Arial"/>
                <w:sz w:val="15"/>
                <w:szCs w:val="15"/>
                <w:color w:val="auto"/>
              </w:rPr>
              <w:t>March 2011</w:t>
            </w:r>
          </w:p>
        </w:tc>
        <w:tc>
          <w:tcPr>
            <w:tcW w:w="2300" w:type="dxa"/>
            <w:vAlign w:val="bottom"/>
            <w:shd w:val="clear" w:color="auto" w:fill="E5FFFF"/>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shd w:val="clear" w:color="auto" w:fill="E5FFFF"/>
          </w:tcPr>
          <w:p>
            <w:pPr>
              <w:jc w:val="center"/>
              <w:ind w:left="204"/>
              <w:spacing w:after="0" w:line="157" w:lineRule="exact"/>
              <w:rPr>
                <w:sz w:val="20"/>
                <w:szCs w:val="20"/>
                <w:color w:val="auto"/>
              </w:rPr>
            </w:pPr>
            <w:r>
              <w:rPr>
                <w:rFonts w:ascii="Arial" w:cs="Arial" w:eastAsia="Arial" w:hAnsi="Arial"/>
                <w:sz w:val="15"/>
                <w:szCs w:val="15"/>
                <w:color w:val="auto"/>
                <w:w w:val="92"/>
              </w:rPr>
              <w:t>155,000</w:t>
            </w:r>
          </w:p>
        </w:tc>
        <w:tc>
          <w:tcPr>
            <w:tcW w:w="17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i w:val="1"/>
                <w:iCs w:val="1"/>
                <w:color w:val="auto"/>
                <w:w w:val="90"/>
              </w:rPr>
              <w:t>GasLog Seattle</w:t>
            </w:r>
          </w:p>
        </w:tc>
        <w:tc>
          <w:tcPr>
            <w:tcW w:w="124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89"/>
              </w:rPr>
              <w:t>December 2013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tcPr>
          <w:p>
            <w:pPr>
              <w:spacing w:after="0" w:line="157" w:lineRule="exact"/>
              <w:rPr>
                <w:sz w:val="20"/>
                <w:szCs w:val="20"/>
                <w:color w:val="auto"/>
              </w:rPr>
            </w:pPr>
            <w:r>
              <w:rPr>
                <w:rFonts w:ascii="Arial" w:cs="Arial" w:eastAsia="Arial" w:hAnsi="Arial"/>
                <w:sz w:val="15"/>
                <w:szCs w:val="15"/>
                <w:color w:val="auto"/>
              </w:rPr>
              <w:t>GAS-eight Ltd.</w:t>
            </w:r>
          </w:p>
        </w:tc>
        <w:tc>
          <w:tcPr>
            <w:tcW w:w="1560" w:type="dxa"/>
            <w:vAlign w:val="bottom"/>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tcPr>
          <w:p>
            <w:pPr>
              <w:ind w:left="600"/>
              <w:spacing w:after="0" w:line="157" w:lineRule="exact"/>
              <w:rPr>
                <w:sz w:val="20"/>
                <w:szCs w:val="20"/>
                <w:color w:val="auto"/>
              </w:rPr>
            </w:pPr>
            <w:r>
              <w:rPr>
                <w:rFonts w:ascii="Arial" w:cs="Arial" w:eastAsia="Arial" w:hAnsi="Arial"/>
                <w:sz w:val="15"/>
                <w:szCs w:val="15"/>
                <w:color w:val="auto"/>
              </w:rPr>
              <w:t>March 2011</w:t>
            </w:r>
          </w:p>
        </w:tc>
        <w:tc>
          <w:tcPr>
            <w:tcW w:w="2300" w:type="dxa"/>
            <w:vAlign w:val="bottom"/>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tcPr>
          <w:p>
            <w:pPr>
              <w:jc w:val="center"/>
              <w:ind w:left="204"/>
              <w:spacing w:after="0" w:line="157" w:lineRule="exact"/>
              <w:rPr>
                <w:sz w:val="20"/>
                <w:szCs w:val="20"/>
                <w:color w:val="auto"/>
              </w:rPr>
            </w:pPr>
            <w:r>
              <w:rPr>
                <w:rFonts w:ascii="Arial" w:cs="Arial" w:eastAsia="Arial" w:hAnsi="Arial"/>
                <w:sz w:val="15"/>
                <w:szCs w:val="15"/>
                <w:color w:val="auto"/>
                <w:w w:val="92"/>
              </w:rPr>
              <w:t>155,000</w:t>
            </w:r>
          </w:p>
        </w:tc>
        <w:tc>
          <w:tcPr>
            <w:tcW w:w="1760" w:type="dxa"/>
            <w:vAlign w:val="bottom"/>
          </w:tcPr>
          <w:p>
            <w:pPr>
              <w:jc w:val="center"/>
              <w:spacing w:after="0" w:line="157" w:lineRule="exact"/>
              <w:rPr>
                <w:sz w:val="20"/>
                <w:szCs w:val="20"/>
                <w:color w:val="auto"/>
              </w:rPr>
            </w:pPr>
            <w:r>
              <w:rPr>
                <w:rFonts w:ascii="Arial" w:cs="Arial" w:eastAsia="Arial" w:hAnsi="Arial"/>
                <w:sz w:val="15"/>
                <w:szCs w:val="15"/>
                <w:i w:val="1"/>
                <w:iCs w:val="1"/>
                <w:color w:val="auto"/>
                <w:w w:val="91"/>
              </w:rPr>
              <w:t>Solaris</w:t>
            </w:r>
          </w:p>
        </w:tc>
        <w:tc>
          <w:tcPr>
            <w:tcW w:w="1240" w:type="dxa"/>
            <w:vAlign w:val="bottom"/>
          </w:tcPr>
          <w:p>
            <w:pPr>
              <w:jc w:val="center"/>
              <w:spacing w:after="0" w:line="157" w:lineRule="exact"/>
              <w:rPr>
                <w:sz w:val="20"/>
                <w:szCs w:val="20"/>
                <w:color w:val="auto"/>
              </w:rPr>
            </w:pPr>
            <w:r>
              <w:rPr>
                <w:rFonts w:ascii="Arial" w:cs="Arial" w:eastAsia="Arial" w:hAnsi="Arial"/>
                <w:sz w:val="15"/>
                <w:szCs w:val="15"/>
                <w:color w:val="auto"/>
                <w:w w:val="88"/>
              </w:rPr>
              <w:t>June 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GAS-eleven Ltd.</w:t>
            </w:r>
          </w:p>
        </w:tc>
        <w:tc>
          <w:tcPr>
            <w:tcW w:w="1560" w:type="dxa"/>
            <w:vAlign w:val="bottom"/>
            <w:shd w:val="clear" w:color="auto" w:fill="E5FFFF"/>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shd w:val="clear" w:color="auto" w:fill="E5FFFF"/>
          </w:tcPr>
          <w:p>
            <w:pPr>
              <w:ind w:left="600"/>
              <w:spacing w:after="0" w:line="157" w:lineRule="exact"/>
              <w:rPr>
                <w:sz w:val="20"/>
                <w:szCs w:val="20"/>
                <w:color w:val="auto"/>
              </w:rPr>
            </w:pPr>
            <w:r>
              <w:rPr>
                <w:rFonts w:ascii="Arial" w:cs="Arial" w:eastAsia="Arial" w:hAnsi="Arial"/>
                <w:sz w:val="15"/>
                <w:szCs w:val="15"/>
                <w:color w:val="auto"/>
              </w:rPr>
              <w:t>December 2012</w:t>
            </w:r>
          </w:p>
        </w:tc>
        <w:tc>
          <w:tcPr>
            <w:tcW w:w="2300" w:type="dxa"/>
            <w:vAlign w:val="bottom"/>
            <w:shd w:val="clear" w:color="auto" w:fill="E5FFFF"/>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shd w:val="clear" w:color="auto" w:fill="E5FFFF"/>
          </w:tcPr>
          <w:p>
            <w:pPr>
              <w:jc w:val="center"/>
              <w:ind w:left="204"/>
              <w:spacing w:after="0" w:line="157" w:lineRule="exact"/>
              <w:rPr>
                <w:sz w:val="20"/>
                <w:szCs w:val="20"/>
                <w:color w:val="auto"/>
              </w:rPr>
            </w:pPr>
            <w:r>
              <w:rPr>
                <w:rFonts w:ascii="Arial" w:cs="Arial" w:eastAsia="Arial" w:hAnsi="Arial"/>
                <w:sz w:val="15"/>
                <w:szCs w:val="15"/>
                <w:color w:val="auto"/>
                <w:w w:val="92"/>
              </w:rPr>
              <w:t>174,000</w:t>
            </w:r>
          </w:p>
        </w:tc>
        <w:tc>
          <w:tcPr>
            <w:tcW w:w="17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i w:val="1"/>
                <w:iCs w:val="1"/>
                <w:color w:val="auto"/>
                <w:w w:val="88"/>
              </w:rPr>
              <w:t>GasLog Greece</w:t>
            </w:r>
          </w:p>
        </w:tc>
        <w:tc>
          <w:tcPr>
            <w:tcW w:w="124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3"/>
              </w:rPr>
              <w:t>March 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tcPr>
          <w:p>
            <w:pPr>
              <w:spacing w:after="0" w:line="157" w:lineRule="exact"/>
              <w:rPr>
                <w:sz w:val="20"/>
                <w:szCs w:val="20"/>
                <w:color w:val="auto"/>
              </w:rPr>
            </w:pPr>
            <w:r>
              <w:rPr>
                <w:rFonts w:ascii="Arial" w:cs="Arial" w:eastAsia="Arial" w:hAnsi="Arial"/>
                <w:sz w:val="15"/>
                <w:szCs w:val="15"/>
                <w:color w:val="auto"/>
              </w:rPr>
              <w:t>GAS-twelve Ltd.</w:t>
            </w:r>
          </w:p>
        </w:tc>
        <w:tc>
          <w:tcPr>
            <w:tcW w:w="1560" w:type="dxa"/>
            <w:vAlign w:val="bottom"/>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tcPr>
          <w:p>
            <w:pPr>
              <w:ind w:left="600"/>
              <w:spacing w:after="0" w:line="157" w:lineRule="exact"/>
              <w:rPr>
                <w:sz w:val="20"/>
                <w:szCs w:val="20"/>
                <w:color w:val="auto"/>
              </w:rPr>
            </w:pPr>
            <w:r>
              <w:rPr>
                <w:rFonts w:ascii="Arial" w:cs="Arial" w:eastAsia="Arial" w:hAnsi="Arial"/>
                <w:sz w:val="15"/>
                <w:szCs w:val="15"/>
                <w:color w:val="auto"/>
              </w:rPr>
              <w:t>December 2012</w:t>
            </w:r>
          </w:p>
        </w:tc>
        <w:tc>
          <w:tcPr>
            <w:tcW w:w="2300" w:type="dxa"/>
            <w:vAlign w:val="bottom"/>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tcPr>
          <w:p>
            <w:pPr>
              <w:jc w:val="center"/>
              <w:ind w:left="204"/>
              <w:spacing w:after="0" w:line="157" w:lineRule="exact"/>
              <w:rPr>
                <w:sz w:val="20"/>
                <w:szCs w:val="20"/>
                <w:color w:val="auto"/>
              </w:rPr>
            </w:pPr>
            <w:r>
              <w:rPr>
                <w:rFonts w:ascii="Arial" w:cs="Arial" w:eastAsia="Arial" w:hAnsi="Arial"/>
                <w:sz w:val="15"/>
                <w:szCs w:val="15"/>
                <w:color w:val="auto"/>
                <w:w w:val="92"/>
              </w:rPr>
              <w:t>174,000</w:t>
            </w:r>
          </w:p>
        </w:tc>
        <w:tc>
          <w:tcPr>
            <w:tcW w:w="1760" w:type="dxa"/>
            <w:vAlign w:val="bottom"/>
          </w:tcPr>
          <w:p>
            <w:pPr>
              <w:jc w:val="center"/>
              <w:spacing w:after="0" w:line="157" w:lineRule="exact"/>
              <w:rPr>
                <w:sz w:val="20"/>
                <w:szCs w:val="20"/>
                <w:color w:val="auto"/>
              </w:rPr>
            </w:pPr>
            <w:r>
              <w:rPr>
                <w:rFonts w:ascii="Arial" w:cs="Arial" w:eastAsia="Arial" w:hAnsi="Arial"/>
                <w:sz w:val="15"/>
                <w:szCs w:val="15"/>
                <w:i w:val="1"/>
                <w:iCs w:val="1"/>
                <w:color w:val="auto"/>
                <w:w w:val="92"/>
              </w:rPr>
              <w:t>GasLog Glasgow</w:t>
            </w:r>
          </w:p>
        </w:tc>
        <w:tc>
          <w:tcPr>
            <w:tcW w:w="1240" w:type="dxa"/>
            <w:vAlign w:val="bottom"/>
          </w:tcPr>
          <w:p>
            <w:pPr>
              <w:jc w:val="center"/>
              <w:spacing w:after="0" w:line="157" w:lineRule="exact"/>
              <w:rPr>
                <w:sz w:val="20"/>
                <w:szCs w:val="20"/>
                <w:color w:val="auto"/>
              </w:rPr>
            </w:pPr>
            <w:r>
              <w:rPr>
                <w:rFonts w:ascii="Arial" w:cs="Arial" w:eastAsia="Arial" w:hAnsi="Arial"/>
                <w:sz w:val="15"/>
                <w:szCs w:val="15"/>
                <w:color w:val="auto"/>
                <w:w w:val="88"/>
              </w:rPr>
              <w:t>June 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GAS-thirteen Ltd.</w:t>
            </w:r>
          </w:p>
        </w:tc>
        <w:tc>
          <w:tcPr>
            <w:tcW w:w="1560" w:type="dxa"/>
            <w:vAlign w:val="bottom"/>
            <w:shd w:val="clear" w:color="auto" w:fill="E5FFFF"/>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shd w:val="clear" w:color="auto" w:fill="E5FFFF"/>
          </w:tcPr>
          <w:p>
            <w:pPr>
              <w:ind w:left="600"/>
              <w:spacing w:after="0" w:line="157" w:lineRule="exact"/>
              <w:rPr>
                <w:sz w:val="20"/>
                <w:szCs w:val="20"/>
                <w:color w:val="auto"/>
              </w:rPr>
            </w:pPr>
            <w:r>
              <w:rPr>
                <w:rFonts w:ascii="Arial" w:cs="Arial" w:eastAsia="Arial" w:hAnsi="Arial"/>
                <w:sz w:val="15"/>
                <w:szCs w:val="15"/>
                <w:color w:val="auto"/>
              </w:rPr>
              <w:t>July 2013</w:t>
            </w:r>
          </w:p>
        </w:tc>
        <w:tc>
          <w:tcPr>
            <w:tcW w:w="2300" w:type="dxa"/>
            <w:vAlign w:val="bottom"/>
            <w:shd w:val="clear" w:color="auto" w:fill="E5FFFF"/>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shd w:val="clear" w:color="auto" w:fill="E5FFFF"/>
          </w:tcPr>
          <w:p>
            <w:pPr>
              <w:jc w:val="center"/>
              <w:ind w:left="204"/>
              <w:spacing w:after="0" w:line="157" w:lineRule="exact"/>
              <w:rPr>
                <w:sz w:val="20"/>
                <w:szCs w:val="20"/>
                <w:color w:val="auto"/>
              </w:rPr>
            </w:pPr>
            <w:r>
              <w:rPr>
                <w:rFonts w:ascii="Arial" w:cs="Arial" w:eastAsia="Arial" w:hAnsi="Arial"/>
                <w:sz w:val="15"/>
                <w:szCs w:val="15"/>
                <w:color w:val="auto"/>
                <w:w w:val="92"/>
              </w:rPr>
              <w:t>174,000</w:t>
            </w:r>
          </w:p>
        </w:tc>
        <w:tc>
          <w:tcPr>
            <w:tcW w:w="17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i w:val="1"/>
                <w:iCs w:val="1"/>
                <w:color w:val="auto"/>
                <w:w w:val="89"/>
              </w:rPr>
              <w:t>GasLog Geneva</w:t>
            </w:r>
          </w:p>
        </w:tc>
        <w:tc>
          <w:tcPr>
            <w:tcW w:w="124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0"/>
              </w:rPr>
              <w:t>September 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tcPr>
          <w:p>
            <w:pPr>
              <w:spacing w:after="0" w:line="157" w:lineRule="exact"/>
              <w:rPr>
                <w:sz w:val="20"/>
                <w:szCs w:val="20"/>
                <w:color w:val="auto"/>
              </w:rPr>
            </w:pPr>
            <w:r>
              <w:rPr>
                <w:rFonts w:ascii="Arial" w:cs="Arial" w:eastAsia="Arial" w:hAnsi="Arial"/>
                <w:sz w:val="15"/>
                <w:szCs w:val="15"/>
                <w:color w:val="auto"/>
              </w:rPr>
              <w:t>GAS-fourteen Ltd.</w:t>
            </w:r>
          </w:p>
        </w:tc>
        <w:tc>
          <w:tcPr>
            <w:tcW w:w="1560" w:type="dxa"/>
            <w:vAlign w:val="bottom"/>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tcPr>
          <w:p>
            <w:pPr>
              <w:ind w:left="600"/>
              <w:spacing w:after="0" w:line="157" w:lineRule="exact"/>
              <w:rPr>
                <w:sz w:val="20"/>
                <w:szCs w:val="20"/>
                <w:color w:val="auto"/>
              </w:rPr>
            </w:pPr>
            <w:r>
              <w:rPr>
                <w:rFonts w:ascii="Arial" w:cs="Arial" w:eastAsia="Arial" w:hAnsi="Arial"/>
                <w:sz w:val="15"/>
                <w:szCs w:val="15"/>
                <w:color w:val="auto"/>
              </w:rPr>
              <w:t>July 2013</w:t>
            </w:r>
          </w:p>
        </w:tc>
        <w:tc>
          <w:tcPr>
            <w:tcW w:w="2300" w:type="dxa"/>
            <w:vAlign w:val="bottom"/>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tcPr>
          <w:p>
            <w:pPr>
              <w:jc w:val="center"/>
              <w:ind w:left="204"/>
              <w:spacing w:after="0" w:line="157" w:lineRule="exact"/>
              <w:rPr>
                <w:sz w:val="20"/>
                <w:szCs w:val="20"/>
                <w:color w:val="auto"/>
              </w:rPr>
            </w:pPr>
            <w:r>
              <w:rPr>
                <w:rFonts w:ascii="Arial" w:cs="Arial" w:eastAsia="Arial" w:hAnsi="Arial"/>
                <w:sz w:val="15"/>
                <w:szCs w:val="15"/>
                <w:color w:val="auto"/>
                <w:w w:val="92"/>
              </w:rPr>
              <w:t>174,000</w:t>
            </w:r>
          </w:p>
        </w:tc>
        <w:tc>
          <w:tcPr>
            <w:tcW w:w="1760" w:type="dxa"/>
            <w:vAlign w:val="bottom"/>
          </w:tcPr>
          <w:p>
            <w:pPr>
              <w:jc w:val="center"/>
              <w:spacing w:after="0" w:line="157" w:lineRule="exact"/>
              <w:rPr>
                <w:sz w:val="20"/>
                <w:szCs w:val="20"/>
                <w:color w:val="auto"/>
              </w:rPr>
            </w:pPr>
            <w:r>
              <w:rPr>
                <w:rFonts w:ascii="Arial" w:cs="Arial" w:eastAsia="Arial" w:hAnsi="Arial"/>
                <w:sz w:val="15"/>
                <w:szCs w:val="15"/>
                <w:i w:val="1"/>
                <w:iCs w:val="1"/>
                <w:color w:val="auto"/>
                <w:w w:val="96"/>
              </w:rPr>
              <w:t>GasLog Gibraltar</w:t>
            </w:r>
          </w:p>
        </w:tc>
        <w:tc>
          <w:tcPr>
            <w:tcW w:w="1240" w:type="dxa"/>
            <w:vAlign w:val="bottom"/>
          </w:tcPr>
          <w:p>
            <w:pPr>
              <w:jc w:val="center"/>
              <w:spacing w:after="0" w:line="157" w:lineRule="exact"/>
              <w:rPr>
                <w:sz w:val="20"/>
                <w:szCs w:val="20"/>
                <w:color w:val="auto"/>
              </w:rPr>
            </w:pPr>
            <w:r>
              <w:rPr>
                <w:rFonts w:ascii="Arial" w:cs="Arial" w:eastAsia="Arial" w:hAnsi="Arial"/>
                <w:sz w:val="15"/>
                <w:szCs w:val="15"/>
                <w:color w:val="auto"/>
                <w:w w:val="92"/>
              </w:rPr>
              <w:t>October 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GAS-sixteen Ltd.</w:t>
            </w:r>
          </w:p>
        </w:tc>
        <w:tc>
          <w:tcPr>
            <w:tcW w:w="1560" w:type="dxa"/>
            <w:vAlign w:val="bottom"/>
            <w:shd w:val="clear" w:color="auto" w:fill="E5FFFF"/>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shd w:val="clear" w:color="auto" w:fill="E5FFFF"/>
          </w:tcPr>
          <w:p>
            <w:pPr>
              <w:ind w:left="600"/>
              <w:spacing w:after="0" w:line="157" w:lineRule="exact"/>
              <w:rPr>
                <w:sz w:val="20"/>
                <w:szCs w:val="20"/>
                <w:color w:val="auto"/>
              </w:rPr>
            </w:pPr>
            <w:r>
              <w:rPr>
                <w:rFonts w:ascii="Arial" w:cs="Arial" w:eastAsia="Arial" w:hAnsi="Arial"/>
                <w:sz w:val="15"/>
                <w:szCs w:val="15"/>
                <w:color w:val="auto"/>
              </w:rPr>
              <w:t>January 2014</w:t>
            </w:r>
          </w:p>
        </w:tc>
        <w:tc>
          <w:tcPr>
            <w:tcW w:w="2300" w:type="dxa"/>
            <w:vAlign w:val="bottom"/>
            <w:shd w:val="clear" w:color="auto" w:fill="E5FFFF"/>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shd w:val="clear" w:color="auto" w:fill="E5FFFF"/>
          </w:tcPr>
          <w:p>
            <w:pPr>
              <w:jc w:val="center"/>
              <w:ind w:left="204"/>
              <w:spacing w:after="0" w:line="157" w:lineRule="exact"/>
              <w:rPr>
                <w:sz w:val="20"/>
                <w:szCs w:val="20"/>
                <w:color w:val="auto"/>
              </w:rPr>
            </w:pPr>
            <w:r>
              <w:rPr>
                <w:rFonts w:ascii="Arial" w:cs="Arial" w:eastAsia="Arial" w:hAnsi="Arial"/>
                <w:sz w:val="15"/>
                <w:szCs w:val="15"/>
                <w:color w:val="auto"/>
                <w:w w:val="92"/>
              </w:rPr>
              <w:t>145,000</w:t>
            </w:r>
          </w:p>
        </w:tc>
        <w:tc>
          <w:tcPr>
            <w:tcW w:w="17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i w:val="1"/>
                <w:iCs w:val="1"/>
                <w:color w:val="auto"/>
                <w:w w:val="91"/>
              </w:rPr>
              <w:t>Methane Rita Andrea</w:t>
            </w:r>
          </w:p>
        </w:tc>
        <w:tc>
          <w:tcPr>
            <w:tcW w:w="124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7"/>
              </w:rPr>
              <w:t>April 2014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2"/>
          </w:tcPr>
          <w:p>
            <w:pPr>
              <w:spacing w:after="0" w:line="138" w:lineRule="exact"/>
              <w:rPr>
                <w:sz w:val="20"/>
                <w:szCs w:val="20"/>
                <w:color w:val="auto"/>
              </w:rPr>
            </w:pPr>
            <w:r>
              <w:rPr>
                <w:rFonts w:ascii="Arial" w:cs="Arial" w:eastAsia="Arial" w:hAnsi="Arial"/>
                <w:sz w:val="15"/>
                <w:szCs w:val="15"/>
                <w:color w:val="auto"/>
              </w:rPr>
              <w:t>GAS-seventeen Ltd.</w:t>
            </w:r>
          </w:p>
        </w:tc>
        <w:tc>
          <w:tcPr>
            <w:tcW w:w="1560" w:type="dxa"/>
            <w:vAlign w:val="bottom"/>
          </w:tcPr>
          <w:p>
            <w:pPr>
              <w:ind w:left="400"/>
              <w:spacing w:after="0" w:line="138" w:lineRule="exact"/>
              <w:rPr>
                <w:sz w:val="20"/>
                <w:szCs w:val="20"/>
                <w:color w:val="auto"/>
              </w:rPr>
            </w:pPr>
            <w:r>
              <w:rPr>
                <w:rFonts w:ascii="Arial" w:cs="Arial" w:eastAsia="Arial" w:hAnsi="Arial"/>
                <w:sz w:val="15"/>
                <w:szCs w:val="15"/>
                <w:color w:val="auto"/>
              </w:rPr>
              <w:t>Bermuda</w:t>
            </w:r>
          </w:p>
        </w:tc>
        <w:tc>
          <w:tcPr>
            <w:tcW w:w="1900" w:type="dxa"/>
            <w:vAlign w:val="bottom"/>
          </w:tcPr>
          <w:p>
            <w:pPr>
              <w:ind w:left="600"/>
              <w:spacing w:after="0" w:line="138" w:lineRule="exact"/>
              <w:rPr>
                <w:sz w:val="20"/>
                <w:szCs w:val="20"/>
                <w:color w:val="auto"/>
              </w:rPr>
            </w:pPr>
            <w:r>
              <w:rPr>
                <w:rFonts w:ascii="Arial" w:cs="Arial" w:eastAsia="Arial" w:hAnsi="Arial"/>
                <w:sz w:val="15"/>
                <w:szCs w:val="15"/>
                <w:color w:val="auto"/>
              </w:rPr>
              <w:t>January 2014</w:t>
            </w:r>
          </w:p>
        </w:tc>
        <w:tc>
          <w:tcPr>
            <w:tcW w:w="2300" w:type="dxa"/>
            <w:vAlign w:val="bottom"/>
          </w:tcPr>
          <w:p>
            <w:pPr>
              <w:ind w:left="340"/>
              <w:spacing w:after="0" w:line="138" w:lineRule="exact"/>
              <w:rPr>
                <w:sz w:val="20"/>
                <w:szCs w:val="20"/>
                <w:color w:val="auto"/>
              </w:rPr>
            </w:pPr>
            <w:r>
              <w:rPr>
                <w:rFonts w:ascii="Arial" w:cs="Arial" w:eastAsia="Arial" w:hAnsi="Arial"/>
                <w:sz w:val="15"/>
                <w:szCs w:val="15"/>
                <w:color w:val="auto"/>
              </w:rPr>
              <w:t>Vessel-owning company</w:t>
            </w:r>
          </w:p>
        </w:tc>
        <w:tc>
          <w:tcPr>
            <w:tcW w:w="1180" w:type="dxa"/>
            <w:vAlign w:val="bottom"/>
          </w:tcPr>
          <w:p>
            <w:pPr>
              <w:jc w:val="center"/>
              <w:ind w:left="204"/>
              <w:spacing w:after="0" w:line="138" w:lineRule="exact"/>
              <w:rPr>
                <w:sz w:val="20"/>
                <w:szCs w:val="20"/>
                <w:color w:val="auto"/>
              </w:rPr>
            </w:pPr>
            <w:r>
              <w:rPr>
                <w:rFonts w:ascii="Arial" w:cs="Arial" w:eastAsia="Arial" w:hAnsi="Arial"/>
                <w:sz w:val="15"/>
                <w:szCs w:val="15"/>
                <w:color w:val="auto"/>
                <w:w w:val="92"/>
              </w:rPr>
              <w:t>145,000</w:t>
            </w:r>
          </w:p>
        </w:tc>
        <w:tc>
          <w:tcPr>
            <w:tcW w:w="1760" w:type="dxa"/>
            <w:vAlign w:val="bottom"/>
          </w:tcPr>
          <w:p>
            <w:pPr>
              <w:jc w:val="center"/>
              <w:spacing w:after="0" w:line="138" w:lineRule="exact"/>
              <w:rPr>
                <w:sz w:val="20"/>
                <w:szCs w:val="20"/>
                <w:color w:val="auto"/>
              </w:rPr>
            </w:pPr>
            <w:r>
              <w:rPr>
                <w:rFonts w:ascii="Arial" w:cs="Arial" w:eastAsia="Arial" w:hAnsi="Arial"/>
                <w:sz w:val="15"/>
                <w:szCs w:val="15"/>
                <w:i w:val="1"/>
                <w:iCs w:val="1"/>
                <w:color w:val="auto"/>
                <w:w w:val="90"/>
              </w:rPr>
              <w:t>Methane Jane</w:t>
            </w:r>
          </w:p>
        </w:tc>
        <w:tc>
          <w:tcPr>
            <w:tcW w:w="1240" w:type="dxa"/>
            <w:vAlign w:val="bottom"/>
          </w:tcPr>
          <w:p>
            <w:pPr>
              <w:jc w:val="center"/>
              <w:spacing w:after="0" w:line="138" w:lineRule="exact"/>
              <w:rPr>
                <w:sz w:val="20"/>
                <w:szCs w:val="20"/>
                <w:color w:val="auto"/>
              </w:rPr>
            </w:pPr>
            <w:r>
              <w:rPr>
                <w:rFonts w:ascii="Arial" w:cs="Arial" w:eastAsia="Arial" w:hAnsi="Arial"/>
                <w:sz w:val="15"/>
                <w:szCs w:val="15"/>
                <w:color w:val="auto"/>
                <w:w w:val="97"/>
              </w:rPr>
              <w:t>April 2014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5"/>
                <w:szCs w:val="15"/>
                <w:i w:val="1"/>
                <w:iCs w:val="1"/>
                <w:color w:val="auto"/>
                <w:w w:val="93"/>
              </w:rPr>
              <w:t>Elizabeth</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2"/>
            <w:shd w:val="clear" w:color="auto" w:fill="E5FFFF"/>
          </w:tcPr>
          <w:p>
            <w:pPr>
              <w:spacing w:after="0" w:line="138" w:lineRule="exact"/>
              <w:rPr>
                <w:sz w:val="20"/>
                <w:szCs w:val="20"/>
                <w:color w:val="auto"/>
              </w:rPr>
            </w:pPr>
            <w:r>
              <w:rPr>
                <w:rFonts w:ascii="Arial" w:cs="Arial" w:eastAsia="Arial" w:hAnsi="Arial"/>
                <w:sz w:val="15"/>
                <w:szCs w:val="15"/>
                <w:color w:val="auto"/>
              </w:rPr>
              <w:t>GAS-nineteen Ltd.</w:t>
            </w:r>
          </w:p>
        </w:tc>
        <w:tc>
          <w:tcPr>
            <w:tcW w:w="1560" w:type="dxa"/>
            <w:vAlign w:val="bottom"/>
            <w:shd w:val="clear" w:color="auto" w:fill="E5FFFF"/>
          </w:tcPr>
          <w:p>
            <w:pPr>
              <w:ind w:left="400"/>
              <w:spacing w:after="0" w:line="138" w:lineRule="exact"/>
              <w:rPr>
                <w:sz w:val="20"/>
                <w:szCs w:val="20"/>
                <w:color w:val="auto"/>
              </w:rPr>
            </w:pPr>
            <w:r>
              <w:rPr>
                <w:rFonts w:ascii="Arial" w:cs="Arial" w:eastAsia="Arial" w:hAnsi="Arial"/>
                <w:sz w:val="15"/>
                <w:szCs w:val="15"/>
                <w:color w:val="auto"/>
              </w:rPr>
              <w:t>Bermuda</w:t>
            </w:r>
          </w:p>
        </w:tc>
        <w:tc>
          <w:tcPr>
            <w:tcW w:w="1900" w:type="dxa"/>
            <w:vAlign w:val="bottom"/>
            <w:shd w:val="clear" w:color="auto" w:fill="E5FFFF"/>
          </w:tcPr>
          <w:p>
            <w:pPr>
              <w:ind w:left="600"/>
              <w:spacing w:after="0" w:line="138" w:lineRule="exact"/>
              <w:rPr>
                <w:sz w:val="20"/>
                <w:szCs w:val="20"/>
                <w:color w:val="auto"/>
              </w:rPr>
            </w:pPr>
            <w:r>
              <w:rPr>
                <w:rFonts w:ascii="Arial" w:cs="Arial" w:eastAsia="Arial" w:hAnsi="Arial"/>
                <w:sz w:val="15"/>
                <w:szCs w:val="15"/>
                <w:color w:val="auto"/>
              </w:rPr>
              <w:t>April 2014</w:t>
            </w:r>
          </w:p>
        </w:tc>
        <w:tc>
          <w:tcPr>
            <w:tcW w:w="2300" w:type="dxa"/>
            <w:vAlign w:val="bottom"/>
            <w:shd w:val="clear" w:color="auto" w:fill="E5FFFF"/>
          </w:tcPr>
          <w:p>
            <w:pPr>
              <w:ind w:left="340"/>
              <w:spacing w:after="0" w:line="138" w:lineRule="exact"/>
              <w:rPr>
                <w:sz w:val="20"/>
                <w:szCs w:val="20"/>
                <w:color w:val="auto"/>
              </w:rPr>
            </w:pPr>
            <w:r>
              <w:rPr>
                <w:rFonts w:ascii="Arial" w:cs="Arial" w:eastAsia="Arial" w:hAnsi="Arial"/>
                <w:sz w:val="15"/>
                <w:szCs w:val="15"/>
                <w:color w:val="auto"/>
              </w:rPr>
              <w:t>Vessel-owning company</w:t>
            </w:r>
          </w:p>
        </w:tc>
        <w:tc>
          <w:tcPr>
            <w:tcW w:w="1180" w:type="dxa"/>
            <w:vAlign w:val="bottom"/>
            <w:shd w:val="clear" w:color="auto" w:fill="E5FFFF"/>
          </w:tcPr>
          <w:p>
            <w:pPr>
              <w:jc w:val="center"/>
              <w:ind w:left="204"/>
              <w:spacing w:after="0" w:line="138" w:lineRule="exact"/>
              <w:rPr>
                <w:sz w:val="20"/>
                <w:szCs w:val="20"/>
                <w:color w:val="auto"/>
              </w:rPr>
            </w:pPr>
            <w:r>
              <w:rPr>
                <w:rFonts w:ascii="Arial" w:cs="Arial" w:eastAsia="Arial" w:hAnsi="Arial"/>
                <w:sz w:val="15"/>
                <w:szCs w:val="15"/>
                <w:color w:val="auto"/>
                <w:w w:val="92"/>
              </w:rPr>
              <w:t>145,000</w:t>
            </w:r>
          </w:p>
        </w:tc>
        <w:tc>
          <w:tcPr>
            <w:tcW w:w="1760" w:type="dxa"/>
            <w:vAlign w:val="bottom"/>
            <w:shd w:val="clear" w:color="auto" w:fill="E5FFFF"/>
          </w:tcPr>
          <w:p>
            <w:pPr>
              <w:jc w:val="center"/>
              <w:ind w:left="4"/>
              <w:spacing w:after="0" w:line="138" w:lineRule="exact"/>
              <w:rPr>
                <w:sz w:val="20"/>
                <w:szCs w:val="20"/>
                <w:color w:val="auto"/>
              </w:rPr>
            </w:pPr>
            <w:r>
              <w:rPr>
                <w:rFonts w:ascii="Arial" w:cs="Arial" w:eastAsia="Arial" w:hAnsi="Arial"/>
                <w:sz w:val="15"/>
                <w:szCs w:val="15"/>
                <w:i w:val="1"/>
                <w:iCs w:val="1"/>
                <w:color w:val="auto"/>
                <w:w w:val="92"/>
              </w:rPr>
              <w:t>Methane Alison</w:t>
            </w:r>
          </w:p>
        </w:tc>
        <w:tc>
          <w:tcPr>
            <w:tcW w:w="1240" w:type="dxa"/>
            <w:vAlign w:val="bottom"/>
            <w:shd w:val="clear" w:color="auto" w:fill="E5FFFF"/>
          </w:tcPr>
          <w:p>
            <w:pPr>
              <w:jc w:val="center"/>
              <w:spacing w:after="0" w:line="138" w:lineRule="exact"/>
              <w:rPr>
                <w:sz w:val="20"/>
                <w:szCs w:val="20"/>
                <w:color w:val="auto"/>
              </w:rPr>
            </w:pPr>
            <w:r>
              <w:rPr>
                <w:rFonts w:ascii="Arial" w:cs="Arial" w:eastAsia="Arial" w:hAnsi="Arial"/>
                <w:sz w:val="15"/>
                <w:szCs w:val="15"/>
                <w:color w:val="auto"/>
                <w:w w:val="88"/>
              </w:rPr>
              <w:t>June 2014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shd w:val="clear" w:color="auto" w:fill="E5FFFF"/>
          </w:tcPr>
          <w:p>
            <w:pPr>
              <w:spacing w:after="0"/>
              <w:rPr>
                <w:sz w:val="15"/>
                <w:szCs w:val="15"/>
                <w:color w:val="auto"/>
              </w:rPr>
            </w:pPr>
          </w:p>
        </w:tc>
        <w:tc>
          <w:tcPr>
            <w:tcW w:w="920" w:type="dxa"/>
            <w:vAlign w:val="bottom"/>
            <w:shd w:val="clear" w:color="auto" w:fill="E5FFFF"/>
          </w:tcPr>
          <w:p>
            <w:pPr>
              <w:spacing w:after="0"/>
              <w:rPr>
                <w:sz w:val="15"/>
                <w:szCs w:val="15"/>
                <w:color w:val="auto"/>
              </w:rPr>
            </w:pPr>
          </w:p>
        </w:tc>
        <w:tc>
          <w:tcPr>
            <w:tcW w:w="1560" w:type="dxa"/>
            <w:vAlign w:val="bottom"/>
            <w:shd w:val="clear" w:color="auto" w:fill="E5FFFF"/>
          </w:tcPr>
          <w:p>
            <w:pPr>
              <w:spacing w:after="0"/>
              <w:rPr>
                <w:sz w:val="15"/>
                <w:szCs w:val="15"/>
                <w:color w:val="auto"/>
              </w:rPr>
            </w:pPr>
          </w:p>
        </w:tc>
        <w:tc>
          <w:tcPr>
            <w:tcW w:w="1900" w:type="dxa"/>
            <w:vAlign w:val="bottom"/>
            <w:shd w:val="clear" w:color="auto" w:fill="E5FFFF"/>
          </w:tcPr>
          <w:p>
            <w:pPr>
              <w:spacing w:after="0"/>
              <w:rPr>
                <w:sz w:val="15"/>
                <w:szCs w:val="15"/>
                <w:color w:val="auto"/>
              </w:rPr>
            </w:pPr>
          </w:p>
        </w:tc>
        <w:tc>
          <w:tcPr>
            <w:tcW w:w="2300" w:type="dxa"/>
            <w:vAlign w:val="bottom"/>
            <w:shd w:val="clear" w:color="auto" w:fill="E5FFFF"/>
          </w:tcPr>
          <w:p>
            <w:pPr>
              <w:spacing w:after="0"/>
              <w:rPr>
                <w:sz w:val="15"/>
                <w:szCs w:val="15"/>
                <w:color w:val="auto"/>
              </w:rPr>
            </w:pPr>
          </w:p>
        </w:tc>
        <w:tc>
          <w:tcPr>
            <w:tcW w:w="1180" w:type="dxa"/>
            <w:vAlign w:val="bottom"/>
            <w:shd w:val="clear" w:color="auto" w:fill="E5FFFF"/>
          </w:tcPr>
          <w:p>
            <w:pPr>
              <w:spacing w:after="0"/>
              <w:rPr>
                <w:sz w:val="15"/>
                <w:szCs w:val="15"/>
                <w:color w:val="auto"/>
              </w:rPr>
            </w:pPr>
          </w:p>
        </w:tc>
        <w:tc>
          <w:tcPr>
            <w:tcW w:w="1760" w:type="dxa"/>
            <w:vAlign w:val="bottom"/>
            <w:shd w:val="clear" w:color="auto" w:fill="E5FFFF"/>
          </w:tcPr>
          <w:p>
            <w:pPr>
              <w:jc w:val="center"/>
              <w:spacing w:after="0"/>
              <w:rPr>
                <w:sz w:val="20"/>
                <w:szCs w:val="20"/>
                <w:color w:val="auto"/>
              </w:rPr>
            </w:pPr>
            <w:r>
              <w:rPr>
                <w:rFonts w:ascii="Arial" w:cs="Arial" w:eastAsia="Arial" w:hAnsi="Arial"/>
                <w:sz w:val="15"/>
                <w:szCs w:val="15"/>
                <w:i w:val="1"/>
                <w:iCs w:val="1"/>
                <w:color w:val="auto"/>
                <w:w w:val="99"/>
              </w:rPr>
              <w:t>Victoria</w:t>
            </w:r>
          </w:p>
        </w:tc>
        <w:tc>
          <w:tcPr>
            <w:tcW w:w="124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2"/>
          </w:tcPr>
          <w:p>
            <w:pPr>
              <w:spacing w:after="0" w:line="138" w:lineRule="exact"/>
              <w:rPr>
                <w:sz w:val="20"/>
                <w:szCs w:val="20"/>
                <w:color w:val="auto"/>
              </w:rPr>
            </w:pPr>
            <w:r>
              <w:rPr>
                <w:rFonts w:ascii="Arial" w:cs="Arial" w:eastAsia="Arial" w:hAnsi="Arial"/>
                <w:sz w:val="15"/>
                <w:szCs w:val="15"/>
                <w:color w:val="auto"/>
              </w:rPr>
              <w:t>GAS-twenty Ltd.</w:t>
            </w:r>
          </w:p>
        </w:tc>
        <w:tc>
          <w:tcPr>
            <w:tcW w:w="1560" w:type="dxa"/>
            <w:vAlign w:val="bottom"/>
          </w:tcPr>
          <w:p>
            <w:pPr>
              <w:ind w:left="400"/>
              <w:spacing w:after="0" w:line="138" w:lineRule="exact"/>
              <w:rPr>
                <w:sz w:val="20"/>
                <w:szCs w:val="20"/>
                <w:color w:val="auto"/>
              </w:rPr>
            </w:pPr>
            <w:r>
              <w:rPr>
                <w:rFonts w:ascii="Arial" w:cs="Arial" w:eastAsia="Arial" w:hAnsi="Arial"/>
                <w:sz w:val="15"/>
                <w:szCs w:val="15"/>
                <w:color w:val="auto"/>
              </w:rPr>
              <w:t>Bermuda</w:t>
            </w:r>
          </w:p>
        </w:tc>
        <w:tc>
          <w:tcPr>
            <w:tcW w:w="1900" w:type="dxa"/>
            <w:vAlign w:val="bottom"/>
          </w:tcPr>
          <w:p>
            <w:pPr>
              <w:ind w:left="600"/>
              <w:spacing w:after="0" w:line="138" w:lineRule="exact"/>
              <w:rPr>
                <w:sz w:val="20"/>
                <w:szCs w:val="20"/>
                <w:color w:val="auto"/>
              </w:rPr>
            </w:pPr>
            <w:r>
              <w:rPr>
                <w:rFonts w:ascii="Arial" w:cs="Arial" w:eastAsia="Arial" w:hAnsi="Arial"/>
                <w:sz w:val="15"/>
                <w:szCs w:val="15"/>
                <w:color w:val="auto"/>
              </w:rPr>
              <w:t>April 2014</w:t>
            </w:r>
          </w:p>
        </w:tc>
        <w:tc>
          <w:tcPr>
            <w:tcW w:w="2300" w:type="dxa"/>
            <w:vAlign w:val="bottom"/>
          </w:tcPr>
          <w:p>
            <w:pPr>
              <w:ind w:left="340"/>
              <w:spacing w:after="0" w:line="138" w:lineRule="exact"/>
              <w:rPr>
                <w:sz w:val="20"/>
                <w:szCs w:val="20"/>
                <w:color w:val="auto"/>
              </w:rPr>
            </w:pPr>
            <w:r>
              <w:rPr>
                <w:rFonts w:ascii="Arial" w:cs="Arial" w:eastAsia="Arial" w:hAnsi="Arial"/>
                <w:sz w:val="15"/>
                <w:szCs w:val="15"/>
                <w:color w:val="auto"/>
              </w:rPr>
              <w:t>Vessel-owning company</w:t>
            </w:r>
          </w:p>
        </w:tc>
        <w:tc>
          <w:tcPr>
            <w:tcW w:w="1180" w:type="dxa"/>
            <w:vAlign w:val="bottom"/>
          </w:tcPr>
          <w:p>
            <w:pPr>
              <w:jc w:val="center"/>
              <w:ind w:left="204"/>
              <w:spacing w:after="0" w:line="138" w:lineRule="exact"/>
              <w:rPr>
                <w:sz w:val="20"/>
                <w:szCs w:val="20"/>
                <w:color w:val="auto"/>
              </w:rPr>
            </w:pPr>
            <w:r>
              <w:rPr>
                <w:rFonts w:ascii="Arial" w:cs="Arial" w:eastAsia="Arial" w:hAnsi="Arial"/>
                <w:sz w:val="15"/>
                <w:szCs w:val="15"/>
                <w:color w:val="auto"/>
                <w:w w:val="92"/>
              </w:rPr>
              <w:t>145,000</w:t>
            </w:r>
          </w:p>
        </w:tc>
        <w:tc>
          <w:tcPr>
            <w:tcW w:w="1760" w:type="dxa"/>
            <w:vAlign w:val="bottom"/>
          </w:tcPr>
          <w:p>
            <w:pPr>
              <w:jc w:val="center"/>
              <w:ind w:left="4"/>
              <w:spacing w:after="0" w:line="138" w:lineRule="exact"/>
              <w:rPr>
                <w:sz w:val="20"/>
                <w:szCs w:val="20"/>
                <w:color w:val="auto"/>
              </w:rPr>
            </w:pPr>
            <w:r>
              <w:rPr>
                <w:rFonts w:ascii="Arial" w:cs="Arial" w:eastAsia="Arial" w:hAnsi="Arial"/>
                <w:sz w:val="15"/>
                <w:szCs w:val="15"/>
                <w:i w:val="1"/>
                <w:iCs w:val="1"/>
                <w:color w:val="auto"/>
                <w:w w:val="92"/>
              </w:rPr>
              <w:t>Methane Shirley</w:t>
            </w:r>
          </w:p>
        </w:tc>
        <w:tc>
          <w:tcPr>
            <w:tcW w:w="1240" w:type="dxa"/>
            <w:vAlign w:val="bottom"/>
          </w:tcPr>
          <w:p>
            <w:pPr>
              <w:jc w:val="center"/>
              <w:spacing w:after="0" w:line="138" w:lineRule="exact"/>
              <w:rPr>
                <w:sz w:val="20"/>
                <w:szCs w:val="20"/>
                <w:color w:val="auto"/>
              </w:rPr>
            </w:pPr>
            <w:r>
              <w:rPr>
                <w:rFonts w:ascii="Arial" w:cs="Arial" w:eastAsia="Arial" w:hAnsi="Arial"/>
                <w:sz w:val="15"/>
                <w:szCs w:val="15"/>
                <w:color w:val="auto"/>
                <w:w w:val="88"/>
              </w:rPr>
              <w:t>June 2014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5"/>
                <w:szCs w:val="15"/>
                <w:i w:val="1"/>
                <w:iCs w:val="1"/>
                <w:color w:val="auto"/>
                <w:w w:val="93"/>
              </w:rPr>
              <w:t>Elisabeth</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GAS-twenty one Ltd.</w:t>
            </w:r>
          </w:p>
        </w:tc>
        <w:tc>
          <w:tcPr>
            <w:tcW w:w="1560" w:type="dxa"/>
            <w:vAlign w:val="bottom"/>
            <w:shd w:val="clear" w:color="auto" w:fill="E5FFFF"/>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shd w:val="clear" w:color="auto" w:fill="E5FFFF"/>
          </w:tcPr>
          <w:p>
            <w:pPr>
              <w:ind w:left="600"/>
              <w:spacing w:after="0" w:line="157" w:lineRule="exact"/>
              <w:rPr>
                <w:sz w:val="20"/>
                <w:szCs w:val="20"/>
                <w:color w:val="auto"/>
              </w:rPr>
            </w:pPr>
            <w:r>
              <w:rPr>
                <w:rFonts w:ascii="Arial" w:cs="Arial" w:eastAsia="Arial" w:hAnsi="Arial"/>
                <w:sz w:val="15"/>
                <w:szCs w:val="15"/>
                <w:color w:val="auto"/>
              </w:rPr>
              <w:t>April 2014</w:t>
            </w:r>
          </w:p>
        </w:tc>
        <w:tc>
          <w:tcPr>
            <w:tcW w:w="2300" w:type="dxa"/>
            <w:vAlign w:val="bottom"/>
            <w:shd w:val="clear" w:color="auto" w:fill="E5FFFF"/>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shd w:val="clear" w:color="auto" w:fill="E5FFFF"/>
          </w:tcPr>
          <w:p>
            <w:pPr>
              <w:jc w:val="center"/>
              <w:ind w:left="204"/>
              <w:spacing w:after="0" w:line="157" w:lineRule="exact"/>
              <w:rPr>
                <w:sz w:val="20"/>
                <w:szCs w:val="20"/>
                <w:color w:val="auto"/>
              </w:rPr>
            </w:pPr>
            <w:r>
              <w:rPr>
                <w:rFonts w:ascii="Arial" w:cs="Arial" w:eastAsia="Arial" w:hAnsi="Arial"/>
                <w:sz w:val="15"/>
                <w:szCs w:val="15"/>
                <w:color w:val="auto"/>
                <w:w w:val="92"/>
              </w:rPr>
              <w:t>145,000</w:t>
            </w:r>
          </w:p>
        </w:tc>
        <w:tc>
          <w:tcPr>
            <w:tcW w:w="17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i w:val="1"/>
                <w:iCs w:val="1"/>
                <w:color w:val="auto"/>
                <w:w w:val="93"/>
              </w:rPr>
              <w:t>Methane Heather Sally</w:t>
            </w:r>
          </w:p>
        </w:tc>
        <w:tc>
          <w:tcPr>
            <w:tcW w:w="124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88"/>
              </w:rPr>
              <w:t>June 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tcPr>
          <w:p>
            <w:pPr>
              <w:spacing w:after="0" w:line="157" w:lineRule="exact"/>
              <w:rPr>
                <w:sz w:val="20"/>
                <w:szCs w:val="20"/>
                <w:color w:val="auto"/>
              </w:rPr>
            </w:pPr>
            <w:r>
              <w:rPr>
                <w:rFonts w:ascii="Arial" w:cs="Arial" w:eastAsia="Arial" w:hAnsi="Arial"/>
                <w:sz w:val="15"/>
                <w:szCs w:val="15"/>
                <w:color w:val="auto"/>
              </w:rPr>
              <w:t>GAS-twenty seven Ltd.</w:t>
            </w:r>
          </w:p>
        </w:tc>
        <w:tc>
          <w:tcPr>
            <w:tcW w:w="1560" w:type="dxa"/>
            <w:vAlign w:val="bottom"/>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tcPr>
          <w:p>
            <w:pPr>
              <w:ind w:left="600"/>
              <w:spacing w:after="0" w:line="157" w:lineRule="exact"/>
              <w:rPr>
                <w:sz w:val="20"/>
                <w:szCs w:val="20"/>
                <w:color w:val="auto"/>
              </w:rPr>
            </w:pPr>
            <w:r>
              <w:rPr>
                <w:rFonts w:ascii="Arial" w:cs="Arial" w:eastAsia="Arial" w:hAnsi="Arial"/>
                <w:sz w:val="15"/>
                <w:szCs w:val="15"/>
                <w:color w:val="auto"/>
              </w:rPr>
              <w:t>January 2015</w:t>
            </w:r>
          </w:p>
        </w:tc>
        <w:tc>
          <w:tcPr>
            <w:tcW w:w="2300" w:type="dxa"/>
            <w:vAlign w:val="bottom"/>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tcPr>
          <w:p>
            <w:pPr>
              <w:jc w:val="center"/>
              <w:ind w:left="204"/>
              <w:spacing w:after="0" w:line="157" w:lineRule="exact"/>
              <w:rPr>
                <w:sz w:val="20"/>
                <w:szCs w:val="20"/>
                <w:color w:val="auto"/>
              </w:rPr>
            </w:pPr>
            <w:r>
              <w:rPr>
                <w:rFonts w:ascii="Arial" w:cs="Arial" w:eastAsia="Arial" w:hAnsi="Arial"/>
                <w:sz w:val="15"/>
                <w:szCs w:val="15"/>
                <w:color w:val="auto"/>
                <w:w w:val="92"/>
              </w:rPr>
              <w:t>170,000</w:t>
            </w:r>
          </w:p>
        </w:tc>
        <w:tc>
          <w:tcPr>
            <w:tcW w:w="1760" w:type="dxa"/>
            <w:vAlign w:val="bottom"/>
          </w:tcPr>
          <w:p>
            <w:pPr>
              <w:jc w:val="center"/>
              <w:spacing w:after="0" w:line="157" w:lineRule="exact"/>
              <w:rPr>
                <w:sz w:val="20"/>
                <w:szCs w:val="20"/>
                <w:color w:val="auto"/>
              </w:rPr>
            </w:pPr>
            <w:r>
              <w:rPr>
                <w:rFonts w:ascii="Arial" w:cs="Arial" w:eastAsia="Arial" w:hAnsi="Arial"/>
                <w:sz w:val="15"/>
                <w:szCs w:val="15"/>
                <w:i w:val="1"/>
                <w:iCs w:val="1"/>
                <w:color w:val="auto"/>
                <w:w w:val="91"/>
              </w:rPr>
              <w:t>Methane Becki Anne</w:t>
            </w:r>
          </w:p>
        </w:tc>
        <w:tc>
          <w:tcPr>
            <w:tcW w:w="1240" w:type="dxa"/>
            <w:vAlign w:val="bottom"/>
          </w:tcPr>
          <w:p>
            <w:pPr>
              <w:jc w:val="center"/>
              <w:spacing w:after="0" w:line="157" w:lineRule="exact"/>
              <w:rPr>
                <w:sz w:val="20"/>
                <w:szCs w:val="20"/>
                <w:color w:val="auto"/>
              </w:rPr>
            </w:pPr>
            <w:r>
              <w:rPr>
                <w:rFonts w:ascii="Arial" w:cs="Arial" w:eastAsia="Arial" w:hAnsi="Arial"/>
                <w:sz w:val="15"/>
                <w:szCs w:val="15"/>
                <w:color w:val="auto"/>
                <w:w w:val="93"/>
              </w:rPr>
              <w:t>March 2015</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1120" w:type="dxa"/>
            <w:vAlign w:val="bottom"/>
            <w:shd w:val="clear" w:color="auto" w:fill="E5FFFF"/>
          </w:tcPr>
          <w:p>
            <w:pPr>
              <w:spacing w:after="0"/>
              <w:rPr>
                <w:sz w:val="13"/>
                <w:szCs w:val="13"/>
                <w:color w:val="auto"/>
              </w:rPr>
            </w:pPr>
          </w:p>
        </w:tc>
        <w:tc>
          <w:tcPr>
            <w:tcW w:w="920" w:type="dxa"/>
            <w:vAlign w:val="bottom"/>
            <w:shd w:val="clear" w:color="auto" w:fill="E5FFFF"/>
          </w:tcPr>
          <w:p>
            <w:pPr>
              <w:spacing w:after="0"/>
              <w:rPr>
                <w:sz w:val="13"/>
                <w:szCs w:val="13"/>
                <w:color w:val="auto"/>
              </w:rPr>
            </w:pPr>
          </w:p>
        </w:tc>
        <w:tc>
          <w:tcPr>
            <w:tcW w:w="1560" w:type="dxa"/>
            <w:vAlign w:val="bottom"/>
            <w:shd w:val="clear" w:color="auto" w:fill="E5FFFF"/>
          </w:tcPr>
          <w:p>
            <w:pPr>
              <w:spacing w:after="0"/>
              <w:rPr>
                <w:sz w:val="13"/>
                <w:szCs w:val="13"/>
                <w:color w:val="auto"/>
              </w:rPr>
            </w:pPr>
          </w:p>
        </w:tc>
        <w:tc>
          <w:tcPr>
            <w:tcW w:w="1900" w:type="dxa"/>
            <w:vAlign w:val="bottom"/>
            <w:shd w:val="clear" w:color="auto" w:fill="E5FFFF"/>
          </w:tcPr>
          <w:p>
            <w:pPr>
              <w:spacing w:after="0"/>
              <w:rPr>
                <w:sz w:val="13"/>
                <w:szCs w:val="13"/>
                <w:color w:val="auto"/>
              </w:rPr>
            </w:pPr>
          </w:p>
        </w:tc>
        <w:tc>
          <w:tcPr>
            <w:tcW w:w="2300" w:type="dxa"/>
            <w:vAlign w:val="bottom"/>
            <w:shd w:val="clear" w:color="auto" w:fill="E5FFFF"/>
          </w:tcPr>
          <w:p>
            <w:pPr>
              <w:spacing w:after="0"/>
              <w:rPr>
                <w:sz w:val="13"/>
                <w:szCs w:val="13"/>
                <w:color w:val="auto"/>
              </w:rPr>
            </w:pPr>
          </w:p>
        </w:tc>
        <w:tc>
          <w:tcPr>
            <w:tcW w:w="1180" w:type="dxa"/>
            <w:vAlign w:val="bottom"/>
            <w:shd w:val="clear" w:color="auto" w:fill="E5FFFF"/>
          </w:tcPr>
          <w:p>
            <w:pPr>
              <w:spacing w:after="0"/>
              <w:rPr>
                <w:sz w:val="13"/>
                <w:szCs w:val="13"/>
                <w:color w:val="auto"/>
              </w:rPr>
            </w:pPr>
          </w:p>
        </w:tc>
        <w:tc>
          <w:tcPr>
            <w:tcW w:w="1760" w:type="dxa"/>
            <w:vAlign w:val="bottom"/>
            <w:shd w:val="clear" w:color="auto" w:fill="E5FFFF"/>
          </w:tcPr>
          <w:p>
            <w:pPr>
              <w:spacing w:after="0"/>
              <w:rPr>
                <w:sz w:val="13"/>
                <w:szCs w:val="13"/>
                <w:color w:val="auto"/>
              </w:rPr>
            </w:pPr>
          </w:p>
        </w:tc>
        <w:tc>
          <w:tcPr>
            <w:tcW w:w="1240" w:type="dxa"/>
            <w:vAlign w:val="bottom"/>
            <w:shd w:val="clear" w:color="auto" w:fill="E5FF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040" w:type="dxa"/>
            <w:vAlign w:val="bottom"/>
            <w:gridSpan w:val="2"/>
          </w:tcPr>
          <w:p>
            <w:pPr>
              <w:spacing w:after="0" w:line="157" w:lineRule="exact"/>
              <w:rPr>
                <w:sz w:val="20"/>
                <w:szCs w:val="20"/>
                <w:color w:val="auto"/>
              </w:rPr>
            </w:pPr>
            <w:r>
              <w:rPr>
                <w:rFonts w:ascii="Arial" w:cs="Arial" w:eastAsia="Arial" w:hAnsi="Arial"/>
                <w:sz w:val="15"/>
                <w:szCs w:val="15"/>
                <w:b w:val="1"/>
                <w:bCs w:val="1"/>
                <w:color w:val="auto"/>
              </w:rPr>
              <w:t>25% interest associate:</w:t>
            </w:r>
          </w:p>
        </w:tc>
        <w:tc>
          <w:tcPr>
            <w:tcW w:w="1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Egypt LNG Shipping Ltd.</w:t>
            </w:r>
          </w:p>
        </w:tc>
        <w:tc>
          <w:tcPr>
            <w:tcW w:w="1560" w:type="dxa"/>
            <w:vAlign w:val="bottom"/>
            <w:shd w:val="clear" w:color="auto" w:fill="E5FFFF"/>
          </w:tcPr>
          <w:p>
            <w:pPr>
              <w:ind w:left="400"/>
              <w:spacing w:after="0" w:line="157" w:lineRule="exact"/>
              <w:rPr>
                <w:sz w:val="20"/>
                <w:szCs w:val="20"/>
                <w:color w:val="auto"/>
              </w:rPr>
            </w:pPr>
            <w:r>
              <w:rPr>
                <w:rFonts w:ascii="Arial" w:cs="Arial" w:eastAsia="Arial" w:hAnsi="Arial"/>
                <w:sz w:val="15"/>
                <w:szCs w:val="15"/>
                <w:color w:val="auto"/>
              </w:rPr>
              <w:t>Bermuda</w:t>
            </w:r>
          </w:p>
        </w:tc>
        <w:tc>
          <w:tcPr>
            <w:tcW w:w="1900" w:type="dxa"/>
            <w:vAlign w:val="bottom"/>
            <w:shd w:val="clear" w:color="auto" w:fill="E5FFFF"/>
          </w:tcPr>
          <w:p>
            <w:pPr>
              <w:ind w:left="600"/>
              <w:spacing w:after="0" w:line="157" w:lineRule="exact"/>
              <w:rPr>
                <w:sz w:val="20"/>
                <w:szCs w:val="20"/>
                <w:color w:val="auto"/>
              </w:rPr>
            </w:pPr>
            <w:r>
              <w:rPr>
                <w:rFonts w:ascii="Arial" w:cs="Arial" w:eastAsia="Arial" w:hAnsi="Arial"/>
                <w:sz w:val="15"/>
                <w:szCs w:val="15"/>
                <w:color w:val="auto"/>
              </w:rPr>
              <w:t>May 2010</w:t>
            </w:r>
          </w:p>
        </w:tc>
        <w:tc>
          <w:tcPr>
            <w:tcW w:w="2300" w:type="dxa"/>
            <w:vAlign w:val="bottom"/>
            <w:shd w:val="clear" w:color="auto" w:fill="E5FFFF"/>
          </w:tcPr>
          <w:p>
            <w:pPr>
              <w:ind w:left="340"/>
              <w:spacing w:after="0" w:line="157" w:lineRule="exact"/>
              <w:rPr>
                <w:sz w:val="20"/>
                <w:szCs w:val="20"/>
                <w:color w:val="auto"/>
              </w:rPr>
            </w:pPr>
            <w:r>
              <w:rPr>
                <w:rFonts w:ascii="Arial" w:cs="Arial" w:eastAsia="Arial" w:hAnsi="Arial"/>
                <w:sz w:val="15"/>
                <w:szCs w:val="15"/>
                <w:color w:val="auto"/>
              </w:rPr>
              <w:t>Vessel-owning company</w:t>
            </w:r>
          </w:p>
        </w:tc>
        <w:tc>
          <w:tcPr>
            <w:tcW w:w="1180" w:type="dxa"/>
            <w:vAlign w:val="bottom"/>
            <w:shd w:val="clear" w:color="auto" w:fill="E5FFFF"/>
          </w:tcPr>
          <w:p>
            <w:pPr>
              <w:jc w:val="center"/>
              <w:ind w:left="204"/>
              <w:spacing w:after="0" w:line="157" w:lineRule="exact"/>
              <w:rPr>
                <w:sz w:val="20"/>
                <w:szCs w:val="20"/>
                <w:color w:val="auto"/>
              </w:rPr>
            </w:pPr>
            <w:r>
              <w:rPr>
                <w:rFonts w:ascii="Arial" w:cs="Arial" w:eastAsia="Arial" w:hAnsi="Arial"/>
                <w:sz w:val="15"/>
                <w:szCs w:val="15"/>
                <w:color w:val="auto"/>
                <w:w w:val="92"/>
              </w:rPr>
              <w:t>145,000</w:t>
            </w:r>
          </w:p>
        </w:tc>
        <w:tc>
          <w:tcPr>
            <w:tcW w:w="17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i w:val="1"/>
                <w:iCs w:val="1"/>
                <w:color w:val="auto"/>
                <w:w w:val="93"/>
              </w:rPr>
              <w:t>Methane Nile Eagle</w:t>
            </w:r>
          </w:p>
        </w:tc>
        <w:tc>
          <w:tcPr>
            <w:tcW w:w="124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89"/>
              </w:rPr>
              <w:t>December 2007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tcPr>
          <w:p>
            <w:pPr>
              <w:spacing w:after="0" w:line="157" w:lineRule="exact"/>
              <w:rPr>
                <w:sz w:val="20"/>
                <w:szCs w:val="20"/>
                <w:color w:val="auto"/>
              </w:rPr>
            </w:pPr>
            <w:r>
              <w:rPr>
                <w:rFonts w:ascii="Arial" w:cs="Arial" w:eastAsia="Arial" w:hAnsi="Arial"/>
                <w:sz w:val="15"/>
                <w:szCs w:val="15"/>
                <w:b w:val="1"/>
                <w:bCs w:val="1"/>
                <w:color w:val="auto"/>
              </w:rPr>
              <w:t>20% interest associate:</w:t>
            </w:r>
          </w:p>
        </w:tc>
        <w:tc>
          <w:tcPr>
            <w:tcW w:w="15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40" w:type="dxa"/>
            <w:vAlign w:val="bottom"/>
            <w:gridSpan w:val="2"/>
            <w:shd w:val="clear" w:color="auto" w:fill="E5FFFF"/>
          </w:tcPr>
          <w:p>
            <w:pPr>
              <w:spacing w:after="0" w:line="157" w:lineRule="exact"/>
              <w:rPr>
                <w:sz w:val="20"/>
                <w:szCs w:val="20"/>
                <w:color w:val="auto"/>
              </w:rPr>
            </w:pPr>
            <w:r>
              <w:rPr>
                <w:rFonts w:ascii="Arial" w:cs="Arial" w:eastAsia="Arial" w:hAnsi="Arial"/>
                <w:sz w:val="15"/>
                <w:szCs w:val="15"/>
                <w:color w:val="auto"/>
              </w:rPr>
              <w:t>Gastrade S.A. (“Gastrade”)</w:t>
            </w:r>
          </w:p>
        </w:tc>
        <w:tc>
          <w:tcPr>
            <w:tcW w:w="1560" w:type="dxa"/>
            <w:vAlign w:val="bottom"/>
            <w:shd w:val="clear" w:color="auto" w:fill="E5FFFF"/>
          </w:tcPr>
          <w:p>
            <w:pPr>
              <w:ind w:left="400"/>
              <w:spacing w:after="0" w:line="157" w:lineRule="exact"/>
              <w:rPr>
                <w:sz w:val="20"/>
                <w:szCs w:val="20"/>
                <w:color w:val="auto"/>
              </w:rPr>
            </w:pPr>
            <w:r>
              <w:rPr>
                <w:rFonts w:ascii="Arial" w:cs="Arial" w:eastAsia="Arial" w:hAnsi="Arial"/>
                <w:sz w:val="15"/>
                <w:szCs w:val="15"/>
                <w:color w:val="auto"/>
              </w:rPr>
              <w:t>Greece</w:t>
            </w:r>
          </w:p>
        </w:tc>
        <w:tc>
          <w:tcPr>
            <w:tcW w:w="1900" w:type="dxa"/>
            <w:vAlign w:val="bottom"/>
            <w:shd w:val="clear" w:color="auto" w:fill="E5FFFF"/>
          </w:tcPr>
          <w:p>
            <w:pPr>
              <w:ind w:left="600"/>
              <w:spacing w:after="0" w:line="157" w:lineRule="exact"/>
              <w:rPr>
                <w:sz w:val="20"/>
                <w:szCs w:val="20"/>
                <w:color w:val="auto"/>
              </w:rPr>
            </w:pPr>
            <w:r>
              <w:rPr>
                <w:rFonts w:ascii="Arial" w:cs="Arial" w:eastAsia="Arial" w:hAnsi="Arial"/>
                <w:sz w:val="15"/>
                <w:szCs w:val="15"/>
                <w:color w:val="auto"/>
              </w:rPr>
              <w:t>June 2010</w:t>
            </w:r>
          </w:p>
        </w:tc>
        <w:tc>
          <w:tcPr>
            <w:tcW w:w="2300" w:type="dxa"/>
            <w:vAlign w:val="bottom"/>
            <w:shd w:val="clear" w:color="auto" w:fill="E5FFFF"/>
          </w:tcPr>
          <w:p>
            <w:pPr>
              <w:ind w:left="340"/>
              <w:spacing w:after="0" w:line="157" w:lineRule="exact"/>
              <w:rPr>
                <w:sz w:val="20"/>
                <w:szCs w:val="20"/>
                <w:color w:val="auto"/>
              </w:rPr>
            </w:pPr>
            <w:r>
              <w:rPr>
                <w:rFonts w:ascii="Arial" w:cs="Arial" w:eastAsia="Arial" w:hAnsi="Arial"/>
                <w:sz w:val="15"/>
                <w:szCs w:val="15"/>
                <w:color w:val="auto"/>
              </w:rPr>
              <w:t>Service company</w:t>
            </w:r>
          </w:p>
        </w:tc>
        <w:tc>
          <w:tcPr>
            <w:tcW w:w="1180" w:type="dxa"/>
            <w:vAlign w:val="bottom"/>
            <w:shd w:val="clear" w:color="auto" w:fill="E5FFFF"/>
          </w:tcPr>
          <w:p>
            <w:pPr>
              <w:jc w:val="center"/>
              <w:ind w:left="184"/>
              <w:spacing w:after="0" w:line="157" w:lineRule="exact"/>
              <w:rPr>
                <w:sz w:val="20"/>
                <w:szCs w:val="20"/>
                <w:color w:val="auto"/>
              </w:rPr>
            </w:pPr>
            <w:r>
              <w:rPr>
                <w:rFonts w:ascii="Arial" w:cs="Arial" w:eastAsia="Arial" w:hAnsi="Arial"/>
                <w:sz w:val="15"/>
                <w:szCs w:val="15"/>
                <w:color w:val="auto"/>
              </w:rPr>
              <w:t>—</w:t>
            </w:r>
          </w:p>
        </w:tc>
        <w:tc>
          <w:tcPr>
            <w:tcW w:w="176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w w:val="93"/>
              </w:rPr>
              <w:t>—</w:t>
            </w:r>
          </w:p>
        </w:tc>
        <w:tc>
          <w:tcPr>
            <w:tcW w:w="1240" w:type="dxa"/>
            <w:vAlign w:val="bottom"/>
            <w:shd w:val="clear" w:color="auto" w:fill="E5FFFF"/>
          </w:tcPr>
          <w:p>
            <w:pPr>
              <w:jc w:val="center"/>
              <w:spacing w:after="0" w:line="15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06" w:hanging="306"/>
        <w:spacing w:after="0"/>
        <w:tabs>
          <w:tab w:leader="none" w:pos="306" w:val="left"/>
        </w:tabs>
        <w:numPr>
          <w:ilvl w:val="0"/>
          <w:numId w:val="13"/>
        </w:numPr>
        <w:rPr>
          <w:rFonts w:ascii="Arial" w:cs="Arial" w:eastAsia="Arial" w:hAnsi="Arial"/>
          <w:sz w:val="23"/>
          <w:szCs w:val="23"/>
          <w:color w:val="auto"/>
          <w:vertAlign w:val="superscript"/>
        </w:rPr>
      </w:pPr>
      <w:r>
        <w:rPr>
          <w:rFonts w:ascii="Arial" w:cs="Arial" w:eastAsia="Arial" w:hAnsi="Arial"/>
          <w:sz w:val="11"/>
          <w:szCs w:val="11"/>
          <w:color w:val="auto"/>
        </w:rPr>
        <w:t>For newbuildings, expected delivery quarters as of June 30, 2019 are presented.</w:t>
      </w:r>
    </w:p>
    <w:p>
      <w:pPr>
        <w:spacing w:after="0" w:line="64" w:lineRule="exact"/>
        <w:rPr>
          <w:rFonts w:ascii="Arial" w:cs="Arial" w:eastAsia="Arial" w:hAnsi="Arial"/>
          <w:sz w:val="23"/>
          <w:szCs w:val="23"/>
          <w:color w:val="auto"/>
          <w:vertAlign w:val="superscript"/>
        </w:rPr>
      </w:pPr>
    </w:p>
    <w:p>
      <w:pPr>
        <w:ind w:left="306" w:hanging="306"/>
        <w:spacing w:after="0" w:line="188" w:lineRule="auto"/>
        <w:tabs>
          <w:tab w:leader="none" w:pos="306" w:val="left"/>
        </w:tabs>
        <w:numPr>
          <w:ilvl w:val="0"/>
          <w:numId w:val="13"/>
        </w:numPr>
        <w:rPr>
          <w:rFonts w:ascii="Arial" w:cs="Arial" w:eastAsia="Arial" w:hAnsi="Arial"/>
          <w:sz w:val="15"/>
          <w:szCs w:val="15"/>
          <w:color w:val="auto"/>
          <w:vertAlign w:val="superscript"/>
        </w:rPr>
      </w:pPr>
      <w:r>
        <w:rPr>
          <w:rFonts w:ascii="Arial" w:cs="Arial" w:eastAsia="Arial" w:hAnsi="Arial"/>
          <w:sz w:val="9"/>
          <w:szCs w:val="9"/>
          <w:color w:val="auto"/>
        </w:rPr>
        <w:t xml:space="preserve">In June 2019, the newbuilding the </w:t>
      </w:r>
      <w:r>
        <w:rPr>
          <w:rFonts w:ascii="Arial" w:cs="Arial" w:eastAsia="Arial" w:hAnsi="Arial"/>
          <w:sz w:val="9"/>
          <w:szCs w:val="9"/>
          <w:i w:val="1"/>
          <w:iCs w:val="1"/>
          <w:color w:val="auto"/>
        </w:rPr>
        <w:t>GasLog Warsaw</w:t>
      </w:r>
      <w:r>
        <w:rPr>
          <w:rFonts w:ascii="Arial" w:cs="Arial" w:eastAsia="Arial" w:hAnsi="Arial"/>
          <w:sz w:val="9"/>
          <w:szCs w:val="9"/>
          <w:color w:val="auto"/>
        </w:rPr>
        <w:t>, delivered on July 31, 2019, was transferred from GAS-twenty nine Ltd. to the subsidiary GasLog Hellas-1 Special Maritime Enterprise.</w:t>
      </w:r>
    </w:p>
    <w:p>
      <w:pPr>
        <w:spacing w:after="0" w:line="214" w:lineRule="exact"/>
        <w:rPr>
          <w:sz w:val="20"/>
          <w:szCs w:val="20"/>
          <w:color w:val="auto"/>
        </w:rPr>
      </w:pPr>
    </w:p>
    <w:p>
      <w:pPr>
        <w:jc w:val="both"/>
        <w:ind w:left="6" w:right="60" w:firstLine="539"/>
        <w:spacing w:after="0" w:line="293" w:lineRule="auto"/>
        <w:rPr>
          <w:sz w:val="20"/>
          <w:szCs w:val="20"/>
          <w:color w:val="auto"/>
        </w:rPr>
      </w:pPr>
      <w:r>
        <w:rPr>
          <w:rFonts w:ascii="Arial" w:cs="Arial" w:eastAsia="Arial" w:hAnsi="Arial"/>
          <w:sz w:val="16"/>
          <w:szCs w:val="16"/>
          <w:color w:val="auto"/>
        </w:rPr>
        <w:t>On October 1, 2015, GasLog Carriers, Dynagas Ltd. (“Dynagas”) and Golar LNG Ltd. (“Golar”) (“Pool Owners”) and The Cool Pool Limited signed an LNG carrier pooling agreement (the “LNG Carrier Pool” or “Pool Agreement” or “Cool Pool”) to market their vessels, which are currently operating in the LNG shipping spot market. For the operation of the Cool Pool, a Marshall Islands service company named “The Cool Pool Limited” or the “Pool Manager”, was incorporated in September 2015 acting as an agent. In June and July 2018, Dynagas removed its three vessels from the Cool Pool and ceased to be a shareholder.</w:t>
      </w:r>
    </w:p>
    <w:p>
      <w:pPr>
        <w:spacing w:after="0" w:line="185" w:lineRule="exact"/>
        <w:rPr>
          <w:sz w:val="20"/>
          <w:szCs w:val="20"/>
          <w:color w:val="auto"/>
        </w:rPr>
      </w:pPr>
    </w:p>
    <w:p>
      <w:pPr>
        <w:ind w:left="6" w:firstLine="539"/>
        <w:spacing w:after="0" w:line="300" w:lineRule="auto"/>
        <w:rPr>
          <w:sz w:val="20"/>
          <w:szCs w:val="20"/>
          <w:color w:val="auto"/>
        </w:rPr>
      </w:pPr>
      <w:r>
        <w:rPr>
          <w:rFonts w:ascii="Arial" w:cs="Arial" w:eastAsia="Arial" w:hAnsi="Arial"/>
          <w:sz w:val="16"/>
          <w:szCs w:val="16"/>
          <w:color w:val="auto"/>
        </w:rPr>
        <w:t>On June 6, 2019, GasLog entered into a termination agreement with the Cool Pool, whereby GasLog would assume commercial control of its six vessels operating in the LNG carrier spot market through the Cool Pool and on June 28, 2019, GasLog transferred to Golar its 100 shares of the common capital stock of the Cool Pool Limited. As of June 30, 2019, four of the GasLog vessels have exited the Cool Pool while the remaining two vessels were withdrawn in July 2019.</w:t>
      </w:r>
    </w:p>
    <w:p>
      <w:pPr>
        <w:spacing w:after="0" w:line="180" w:lineRule="exact"/>
        <w:rPr>
          <w:sz w:val="20"/>
          <w:szCs w:val="20"/>
          <w:color w:val="auto"/>
        </w:rPr>
      </w:pPr>
    </w:p>
    <w:p>
      <w:pPr>
        <w:ind w:left="6" w:firstLine="539"/>
        <w:spacing w:after="0" w:line="275" w:lineRule="auto"/>
        <w:rPr>
          <w:sz w:val="20"/>
          <w:szCs w:val="20"/>
          <w:color w:val="auto"/>
        </w:rPr>
      </w:pPr>
      <w:r>
        <w:rPr>
          <w:rFonts w:ascii="Arial" w:cs="Arial" w:eastAsia="Arial" w:hAnsi="Arial"/>
          <w:sz w:val="17"/>
          <w:szCs w:val="17"/>
          <w:color w:val="auto"/>
        </w:rPr>
        <w:t>As of June 30, 2019, the Cool Pool consisted of 12 modern, high quality and essentially equivalent vessels powered by fuel efficient tri-fuel diesel electric (“TFDE”) engine propulsion technology. The participation of the Pool Owners’ vessels in the Cool Pool was as follows: GasLog: two vessels (which were withdrawn in early July 2019); and Golar: ten vessels.</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2. Basis of Presentation</w:t>
      </w:r>
    </w:p>
    <w:p>
      <w:pPr>
        <w:spacing w:after="0" w:line="253" w:lineRule="exact"/>
        <w:rPr>
          <w:sz w:val="20"/>
          <w:szCs w:val="20"/>
          <w:color w:val="auto"/>
        </w:rPr>
      </w:pPr>
    </w:p>
    <w:p>
      <w:pPr>
        <w:ind w:left="6" w:right="160" w:firstLine="460"/>
        <w:spacing w:after="0" w:line="293" w:lineRule="auto"/>
        <w:rPr>
          <w:sz w:val="20"/>
          <w:szCs w:val="20"/>
          <w:color w:val="auto"/>
        </w:rPr>
      </w:pPr>
      <w:r>
        <w:rPr>
          <w:rFonts w:ascii="Arial" w:cs="Arial" w:eastAsia="Arial" w:hAnsi="Arial"/>
          <w:sz w:val="16"/>
          <w:szCs w:val="16"/>
          <w:color w:val="auto"/>
        </w:rPr>
        <w:t xml:space="preserve">These unaudited condensed consolidated financial statements have been prepared in accordance with International Accounting Standard (“IAS”) 34 </w:t>
      </w:r>
      <w:r>
        <w:rPr>
          <w:rFonts w:ascii="Arial" w:cs="Arial" w:eastAsia="Arial" w:hAnsi="Arial"/>
          <w:sz w:val="16"/>
          <w:szCs w:val="16"/>
          <w:i w:val="1"/>
          <w:iCs w:val="1"/>
          <w:color w:val="auto"/>
        </w:rPr>
        <w:t>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w:t>
      </w:r>
      <w:r>
        <w:rPr>
          <w:rFonts w:ascii="Arial" w:cs="Arial" w:eastAsia="Arial" w:hAnsi="Arial"/>
          <w:sz w:val="16"/>
          <w:szCs w:val="16"/>
          <w:color w:val="auto"/>
        </w:rPr>
        <w:t>as issued by the International Accounting Standards Board (“IASB”). Certain information and footnote disclosures required by IFRS for a complete set of annual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have been omitted, and, therefore, these unaudited condensed consolidated financial statements should be read in conjunction with the Group’s annual consolidated financial statements as of and for the year ended December 31, 2018 filed with the SEC on March 5, 2019.</w:t>
      </w:r>
    </w:p>
    <w:p>
      <w:pPr>
        <w:spacing w:after="0" w:line="185" w:lineRule="exact"/>
        <w:rPr>
          <w:sz w:val="20"/>
          <w:szCs w:val="20"/>
          <w:color w:val="auto"/>
        </w:rPr>
      </w:pPr>
    </w:p>
    <w:p>
      <w:pPr>
        <w:ind w:left="6" w:right="380" w:firstLine="460"/>
        <w:spacing w:after="0" w:line="288" w:lineRule="auto"/>
        <w:rPr>
          <w:sz w:val="20"/>
          <w:szCs w:val="20"/>
          <w:color w:val="auto"/>
        </w:rPr>
      </w:pPr>
      <w:r>
        <w:rPr>
          <w:rFonts w:ascii="Arial" w:cs="Arial" w:eastAsia="Arial" w:hAnsi="Arial"/>
          <w:sz w:val="17"/>
          <w:szCs w:val="17"/>
          <w:color w:val="auto"/>
        </w:rPr>
        <w:t>The critical accounting judgments and key sources of estimation uncertainty were disclosed in the Company’s annual consolidated financial statements for the year ended December 31, 2018 and remain unchanged.</w:t>
      </w:r>
    </w:p>
    <w:p>
      <w:pPr>
        <w:spacing w:after="0" w:line="187" w:lineRule="exact"/>
        <w:rPr>
          <w:sz w:val="20"/>
          <w:szCs w:val="20"/>
          <w:color w:val="auto"/>
        </w:rPr>
      </w:pPr>
    </w:p>
    <w:p>
      <w:pPr>
        <w:ind w:left="6" w:right="280" w:firstLine="460"/>
        <w:spacing w:after="0" w:line="275" w:lineRule="auto"/>
        <w:rPr>
          <w:sz w:val="20"/>
          <w:szCs w:val="20"/>
          <w:color w:val="auto"/>
        </w:rPr>
      </w:pPr>
      <w:r>
        <w:rPr>
          <w:rFonts w:ascii="Arial" w:cs="Arial" w:eastAsia="Arial" w:hAnsi="Arial"/>
          <w:sz w:val="17"/>
          <w:szCs w:val="17"/>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98" w:lineRule="exact"/>
        <w:rPr>
          <w:sz w:val="20"/>
          <w:szCs w:val="20"/>
          <w:color w:val="auto"/>
        </w:rPr>
      </w:pPr>
    </w:p>
    <w:p>
      <w:pPr>
        <w:jc w:val="both"/>
        <w:ind w:left="6" w:right="540" w:firstLine="418"/>
        <w:spacing w:after="0" w:line="328" w:lineRule="auto"/>
        <w:rPr>
          <w:sz w:val="20"/>
          <w:szCs w:val="20"/>
          <w:color w:val="auto"/>
        </w:rPr>
      </w:pPr>
      <w:r>
        <w:rPr>
          <w:rFonts w:ascii="Arial" w:cs="Arial" w:eastAsia="Arial" w:hAnsi="Arial"/>
          <w:sz w:val="15"/>
          <w:szCs w:val="15"/>
          <w:color w:val="auto"/>
        </w:rPr>
        <w:t xml:space="preserve">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2018, except for the changes resulting from the adoption of IFRS 16 </w:t>
      </w:r>
      <w:r>
        <w:rPr>
          <w:rFonts w:ascii="Arial" w:cs="Arial" w:eastAsia="Arial" w:hAnsi="Arial"/>
          <w:sz w:val="15"/>
          <w:szCs w:val="15"/>
          <w:i w:val="1"/>
          <w:iCs w:val="1"/>
          <w:color w:val="auto"/>
        </w:rPr>
        <w:t>Leases</w:t>
      </w:r>
      <w:r>
        <w:rPr>
          <w:rFonts w:ascii="Arial" w:cs="Arial" w:eastAsia="Arial" w:hAnsi="Arial"/>
          <w:sz w:val="15"/>
          <w:szCs w:val="15"/>
          <w:color w:val="auto"/>
        </w:rPr>
        <w:t xml:space="preserve"> (as discussed below).</w:t>
      </w:r>
    </w:p>
    <w:p>
      <w:pPr>
        <w:spacing w:after="0" w:line="163" w:lineRule="exact"/>
        <w:rPr>
          <w:sz w:val="20"/>
          <w:szCs w:val="20"/>
          <w:color w:val="auto"/>
        </w:rPr>
      </w:pPr>
    </w:p>
    <w:p>
      <w:pPr>
        <w:ind w:left="466"/>
        <w:spacing w:after="0"/>
        <w:rPr>
          <w:sz w:val="20"/>
          <w:szCs w:val="20"/>
          <w:color w:val="auto"/>
        </w:rPr>
      </w:pPr>
      <w:r>
        <w:rPr>
          <w:rFonts w:ascii="Arial" w:cs="Arial" w:eastAsia="Arial" w:hAnsi="Arial"/>
          <w:sz w:val="17"/>
          <w:szCs w:val="17"/>
          <w:color w:val="auto"/>
        </w:rPr>
        <w:t>On August 1, 2019, GasLog’s board of directors authorized the unaudited condensed consolidated financial statements for issuance.</w:t>
      </w:r>
    </w:p>
    <w:p>
      <w:pPr>
        <w:spacing w:after="0" w:line="247" w:lineRule="exact"/>
        <w:rPr>
          <w:sz w:val="20"/>
          <w:szCs w:val="20"/>
          <w:color w:val="auto"/>
        </w:rPr>
      </w:pPr>
    </w:p>
    <w:p>
      <w:pPr>
        <w:ind w:left="6" w:right="40" w:firstLine="405"/>
        <w:spacing w:after="0" w:line="271" w:lineRule="auto"/>
        <w:rPr>
          <w:sz w:val="20"/>
          <w:szCs w:val="20"/>
          <w:color w:val="auto"/>
        </w:rPr>
      </w:pPr>
      <w:r>
        <w:rPr>
          <w:rFonts w:ascii="Arial" w:cs="Arial" w:eastAsia="Arial" w:hAnsi="Arial"/>
          <w:sz w:val="17"/>
          <w:szCs w:val="17"/>
          <w:color w:val="auto"/>
        </w:rPr>
        <w:t>Management anticipates that the Group’s primary sources of funds will be available cash, cash from operations and borrowings under existing and new loan agreements. The Group may also seek to raise additional common or other forms of equity. Management believes that these sources of funds will be sufficient for the Group to meet its liquidity needs and to comply with its financial covenants for at least twelve months from the end of the reporting period and therefore it is appropriate to prepare the financial statements on a going concern basis.</w:t>
      </w:r>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7646670" cy="31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9" w:right="120" w:bottom="1440" w:gutter="0" w:footer="0" w:header="0"/>
        </w:sectPr>
      </w:pPr>
    </w:p>
    <w:bookmarkStart w:id="34" w:name="page35"/>
    <w:bookmarkEnd w:id="34"/>
    <w:p>
      <w:pPr>
        <w:ind w:left="6"/>
        <w:spacing w:after="0"/>
        <w:rPr>
          <w:sz w:val="20"/>
          <w:szCs w:val="20"/>
          <w:color w:val="auto"/>
        </w:rPr>
      </w:pPr>
      <w:r>
        <w:rPr>
          <w:rFonts w:ascii="Arial" w:cs="Arial" w:eastAsia="Arial" w:hAnsi="Arial"/>
          <w:sz w:val="17"/>
          <w:szCs w:val="17"/>
          <w:b w:val="1"/>
          <w:bCs w:val="1"/>
          <w:i w:val="1"/>
          <w:iCs w:val="1"/>
          <w:color w:val="auto"/>
        </w:rPr>
        <w:t>Adoption of new and revised IFRS</w:t>
      </w:r>
    </w:p>
    <w:p>
      <w:pPr>
        <w:spacing w:after="0" w:line="241"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(a) Standards and interpretations adopted in the current period</w:t>
      </w:r>
    </w:p>
    <w:p>
      <w:pPr>
        <w:spacing w:after="0" w:line="253" w:lineRule="exact"/>
        <w:rPr>
          <w:sz w:val="20"/>
          <w:szCs w:val="20"/>
          <w:color w:val="auto"/>
        </w:rPr>
      </w:pPr>
    </w:p>
    <w:p>
      <w:pPr>
        <w:ind w:left="6" w:right="40" w:firstLine="342"/>
        <w:spacing w:after="0" w:line="287" w:lineRule="auto"/>
        <w:rPr>
          <w:sz w:val="20"/>
          <w:szCs w:val="20"/>
          <w:color w:val="auto"/>
        </w:rPr>
      </w:pPr>
      <w:r>
        <w:rPr>
          <w:rFonts w:ascii="Arial" w:cs="Arial" w:eastAsia="Arial" w:hAnsi="Arial"/>
          <w:sz w:val="16"/>
          <w:szCs w:val="16"/>
          <w:color w:val="auto"/>
        </w:rPr>
        <w:t xml:space="preserve">In January 2016, the IASB issued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sets out the principles for the recognition, measurement, presentation and disclosure of leases for both parties to a contract, i.e. the customer (“lessee”) and the supplier (“lessor”). IFRS 16 eliminates the classification of leases by lessees as either operating leases or finance leases and, instead, introduces a single lessee accounting model. Applying that model, a lessee is required to recognize: (a) assets and liabilities for all leases with a term of more than 12 months, unless the underlying asset is of low value; and (b) depreciation of lease assets separately from interest on lease liabilities in the statement of profit or loss. Lessors continue to classify their leases as operating leases or finance leases, and to account for those two types of leases differently. IFRS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supersedes the previous leases Standard, IAS 17 </w:t>
      </w:r>
      <w:r>
        <w:rPr>
          <w:rFonts w:ascii="Arial" w:cs="Arial" w:eastAsia="Arial" w:hAnsi="Arial"/>
          <w:sz w:val="16"/>
          <w:szCs w:val="16"/>
          <w:i w:val="1"/>
          <w:iCs w:val="1"/>
          <w:color w:val="auto"/>
        </w:rPr>
        <w:t>Leases</w:t>
      </w:r>
      <w:r>
        <w:rPr>
          <w:rFonts w:ascii="Arial" w:cs="Arial" w:eastAsia="Arial" w:hAnsi="Arial"/>
          <w:sz w:val="16"/>
          <w:szCs w:val="16"/>
          <w:color w:val="auto"/>
        </w:rPr>
        <w:t>, and related Interpretations. The standard is effective from January 1, 2019.</w:t>
      </w:r>
    </w:p>
    <w:p>
      <w:pPr>
        <w:spacing w:after="0" w:line="192" w:lineRule="exact"/>
        <w:rPr>
          <w:sz w:val="20"/>
          <w:szCs w:val="20"/>
          <w:color w:val="auto"/>
        </w:rPr>
      </w:pPr>
    </w:p>
    <w:p>
      <w:pPr>
        <w:jc w:val="both"/>
        <w:ind w:left="6" w:right="120" w:firstLine="342"/>
        <w:spacing w:after="0" w:line="298" w:lineRule="auto"/>
        <w:rPr>
          <w:sz w:val="20"/>
          <w:szCs w:val="20"/>
          <w:color w:val="auto"/>
        </w:rPr>
      </w:pPr>
      <w:r>
        <w:rPr>
          <w:rFonts w:ascii="Arial" w:cs="Arial" w:eastAsia="Arial" w:hAnsi="Arial"/>
          <w:sz w:val="15"/>
          <w:szCs w:val="15"/>
          <w:color w:val="auto"/>
        </w:rPr>
        <w:t>The Group is a lessee under a vessel sale and leaseback arrangement and also leases various properties, vessel and office equipment. Rental contracts are typically made for fixed periods but may have extension options. Lease terms are negotiated on an individual basis and contain a wide range of different terms and conditions. Following the implementation of IFRS 16, leases are recognized as a right-of-use asset and a corresponding liability at the date at which the leased asset is available for use by the Group.</w:t>
      </w:r>
    </w:p>
    <w:p>
      <w:pPr>
        <w:spacing w:after="0" w:line="2" w:lineRule="exact"/>
        <w:rPr>
          <w:sz w:val="20"/>
          <w:szCs w:val="20"/>
          <w:color w:val="auto"/>
        </w:rPr>
      </w:pPr>
    </w:p>
    <w:p>
      <w:pPr>
        <w:jc w:val="both"/>
        <w:ind w:left="6" w:right="200"/>
        <w:spacing w:after="0" w:line="273" w:lineRule="auto"/>
        <w:rPr>
          <w:sz w:val="20"/>
          <w:szCs w:val="20"/>
          <w:color w:val="auto"/>
        </w:rPr>
      </w:pPr>
      <w:r>
        <w:rPr>
          <w:rFonts w:ascii="Arial" w:cs="Arial" w:eastAsia="Arial" w:hAnsi="Arial"/>
          <w:sz w:val="17"/>
          <w:szCs w:val="17"/>
          <w:color w:val="auto"/>
        </w:rPr>
        <w:t>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pacing w:after="0" w:line="200" w:lineRule="exact"/>
        <w:rPr>
          <w:sz w:val="20"/>
          <w:szCs w:val="20"/>
          <w:color w:val="auto"/>
        </w:rPr>
      </w:pPr>
    </w:p>
    <w:p>
      <w:pPr>
        <w:ind w:left="346"/>
        <w:spacing w:after="0"/>
        <w:rPr>
          <w:sz w:val="20"/>
          <w:szCs w:val="20"/>
          <w:color w:val="auto"/>
        </w:rPr>
      </w:pPr>
      <w:r>
        <w:rPr>
          <w:rFonts w:ascii="Arial" w:cs="Arial" w:eastAsia="Arial" w:hAnsi="Arial"/>
          <w:sz w:val="15"/>
          <w:szCs w:val="15"/>
          <w:color w:val="auto"/>
        </w:rPr>
        <w:t>Assets and liabilities arising from a lease are initially measured on a present value basis. Lease liabilities include the net present value of the following lease payments:</w:t>
      </w:r>
    </w:p>
    <w:p>
      <w:pPr>
        <w:spacing w:after="0" w:line="44" w:lineRule="exact"/>
        <w:rPr>
          <w:sz w:val="20"/>
          <w:szCs w:val="20"/>
          <w:color w:val="auto"/>
        </w:rPr>
      </w:pPr>
    </w:p>
    <w:p>
      <w:pPr>
        <w:ind w:left="6" w:right="100" w:hanging="6"/>
        <w:spacing w:after="0" w:line="297" w:lineRule="auto"/>
        <w:tabs>
          <w:tab w:leader="none" w:pos="282" w:val="left"/>
        </w:tabs>
        <w:numPr>
          <w:ilvl w:val="0"/>
          <w:numId w:val="14"/>
        </w:numPr>
        <w:rPr>
          <w:rFonts w:ascii="Arial" w:cs="Arial" w:eastAsia="Arial" w:hAnsi="Arial"/>
          <w:sz w:val="15"/>
          <w:szCs w:val="15"/>
          <w:color w:val="auto"/>
        </w:rPr>
      </w:pPr>
      <w:r>
        <w:rPr>
          <w:rFonts w:ascii="Arial" w:cs="Arial" w:eastAsia="Arial" w:hAnsi="Arial"/>
          <w:sz w:val="15"/>
          <w:szCs w:val="15"/>
          <w:color w:val="auto"/>
        </w:rPr>
        <w:t>fixed payments (including in-substance fixed payments), less any lease incentives receivable, (b) variable lease payments that are based on an index or a rate (if any),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Group’s incremental borrowing rate. Right-of-use assets are measured at cost comprising the following:</w:t>
      </w:r>
    </w:p>
    <w:p>
      <w:pPr>
        <w:spacing w:after="0" w:line="1" w:lineRule="exact"/>
        <w:rPr>
          <w:rFonts w:ascii="Arial" w:cs="Arial" w:eastAsia="Arial" w:hAnsi="Arial"/>
          <w:sz w:val="15"/>
          <w:szCs w:val="15"/>
          <w:color w:val="auto"/>
        </w:rPr>
      </w:pPr>
    </w:p>
    <w:p>
      <w:pPr>
        <w:jc w:val="both"/>
        <w:ind w:left="6" w:right="80" w:hanging="6"/>
        <w:spacing w:after="0" w:line="298" w:lineRule="auto"/>
        <w:tabs>
          <w:tab w:leader="none" w:pos="23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assets comprise vessel and office equipment.</w:t>
      </w:r>
    </w:p>
    <w:p>
      <w:pPr>
        <w:spacing w:after="0" w:line="182" w:lineRule="exact"/>
        <w:rPr>
          <w:sz w:val="20"/>
          <w:szCs w:val="20"/>
          <w:color w:val="auto"/>
        </w:rPr>
      </w:pPr>
    </w:p>
    <w:p>
      <w:pPr>
        <w:jc w:val="both"/>
        <w:ind w:left="6" w:right="60" w:firstLine="342"/>
        <w:spacing w:after="0" w:line="275" w:lineRule="auto"/>
        <w:rPr>
          <w:sz w:val="20"/>
          <w:szCs w:val="20"/>
          <w:color w:val="auto"/>
        </w:rPr>
      </w:pPr>
      <w:r>
        <w:rPr>
          <w:rFonts w:ascii="Arial" w:cs="Arial" w:eastAsia="Arial" w:hAnsi="Arial"/>
          <w:sz w:val="17"/>
          <w:szCs w:val="17"/>
          <w:color w:val="auto"/>
        </w:rPr>
        <w:t xml:space="preserve">For leases where the Group is the lessee, the Group has elected to apply the simplified approach, by which comparative information is not restated and any adjustment is recognized at the date of initial application of IFRS 16 </w:t>
      </w:r>
      <w:r>
        <w:rPr>
          <w:rFonts w:ascii="Arial" w:cs="Arial" w:eastAsia="Arial" w:hAnsi="Arial"/>
          <w:sz w:val="17"/>
          <w:szCs w:val="17"/>
          <w:i w:val="1"/>
          <w:iCs w:val="1"/>
          <w:color w:val="auto"/>
        </w:rPr>
        <w:t>Leases</w:t>
      </w:r>
      <w:r>
        <w:rPr>
          <w:rFonts w:ascii="Arial" w:cs="Arial" w:eastAsia="Arial" w:hAnsi="Arial"/>
          <w:sz w:val="17"/>
          <w:szCs w:val="17"/>
          <w:color w:val="auto"/>
        </w:rPr>
        <w:t>. The adoption of the standard on January 1, 2019, resulted in an increase in total assets of $7,618, an increase in retained earnings of $215, an increase in non-controlling interests of $128 and an increase in total liabilities of $7,275.</w:t>
      </w:r>
    </w:p>
    <w:p>
      <w:pPr>
        <w:spacing w:after="0" w:line="192"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(b) Standards and amendments in issue not yet adopted</w:t>
      </w:r>
    </w:p>
    <w:p>
      <w:pPr>
        <w:spacing w:after="0" w:line="253" w:lineRule="exact"/>
        <w:rPr>
          <w:sz w:val="20"/>
          <w:szCs w:val="20"/>
          <w:color w:val="auto"/>
        </w:rPr>
      </w:pPr>
    </w:p>
    <w:p>
      <w:pPr>
        <w:ind w:left="6" w:right="160" w:firstLine="442"/>
        <w:spacing w:after="0" w:line="288" w:lineRule="auto"/>
        <w:rPr>
          <w:sz w:val="20"/>
          <w:szCs w:val="20"/>
          <w:color w:val="auto"/>
        </w:rPr>
      </w:pPr>
      <w:r>
        <w:rPr>
          <w:rFonts w:ascii="Arial" w:cs="Arial" w:eastAsia="Arial" w:hAnsi="Arial"/>
          <w:sz w:val="17"/>
          <w:szCs w:val="17"/>
          <w:color w:val="auto"/>
        </w:rPr>
        <w:t>At the date of authorization of these unaudited condensed consolidated financial statements, there were no IFRS standards and amendments issued but not yet adopted with an expected material effect on the Group’s unaudited condensed consolidated financial statements.</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3. Non-controlling Interest in GasLog Partners</w:t>
      </w:r>
    </w:p>
    <w:p>
      <w:pPr>
        <w:spacing w:after="0" w:line="253" w:lineRule="exact"/>
        <w:rPr>
          <w:sz w:val="20"/>
          <w:szCs w:val="20"/>
          <w:color w:val="auto"/>
        </w:rPr>
      </w:pPr>
    </w:p>
    <w:p>
      <w:pPr>
        <w:ind w:left="6" w:firstLine="270"/>
        <w:spacing w:after="0" w:line="288" w:lineRule="auto"/>
        <w:rPr>
          <w:sz w:val="20"/>
          <w:szCs w:val="20"/>
          <w:color w:val="auto"/>
        </w:rPr>
      </w:pPr>
      <w:r>
        <w:rPr>
          <w:rFonts w:ascii="Arial" w:cs="Arial" w:eastAsia="Arial" w:hAnsi="Arial"/>
          <w:sz w:val="17"/>
          <w:szCs w:val="17"/>
          <w:color w:val="auto"/>
        </w:rPr>
        <w:t>The following table illustrates the percentage allocation of the additional available cash from operating surplus after the payment of preference unit distributions, in respect to such rights, until the IDR elimination on June 30, 2019:</w:t>
      </w:r>
    </w:p>
    <w:p>
      <w:pPr>
        <w:spacing w:after="0" w:line="181" w:lineRule="exact"/>
        <w:rPr>
          <w:sz w:val="20"/>
          <w:szCs w:val="20"/>
          <w:color w:val="auto"/>
        </w:rPr>
      </w:pPr>
    </w:p>
    <w:tbl>
      <w:tblPr>
        <w:tblLayout w:type="fixed"/>
        <w:tblInd w:w="486" w:type="dxa"/>
        <w:tblCellMar>
          <w:top w:w="0" w:type="dxa"/>
          <w:left w:w="0" w:type="dxa"/>
          <w:bottom w:w="0" w:type="dxa"/>
          <w:right w:w="0" w:type="dxa"/>
        </w:tblCellMar>
      </w:tblPr>
      <w:tr>
        <w:trPr>
          <w:trHeight w:val="226"/>
        </w:trPr>
        <w:tc>
          <w:tcPr>
            <w:tcW w:w="3580" w:type="dxa"/>
            <w:vAlign w:val="bottom"/>
          </w:tcPr>
          <w:p>
            <w:pPr>
              <w:spacing w:after="0"/>
              <w:rPr>
                <w:sz w:val="19"/>
                <w:szCs w:val="19"/>
                <w:color w:val="auto"/>
              </w:rPr>
            </w:pPr>
          </w:p>
        </w:tc>
        <w:tc>
          <w:tcPr>
            <w:tcW w:w="5980" w:type="dxa"/>
            <w:vAlign w:val="bottom"/>
            <w:tcBorders>
              <w:bottom w:val="single" w:sz="8" w:color="auto"/>
            </w:tcBorders>
            <w:gridSpan w:val="6"/>
          </w:tcPr>
          <w:p>
            <w:pPr>
              <w:ind w:left="2140"/>
              <w:spacing w:after="0"/>
              <w:rPr>
                <w:sz w:val="20"/>
                <w:szCs w:val="20"/>
                <w:color w:val="auto"/>
              </w:rPr>
            </w:pPr>
            <w:r>
              <w:rPr>
                <w:rFonts w:ascii="Arial" w:cs="Arial" w:eastAsia="Arial" w:hAnsi="Arial"/>
                <w:sz w:val="17"/>
                <w:szCs w:val="17"/>
                <w:b w:val="1"/>
                <w:bCs w:val="1"/>
                <w:color w:val="auto"/>
              </w:rPr>
              <w:t>Marginal Percentage Interest in Distributions</w:t>
            </w:r>
          </w:p>
        </w:tc>
        <w:tc>
          <w:tcPr>
            <w:tcW w:w="1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424"/>
        </w:trPr>
        <w:tc>
          <w:tcPr>
            <w:tcW w:w="3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Holders of</w:t>
            </w:r>
          </w:p>
        </w:tc>
      </w:tr>
      <w:tr>
        <w:trPr>
          <w:trHeight w:val="214"/>
        </w:trPr>
        <w:tc>
          <w:tcPr>
            <w:tcW w:w="3580" w:type="dxa"/>
            <w:vAlign w:val="bottom"/>
          </w:tcPr>
          <w:p>
            <w:pPr>
              <w:spacing w:after="0"/>
              <w:rPr>
                <w:sz w:val="18"/>
                <w:szCs w:val="18"/>
                <w:color w:val="auto"/>
              </w:rPr>
            </w:pPr>
          </w:p>
        </w:tc>
        <w:tc>
          <w:tcPr>
            <w:tcW w:w="3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5"/>
              </w:rPr>
              <w:t>Total Quarterly</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(Incentive</w:t>
            </w:r>
          </w:p>
        </w:tc>
      </w:tr>
      <w:tr>
        <w:trPr>
          <w:trHeight w:val="214"/>
        </w:trPr>
        <w:tc>
          <w:tcPr>
            <w:tcW w:w="3580" w:type="dxa"/>
            <w:vAlign w:val="bottom"/>
          </w:tcPr>
          <w:p>
            <w:pPr>
              <w:spacing w:after="0"/>
              <w:rPr>
                <w:sz w:val="18"/>
                <w:szCs w:val="18"/>
                <w:color w:val="auto"/>
              </w:rPr>
            </w:pPr>
          </w:p>
        </w:tc>
        <w:tc>
          <w:tcPr>
            <w:tcW w:w="3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Distribution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General</w:t>
            </w:r>
          </w:p>
        </w:tc>
        <w:tc>
          <w:tcPr>
            <w:tcW w:w="17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Distribution Rights</w:t>
            </w:r>
          </w:p>
        </w:tc>
      </w:tr>
      <w:tr>
        <w:trPr>
          <w:trHeight w:val="224"/>
        </w:trPr>
        <w:tc>
          <w:tcPr>
            <w:tcW w:w="3580" w:type="dxa"/>
            <w:vAlign w:val="bottom"/>
          </w:tcPr>
          <w:p>
            <w:pPr>
              <w:spacing w:after="0"/>
              <w:rPr>
                <w:sz w:val="19"/>
                <w:szCs w:val="19"/>
                <w:color w:val="auto"/>
              </w:rPr>
            </w:pPr>
          </w:p>
        </w:tc>
        <w:tc>
          <w:tcPr>
            <w:tcW w:w="3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Target Amount</w:t>
            </w: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Unitholders</w:t>
            </w:r>
          </w:p>
        </w:tc>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Partner</w:t>
            </w:r>
          </w:p>
        </w:tc>
        <w:tc>
          <w:tcPr>
            <w:tcW w:w="17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(“IDRs”)</w:t>
            </w:r>
          </w:p>
        </w:tc>
      </w:tr>
      <w:tr>
        <w:trPr>
          <w:trHeight w:val="214"/>
        </w:trPr>
        <w:tc>
          <w:tcPr>
            <w:tcW w:w="35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Minimum Quarterly Distribution</w:t>
            </w:r>
          </w:p>
        </w:tc>
        <w:tc>
          <w:tcPr>
            <w:tcW w:w="29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$0.375</w:t>
            </w:r>
          </w:p>
        </w:tc>
        <w:tc>
          <w:tcPr>
            <w:tcW w:w="28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98.0%</w:t>
            </w:r>
          </w:p>
        </w:tc>
        <w:tc>
          <w:tcPr>
            <w:tcW w:w="280" w:type="dxa"/>
            <w:vAlign w:val="bottom"/>
            <w:tcBorders>
              <w:top w:val="single" w:sz="8" w:color="E5FFFF"/>
            </w:tcBorders>
            <w:shd w:val="clear" w:color="auto" w:fill="E5FFFF"/>
          </w:tcPr>
          <w:p>
            <w:pPr>
              <w:spacing w:after="0"/>
              <w:rPr>
                <w:sz w:val="18"/>
                <w:szCs w:val="18"/>
                <w:color w:val="auto"/>
              </w:rPr>
            </w:pPr>
          </w:p>
        </w:tc>
        <w:tc>
          <w:tcPr>
            <w:tcW w:w="940" w:type="dxa"/>
            <w:vAlign w:val="bottom"/>
            <w:tcBorders>
              <w:top w:val="single" w:sz="8" w:color="auto"/>
            </w:tcBorders>
            <w:shd w:val="clear" w:color="auto" w:fill="E5FFFF"/>
          </w:tcPr>
          <w:p>
            <w:pPr>
              <w:jc w:val="right"/>
              <w:ind w:right="54"/>
              <w:spacing w:after="0"/>
              <w:rPr>
                <w:sz w:val="20"/>
                <w:szCs w:val="20"/>
                <w:color w:val="auto"/>
              </w:rPr>
            </w:pPr>
            <w:r>
              <w:rPr>
                <w:rFonts w:ascii="Arial" w:cs="Arial" w:eastAsia="Arial" w:hAnsi="Arial"/>
                <w:sz w:val="17"/>
                <w:szCs w:val="17"/>
                <w:color w:val="auto"/>
              </w:rPr>
              <w:t>2.0%</w:t>
            </w:r>
          </w:p>
        </w:tc>
        <w:tc>
          <w:tcPr>
            <w:tcW w:w="300" w:type="dxa"/>
            <w:vAlign w:val="bottom"/>
            <w:tcBorders>
              <w:top w:val="single" w:sz="8" w:color="E5FFFF"/>
            </w:tcBorders>
            <w:shd w:val="clear" w:color="auto" w:fill="E5FFFF"/>
          </w:tcPr>
          <w:p>
            <w:pPr>
              <w:spacing w:after="0"/>
              <w:rPr>
                <w:sz w:val="18"/>
                <w:szCs w:val="18"/>
                <w:color w:val="auto"/>
              </w:rPr>
            </w:pPr>
          </w:p>
        </w:tc>
        <w:tc>
          <w:tcPr>
            <w:tcW w:w="1640" w:type="dxa"/>
            <w:vAlign w:val="bottom"/>
            <w:tcBorders>
              <w:top w:val="single" w:sz="8" w:color="auto"/>
            </w:tcBorders>
            <w:shd w:val="clear" w:color="auto" w:fill="E5FFFF"/>
          </w:tcPr>
          <w:p>
            <w:pPr>
              <w:jc w:val="right"/>
              <w:ind w:right="214"/>
              <w:spacing w:after="0"/>
              <w:rPr>
                <w:sz w:val="20"/>
                <w:szCs w:val="20"/>
                <w:color w:val="auto"/>
              </w:rPr>
            </w:pPr>
            <w:r>
              <w:rPr>
                <w:rFonts w:ascii="Arial" w:cs="Arial" w:eastAsia="Arial" w:hAnsi="Arial"/>
                <w:sz w:val="17"/>
                <w:szCs w:val="17"/>
                <w:color w:val="auto"/>
              </w:rPr>
              <w:t>0%</w:t>
            </w:r>
          </w:p>
        </w:tc>
        <w:tc>
          <w:tcPr>
            <w:tcW w:w="80" w:type="dxa"/>
            <w:vAlign w:val="bottom"/>
            <w:tcBorders>
              <w:top w:val="single" w:sz="8" w:color="E5FFFF"/>
            </w:tcBorders>
            <w:shd w:val="clear" w:color="auto" w:fill="E5FFFF"/>
          </w:tcPr>
          <w:p>
            <w:pPr>
              <w:spacing w:after="0"/>
              <w:rPr>
                <w:sz w:val="18"/>
                <w:szCs w:val="18"/>
                <w:color w:val="auto"/>
              </w:rPr>
            </w:pPr>
          </w:p>
        </w:tc>
      </w:tr>
      <w:tr>
        <w:trPr>
          <w:trHeight w:val="214"/>
        </w:trPr>
        <w:tc>
          <w:tcPr>
            <w:tcW w:w="3580" w:type="dxa"/>
            <w:vAlign w:val="bottom"/>
          </w:tcPr>
          <w:p>
            <w:pPr>
              <w:spacing w:after="0"/>
              <w:rPr>
                <w:sz w:val="20"/>
                <w:szCs w:val="20"/>
                <w:color w:val="auto"/>
              </w:rPr>
            </w:pPr>
            <w:r>
              <w:rPr>
                <w:rFonts w:ascii="Arial" w:cs="Arial" w:eastAsia="Arial" w:hAnsi="Arial"/>
                <w:sz w:val="17"/>
                <w:szCs w:val="17"/>
                <w:color w:val="auto"/>
              </w:rPr>
              <w:t>First Target Distribution</w:t>
            </w:r>
          </w:p>
        </w:tc>
        <w:tc>
          <w:tcPr>
            <w:tcW w:w="3260" w:type="dxa"/>
            <w:vAlign w:val="bottom"/>
            <w:gridSpan w:val="2"/>
          </w:tcPr>
          <w:p>
            <w:pPr>
              <w:jc w:val="right"/>
              <w:ind w:right="280"/>
              <w:spacing w:after="0"/>
              <w:rPr>
                <w:sz w:val="20"/>
                <w:szCs w:val="20"/>
                <w:color w:val="auto"/>
              </w:rPr>
            </w:pPr>
            <w:r>
              <w:rPr>
                <w:rFonts w:ascii="Arial" w:cs="Arial" w:eastAsia="Arial" w:hAnsi="Arial"/>
                <w:sz w:val="17"/>
                <w:szCs w:val="17"/>
                <w:color w:val="auto"/>
              </w:rPr>
              <w:t>$0.375 up to $0.43125</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98.0%</w:t>
            </w:r>
          </w:p>
        </w:tc>
        <w:tc>
          <w:tcPr>
            <w:tcW w:w="2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2.0%</w:t>
            </w:r>
          </w:p>
        </w:tc>
        <w:tc>
          <w:tcPr>
            <w:tcW w:w="300" w:type="dxa"/>
            <w:vAlign w:val="bottom"/>
          </w:tcPr>
          <w:p>
            <w:pPr>
              <w:spacing w:after="0"/>
              <w:rPr>
                <w:sz w:val="18"/>
                <w:szCs w:val="18"/>
                <w:color w:val="auto"/>
              </w:rPr>
            </w:pPr>
          </w:p>
        </w:tc>
        <w:tc>
          <w:tcPr>
            <w:tcW w:w="1640" w:type="dxa"/>
            <w:vAlign w:val="bottom"/>
          </w:tcPr>
          <w:p>
            <w:pPr>
              <w:jc w:val="right"/>
              <w:ind w:right="214"/>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r>
      <w:tr>
        <w:trPr>
          <w:trHeight w:val="214"/>
        </w:trPr>
        <w:tc>
          <w:tcPr>
            <w:tcW w:w="3580" w:type="dxa"/>
            <w:vAlign w:val="bottom"/>
            <w:shd w:val="clear" w:color="auto" w:fill="E5FFFF"/>
          </w:tcPr>
          <w:p>
            <w:pPr>
              <w:spacing w:after="0"/>
              <w:rPr>
                <w:sz w:val="20"/>
                <w:szCs w:val="20"/>
                <w:color w:val="auto"/>
              </w:rPr>
            </w:pPr>
            <w:r>
              <w:rPr>
                <w:rFonts w:ascii="Arial" w:cs="Arial" w:eastAsia="Arial" w:hAnsi="Arial"/>
                <w:sz w:val="17"/>
                <w:szCs w:val="17"/>
                <w:color w:val="auto"/>
              </w:rPr>
              <w:t>Second Target Distribution</w:t>
            </w:r>
          </w:p>
        </w:tc>
        <w:tc>
          <w:tcPr>
            <w:tcW w:w="326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$0.43125 up to $0.46875</w:t>
            </w:r>
          </w:p>
        </w:tc>
        <w:tc>
          <w:tcPr>
            <w:tcW w:w="12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85.0%</w:t>
            </w:r>
          </w:p>
        </w:tc>
        <w:tc>
          <w:tcPr>
            <w:tcW w:w="280" w:type="dxa"/>
            <w:vAlign w:val="bottom"/>
            <w:shd w:val="clear" w:color="auto" w:fill="E5FFFF"/>
          </w:tcPr>
          <w:p>
            <w:pPr>
              <w:spacing w:after="0"/>
              <w:rPr>
                <w:sz w:val="18"/>
                <w:szCs w:val="18"/>
                <w:color w:val="auto"/>
              </w:rPr>
            </w:pPr>
          </w:p>
        </w:tc>
        <w:tc>
          <w:tcPr>
            <w:tcW w:w="940" w:type="dxa"/>
            <w:vAlign w:val="bottom"/>
            <w:shd w:val="clear" w:color="auto" w:fill="E5FFFF"/>
          </w:tcPr>
          <w:p>
            <w:pPr>
              <w:jc w:val="right"/>
              <w:ind w:right="54"/>
              <w:spacing w:after="0"/>
              <w:rPr>
                <w:sz w:val="20"/>
                <w:szCs w:val="20"/>
                <w:color w:val="auto"/>
              </w:rPr>
            </w:pPr>
            <w:r>
              <w:rPr>
                <w:rFonts w:ascii="Arial" w:cs="Arial" w:eastAsia="Arial" w:hAnsi="Arial"/>
                <w:sz w:val="17"/>
                <w:szCs w:val="17"/>
                <w:color w:val="auto"/>
              </w:rPr>
              <w:t>2.0%</w:t>
            </w:r>
          </w:p>
        </w:tc>
        <w:tc>
          <w:tcPr>
            <w:tcW w:w="300" w:type="dxa"/>
            <w:vAlign w:val="bottom"/>
            <w:shd w:val="clear" w:color="auto" w:fill="E5FFFF"/>
          </w:tcPr>
          <w:p>
            <w:pPr>
              <w:spacing w:after="0"/>
              <w:rPr>
                <w:sz w:val="18"/>
                <w:szCs w:val="18"/>
                <w:color w:val="auto"/>
              </w:rPr>
            </w:pPr>
          </w:p>
        </w:tc>
        <w:tc>
          <w:tcPr>
            <w:tcW w:w="1640" w:type="dxa"/>
            <w:vAlign w:val="bottom"/>
            <w:shd w:val="clear" w:color="auto" w:fill="E5FFFF"/>
          </w:tcPr>
          <w:p>
            <w:pPr>
              <w:jc w:val="right"/>
              <w:ind w:right="214"/>
              <w:spacing w:after="0"/>
              <w:rPr>
                <w:sz w:val="20"/>
                <w:szCs w:val="20"/>
                <w:color w:val="auto"/>
              </w:rPr>
            </w:pPr>
            <w:r>
              <w:rPr>
                <w:rFonts w:ascii="Arial" w:cs="Arial" w:eastAsia="Arial" w:hAnsi="Arial"/>
                <w:sz w:val="17"/>
                <w:szCs w:val="17"/>
                <w:color w:val="auto"/>
              </w:rPr>
              <w:t>13.0%</w:t>
            </w:r>
          </w:p>
        </w:tc>
        <w:tc>
          <w:tcPr>
            <w:tcW w:w="80" w:type="dxa"/>
            <w:vAlign w:val="bottom"/>
            <w:shd w:val="clear" w:color="auto" w:fill="E5FF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7"/>
                <w:szCs w:val="17"/>
                <w:color w:val="auto"/>
              </w:rPr>
              <w:t>Thereafter</w:t>
            </w:r>
          </w:p>
        </w:tc>
        <w:tc>
          <w:tcPr>
            <w:tcW w:w="3260" w:type="dxa"/>
            <w:vAlign w:val="bottom"/>
            <w:gridSpan w:val="2"/>
          </w:tcPr>
          <w:p>
            <w:pPr>
              <w:jc w:val="right"/>
              <w:ind w:right="280"/>
              <w:spacing w:after="0"/>
              <w:rPr>
                <w:sz w:val="20"/>
                <w:szCs w:val="20"/>
                <w:color w:val="auto"/>
              </w:rPr>
            </w:pPr>
            <w:r>
              <w:rPr>
                <w:rFonts w:ascii="Arial" w:cs="Arial" w:eastAsia="Arial" w:hAnsi="Arial"/>
                <w:sz w:val="17"/>
                <w:szCs w:val="17"/>
                <w:color w:val="auto"/>
              </w:rPr>
              <w:t>Above $0.46875</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75.0%</w:t>
            </w:r>
          </w:p>
        </w:tc>
        <w:tc>
          <w:tcPr>
            <w:tcW w:w="28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7"/>
                <w:szCs w:val="17"/>
                <w:color w:val="auto"/>
              </w:rPr>
              <w:t>2.0%</w:t>
            </w:r>
          </w:p>
        </w:tc>
        <w:tc>
          <w:tcPr>
            <w:tcW w:w="300" w:type="dxa"/>
            <w:vAlign w:val="bottom"/>
          </w:tcPr>
          <w:p>
            <w:pPr>
              <w:spacing w:after="0"/>
              <w:rPr>
                <w:sz w:val="18"/>
                <w:szCs w:val="18"/>
                <w:color w:val="auto"/>
              </w:rPr>
            </w:pPr>
          </w:p>
        </w:tc>
        <w:tc>
          <w:tcPr>
            <w:tcW w:w="1640" w:type="dxa"/>
            <w:vAlign w:val="bottom"/>
          </w:tcPr>
          <w:p>
            <w:pPr>
              <w:jc w:val="right"/>
              <w:ind w:right="214"/>
              <w:spacing w:after="0"/>
              <w:rPr>
                <w:sz w:val="20"/>
                <w:szCs w:val="20"/>
                <w:color w:val="auto"/>
              </w:rPr>
            </w:pPr>
            <w:r>
              <w:rPr>
                <w:rFonts w:ascii="Arial" w:cs="Arial" w:eastAsia="Arial" w:hAnsi="Arial"/>
                <w:sz w:val="17"/>
                <w:szCs w:val="17"/>
                <w:color w:val="auto"/>
              </w:rPr>
              <w:t>23.0%</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44" w:lineRule="exact"/>
        <w:rPr>
          <w:sz w:val="20"/>
          <w:szCs w:val="20"/>
          <w:color w:val="auto"/>
        </w:rPr>
      </w:pPr>
    </w:p>
    <w:p>
      <w:pPr>
        <w:ind w:left="6" w:right="20" w:firstLine="270"/>
        <w:spacing w:after="0" w:line="305" w:lineRule="auto"/>
        <w:rPr>
          <w:sz w:val="20"/>
          <w:szCs w:val="20"/>
          <w:color w:val="auto"/>
        </w:rPr>
      </w:pPr>
      <w:r>
        <w:rPr>
          <w:rFonts w:ascii="Arial" w:cs="Arial" w:eastAsia="Arial" w:hAnsi="Arial"/>
          <w:sz w:val="15"/>
          <w:szCs w:val="15"/>
          <w:color w:val="auto"/>
        </w:rPr>
        <w:t>On June 24, 2019, the Partnership Agreement was amended, effective June 30, 2019, to eliminate the IDRs in exchange for the issuance by the Partnership to GasLog of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distributions until such time as GasLog exercises its right to convert the Class B units to common units. The Class B units will become eligible for conversion on a one-for-one basis into common units at GasLog’s option on July 1, 2020, July 1, 2021, July 1, 2022, July 1, 2023, July 1, 2024 and July 1, 2025 for the Class B-1 units, Class B-2 units, Class B-3 units, Class B-4 units, Class B-5 units and the Class B-6 units, respectively. Following the IDR elimination, the allocation of GasLog Partners’ profit to the non-controlling interests is based on the revised distribution policy for available cash stated in the Partnership Agreement as amended, effective June 30, 2019, and under which 98.0% of the available cash is distributed to the common unitholders and 2.0% is distributed to the general partner. The updated earnings allocation applies to the total GasLog Partners’ profit for the three months ended June 30, 2019.</w:t>
      </w:r>
    </w:p>
    <w:p>
      <w:pPr>
        <w:spacing w:after="0" w:line="18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7646670" cy="311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8" w:right="120" w:bottom="1157" w:gutter="0" w:footer="0" w:header="0"/>
        </w:sectPr>
      </w:pPr>
    </w:p>
    <w:bookmarkStart w:id="35" w:name="page36"/>
    <w:bookmarkEnd w:id="35"/>
    <w:tbl>
      <w:tblPr>
        <w:tblLayout w:type="fixed"/>
        <w:tblInd w:w="400" w:type="dxa"/>
        <w:tblCellMar>
          <w:top w:w="0" w:type="dxa"/>
          <w:left w:w="0" w:type="dxa"/>
          <w:bottom w:w="0" w:type="dxa"/>
          <w:right w:w="0" w:type="dxa"/>
        </w:tblCellMar>
      </w:tblPr>
      <w:tr>
        <w:trPr>
          <w:trHeight w:val="253"/>
        </w:trPr>
        <w:tc>
          <w:tcPr>
            <w:tcW w:w="48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Allocation of GasLog Partners’ profit</w:t>
            </w:r>
            <w:r>
              <w:rPr>
                <w:rFonts w:ascii="Arial" w:cs="Arial" w:eastAsia="Arial" w:hAnsi="Arial"/>
                <w:sz w:val="22"/>
                <w:szCs w:val="22"/>
                <w:b w:val="1"/>
                <w:bCs w:val="1"/>
                <w:i w:val="1"/>
                <w:iCs w:val="1"/>
                <w:color w:val="auto"/>
                <w:vertAlign w:val="superscript"/>
              </w:rPr>
              <w:t>(*)</w:t>
            </w:r>
          </w:p>
        </w:tc>
        <w:tc>
          <w:tcPr>
            <w:tcW w:w="3260" w:type="dxa"/>
            <w:vAlign w:val="bottom"/>
            <w:gridSpan w:val="4"/>
          </w:tcPr>
          <w:p>
            <w:pPr>
              <w:ind w:left="480"/>
              <w:spacing w:after="0"/>
              <w:rPr>
                <w:sz w:val="20"/>
                <w:szCs w:val="20"/>
                <w:color w:val="auto"/>
              </w:rPr>
            </w:pPr>
            <w:r>
              <w:rPr>
                <w:rFonts w:ascii="Arial" w:cs="Arial" w:eastAsia="Arial" w:hAnsi="Arial"/>
                <w:sz w:val="17"/>
                <w:szCs w:val="17"/>
                <w:b w:val="1"/>
                <w:bCs w:val="1"/>
                <w:color w:val="auto"/>
              </w:rPr>
              <w:t>For the three months ended</w:t>
            </w:r>
          </w:p>
        </w:tc>
        <w:tc>
          <w:tcPr>
            <w:tcW w:w="3020" w:type="dxa"/>
            <w:vAlign w:val="bottom"/>
            <w:gridSpan w:val="3"/>
          </w:tcPr>
          <w:p>
            <w:pPr>
              <w:jc w:val="right"/>
              <w:ind w:right="514"/>
              <w:spacing w:after="0"/>
              <w:rPr>
                <w:sz w:val="20"/>
                <w:szCs w:val="20"/>
                <w:color w:val="auto"/>
              </w:rPr>
            </w:pPr>
            <w:r>
              <w:rPr>
                <w:rFonts w:ascii="Arial" w:cs="Arial" w:eastAsia="Arial" w:hAnsi="Arial"/>
                <w:sz w:val="17"/>
                <w:szCs w:val="17"/>
                <w:b w:val="1"/>
                <w:bCs w:val="1"/>
                <w:color w:val="auto"/>
              </w:rPr>
              <w:t>For the six months ended</w:t>
            </w:r>
          </w:p>
        </w:tc>
      </w:tr>
      <w:tr>
        <w:trPr>
          <w:trHeight w:val="259"/>
        </w:trPr>
        <w:tc>
          <w:tcPr>
            <w:tcW w:w="2660" w:type="dxa"/>
            <w:vAlign w:val="bottom"/>
            <w:tcBorders>
              <w:top w:val="single" w:sz="8" w:color="auto"/>
            </w:tcBorders>
          </w:tcPr>
          <w:p>
            <w:pPr>
              <w:spacing w:after="0"/>
              <w:rPr>
                <w:sz w:val="22"/>
                <w:szCs w:val="22"/>
                <w:color w:val="auto"/>
              </w:rPr>
            </w:pPr>
          </w:p>
        </w:tc>
        <w:tc>
          <w:tcPr>
            <w:tcW w:w="2140" w:type="dxa"/>
            <w:vAlign w:val="bottom"/>
          </w:tcPr>
          <w:p>
            <w:pPr>
              <w:spacing w:after="0"/>
              <w:rPr>
                <w:sz w:val="22"/>
                <w:szCs w:val="22"/>
                <w:color w:val="auto"/>
              </w:rPr>
            </w:pPr>
          </w:p>
        </w:tc>
        <w:tc>
          <w:tcPr>
            <w:tcW w:w="162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 2018</w:t>
            </w:r>
          </w:p>
        </w:tc>
        <w:tc>
          <w:tcPr>
            <w:tcW w:w="164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 2019</w:t>
            </w:r>
          </w:p>
        </w:tc>
        <w:tc>
          <w:tcPr>
            <w:tcW w:w="1640" w:type="dxa"/>
            <w:vAlign w:val="bottom"/>
            <w:gridSpan w:val="2"/>
          </w:tcPr>
          <w:p>
            <w:pPr>
              <w:ind w:left="180"/>
              <w:spacing w:after="0"/>
              <w:rPr>
                <w:sz w:val="20"/>
                <w:szCs w:val="20"/>
                <w:color w:val="auto"/>
              </w:rPr>
            </w:pPr>
            <w:r>
              <w:rPr>
                <w:rFonts w:ascii="Arial" w:cs="Arial" w:eastAsia="Arial" w:hAnsi="Arial"/>
                <w:sz w:val="17"/>
                <w:szCs w:val="17"/>
                <w:b w:val="1"/>
                <w:bCs w:val="1"/>
                <w:color w:val="auto"/>
              </w:rPr>
              <w:t>June 30, 2018</w:t>
            </w:r>
          </w:p>
        </w:tc>
        <w:tc>
          <w:tcPr>
            <w:tcW w:w="1380" w:type="dxa"/>
            <w:vAlign w:val="bottom"/>
          </w:tcPr>
          <w:p>
            <w:pPr>
              <w:jc w:val="right"/>
              <w:ind w:right="114"/>
              <w:spacing w:after="0"/>
              <w:rPr>
                <w:sz w:val="20"/>
                <w:szCs w:val="20"/>
                <w:color w:val="auto"/>
              </w:rPr>
            </w:pPr>
            <w:r>
              <w:rPr>
                <w:rFonts w:ascii="Arial" w:cs="Arial" w:eastAsia="Arial" w:hAnsi="Arial"/>
                <w:sz w:val="17"/>
                <w:szCs w:val="17"/>
                <w:b w:val="1"/>
                <w:bCs w:val="1"/>
                <w:color w:val="auto"/>
              </w:rPr>
              <w:t>June 30, 2019</w:t>
            </w:r>
          </w:p>
        </w:tc>
      </w:tr>
      <w:tr>
        <w:trPr>
          <w:trHeight w:val="200"/>
        </w:trPr>
        <w:tc>
          <w:tcPr>
            <w:tcW w:w="48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7"/>
                <w:szCs w:val="17"/>
                <w:color w:val="auto"/>
              </w:rPr>
              <w:t>Partnership’s profit attributable to:</w:t>
            </w:r>
          </w:p>
        </w:tc>
        <w:tc>
          <w:tcPr>
            <w:tcW w:w="136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380" w:type="dxa"/>
            <w:vAlign w:val="bottom"/>
            <w:tcBorders>
              <w:top w:val="single" w:sz="8" w:color="auto"/>
            </w:tcBorders>
            <w:shd w:val="clear" w:color="auto" w:fill="E5FFFF"/>
          </w:tcPr>
          <w:p>
            <w:pPr>
              <w:spacing w:after="0"/>
              <w:rPr>
                <w:sz w:val="17"/>
                <w:szCs w:val="17"/>
                <w:color w:val="auto"/>
              </w:rPr>
            </w:pPr>
          </w:p>
        </w:tc>
      </w:tr>
      <w:tr>
        <w:trPr>
          <w:trHeight w:val="214"/>
        </w:trPr>
        <w:tc>
          <w:tcPr>
            <w:tcW w:w="4800" w:type="dxa"/>
            <w:vAlign w:val="bottom"/>
            <w:gridSpan w:val="2"/>
          </w:tcPr>
          <w:p>
            <w:pPr>
              <w:spacing w:after="0"/>
              <w:rPr>
                <w:sz w:val="20"/>
                <w:szCs w:val="20"/>
                <w:color w:val="auto"/>
              </w:rPr>
            </w:pPr>
            <w:r>
              <w:rPr>
                <w:rFonts w:ascii="Arial" w:cs="Arial" w:eastAsia="Arial" w:hAnsi="Arial"/>
                <w:sz w:val="17"/>
                <w:szCs w:val="17"/>
                <w:color w:val="auto"/>
              </w:rPr>
              <w:t>Common unitholders</w:t>
            </w:r>
          </w:p>
        </w:tc>
        <w:tc>
          <w:tcPr>
            <w:tcW w:w="1360" w:type="dxa"/>
            <w:vAlign w:val="bottom"/>
          </w:tcPr>
          <w:p>
            <w:pPr>
              <w:jc w:val="right"/>
              <w:spacing w:after="0"/>
              <w:rPr>
                <w:sz w:val="20"/>
                <w:szCs w:val="20"/>
                <w:color w:val="auto"/>
              </w:rPr>
            </w:pPr>
            <w:r>
              <w:rPr>
                <w:rFonts w:ascii="Arial" w:cs="Arial" w:eastAsia="Arial" w:hAnsi="Arial"/>
                <w:sz w:val="17"/>
                <w:szCs w:val="17"/>
                <w:color w:val="auto"/>
              </w:rPr>
              <w:t>17,095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11,329</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41,152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23,858</w:t>
            </w:r>
          </w:p>
        </w:tc>
      </w:tr>
      <w:tr>
        <w:trPr>
          <w:trHeight w:val="214"/>
        </w:trPr>
        <w:tc>
          <w:tcPr>
            <w:tcW w:w="480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General partner</w:t>
            </w:r>
          </w:p>
        </w:tc>
        <w:tc>
          <w:tcPr>
            <w:tcW w:w="13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349</w:t>
            </w:r>
          </w:p>
        </w:tc>
        <w:tc>
          <w:tcPr>
            <w:tcW w:w="26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232</w:t>
            </w:r>
          </w:p>
        </w:tc>
        <w:tc>
          <w:tcPr>
            <w:tcW w:w="26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888</w:t>
            </w:r>
          </w:p>
        </w:tc>
        <w:tc>
          <w:tcPr>
            <w:tcW w:w="260" w:type="dxa"/>
            <w:vAlign w:val="bottom"/>
            <w:shd w:val="clear" w:color="auto" w:fill="E5FFFF"/>
          </w:tcPr>
          <w:p>
            <w:pPr>
              <w:spacing w:after="0"/>
              <w:rPr>
                <w:sz w:val="18"/>
                <w:szCs w:val="18"/>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487</w:t>
            </w:r>
          </w:p>
        </w:tc>
      </w:tr>
      <w:tr>
        <w:trPr>
          <w:trHeight w:val="214"/>
        </w:trPr>
        <w:tc>
          <w:tcPr>
            <w:tcW w:w="4800" w:type="dxa"/>
            <w:vAlign w:val="bottom"/>
            <w:gridSpan w:val="2"/>
          </w:tcPr>
          <w:p>
            <w:pPr>
              <w:spacing w:after="0"/>
              <w:rPr>
                <w:sz w:val="20"/>
                <w:szCs w:val="20"/>
                <w:color w:val="auto"/>
              </w:rPr>
            </w:pPr>
            <w:r>
              <w:rPr>
                <w:rFonts w:ascii="Arial" w:cs="Arial" w:eastAsia="Arial" w:hAnsi="Arial"/>
                <w:sz w:val="17"/>
                <w:szCs w:val="17"/>
                <w:color w:val="auto"/>
              </w:rPr>
              <w:t>IDRs</w:t>
            </w:r>
          </w:p>
        </w:tc>
        <w:tc>
          <w:tcPr>
            <w:tcW w:w="16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2,368</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480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Paid and accrued preference equity distributions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5,457</w:t>
            </w:r>
          </w:p>
        </w:tc>
        <w:tc>
          <w:tcPr>
            <w:tcW w:w="260" w:type="dxa"/>
            <w:vAlign w:val="bottom"/>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7,582</w:t>
            </w:r>
          </w:p>
        </w:tc>
        <w:tc>
          <w:tcPr>
            <w:tcW w:w="260" w:type="dxa"/>
            <w:vAlign w:val="bottom"/>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10,495</w:t>
            </w:r>
          </w:p>
        </w:tc>
        <w:tc>
          <w:tcPr>
            <w:tcW w:w="260" w:type="dxa"/>
            <w:vAlign w:val="bottom"/>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15,164</w:t>
            </w:r>
          </w:p>
        </w:tc>
      </w:tr>
      <w:tr>
        <w:trPr>
          <w:trHeight w:val="248"/>
        </w:trPr>
        <w:tc>
          <w:tcPr>
            <w:tcW w:w="4800" w:type="dxa"/>
            <w:vAlign w:val="bottom"/>
            <w:tcBorders>
              <w:bottom w:val="single" w:sz="8" w:color="E5FFFF"/>
            </w:tcBorders>
            <w:gridSpan w:val="2"/>
          </w:tcPr>
          <w:p>
            <w:pPr>
              <w:spacing w:after="0"/>
              <w:rPr>
                <w:sz w:val="20"/>
                <w:szCs w:val="20"/>
                <w:color w:val="auto"/>
              </w:rPr>
            </w:pPr>
            <w:r>
              <w:rPr>
                <w:rFonts w:ascii="Arial" w:cs="Arial" w:eastAsia="Arial" w:hAnsi="Arial"/>
                <w:sz w:val="17"/>
                <w:szCs w:val="17"/>
                <w:b w:val="1"/>
                <w:bCs w:val="1"/>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22,901</w:t>
            </w:r>
          </w:p>
        </w:tc>
        <w:tc>
          <w:tcPr>
            <w:tcW w:w="260" w:type="dxa"/>
            <w:vAlign w:val="bottom"/>
            <w:tcBorders>
              <w:bottom w:val="single" w:sz="8" w:color="E5FF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19,143</w:t>
            </w:r>
          </w:p>
        </w:tc>
        <w:tc>
          <w:tcPr>
            <w:tcW w:w="260" w:type="dxa"/>
            <w:vAlign w:val="bottom"/>
            <w:tcBorders>
              <w:bottom w:val="single" w:sz="8" w:color="E5FF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54,903</w:t>
            </w:r>
          </w:p>
        </w:tc>
        <w:tc>
          <w:tcPr>
            <w:tcW w:w="260" w:type="dxa"/>
            <w:vAlign w:val="bottom"/>
            <w:tcBorders>
              <w:bottom w:val="single" w:sz="8" w:color="E5FF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39,509</w:t>
            </w:r>
          </w:p>
        </w:tc>
      </w:tr>
      <w:tr>
        <w:trPr>
          <w:trHeight w:val="197"/>
        </w:trPr>
        <w:tc>
          <w:tcPr>
            <w:tcW w:w="4800" w:type="dxa"/>
            <w:vAlign w:val="bottom"/>
            <w:gridSpan w:val="2"/>
            <w:shd w:val="clear" w:color="auto" w:fill="E5FFFF"/>
          </w:tcPr>
          <w:p>
            <w:pPr>
              <w:spacing w:after="0" w:line="189" w:lineRule="exact"/>
              <w:rPr>
                <w:sz w:val="20"/>
                <w:szCs w:val="20"/>
                <w:color w:val="auto"/>
              </w:rPr>
            </w:pPr>
            <w:r>
              <w:rPr>
                <w:rFonts w:ascii="Arial" w:cs="Arial" w:eastAsia="Arial" w:hAnsi="Arial"/>
                <w:sz w:val="17"/>
                <w:szCs w:val="17"/>
                <w:color w:val="auto"/>
              </w:rPr>
              <w:t>Partnership’s profit allocated to GasLog</w:t>
            </w:r>
          </w:p>
        </w:tc>
        <w:tc>
          <w:tcPr>
            <w:tcW w:w="13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5,069</w:t>
            </w:r>
          </w:p>
        </w:tc>
        <w:tc>
          <w:tcPr>
            <w:tcW w:w="2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3,657</w:t>
            </w:r>
          </w:p>
        </w:tc>
        <w:tc>
          <w:tcPr>
            <w:tcW w:w="2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13,834</w:t>
            </w:r>
          </w:p>
        </w:tc>
        <w:tc>
          <w:tcPr>
            <w:tcW w:w="260" w:type="dxa"/>
            <w:vAlign w:val="bottom"/>
            <w:shd w:val="clear" w:color="auto" w:fill="E5FFFF"/>
          </w:tcPr>
          <w:p>
            <w:pPr>
              <w:spacing w:after="0"/>
              <w:rPr>
                <w:sz w:val="17"/>
                <w:szCs w:val="17"/>
                <w:color w:val="auto"/>
              </w:rPr>
            </w:pPr>
          </w:p>
        </w:tc>
        <w:tc>
          <w:tcPr>
            <w:tcW w:w="13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7,177</w:t>
            </w:r>
          </w:p>
        </w:tc>
      </w:tr>
      <w:tr>
        <w:trPr>
          <w:trHeight w:val="214"/>
        </w:trPr>
        <w:tc>
          <w:tcPr>
            <w:tcW w:w="4800" w:type="dxa"/>
            <w:vAlign w:val="bottom"/>
            <w:tcBorders>
              <w:bottom w:val="single" w:sz="8" w:color="E5FFFF"/>
            </w:tcBorders>
            <w:gridSpan w:val="2"/>
          </w:tcPr>
          <w:p>
            <w:pPr>
              <w:spacing w:after="0"/>
              <w:rPr>
                <w:sz w:val="20"/>
                <w:szCs w:val="20"/>
                <w:color w:val="auto"/>
              </w:rPr>
            </w:pPr>
            <w:r>
              <w:rPr>
                <w:rFonts w:ascii="Arial" w:cs="Arial" w:eastAsia="Arial" w:hAnsi="Arial"/>
                <w:sz w:val="17"/>
                <w:szCs w:val="17"/>
                <w:color w:val="auto"/>
              </w:rPr>
              <w:t>Partnership’s profit allocated to non-controlling interests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17,832</w:t>
            </w:r>
          </w:p>
        </w:tc>
        <w:tc>
          <w:tcPr>
            <w:tcW w:w="26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15,486</w:t>
            </w:r>
          </w:p>
        </w:tc>
        <w:tc>
          <w:tcPr>
            <w:tcW w:w="26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41,069</w:t>
            </w:r>
          </w:p>
        </w:tc>
        <w:tc>
          <w:tcPr>
            <w:tcW w:w="260" w:type="dxa"/>
            <w:vAlign w:val="bottom"/>
            <w:tcBorders>
              <w:bottom w:val="single" w:sz="8" w:color="E5FF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32,332</w:t>
            </w:r>
          </w:p>
        </w:tc>
      </w:tr>
      <w:tr>
        <w:trPr>
          <w:trHeight w:val="208"/>
        </w:trPr>
        <w:tc>
          <w:tcPr>
            <w:tcW w:w="4800" w:type="dxa"/>
            <w:vAlign w:val="bottom"/>
            <w:tcBorders>
              <w:bottom w:val="single" w:sz="8" w:color="E5FFFF"/>
            </w:tcBorders>
            <w:gridSpan w:val="2"/>
            <w:shd w:val="clear" w:color="auto" w:fill="E5FFFF"/>
          </w:tcPr>
          <w:p>
            <w:pPr>
              <w:spacing w:after="0"/>
              <w:rPr>
                <w:sz w:val="20"/>
                <w:szCs w:val="20"/>
                <w:color w:val="auto"/>
              </w:rPr>
            </w:pPr>
            <w:r>
              <w:rPr>
                <w:rFonts w:ascii="Arial" w:cs="Arial" w:eastAsia="Arial" w:hAnsi="Arial"/>
                <w:sz w:val="17"/>
                <w:szCs w:val="17"/>
                <w:b w:val="1"/>
                <w:bCs w:val="1"/>
                <w:color w:val="auto"/>
              </w:rPr>
              <w:t>Total</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22,901</w:t>
            </w:r>
          </w:p>
        </w:tc>
        <w:tc>
          <w:tcPr>
            <w:tcW w:w="26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19,143</w:t>
            </w:r>
          </w:p>
        </w:tc>
        <w:tc>
          <w:tcPr>
            <w:tcW w:w="26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54,903</w:t>
            </w:r>
          </w:p>
        </w:tc>
        <w:tc>
          <w:tcPr>
            <w:tcW w:w="260" w:type="dxa"/>
            <w:vAlign w:val="bottom"/>
            <w:tcBorders>
              <w:bottom w:val="single" w:sz="8" w:color="E5FFFF"/>
            </w:tcBorders>
            <w:shd w:val="clear" w:color="auto" w:fill="E5FFFF"/>
          </w:tcPr>
          <w:p>
            <w:pPr>
              <w:spacing w:after="0"/>
              <w:rPr>
                <w:sz w:val="18"/>
                <w:szCs w:val="18"/>
                <w:color w:val="auto"/>
              </w:rPr>
            </w:pPr>
          </w:p>
        </w:tc>
        <w:tc>
          <w:tcPr>
            <w:tcW w:w="13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39,509</w:t>
            </w:r>
          </w:p>
        </w:tc>
      </w:tr>
      <w:tr>
        <w:trPr>
          <w:trHeight w:val="20"/>
        </w:trPr>
        <w:tc>
          <w:tcPr>
            <w:tcW w:w="2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ind w:left="680" w:right="260" w:hanging="281"/>
        <w:spacing w:after="0" w:line="244" w:lineRule="auto"/>
        <w:tabs>
          <w:tab w:leader="none" w:pos="515" w:val="left"/>
        </w:tabs>
        <w:numPr>
          <w:ilvl w:val="0"/>
          <w:numId w:val="16"/>
        </w:numPr>
        <w:rPr>
          <w:rFonts w:ascii="Arial" w:cs="Arial" w:eastAsia="Arial" w:hAnsi="Arial"/>
          <w:sz w:val="15"/>
          <w:szCs w:val="15"/>
          <w:color w:val="auto"/>
        </w:rPr>
      </w:pPr>
      <w:r>
        <w:rPr>
          <w:rFonts w:ascii="Arial" w:cs="Arial" w:eastAsia="Arial" w:hAnsi="Arial"/>
          <w:sz w:val="15"/>
          <w:szCs w:val="15"/>
          <w:color w:val="auto"/>
        </w:rPr>
        <w:t>Excludes profits of GAS-fourteen Ltd., GAS-twenty seven Ltd. and GAS-twelve Ltd. for the period prior to their transfers to the Partnership on April 26, 2018, November 14, 2018 and April 1, 2019, respectively.</w:t>
      </w:r>
    </w:p>
    <w:p>
      <w:pPr>
        <w:spacing w:after="0" w:line="201" w:lineRule="exact"/>
        <w:rPr>
          <w:sz w:val="20"/>
          <w:szCs w:val="20"/>
          <w:color w:val="auto"/>
        </w:rPr>
      </w:pPr>
    </w:p>
    <w:p>
      <w:pPr>
        <w:ind w:right="880" w:firstLine="411"/>
        <w:spacing w:after="0" w:line="288" w:lineRule="auto"/>
        <w:rPr>
          <w:sz w:val="20"/>
          <w:szCs w:val="20"/>
          <w:color w:val="auto"/>
        </w:rPr>
      </w:pPr>
      <w:r>
        <w:rPr>
          <w:rFonts w:ascii="Arial" w:cs="Arial" w:eastAsia="Arial" w:hAnsi="Arial"/>
          <w:sz w:val="17"/>
          <w:szCs w:val="17"/>
          <w:color w:val="auto"/>
        </w:rPr>
        <w:t>Dividends declared attributable to non-controlling interests included in the unaudited condensed consolidated statements of changes in equity represent cash distributions to holders of common and preference units.</w:t>
      </w:r>
    </w:p>
    <w:p>
      <w:pPr>
        <w:spacing w:after="0" w:line="187" w:lineRule="exact"/>
        <w:rPr>
          <w:sz w:val="20"/>
          <w:szCs w:val="20"/>
          <w:color w:val="auto"/>
        </w:rPr>
      </w:pPr>
    </w:p>
    <w:p>
      <w:pPr>
        <w:ind w:right="100" w:firstLine="411"/>
        <w:spacing w:after="0" w:line="288" w:lineRule="auto"/>
        <w:rPr>
          <w:sz w:val="20"/>
          <w:szCs w:val="20"/>
          <w:color w:val="auto"/>
        </w:rPr>
      </w:pPr>
      <w:r>
        <w:rPr>
          <w:rFonts w:ascii="Arial" w:cs="Arial" w:eastAsia="Arial" w:hAnsi="Arial"/>
          <w:sz w:val="17"/>
          <w:szCs w:val="17"/>
          <w:color w:val="auto"/>
        </w:rPr>
        <w:t>In the six months ended June 30, 2019, the board of directors of the Partnership approved and declared cash distributions of $36,950 and $15,872 for the common units and preference units, respectively held by non-controlling interests.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Investment in Associates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movements in investment in associates are reported in the following table: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3"/>
          </w:tcPr>
          <w:p>
            <w:pPr>
              <w:ind w:left="260"/>
              <w:spacing w:after="0"/>
              <w:rPr>
                <w:sz w:val="20"/>
                <w:szCs w:val="20"/>
                <w:color w:val="auto"/>
              </w:rPr>
            </w:pPr>
            <w:r>
              <w:rPr>
                <w:rFonts w:ascii="Arial" w:cs="Arial" w:eastAsia="Arial" w:hAnsi="Arial"/>
                <w:sz w:val="17"/>
                <w:szCs w:val="17"/>
                <w:b w:val="1"/>
                <w:bCs w:val="1"/>
                <w:color w:val="auto"/>
              </w:rPr>
              <w:t>June 30, 2019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Borders>
              <w:top w:val="single" w:sz="8" w:color="E5FFFF"/>
              <w:bottom w:val="single" w:sz="8" w:color="E5FFFF"/>
            </w:tcBorders>
            <w:gridSpan w:val="3"/>
            <w:shd w:val="clear" w:color="auto" w:fill="E5FFFF"/>
          </w:tcPr>
          <w:p>
            <w:pPr>
              <w:spacing w:after="0"/>
              <w:rPr>
                <w:sz w:val="20"/>
                <w:szCs w:val="20"/>
                <w:color w:val="auto"/>
              </w:rPr>
            </w:pPr>
            <w:r>
              <w:rPr>
                <w:rFonts w:ascii="Arial" w:cs="Arial" w:eastAsia="Arial" w:hAnsi="Arial"/>
                <w:sz w:val="17"/>
                <w:szCs w:val="17"/>
                <w:color w:val="auto"/>
              </w:rPr>
              <w:t>As of January 1, 2019</w:t>
            </w:r>
          </w:p>
        </w:tc>
        <w:tc>
          <w:tcPr>
            <w:tcW w:w="136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460" w:type="dxa"/>
            <w:vAlign w:val="bottom"/>
            <w:tcBorders>
              <w:top w:val="single" w:sz="8" w:color="E5FFFF"/>
              <w:bottom w:val="single" w:sz="8" w:color="E5FFFF"/>
            </w:tcBorders>
            <w:shd w:val="clear" w:color="auto" w:fill="E5FFFF"/>
          </w:tcPr>
          <w:p>
            <w:pPr>
              <w:spacing w:after="0"/>
              <w:rPr>
                <w:sz w:val="19"/>
                <w:szCs w:val="19"/>
                <w:color w:val="auto"/>
              </w:rPr>
            </w:pP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146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660" w:type="dxa"/>
            <w:vAlign w:val="bottom"/>
            <w:tcBorders>
              <w:top w:val="single" w:sz="8" w:color="auto"/>
              <w:bottom w:val="single" w:sz="8" w:color="E5FFFF"/>
            </w:tcBorders>
            <w:gridSpan w:val="3"/>
            <w:shd w:val="clear" w:color="auto" w:fill="E5FFFF"/>
          </w:tcPr>
          <w:p>
            <w:pPr>
              <w:jc w:val="right"/>
              <w:spacing w:after="0"/>
              <w:rPr>
                <w:sz w:val="20"/>
                <w:szCs w:val="20"/>
                <w:color w:val="auto"/>
              </w:rPr>
            </w:pPr>
            <w:r>
              <w:rPr>
                <w:rFonts w:ascii="Arial" w:cs="Arial" w:eastAsia="Arial" w:hAnsi="Arial"/>
                <w:sz w:val="17"/>
                <w:szCs w:val="17"/>
                <w:color w:val="auto"/>
              </w:rPr>
              <w:t>20,713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7"/>
                <w:szCs w:val="17"/>
                <w:color w:val="auto"/>
              </w:rPr>
              <w:t>Additions</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Borders>
              <w:bottom w:val="single" w:sz="8" w:color="E5FFFF"/>
            </w:tcBorders>
            <w:gridSpan w:val="3"/>
            <w:shd w:val="clear" w:color="auto" w:fill="E5FFFF"/>
          </w:tcPr>
          <w:p>
            <w:pPr>
              <w:spacing w:after="0"/>
              <w:rPr>
                <w:sz w:val="20"/>
                <w:szCs w:val="20"/>
                <w:color w:val="auto"/>
              </w:rPr>
            </w:pPr>
            <w:r>
              <w:rPr>
                <w:rFonts w:ascii="Arial" w:cs="Arial" w:eastAsia="Arial" w:hAnsi="Arial"/>
                <w:sz w:val="17"/>
                <w:szCs w:val="17"/>
                <w:color w:val="auto"/>
              </w:rPr>
              <w:t>Share of profit of associates</w:t>
            </w:r>
          </w:p>
        </w:tc>
        <w:tc>
          <w:tcPr>
            <w:tcW w:w="136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E5FFFF"/>
            </w:tcBorders>
            <w:shd w:val="clear" w:color="auto" w:fill="E5FFFF"/>
          </w:tcPr>
          <w:p>
            <w:pPr>
              <w:spacing w:after="0"/>
              <w:rPr>
                <w:sz w:val="19"/>
                <w:szCs w:val="19"/>
                <w:color w:val="auto"/>
              </w:rPr>
            </w:pPr>
          </w:p>
        </w:tc>
        <w:tc>
          <w:tcPr>
            <w:tcW w:w="1460" w:type="dxa"/>
            <w:vAlign w:val="bottom"/>
            <w:tcBorders>
              <w:bottom w:val="single" w:sz="8" w:color="E5FFFF"/>
            </w:tcBorders>
            <w:shd w:val="clear" w:color="auto" w:fill="E5FFFF"/>
          </w:tcPr>
          <w:p>
            <w:pPr>
              <w:spacing w:after="0"/>
              <w:rPr>
                <w:sz w:val="19"/>
                <w:szCs w:val="19"/>
                <w:color w:val="auto"/>
              </w:rPr>
            </w:pPr>
          </w:p>
        </w:tc>
        <w:tc>
          <w:tcPr>
            <w:tcW w:w="280" w:type="dxa"/>
            <w:vAlign w:val="bottom"/>
            <w:tcBorders>
              <w:bottom w:val="single" w:sz="8" w:color="E5FFFF"/>
            </w:tcBorders>
            <w:shd w:val="clear" w:color="auto" w:fill="E5FFFF"/>
          </w:tcPr>
          <w:p>
            <w:pPr>
              <w:spacing w:after="0"/>
              <w:rPr>
                <w:sz w:val="19"/>
                <w:szCs w:val="19"/>
                <w:color w:val="auto"/>
              </w:rPr>
            </w:pPr>
          </w:p>
        </w:tc>
        <w:tc>
          <w:tcPr>
            <w:tcW w:w="1460" w:type="dxa"/>
            <w:vAlign w:val="bottom"/>
            <w:tcBorders>
              <w:bottom w:val="single" w:sz="8" w:color="E5FFFF"/>
            </w:tcBorders>
            <w:shd w:val="clear" w:color="auto" w:fill="E5FFFF"/>
          </w:tcPr>
          <w:p>
            <w:pPr>
              <w:spacing w:after="0"/>
              <w:rPr>
                <w:sz w:val="19"/>
                <w:szCs w:val="19"/>
                <w:color w:val="auto"/>
              </w:rPr>
            </w:pPr>
          </w:p>
        </w:tc>
        <w:tc>
          <w:tcPr>
            <w:tcW w:w="200" w:type="dxa"/>
            <w:vAlign w:val="bottom"/>
            <w:tcBorders>
              <w:bottom w:val="single" w:sz="8" w:color="E5FFFF"/>
            </w:tcBorders>
            <w:shd w:val="clear" w:color="auto" w:fill="E5FFFF"/>
          </w:tcPr>
          <w:p>
            <w:pPr>
              <w:spacing w:after="0"/>
              <w:rPr>
                <w:sz w:val="19"/>
                <w:szCs w:val="19"/>
                <w:color w:val="auto"/>
              </w:rPr>
            </w:pPr>
          </w:p>
        </w:tc>
        <w:tc>
          <w:tcPr>
            <w:tcW w:w="1660" w:type="dxa"/>
            <w:vAlign w:val="bottom"/>
            <w:tcBorders>
              <w:bottom w:val="single" w:sz="8" w:color="E5FFFF"/>
            </w:tcBorders>
            <w:gridSpan w:val="3"/>
            <w:shd w:val="clear" w:color="auto" w:fill="E5FFFF"/>
          </w:tcPr>
          <w:p>
            <w:pPr>
              <w:jc w:val="right"/>
              <w:spacing w:after="0"/>
              <w:rPr>
                <w:sz w:val="20"/>
                <w:szCs w:val="20"/>
                <w:color w:val="auto"/>
              </w:rPr>
            </w:pPr>
            <w:r>
              <w:rPr>
                <w:rFonts w:ascii="Arial" w:cs="Arial" w:eastAsia="Arial" w:hAnsi="Arial"/>
                <w:sz w:val="17"/>
                <w:szCs w:val="17"/>
                <w:color w:val="auto"/>
              </w:rPr>
              <w:t>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7"/>
                <w:szCs w:val="17"/>
                <w:color w:val="auto"/>
              </w:rPr>
              <w:t>Dividend declared</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E5FFFF"/>
            </w:tcBorders>
            <w:gridSpan w:val="3"/>
            <w:shd w:val="clear" w:color="auto" w:fill="E5FFFF"/>
          </w:tcPr>
          <w:p>
            <w:pPr>
              <w:spacing w:after="0"/>
              <w:rPr>
                <w:sz w:val="20"/>
                <w:szCs w:val="20"/>
                <w:color w:val="auto"/>
              </w:rPr>
            </w:pPr>
            <w:r>
              <w:rPr>
                <w:rFonts w:ascii="Arial" w:cs="Arial" w:eastAsia="Arial" w:hAnsi="Arial"/>
                <w:sz w:val="17"/>
                <w:szCs w:val="17"/>
                <w:b w:val="1"/>
                <w:bCs w:val="1"/>
                <w:color w:val="auto"/>
              </w:rPr>
              <w:t>As of June 30, 2019</w:t>
            </w:r>
          </w:p>
        </w:tc>
        <w:tc>
          <w:tcPr>
            <w:tcW w:w="136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E5FFFF"/>
            </w:tcBorders>
            <w:shd w:val="clear" w:color="auto" w:fill="E5FFFF"/>
          </w:tcPr>
          <w:p>
            <w:pPr>
              <w:spacing w:after="0"/>
              <w:rPr>
                <w:sz w:val="18"/>
                <w:szCs w:val="18"/>
                <w:color w:val="auto"/>
              </w:rPr>
            </w:pPr>
          </w:p>
        </w:tc>
        <w:tc>
          <w:tcPr>
            <w:tcW w:w="1460" w:type="dxa"/>
            <w:vAlign w:val="bottom"/>
            <w:tcBorders>
              <w:bottom w:val="single" w:sz="8" w:color="E5FFFF"/>
            </w:tcBorders>
            <w:shd w:val="clear" w:color="auto" w:fill="E5FFFF"/>
          </w:tcPr>
          <w:p>
            <w:pPr>
              <w:spacing w:after="0"/>
              <w:rPr>
                <w:sz w:val="18"/>
                <w:szCs w:val="18"/>
                <w:color w:val="auto"/>
              </w:rPr>
            </w:pPr>
          </w:p>
        </w:tc>
        <w:tc>
          <w:tcPr>
            <w:tcW w:w="280" w:type="dxa"/>
            <w:vAlign w:val="bottom"/>
            <w:tcBorders>
              <w:bottom w:val="single" w:sz="8" w:color="E5FFFF"/>
            </w:tcBorders>
            <w:shd w:val="clear" w:color="auto" w:fill="E5FFFF"/>
          </w:tcPr>
          <w:p>
            <w:pPr>
              <w:spacing w:after="0"/>
              <w:rPr>
                <w:sz w:val="18"/>
                <w:szCs w:val="18"/>
                <w:color w:val="auto"/>
              </w:rPr>
            </w:pPr>
          </w:p>
        </w:tc>
        <w:tc>
          <w:tcPr>
            <w:tcW w:w="1460" w:type="dxa"/>
            <w:vAlign w:val="bottom"/>
            <w:tcBorders>
              <w:bottom w:val="single" w:sz="8" w:color="E5FFFF"/>
            </w:tcBorders>
            <w:shd w:val="clear" w:color="auto" w:fill="E5FFFF"/>
          </w:tcPr>
          <w:p>
            <w:pPr>
              <w:spacing w:after="0"/>
              <w:rPr>
                <w:sz w:val="18"/>
                <w:szCs w:val="18"/>
                <w:color w:val="auto"/>
              </w:rPr>
            </w:pPr>
          </w:p>
        </w:tc>
        <w:tc>
          <w:tcPr>
            <w:tcW w:w="200" w:type="dxa"/>
            <w:vAlign w:val="bottom"/>
            <w:tcBorders>
              <w:bottom w:val="single" w:sz="8" w:color="E5FFFF"/>
            </w:tcBorders>
            <w:shd w:val="clear" w:color="auto" w:fill="E5FFFF"/>
          </w:tcPr>
          <w:p>
            <w:pPr>
              <w:spacing w:after="0"/>
              <w:rPr>
                <w:sz w:val="18"/>
                <w:szCs w:val="18"/>
                <w:color w:val="auto"/>
              </w:rPr>
            </w:pPr>
          </w:p>
        </w:tc>
        <w:tc>
          <w:tcPr>
            <w:tcW w:w="16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7"/>
                <w:szCs w:val="17"/>
                <w:b w:val="1"/>
                <w:bCs w:val="1"/>
                <w:color w:val="auto"/>
              </w:rPr>
              <w:t>21,001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6"/>
            <w:vMerge w:val="restart"/>
          </w:tcPr>
          <w:p>
            <w:pPr>
              <w:spacing w:after="0"/>
              <w:rPr>
                <w:sz w:val="20"/>
                <w:szCs w:val="20"/>
                <w:color w:val="auto"/>
              </w:rPr>
            </w:pPr>
            <w:r>
              <w:rPr>
                <w:rFonts w:ascii="Arial" w:cs="Arial" w:eastAsia="Arial" w:hAnsi="Arial"/>
                <w:sz w:val="17"/>
                <w:szCs w:val="17"/>
                <w:b w:val="1"/>
                <w:bCs w:val="1"/>
                <w:color w:val="auto"/>
                <w:w w:val="97"/>
              </w:rPr>
              <w:t>5. Tangible Fixed Assets and Vessels Under Construction</w:t>
            </w: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4580" w:type="dxa"/>
            <w:vAlign w:val="bottom"/>
            <w:gridSpan w:val="6"/>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gridSpan w:val="7"/>
          </w:tcPr>
          <w:p>
            <w:pPr>
              <w:ind w:left="120"/>
              <w:spacing w:after="0"/>
              <w:rPr>
                <w:sz w:val="20"/>
                <w:szCs w:val="20"/>
                <w:color w:val="auto"/>
              </w:rPr>
            </w:pPr>
            <w:r>
              <w:rPr>
                <w:rFonts w:ascii="Arial" w:cs="Arial" w:eastAsia="Arial" w:hAnsi="Arial"/>
                <w:sz w:val="17"/>
                <w:szCs w:val="17"/>
                <w:color w:val="auto"/>
                <w:w w:val="93"/>
              </w:rPr>
              <w:t>The movements in tangible fixed assets and vessels under construction are reported in the following table:</w:t>
            </w: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Office property</w:t>
            </w:r>
          </w:p>
        </w:tc>
        <w:tc>
          <w:tcPr>
            <w:tcW w:w="16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Total</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and other</w:t>
            </w:r>
          </w:p>
        </w:tc>
        <w:tc>
          <w:tcPr>
            <w:tcW w:w="16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tangible fixed</w:t>
            </w:r>
          </w:p>
        </w:tc>
        <w:tc>
          <w:tcPr>
            <w:tcW w:w="80" w:type="dxa"/>
            <w:vAlign w:val="bottom"/>
          </w:tcPr>
          <w:p>
            <w:pPr>
              <w:spacing w:after="0"/>
              <w:rPr>
                <w:sz w:val="18"/>
                <w:szCs w:val="18"/>
                <w:color w:val="auto"/>
              </w:rPr>
            </w:pPr>
          </w:p>
        </w:tc>
        <w:tc>
          <w:tcPr>
            <w:tcW w:w="1640" w:type="dxa"/>
            <w:vAlign w:val="bottom"/>
            <w:gridSpan w:val="3"/>
          </w:tcPr>
          <w:p>
            <w:pPr>
              <w:ind w:left="240"/>
              <w:spacing w:after="0"/>
              <w:rPr>
                <w:sz w:val="20"/>
                <w:szCs w:val="20"/>
                <w:color w:val="auto"/>
              </w:rPr>
            </w:pPr>
            <w:r>
              <w:rPr>
                <w:rFonts w:ascii="Arial" w:cs="Arial" w:eastAsia="Arial" w:hAnsi="Arial"/>
                <w:sz w:val="17"/>
                <w:szCs w:val="17"/>
                <w:b w:val="1"/>
                <w:bCs w:val="1"/>
                <w:color w:val="auto"/>
              </w:rPr>
              <w:t>Vessels under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7"/>
                <w:szCs w:val="17"/>
                <w:b w:val="1"/>
                <w:bCs w:val="1"/>
                <w:color w:val="auto"/>
              </w:rPr>
              <w:t>Vessels</w:t>
            </w:r>
          </w:p>
        </w:tc>
        <w:tc>
          <w:tcPr>
            <w:tcW w:w="17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6"/>
              </w:rPr>
              <w:t>tangible assets</w:t>
            </w:r>
          </w:p>
        </w:tc>
        <w:tc>
          <w:tcPr>
            <w:tcW w:w="16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79"/>
              </w:rPr>
              <w:t>assets</w:t>
            </w:r>
          </w:p>
        </w:tc>
        <w:tc>
          <w:tcPr>
            <w:tcW w:w="80" w:type="dxa"/>
            <w:vAlign w:val="bottom"/>
          </w:tcPr>
          <w:p>
            <w:pPr>
              <w:spacing w:after="0"/>
              <w:rPr>
                <w:sz w:val="19"/>
                <w:szCs w:val="19"/>
                <w:color w:val="auto"/>
              </w:rPr>
            </w:pPr>
          </w:p>
        </w:tc>
        <w:tc>
          <w:tcPr>
            <w:tcW w:w="1640" w:type="dxa"/>
            <w:vAlign w:val="bottom"/>
            <w:gridSpan w:val="3"/>
          </w:tcPr>
          <w:p>
            <w:pPr>
              <w:ind w:left="260"/>
              <w:spacing w:after="0"/>
              <w:rPr>
                <w:sz w:val="20"/>
                <w:szCs w:val="20"/>
                <w:color w:val="auto"/>
              </w:rPr>
            </w:pPr>
            <w:r>
              <w:rPr>
                <w:rFonts w:ascii="Arial" w:cs="Arial" w:eastAsia="Arial" w:hAnsi="Arial"/>
                <w:sz w:val="17"/>
                <w:szCs w:val="17"/>
                <w:b w:val="1"/>
                <w:bCs w:val="1"/>
                <w:color w:val="auto"/>
              </w:rPr>
              <w:t>construction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60" w:type="dxa"/>
            <w:vAlign w:val="bottom"/>
            <w:tcBorders>
              <w:top w:val="single" w:sz="8" w:color="E5FFFF"/>
            </w:tcBorders>
            <w:gridSpan w:val="5"/>
            <w:shd w:val="clear" w:color="auto" w:fill="E5FFFF"/>
          </w:tcPr>
          <w:p>
            <w:pPr>
              <w:spacing w:after="0" w:line="157" w:lineRule="exact"/>
              <w:rPr>
                <w:sz w:val="20"/>
                <w:szCs w:val="20"/>
                <w:color w:val="auto"/>
              </w:rPr>
            </w:pPr>
            <w:r>
              <w:rPr>
                <w:rFonts w:ascii="Arial" w:cs="Arial" w:eastAsia="Arial" w:hAnsi="Arial"/>
                <w:sz w:val="17"/>
                <w:szCs w:val="17"/>
                <w:b w:val="1"/>
                <w:bCs w:val="1"/>
                <w:color w:val="auto"/>
              </w:rPr>
              <w:t>Cost</w:t>
            </w:r>
          </w:p>
        </w:tc>
        <w:tc>
          <w:tcPr>
            <w:tcW w:w="1360" w:type="dxa"/>
            <w:vAlign w:val="bottom"/>
            <w:tcBorders>
              <w:top w:val="single" w:sz="8" w:color="auto"/>
            </w:tcBorders>
            <w:shd w:val="clear" w:color="auto" w:fill="E5FFFF"/>
          </w:tcPr>
          <w:p>
            <w:pPr>
              <w:spacing w:after="0"/>
              <w:rPr>
                <w:sz w:val="13"/>
                <w:szCs w:val="13"/>
                <w:color w:val="auto"/>
              </w:rPr>
            </w:pPr>
          </w:p>
        </w:tc>
        <w:tc>
          <w:tcPr>
            <w:tcW w:w="280" w:type="dxa"/>
            <w:vAlign w:val="bottom"/>
            <w:tcBorders>
              <w:top w:val="single" w:sz="8" w:color="E5FFFF"/>
            </w:tcBorders>
            <w:shd w:val="clear" w:color="auto" w:fill="E5FFFF"/>
          </w:tcPr>
          <w:p>
            <w:pPr>
              <w:spacing w:after="0"/>
              <w:rPr>
                <w:sz w:val="13"/>
                <w:szCs w:val="13"/>
                <w:color w:val="auto"/>
              </w:rPr>
            </w:pPr>
          </w:p>
        </w:tc>
        <w:tc>
          <w:tcPr>
            <w:tcW w:w="1460" w:type="dxa"/>
            <w:vAlign w:val="bottom"/>
            <w:tcBorders>
              <w:top w:val="single" w:sz="8" w:color="auto"/>
            </w:tcBorders>
            <w:shd w:val="clear" w:color="auto" w:fill="E5FFFF"/>
          </w:tcPr>
          <w:p>
            <w:pPr>
              <w:spacing w:after="0"/>
              <w:rPr>
                <w:sz w:val="13"/>
                <w:szCs w:val="13"/>
                <w:color w:val="auto"/>
              </w:rPr>
            </w:pPr>
          </w:p>
        </w:tc>
        <w:tc>
          <w:tcPr>
            <w:tcW w:w="280" w:type="dxa"/>
            <w:vAlign w:val="bottom"/>
            <w:tcBorders>
              <w:top w:val="single" w:sz="8" w:color="E5FFFF"/>
            </w:tcBorders>
            <w:shd w:val="clear" w:color="auto" w:fill="E5FFFF"/>
          </w:tcPr>
          <w:p>
            <w:pPr>
              <w:spacing w:after="0"/>
              <w:rPr>
                <w:sz w:val="13"/>
                <w:szCs w:val="13"/>
                <w:color w:val="auto"/>
              </w:rPr>
            </w:pPr>
          </w:p>
        </w:tc>
        <w:tc>
          <w:tcPr>
            <w:tcW w:w="1460" w:type="dxa"/>
            <w:vAlign w:val="bottom"/>
            <w:tcBorders>
              <w:top w:val="single" w:sz="8" w:color="auto"/>
            </w:tcBorders>
            <w:shd w:val="clear" w:color="auto" w:fill="E5FFFF"/>
          </w:tcPr>
          <w:p>
            <w:pPr>
              <w:spacing w:after="0"/>
              <w:rPr>
                <w:sz w:val="13"/>
                <w:szCs w:val="13"/>
                <w:color w:val="auto"/>
              </w:rPr>
            </w:pPr>
          </w:p>
        </w:tc>
        <w:tc>
          <w:tcPr>
            <w:tcW w:w="200" w:type="dxa"/>
            <w:vAlign w:val="bottom"/>
            <w:tcBorders>
              <w:top w:val="single" w:sz="8" w:color="E5FFFF"/>
            </w:tcBorders>
            <w:shd w:val="clear" w:color="auto" w:fill="E5FFFF"/>
          </w:tcPr>
          <w:p>
            <w:pPr>
              <w:spacing w:after="0"/>
              <w:rPr>
                <w:sz w:val="13"/>
                <w:szCs w:val="13"/>
                <w:color w:val="auto"/>
              </w:rPr>
            </w:pPr>
          </w:p>
        </w:tc>
        <w:tc>
          <w:tcPr>
            <w:tcW w:w="80" w:type="dxa"/>
            <w:vAlign w:val="bottom"/>
            <w:tcBorders>
              <w:top w:val="single" w:sz="8" w:color="E5FFFF"/>
            </w:tcBorders>
            <w:shd w:val="clear" w:color="auto" w:fill="E5FFFF"/>
          </w:tcPr>
          <w:p>
            <w:pPr>
              <w:spacing w:after="0"/>
              <w:rPr>
                <w:sz w:val="13"/>
                <w:szCs w:val="13"/>
                <w:color w:val="auto"/>
              </w:rPr>
            </w:pPr>
          </w:p>
        </w:tc>
        <w:tc>
          <w:tcPr>
            <w:tcW w:w="1460" w:type="dxa"/>
            <w:vAlign w:val="bottom"/>
            <w:tcBorders>
              <w:top w:val="single" w:sz="8" w:color="auto"/>
            </w:tcBorders>
            <w:shd w:val="clear" w:color="auto" w:fill="E5FFFF"/>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20" w:type="dxa"/>
            <w:vAlign w:val="bottom"/>
            <w:tcBorders>
              <w:top w:val="single" w:sz="8" w:color="E5FFFF"/>
            </w:tcBorders>
            <w:shd w:val="clear" w:color="auto" w:fill="E5FFFF"/>
          </w:tcPr>
          <w:p>
            <w:pPr>
              <w:spacing w:after="0" w:line="20" w:lineRule="exact"/>
              <w:rPr>
                <w:sz w:val="1"/>
                <w:szCs w:val="1"/>
                <w:color w:val="auto"/>
              </w:rPr>
            </w:pPr>
          </w:p>
        </w:tc>
        <w:tc>
          <w:tcPr>
            <w:tcW w:w="740" w:type="dxa"/>
            <w:vAlign w:val="bottom"/>
            <w:tcBorders>
              <w:top w:val="single" w:sz="8" w:color="E5FFFF"/>
            </w:tcBorders>
            <w:shd w:val="clear" w:color="auto" w:fill="E5FFFF"/>
          </w:tcPr>
          <w:p>
            <w:pPr>
              <w:spacing w:after="0" w:line="20" w:lineRule="exact"/>
              <w:rPr>
                <w:sz w:val="1"/>
                <w:szCs w:val="1"/>
                <w:color w:val="auto"/>
              </w:rPr>
            </w:pPr>
          </w:p>
        </w:tc>
        <w:tc>
          <w:tcPr>
            <w:tcW w:w="840" w:type="dxa"/>
            <w:vAlign w:val="bottom"/>
            <w:tcBorders>
              <w:top w:val="single" w:sz="8" w:color="E5FFFF"/>
            </w:tcBorders>
            <w:shd w:val="clear" w:color="auto" w:fill="E5FFFF"/>
          </w:tcPr>
          <w:p>
            <w:pPr>
              <w:spacing w:after="0" w:line="20" w:lineRule="exact"/>
              <w:rPr>
                <w:sz w:val="1"/>
                <w:szCs w:val="1"/>
                <w:color w:val="auto"/>
              </w:rPr>
            </w:pPr>
          </w:p>
        </w:tc>
        <w:tc>
          <w:tcPr>
            <w:tcW w:w="266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7"/>
                <w:szCs w:val="17"/>
                <w:color w:val="auto"/>
              </w:rPr>
              <w:t>As of January 1, 2019</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4,899,678</w:t>
            </w:r>
          </w:p>
        </w:tc>
        <w:tc>
          <w:tcPr>
            <w:tcW w:w="1460" w:type="dxa"/>
            <w:vAlign w:val="bottom"/>
          </w:tcPr>
          <w:p>
            <w:pPr>
              <w:jc w:val="right"/>
              <w:spacing w:after="0"/>
              <w:rPr>
                <w:sz w:val="20"/>
                <w:szCs w:val="20"/>
                <w:color w:val="auto"/>
              </w:rPr>
            </w:pPr>
            <w:r>
              <w:rPr>
                <w:rFonts w:ascii="Arial" w:cs="Arial" w:eastAsia="Arial" w:hAnsi="Arial"/>
                <w:sz w:val="17"/>
                <w:szCs w:val="17"/>
                <w:color w:val="auto"/>
              </w:rPr>
              <w:t>23,710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4,923,388</w:t>
            </w:r>
          </w:p>
        </w:tc>
        <w:tc>
          <w:tcPr>
            <w:tcW w:w="2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159,275</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Additions</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4,304</w:t>
            </w:r>
          </w:p>
        </w:tc>
        <w:tc>
          <w:tcPr>
            <w:tcW w:w="14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1,282</w:t>
            </w:r>
          </w:p>
        </w:tc>
        <w:tc>
          <w:tcPr>
            <w:tcW w:w="28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5,586</w:t>
            </w:r>
          </w:p>
        </w:tc>
        <w:tc>
          <w:tcPr>
            <w:tcW w:w="2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244,057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7"/>
                <w:szCs w:val="17"/>
                <w:color w:val="auto"/>
              </w:rPr>
              <w:t>Return of capital expenditures</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(5,629)</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(5,629)</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Transfer from vessels under construction</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217,609</w:t>
            </w:r>
          </w:p>
        </w:tc>
        <w:tc>
          <w:tcPr>
            <w:tcW w:w="174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217,609</w:t>
            </w:r>
          </w:p>
        </w:tc>
        <w:tc>
          <w:tcPr>
            <w:tcW w:w="20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(217,609)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7"/>
                <w:szCs w:val="17"/>
                <w:color w:val="auto"/>
              </w:rPr>
              <w:t>Fully amortized fixed assets</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(2,500)</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(2,500)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Borders>
              <w:top w:val="single" w:sz="8" w:color="E5FFFF"/>
            </w:tcBorders>
            <w:gridSpan w:val="5"/>
            <w:shd w:val="clear" w:color="auto" w:fill="E5FFFF"/>
          </w:tcPr>
          <w:p>
            <w:pPr>
              <w:spacing w:after="0"/>
              <w:rPr>
                <w:sz w:val="20"/>
                <w:szCs w:val="20"/>
                <w:color w:val="auto"/>
              </w:rPr>
            </w:pPr>
            <w:r>
              <w:rPr>
                <w:rFonts w:ascii="Arial" w:cs="Arial" w:eastAsia="Arial" w:hAnsi="Arial"/>
                <w:sz w:val="17"/>
                <w:szCs w:val="17"/>
                <w:b w:val="1"/>
                <w:bCs w:val="1"/>
                <w:color w:val="auto"/>
              </w:rPr>
              <w:t>As of June 30, 2019</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5,113,462</w:t>
            </w:r>
          </w:p>
        </w:tc>
        <w:tc>
          <w:tcPr>
            <w:tcW w:w="28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24,992</w:t>
            </w:r>
          </w:p>
        </w:tc>
        <w:tc>
          <w:tcPr>
            <w:tcW w:w="28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5,138,454</w:t>
            </w:r>
          </w:p>
        </w:tc>
        <w:tc>
          <w:tcPr>
            <w:tcW w:w="20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185,723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900" w:type="dxa"/>
            <w:vAlign w:val="bottom"/>
            <w:tcBorders>
              <w:bottom w:val="single" w:sz="8" w:color="auto"/>
            </w:tcBorders>
            <w:gridSpan w:val="4"/>
            <w:shd w:val="clear" w:color="auto" w:fill="E5FFFF"/>
          </w:tcPr>
          <w:p>
            <w:pPr>
              <w:spacing w:after="0" w:line="172" w:lineRule="exact"/>
              <w:rPr>
                <w:sz w:val="20"/>
                <w:szCs w:val="20"/>
                <w:color w:val="auto"/>
              </w:rPr>
            </w:pPr>
            <w:r>
              <w:rPr>
                <w:rFonts w:ascii="Arial" w:cs="Arial" w:eastAsia="Arial" w:hAnsi="Arial"/>
                <w:sz w:val="17"/>
                <w:szCs w:val="17"/>
                <w:b w:val="1"/>
                <w:bCs w:val="1"/>
                <w:color w:val="auto"/>
                <w:w w:val="88"/>
              </w:rPr>
              <w:t>Accumulated depreciation</w:t>
            </w:r>
          </w:p>
        </w:tc>
        <w:tc>
          <w:tcPr>
            <w:tcW w:w="2660" w:type="dxa"/>
            <w:vAlign w:val="bottom"/>
            <w:tcBorders>
              <w:bottom w:val="single" w:sz="8" w:color="E5FFFF"/>
            </w:tcBorders>
            <w:shd w:val="clear" w:color="auto" w:fill="E5FFFF"/>
          </w:tcPr>
          <w:p>
            <w:pPr>
              <w:spacing w:after="0"/>
              <w:rPr>
                <w:sz w:val="16"/>
                <w:szCs w:val="16"/>
                <w:color w:val="auto"/>
              </w:rPr>
            </w:pPr>
          </w:p>
        </w:tc>
        <w:tc>
          <w:tcPr>
            <w:tcW w:w="1360" w:type="dxa"/>
            <w:vAlign w:val="bottom"/>
            <w:tcBorders>
              <w:bottom w:val="single" w:sz="8" w:color="E5FFFF"/>
            </w:tcBorders>
            <w:shd w:val="clear" w:color="auto" w:fill="E5FFFF"/>
          </w:tcPr>
          <w:p>
            <w:pPr>
              <w:spacing w:after="0"/>
              <w:rPr>
                <w:sz w:val="16"/>
                <w:szCs w:val="16"/>
                <w:color w:val="auto"/>
              </w:rPr>
            </w:pPr>
          </w:p>
        </w:tc>
        <w:tc>
          <w:tcPr>
            <w:tcW w:w="280" w:type="dxa"/>
            <w:vAlign w:val="bottom"/>
            <w:tcBorders>
              <w:bottom w:val="single" w:sz="8" w:color="E5FFFF"/>
            </w:tcBorders>
            <w:shd w:val="clear" w:color="auto" w:fill="E5FFFF"/>
          </w:tcPr>
          <w:p>
            <w:pPr>
              <w:spacing w:after="0"/>
              <w:rPr>
                <w:sz w:val="16"/>
                <w:szCs w:val="16"/>
                <w:color w:val="auto"/>
              </w:rPr>
            </w:pPr>
          </w:p>
        </w:tc>
        <w:tc>
          <w:tcPr>
            <w:tcW w:w="1460" w:type="dxa"/>
            <w:vAlign w:val="bottom"/>
            <w:tcBorders>
              <w:bottom w:val="single" w:sz="8" w:color="E5FFFF"/>
            </w:tcBorders>
            <w:shd w:val="clear" w:color="auto" w:fill="E5FFFF"/>
          </w:tcPr>
          <w:p>
            <w:pPr>
              <w:spacing w:after="0"/>
              <w:rPr>
                <w:sz w:val="16"/>
                <w:szCs w:val="16"/>
                <w:color w:val="auto"/>
              </w:rPr>
            </w:pPr>
          </w:p>
        </w:tc>
        <w:tc>
          <w:tcPr>
            <w:tcW w:w="280" w:type="dxa"/>
            <w:vAlign w:val="bottom"/>
            <w:tcBorders>
              <w:bottom w:val="single" w:sz="8" w:color="E5FFFF"/>
            </w:tcBorders>
            <w:shd w:val="clear" w:color="auto" w:fill="E5FFFF"/>
          </w:tcPr>
          <w:p>
            <w:pPr>
              <w:spacing w:after="0"/>
              <w:rPr>
                <w:sz w:val="16"/>
                <w:szCs w:val="16"/>
                <w:color w:val="auto"/>
              </w:rPr>
            </w:pPr>
          </w:p>
        </w:tc>
        <w:tc>
          <w:tcPr>
            <w:tcW w:w="1460" w:type="dxa"/>
            <w:vAlign w:val="bottom"/>
            <w:tcBorders>
              <w:bottom w:val="single" w:sz="8" w:color="E5FFFF"/>
            </w:tcBorders>
            <w:shd w:val="clear" w:color="auto" w:fill="E5FFFF"/>
          </w:tcPr>
          <w:p>
            <w:pPr>
              <w:spacing w:after="0"/>
              <w:rPr>
                <w:sz w:val="16"/>
                <w:szCs w:val="16"/>
                <w:color w:val="auto"/>
              </w:rPr>
            </w:pPr>
          </w:p>
        </w:tc>
        <w:tc>
          <w:tcPr>
            <w:tcW w:w="200" w:type="dxa"/>
            <w:vAlign w:val="bottom"/>
            <w:tcBorders>
              <w:bottom w:val="single" w:sz="8" w:color="E5FFFF"/>
            </w:tcBorders>
            <w:shd w:val="clear" w:color="auto" w:fill="E5FFFF"/>
          </w:tcPr>
          <w:p>
            <w:pPr>
              <w:spacing w:after="0"/>
              <w:rPr>
                <w:sz w:val="16"/>
                <w:szCs w:val="16"/>
                <w:color w:val="auto"/>
              </w:rPr>
            </w:pPr>
          </w:p>
        </w:tc>
        <w:tc>
          <w:tcPr>
            <w:tcW w:w="80" w:type="dxa"/>
            <w:vAlign w:val="bottom"/>
            <w:tcBorders>
              <w:bottom w:val="single" w:sz="8" w:color="E5FFFF"/>
            </w:tcBorders>
            <w:shd w:val="clear" w:color="auto" w:fill="E5FFFF"/>
          </w:tcPr>
          <w:p>
            <w:pPr>
              <w:spacing w:after="0"/>
              <w:rPr>
                <w:sz w:val="16"/>
                <w:szCs w:val="16"/>
                <w:color w:val="auto"/>
              </w:rPr>
            </w:pPr>
          </w:p>
        </w:tc>
        <w:tc>
          <w:tcPr>
            <w:tcW w:w="1460" w:type="dxa"/>
            <w:vAlign w:val="bottom"/>
            <w:tcBorders>
              <w:bottom w:val="single" w:sz="8" w:color="E5FFFF"/>
            </w:tcBorders>
            <w:shd w:val="clear" w:color="auto" w:fill="E5FFFF"/>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7"/>
                <w:szCs w:val="17"/>
                <w:color w:val="auto"/>
              </w:rPr>
              <w:t>As of January 1, 2019</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595,426</w:t>
            </w:r>
          </w:p>
        </w:tc>
        <w:tc>
          <w:tcPr>
            <w:tcW w:w="1460" w:type="dxa"/>
            <w:vAlign w:val="bottom"/>
          </w:tcPr>
          <w:p>
            <w:pPr>
              <w:jc w:val="right"/>
              <w:spacing w:after="0"/>
              <w:rPr>
                <w:sz w:val="20"/>
                <w:szCs w:val="20"/>
                <w:color w:val="auto"/>
              </w:rPr>
            </w:pPr>
            <w:r>
              <w:rPr>
                <w:rFonts w:ascii="Arial" w:cs="Arial" w:eastAsia="Arial" w:hAnsi="Arial"/>
                <w:sz w:val="17"/>
                <w:szCs w:val="17"/>
                <w:color w:val="auto"/>
              </w:rPr>
              <w:t>4,380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599,806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Depreciation expense</w:t>
            </w:r>
          </w:p>
        </w:tc>
        <w:tc>
          <w:tcPr>
            <w:tcW w:w="164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75,425</w:t>
            </w:r>
          </w:p>
        </w:tc>
        <w:tc>
          <w:tcPr>
            <w:tcW w:w="14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444</w:t>
            </w:r>
          </w:p>
        </w:tc>
        <w:tc>
          <w:tcPr>
            <w:tcW w:w="28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75,869</w:t>
            </w:r>
          </w:p>
        </w:tc>
        <w:tc>
          <w:tcPr>
            <w:tcW w:w="2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7"/>
                <w:szCs w:val="17"/>
                <w:color w:val="auto"/>
              </w:rPr>
              <w:t>Fully amortized fixed assets</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(2,500)</w:t>
            </w:r>
          </w:p>
        </w:tc>
        <w:tc>
          <w:tcPr>
            <w:tcW w:w="17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7"/>
                <w:szCs w:val="17"/>
                <w:color w:val="auto"/>
              </w:rPr>
              <w:t>(2,500)</w:t>
            </w:r>
          </w:p>
        </w:tc>
        <w:tc>
          <w:tcPr>
            <w:tcW w:w="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Borders>
              <w:top w:val="single" w:sz="8" w:color="E5FFFF"/>
            </w:tcBorders>
            <w:gridSpan w:val="5"/>
            <w:shd w:val="clear" w:color="auto" w:fill="E5FFFF"/>
          </w:tcPr>
          <w:p>
            <w:pPr>
              <w:spacing w:after="0"/>
              <w:rPr>
                <w:sz w:val="20"/>
                <w:szCs w:val="20"/>
                <w:color w:val="auto"/>
              </w:rPr>
            </w:pPr>
            <w:r>
              <w:rPr>
                <w:rFonts w:ascii="Arial" w:cs="Arial" w:eastAsia="Arial" w:hAnsi="Arial"/>
                <w:sz w:val="17"/>
                <w:szCs w:val="17"/>
                <w:b w:val="1"/>
                <w:bCs w:val="1"/>
                <w:color w:val="auto"/>
              </w:rPr>
              <w:t>As of June 30, 2019</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668,351</w:t>
            </w:r>
          </w:p>
        </w:tc>
        <w:tc>
          <w:tcPr>
            <w:tcW w:w="28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4,824</w:t>
            </w:r>
          </w:p>
        </w:tc>
        <w:tc>
          <w:tcPr>
            <w:tcW w:w="28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673,175</w:t>
            </w:r>
          </w:p>
        </w:tc>
        <w:tc>
          <w:tcPr>
            <w:tcW w:w="20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4560" w:type="dxa"/>
            <w:vAlign w:val="bottom"/>
            <w:gridSpan w:val="5"/>
            <w:shd w:val="clear" w:color="auto" w:fill="E5FFFF"/>
          </w:tcPr>
          <w:p>
            <w:pPr>
              <w:spacing w:after="0" w:line="172" w:lineRule="exact"/>
              <w:rPr>
                <w:sz w:val="20"/>
                <w:szCs w:val="20"/>
                <w:color w:val="auto"/>
              </w:rPr>
            </w:pPr>
            <w:r>
              <w:rPr>
                <w:rFonts w:ascii="Arial" w:cs="Arial" w:eastAsia="Arial" w:hAnsi="Arial"/>
                <w:sz w:val="17"/>
                <w:szCs w:val="17"/>
                <w:b w:val="1"/>
                <w:bCs w:val="1"/>
                <w:color w:val="auto"/>
              </w:rPr>
              <w:t>Net book value</w:t>
            </w:r>
          </w:p>
        </w:tc>
        <w:tc>
          <w:tcPr>
            <w:tcW w:w="13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4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46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1460" w:type="dxa"/>
            <w:vAlign w:val="bottom"/>
            <w:shd w:val="clear" w:color="auto" w:fill="E5FFFF"/>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00" w:type="dxa"/>
            <w:vAlign w:val="bottom"/>
            <w:tcBorders>
              <w:top w:val="single" w:sz="8" w:color="auto"/>
            </w:tcBorders>
            <w:shd w:val="clear" w:color="auto" w:fill="E5FFFF"/>
          </w:tcPr>
          <w:p>
            <w:pPr>
              <w:spacing w:after="0" w:line="20" w:lineRule="exact"/>
              <w:rPr>
                <w:sz w:val="1"/>
                <w:szCs w:val="1"/>
                <w:color w:val="auto"/>
              </w:rPr>
            </w:pPr>
          </w:p>
        </w:tc>
        <w:tc>
          <w:tcPr>
            <w:tcW w:w="20" w:type="dxa"/>
            <w:vAlign w:val="bottom"/>
            <w:tcBorders>
              <w:top w:val="single" w:sz="8" w:color="auto"/>
            </w:tcBorders>
            <w:shd w:val="clear" w:color="auto" w:fill="E5FFFF"/>
          </w:tcPr>
          <w:p>
            <w:pPr>
              <w:spacing w:after="0" w:line="20" w:lineRule="exact"/>
              <w:rPr>
                <w:sz w:val="1"/>
                <w:szCs w:val="1"/>
                <w:color w:val="auto"/>
              </w:rPr>
            </w:pPr>
          </w:p>
        </w:tc>
        <w:tc>
          <w:tcPr>
            <w:tcW w:w="740" w:type="dxa"/>
            <w:vAlign w:val="bottom"/>
            <w:tcBorders>
              <w:top w:val="single" w:sz="8" w:color="auto"/>
            </w:tcBorders>
            <w:shd w:val="clear" w:color="auto" w:fill="E5FFFF"/>
          </w:tcPr>
          <w:p>
            <w:pPr>
              <w:spacing w:after="0" w:line="20" w:lineRule="exact"/>
              <w:rPr>
                <w:sz w:val="1"/>
                <w:szCs w:val="1"/>
                <w:color w:val="auto"/>
              </w:rPr>
            </w:pPr>
          </w:p>
        </w:tc>
        <w:tc>
          <w:tcPr>
            <w:tcW w:w="840" w:type="dxa"/>
            <w:vAlign w:val="bottom"/>
            <w:tcBorders>
              <w:top w:val="single" w:sz="8" w:color="E5FFFF"/>
            </w:tcBorders>
            <w:shd w:val="clear" w:color="auto" w:fill="E5FFFF"/>
          </w:tcPr>
          <w:p>
            <w:pPr>
              <w:spacing w:after="0" w:line="20" w:lineRule="exact"/>
              <w:rPr>
                <w:sz w:val="1"/>
                <w:szCs w:val="1"/>
                <w:color w:val="auto"/>
              </w:rPr>
            </w:pPr>
          </w:p>
        </w:tc>
        <w:tc>
          <w:tcPr>
            <w:tcW w:w="2660" w:type="dxa"/>
            <w:vAlign w:val="bottom"/>
            <w:tcBorders>
              <w:top w:val="single" w:sz="8" w:color="E5FFFF"/>
            </w:tcBorders>
            <w:shd w:val="clear" w:color="auto" w:fill="E5FFFF"/>
          </w:tcPr>
          <w:p>
            <w:pPr>
              <w:spacing w:after="0" w:line="20" w:lineRule="exact"/>
              <w:rPr>
                <w:sz w:val="1"/>
                <w:szCs w:val="1"/>
                <w:color w:val="auto"/>
              </w:rPr>
            </w:pPr>
          </w:p>
        </w:tc>
        <w:tc>
          <w:tcPr>
            <w:tcW w:w="13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8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46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7"/>
                <w:szCs w:val="17"/>
                <w:b w:val="1"/>
                <w:bCs w:val="1"/>
                <w:color w:val="auto"/>
              </w:rPr>
              <w:t>As of December 31, 2018</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4,304,252</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19,330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4,323,582</w:t>
            </w:r>
          </w:p>
        </w:tc>
        <w:tc>
          <w:tcPr>
            <w:tcW w:w="20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7"/>
                <w:szCs w:val="17"/>
                <w:b w:val="1"/>
                <w:bCs w:val="1"/>
                <w:color w:val="auto"/>
              </w:rPr>
              <w:t>159,275</w:t>
            </w: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Borders>
              <w:top w:val="single" w:sz="8" w:color="E5FFFF"/>
              <w:bottom w:val="single" w:sz="8" w:color="E5FFFF"/>
            </w:tcBorders>
            <w:gridSpan w:val="5"/>
            <w:shd w:val="clear" w:color="auto" w:fill="E5FFFF"/>
          </w:tcPr>
          <w:p>
            <w:pPr>
              <w:spacing w:after="0"/>
              <w:rPr>
                <w:sz w:val="20"/>
                <w:szCs w:val="20"/>
                <w:color w:val="auto"/>
              </w:rPr>
            </w:pPr>
            <w:r>
              <w:rPr>
                <w:rFonts w:ascii="Arial" w:cs="Arial" w:eastAsia="Arial" w:hAnsi="Arial"/>
                <w:sz w:val="17"/>
                <w:szCs w:val="17"/>
                <w:b w:val="1"/>
                <w:bCs w:val="1"/>
                <w:color w:val="auto"/>
              </w:rPr>
              <w:t>As of June 30, 2019</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4,445,111</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20,168</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4,465,279</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185,723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60" w:firstLine="460"/>
        <w:spacing w:after="0" w:line="288" w:lineRule="auto"/>
        <w:rPr>
          <w:sz w:val="20"/>
          <w:szCs w:val="20"/>
          <w:color w:val="auto"/>
        </w:rPr>
      </w:pPr>
      <w:r>
        <w:rPr>
          <w:rFonts w:ascii="Arial" w:cs="Arial" w:eastAsia="Arial" w:hAnsi="Arial"/>
          <w:sz w:val="17"/>
          <w:szCs w:val="17"/>
          <w:color w:val="auto"/>
        </w:rPr>
        <w:t>Vessels with an aggregate carrying amount of $4,445,111 as of June 30, 2019 (December 31, 2018: $4,304,252) have been pledged as collateral under the terms of the Group’s loan agreements.</w:t>
      </w:r>
    </w:p>
    <w:p>
      <w:pPr>
        <w:spacing w:after="0" w:line="187" w:lineRule="exact"/>
        <w:rPr>
          <w:sz w:val="20"/>
          <w:szCs w:val="20"/>
          <w:color w:val="auto"/>
        </w:rPr>
      </w:pPr>
    </w:p>
    <w:p>
      <w:pPr>
        <w:jc w:val="both"/>
        <w:ind w:firstLine="460"/>
        <w:spacing w:after="0" w:line="271" w:lineRule="auto"/>
        <w:rPr>
          <w:sz w:val="20"/>
          <w:szCs w:val="20"/>
          <w:color w:val="auto"/>
        </w:rPr>
      </w:pPr>
      <w:r>
        <w:rPr>
          <w:rFonts w:ascii="Arial" w:cs="Arial" w:eastAsia="Arial" w:hAnsi="Arial"/>
          <w:sz w:val="17"/>
          <w:szCs w:val="17"/>
          <w:color w:val="auto"/>
        </w:rPr>
        <w:t>In April and May 2017, GasLog LNG Services Ltd. entered into agreements in relation to investments in certain of the Partnership’s and GasLog’s vessels, with the aim of enhancing their operational performance. On March 7, 2019, GasLog LNG Services Ltd. and one of the suppliers signed an interim agreement regarding the reimbursement of amounts already paid by the Group in respect of the aforementioned enhancements as such enhancements do not currently perform as contractually required. In accordance with the terms of the interim agreement, as of June 30, 2019,</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146" w:right="140" w:bottom="0" w:gutter="0" w:footer="0" w:header="0"/>
        </w:sectPr>
      </w:pPr>
    </w:p>
    <w:bookmarkStart w:id="36" w:name="page37"/>
    <w:bookmarkEnd w:id="36"/>
    <w:p>
      <w:pPr>
        <w:spacing w:after="0" w:line="118"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$5,629 has been reimbursed to the Group. If the enhancements continue not to perform on or before July 31, 2019, the supplier is required to reimburse the further amount of $5,444 to the Group. As and when the enhancements work in accordance with the terms of the original goods and services contract, the supplier will require payment in full, including any amounts reimbursed.</w:t>
      </w:r>
    </w:p>
    <w:p>
      <w:pPr>
        <w:spacing w:after="0" w:line="198" w:lineRule="exact"/>
        <w:rPr>
          <w:sz w:val="20"/>
          <w:szCs w:val="20"/>
          <w:color w:val="auto"/>
        </w:rPr>
      </w:pPr>
    </w:p>
    <w:p>
      <w:pPr>
        <w:ind w:right="60" w:firstLine="460"/>
        <w:spacing w:after="0" w:line="288" w:lineRule="auto"/>
        <w:rPr>
          <w:sz w:val="20"/>
          <w:szCs w:val="20"/>
          <w:color w:val="auto"/>
        </w:rPr>
      </w:pPr>
      <w:r>
        <w:rPr>
          <w:rFonts w:ascii="Arial" w:cs="Arial" w:eastAsia="Arial" w:hAnsi="Arial"/>
          <w:sz w:val="17"/>
          <w:szCs w:val="17"/>
          <w:color w:val="auto"/>
        </w:rPr>
        <w:t xml:space="preserve">In May 2014, GAS-twenty three Ltd. entered into a shipbuilding contract with Samsung Heavy Industries Co. Ltd. (“Samsung”) for the construction of a 174,000 cubic meter LNG carrier. The vessel, the </w:t>
      </w:r>
      <w:r>
        <w:rPr>
          <w:rFonts w:ascii="Arial" w:cs="Arial" w:eastAsia="Arial" w:hAnsi="Arial"/>
          <w:sz w:val="17"/>
          <w:szCs w:val="17"/>
          <w:i w:val="1"/>
          <w:iCs w:val="1"/>
          <w:color w:val="auto"/>
        </w:rPr>
        <w:t>GasLog Gladstone</w:t>
      </w:r>
      <w:r>
        <w:rPr>
          <w:rFonts w:ascii="Arial" w:cs="Arial" w:eastAsia="Arial" w:hAnsi="Arial"/>
          <w:sz w:val="17"/>
          <w:szCs w:val="17"/>
          <w:color w:val="auto"/>
        </w:rPr>
        <w:t>, was delivered on March 15,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Vessels under construction</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of June 30, 2019, GasLog has the following newbuildings on order at Samsung:</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Date of</w:t>
            </w:r>
          </w:p>
        </w:tc>
        <w:tc>
          <w:tcPr>
            <w:tcW w:w="15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Estimated</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2"/>
              </w:rPr>
              <w:t>Cargo Capacity</w:t>
            </w:r>
          </w:p>
        </w:tc>
      </w:tr>
      <w:tr>
        <w:trPr>
          <w:trHeight w:val="226"/>
        </w:trPr>
        <w:tc>
          <w:tcPr>
            <w:tcW w:w="2080" w:type="dxa"/>
            <w:vAlign w:val="bottom"/>
            <w:gridSpan w:val="2"/>
          </w:tcPr>
          <w:p>
            <w:pPr>
              <w:spacing w:after="0"/>
              <w:rPr>
                <w:sz w:val="20"/>
                <w:szCs w:val="20"/>
                <w:color w:val="auto"/>
              </w:rPr>
            </w:pPr>
            <w:r>
              <w:rPr>
                <w:rFonts w:ascii="Arial" w:cs="Arial" w:eastAsia="Arial" w:hAnsi="Arial"/>
                <w:sz w:val="17"/>
                <w:szCs w:val="17"/>
                <w:b w:val="1"/>
                <w:bCs w:val="1"/>
                <w:color w:val="auto"/>
              </w:rPr>
              <w:t>LNG Carrier</w:t>
            </w:r>
          </w:p>
        </w:tc>
        <w:tc>
          <w:tcPr>
            <w:tcW w:w="21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agreement</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delivery</w:t>
            </w:r>
          </w:p>
        </w:tc>
        <w:tc>
          <w:tcPr>
            <w:tcW w:w="1720" w:type="dxa"/>
            <w:vAlign w:val="bottom"/>
          </w:tcPr>
          <w:p>
            <w:pPr>
              <w:jc w:val="center"/>
              <w:spacing w:after="0"/>
              <w:rPr>
                <w:sz w:val="20"/>
                <w:szCs w:val="20"/>
                <w:color w:val="auto"/>
              </w:rPr>
            </w:pPr>
            <w:r>
              <w:rPr>
                <w:rFonts w:ascii="Arial" w:cs="Arial" w:eastAsia="Arial" w:hAnsi="Arial"/>
                <w:sz w:val="17"/>
                <w:szCs w:val="17"/>
                <w:b w:val="1"/>
                <w:bCs w:val="1"/>
                <w:color w:val="auto"/>
                <w:w w:val="94"/>
              </w:rPr>
              <w:t>(cbm)</w:t>
            </w:r>
          </w:p>
        </w:tc>
      </w:tr>
      <w:tr>
        <w:trPr>
          <w:trHeight w:val="212"/>
        </w:trPr>
        <w:tc>
          <w:tcPr>
            <w:tcW w:w="19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i w:val="1"/>
                <w:iCs w:val="1"/>
                <w:color w:val="auto"/>
              </w:rPr>
              <w:t>GasLog Warsaw</w:t>
            </w:r>
          </w:p>
        </w:tc>
        <w:tc>
          <w:tcPr>
            <w:tcW w:w="160" w:type="dxa"/>
            <w:vAlign w:val="bottom"/>
            <w:tcBorders>
              <w:top w:val="single" w:sz="8" w:color="E5FFFF"/>
            </w:tcBorders>
            <w:shd w:val="clear" w:color="auto" w:fill="E5FFFF"/>
          </w:tcPr>
          <w:p>
            <w:pPr>
              <w:spacing w:after="0"/>
              <w:rPr>
                <w:sz w:val="18"/>
                <w:szCs w:val="18"/>
                <w:color w:val="auto"/>
              </w:rPr>
            </w:pPr>
          </w:p>
        </w:tc>
        <w:tc>
          <w:tcPr>
            <w:tcW w:w="194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9"/>
              </w:rPr>
              <w:t>September 2016</w:t>
            </w:r>
          </w:p>
        </w:tc>
        <w:tc>
          <w:tcPr>
            <w:tcW w:w="16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0"/>
              </w:rPr>
              <w:t>July 31, 2019</w:t>
            </w:r>
          </w:p>
        </w:tc>
        <w:tc>
          <w:tcPr>
            <w:tcW w:w="22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180,000</w:t>
            </w:r>
          </w:p>
        </w:tc>
      </w:tr>
      <w:tr>
        <w:trPr>
          <w:trHeight w:val="214"/>
        </w:trPr>
        <w:tc>
          <w:tcPr>
            <w:tcW w:w="2080" w:type="dxa"/>
            <w:vAlign w:val="bottom"/>
            <w:gridSpan w:val="2"/>
          </w:tcPr>
          <w:p>
            <w:pPr>
              <w:spacing w:after="0"/>
              <w:rPr>
                <w:sz w:val="20"/>
                <w:szCs w:val="20"/>
                <w:color w:val="auto"/>
              </w:rPr>
            </w:pPr>
            <w:r>
              <w:rPr>
                <w:rFonts w:ascii="Arial" w:cs="Arial" w:eastAsia="Arial" w:hAnsi="Arial"/>
                <w:sz w:val="17"/>
                <w:szCs w:val="17"/>
                <w:color w:val="auto"/>
              </w:rPr>
              <w:t>Hull No. 2213</w:t>
            </w:r>
          </w:p>
        </w:tc>
        <w:tc>
          <w:tcPr>
            <w:tcW w:w="21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January 2018</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Q2 2020</w:t>
            </w: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180,000</w:t>
            </w:r>
          </w:p>
        </w:tc>
      </w:tr>
      <w:tr>
        <w:trPr>
          <w:trHeight w:val="214"/>
        </w:trPr>
        <w:tc>
          <w:tcPr>
            <w:tcW w:w="208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Hull No. 2274</w:t>
            </w:r>
          </w:p>
        </w:tc>
        <w:tc>
          <w:tcPr>
            <w:tcW w:w="21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1"/>
              </w:rPr>
              <w:t>March 2018</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7"/>
                <w:szCs w:val="17"/>
                <w:color w:val="auto"/>
                <w:w w:val="91"/>
              </w:rPr>
              <w:t>Q2 2020</w:t>
            </w:r>
          </w:p>
        </w:tc>
        <w:tc>
          <w:tcPr>
            <w:tcW w:w="17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180,000</w:t>
            </w:r>
          </w:p>
        </w:tc>
      </w:tr>
      <w:tr>
        <w:trPr>
          <w:trHeight w:val="214"/>
        </w:trPr>
        <w:tc>
          <w:tcPr>
            <w:tcW w:w="2080" w:type="dxa"/>
            <w:vAlign w:val="bottom"/>
            <w:gridSpan w:val="2"/>
          </w:tcPr>
          <w:p>
            <w:pPr>
              <w:spacing w:after="0"/>
              <w:rPr>
                <w:sz w:val="20"/>
                <w:szCs w:val="20"/>
                <w:color w:val="auto"/>
              </w:rPr>
            </w:pPr>
            <w:r>
              <w:rPr>
                <w:rFonts w:ascii="Arial" w:cs="Arial" w:eastAsia="Arial" w:hAnsi="Arial"/>
                <w:sz w:val="17"/>
                <w:szCs w:val="17"/>
                <w:color w:val="auto"/>
              </w:rPr>
              <w:t>Hull No. 2262</w:t>
            </w:r>
          </w:p>
        </w:tc>
        <w:tc>
          <w:tcPr>
            <w:tcW w:w="21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May 2018</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Q3 2020</w:t>
            </w: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180,000</w:t>
            </w:r>
          </w:p>
        </w:tc>
      </w:tr>
      <w:tr>
        <w:trPr>
          <w:trHeight w:val="214"/>
        </w:trPr>
        <w:tc>
          <w:tcPr>
            <w:tcW w:w="208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Hull No. 2300</w:t>
            </w:r>
          </w:p>
        </w:tc>
        <w:tc>
          <w:tcPr>
            <w:tcW w:w="2100" w:type="dxa"/>
            <w:vAlign w:val="bottom"/>
            <w:gridSpan w:val="2"/>
            <w:shd w:val="clear" w:color="auto" w:fill="E5FFFF"/>
          </w:tcPr>
          <w:p>
            <w:pPr>
              <w:jc w:val="center"/>
              <w:ind w:right="180"/>
              <w:spacing w:after="0"/>
              <w:rPr>
                <w:sz w:val="20"/>
                <w:szCs w:val="20"/>
                <w:color w:val="auto"/>
              </w:rPr>
            </w:pPr>
            <w:r>
              <w:rPr>
                <w:rFonts w:ascii="Arial" w:cs="Arial" w:eastAsia="Arial" w:hAnsi="Arial"/>
                <w:sz w:val="17"/>
                <w:szCs w:val="17"/>
                <w:color w:val="auto"/>
                <w:w w:val="92"/>
              </w:rPr>
              <w:t>August 2018</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7"/>
                <w:szCs w:val="17"/>
                <w:color w:val="auto"/>
                <w:w w:val="91"/>
              </w:rPr>
              <w:t>Q4 2020</w:t>
            </w:r>
          </w:p>
        </w:tc>
        <w:tc>
          <w:tcPr>
            <w:tcW w:w="17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174,000</w:t>
            </w:r>
          </w:p>
        </w:tc>
      </w:tr>
      <w:tr>
        <w:trPr>
          <w:trHeight w:val="214"/>
        </w:trPr>
        <w:tc>
          <w:tcPr>
            <w:tcW w:w="2080" w:type="dxa"/>
            <w:vAlign w:val="bottom"/>
            <w:gridSpan w:val="2"/>
          </w:tcPr>
          <w:p>
            <w:pPr>
              <w:spacing w:after="0"/>
              <w:rPr>
                <w:sz w:val="20"/>
                <w:szCs w:val="20"/>
                <w:color w:val="auto"/>
              </w:rPr>
            </w:pPr>
            <w:r>
              <w:rPr>
                <w:rFonts w:ascii="Arial" w:cs="Arial" w:eastAsia="Arial" w:hAnsi="Arial"/>
                <w:sz w:val="17"/>
                <w:szCs w:val="17"/>
                <w:color w:val="auto"/>
              </w:rPr>
              <w:t>Hull No. 2301</w:t>
            </w:r>
          </w:p>
        </w:tc>
        <w:tc>
          <w:tcPr>
            <w:tcW w:w="210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August 2018</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Q4 2020</w:t>
            </w: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174,000</w:t>
            </w:r>
          </w:p>
        </w:tc>
      </w:tr>
      <w:tr>
        <w:trPr>
          <w:trHeight w:val="214"/>
        </w:trPr>
        <w:tc>
          <w:tcPr>
            <w:tcW w:w="208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Hull No. 2311</w:t>
            </w:r>
          </w:p>
        </w:tc>
        <w:tc>
          <w:tcPr>
            <w:tcW w:w="2100" w:type="dxa"/>
            <w:vAlign w:val="bottom"/>
            <w:gridSpan w:val="2"/>
            <w:shd w:val="clear" w:color="auto" w:fill="E5FFFF"/>
          </w:tcPr>
          <w:p>
            <w:pPr>
              <w:jc w:val="center"/>
              <w:ind w:right="160"/>
              <w:spacing w:after="0"/>
              <w:rPr>
                <w:sz w:val="20"/>
                <w:szCs w:val="20"/>
                <w:color w:val="auto"/>
              </w:rPr>
            </w:pPr>
            <w:r>
              <w:rPr>
                <w:rFonts w:ascii="Arial" w:cs="Arial" w:eastAsia="Arial" w:hAnsi="Arial"/>
                <w:sz w:val="17"/>
                <w:szCs w:val="17"/>
                <w:color w:val="auto"/>
                <w:w w:val="90"/>
              </w:rPr>
              <w:t>December 2018</w:t>
            </w:r>
          </w:p>
        </w:tc>
        <w:tc>
          <w:tcPr>
            <w:tcW w:w="1540" w:type="dxa"/>
            <w:vAlign w:val="bottom"/>
            <w:gridSpan w:val="2"/>
            <w:shd w:val="clear" w:color="auto" w:fill="E5FFFF"/>
          </w:tcPr>
          <w:p>
            <w:pPr>
              <w:jc w:val="center"/>
              <w:ind w:right="220"/>
              <w:spacing w:after="0"/>
              <w:rPr>
                <w:sz w:val="20"/>
                <w:szCs w:val="20"/>
                <w:color w:val="auto"/>
              </w:rPr>
            </w:pPr>
            <w:r>
              <w:rPr>
                <w:rFonts w:ascii="Arial" w:cs="Arial" w:eastAsia="Arial" w:hAnsi="Arial"/>
                <w:sz w:val="17"/>
                <w:szCs w:val="17"/>
                <w:color w:val="auto"/>
                <w:w w:val="91"/>
              </w:rPr>
              <w:t>Q2 2021</w:t>
            </w:r>
          </w:p>
        </w:tc>
        <w:tc>
          <w:tcPr>
            <w:tcW w:w="17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180,000</w:t>
            </w:r>
          </w:p>
        </w:tc>
      </w:tr>
      <w:tr>
        <w:trPr>
          <w:trHeight w:val="216"/>
        </w:trPr>
        <w:tc>
          <w:tcPr>
            <w:tcW w:w="2080" w:type="dxa"/>
            <w:vAlign w:val="bottom"/>
            <w:gridSpan w:val="2"/>
          </w:tcPr>
          <w:p>
            <w:pPr>
              <w:spacing w:after="0"/>
              <w:rPr>
                <w:sz w:val="20"/>
                <w:szCs w:val="20"/>
                <w:color w:val="auto"/>
              </w:rPr>
            </w:pPr>
            <w:r>
              <w:rPr>
                <w:rFonts w:ascii="Arial" w:cs="Arial" w:eastAsia="Arial" w:hAnsi="Arial"/>
                <w:sz w:val="17"/>
                <w:szCs w:val="17"/>
                <w:color w:val="auto"/>
              </w:rPr>
              <w:t>Hull No. 2312</w:t>
            </w:r>
          </w:p>
        </w:tc>
        <w:tc>
          <w:tcPr>
            <w:tcW w:w="210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December 2018</w:t>
            </w:r>
          </w:p>
        </w:tc>
        <w:tc>
          <w:tcPr>
            <w:tcW w:w="154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Q3 2021</w:t>
            </w: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180,000</w:t>
            </w:r>
          </w:p>
        </w:tc>
      </w:tr>
    </w:tbl>
    <w:p>
      <w:pPr>
        <w:spacing w:after="0" w:line="200" w:lineRule="exact"/>
        <w:rPr>
          <w:sz w:val="20"/>
          <w:szCs w:val="20"/>
          <w:color w:val="auto"/>
        </w:rPr>
      </w:pPr>
    </w:p>
    <w:p>
      <w:pPr>
        <w:spacing w:after="0" w:line="344" w:lineRule="exact"/>
        <w:rPr>
          <w:sz w:val="20"/>
          <w:szCs w:val="20"/>
          <w:color w:val="auto"/>
        </w:rPr>
      </w:pPr>
    </w:p>
    <w:p>
      <w:pPr>
        <w:ind w:right="80" w:firstLine="460"/>
        <w:spacing w:after="0" w:line="321" w:lineRule="auto"/>
        <w:rPr>
          <w:sz w:val="20"/>
          <w:szCs w:val="20"/>
          <w:color w:val="auto"/>
        </w:rPr>
      </w:pPr>
      <w:r>
        <w:rPr>
          <w:rFonts w:ascii="Arial" w:cs="Arial" w:eastAsia="Arial" w:hAnsi="Arial"/>
          <w:sz w:val="16"/>
          <w:szCs w:val="16"/>
          <w:color w:val="auto"/>
        </w:rPr>
        <w:t>On March 21, 2017, GasLog entered into a Heads of Agreement (“HOA”) with Samsung for the engineering in relation to the potential Floating Storage Regasification Unit (“FSRU”) conversion of an existing vessel of the Group. As of June 30, 2019, $3,400 of the cost was paid, in accordance with the payment terms.</w:t>
      </w:r>
    </w:p>
    <w:p>
      <w:pPr>
        <w:spacing w:after="0" w:line="164" w:lineRule="exact"/>
        <w:rPr>
          <w:sz w:val="20"/>
          <w:szCs w:val="20"/>
          <w:color w:val="auto"/>
        </w:rPr>
      </w:pPr>
    </w:p>
    <w:p>
      <w:pPr>
        <w:ind w:right="200" w:firstLine="460"/>
        <w:spacing w:after="0" w:line="288" w:lineRule="auto"/>
        <w:rPr>
          <w:sz w:val="20"/>
          <w:szCs w:val="20"/>
          <w:color w:val="auto"/>
        </w:rPr>
      </w:pPr>
      <w:r>
        <w:rPr>
          <w:rFonts w:ascii="Arial" w:cs="Arial" w:eastAsia="Arial" w:hAnsi="Arial"/>
          <w:sz w:val="17"/>
          <w:szCs w:val="17"/>
          <w:color w:val="auto"/>
        </w:rPr>
        <w:t>On July 10, 2017, GasLog entered into an agreement with Keppel Shipyard Limited (“Keppel”) for the detailed engineering in relation to an FSRU conversion of one vessel. As of June 30, 2019, $8,518 of the cost was paid, in accordance with the payment terms.</w:t>
      </w:r>
    </w:p>
    <w:p>
      <w:pPr>
        <w:spacing w:after="0" w:line="187" w:lineRule="exact"/>
        <w:rPr>
          <w:sz w:val="20"/>
          <w:szCs w:val="20"/>
          <w:color w:val="auto"/>
        </w:rPr>
      </w:pPr>
    </w:p>
    <w:p>
      <w:pPr>
        <w:jc w:val="both"/>
        <w:ind w:right="140" w:firstLine="460"/>
        <w:spacing w:after="0" w:line="275" w:lineRule="auto"/>
        <w:rPr>
          <w:sz w:val="20"/>
          <w:szCs w:val="20"/>
          <w:color w:val="auto"/>
        </w:rPr>
      </w:pPr>
      <w:r>
        <w:rPr>
          <w:rFonts w:ascii="Arial" w:cs="Arial" w:eastAsia="Arial" w:hAnsi="Arial"/>
          <w:sz w:val="17"/>
          <w:szCs w:val="17"/>
          <w:color w:val="auto"/>
        </w:rPr>
        <w:t>Vessels under construction represent scheduled advance payments to the shipyards as well as certain capitalized expenditures. As of June 30, 2019, the Group has paid to the shipyard $179,561 for the vessels that are under construction and expects to pay the remaining installments as they come due upon each vessel’s keel laying, launching and delivery (Note 14).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ind w:left="460"/>
              <w:spacing w:after="0"/>
              <w:rPr>
                <w:sz w:val="20"/>
                <w:szCs w:val="20"/>
                <w:color w:val="auto"/>
              </w:rPr>
            </w:pPr>
            <w:r>
              <w:rPr>
                <w:rFonts w:ascii="Arial" w:cs="Arial" w:eastAsia="Arial" w:hAnsi="Arial"/>
                <w:sz w:val="17"/>
                <w:szCs w:val="17"/>
                <w:color w:val="auto"/>
              </w:rPr>
              <w:t>The vessels under construction costs as of December 31, 2018 and June 30, 2019 are as follows: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46"/>
        </w:trPr>
        <w:tc>
          <w:tcPr>
            <w:tcW w:w="7960" w:type="dxa"/>
            <w:vAlign w:val="bottom"/>
          </w:tcPr>
          <w:p>
            <w:pPr>
              <w:spacing w:after="0"/>
              <w:rPr>
                <w:sz w:val="24"/>
                <w:szCs w:val="24"/>
                <w:color w:val="auto"/>
              </w:rPr>
            </w:pPr>
          </w:p>
        </w:tc>
        <w:tc>
          <w:tcPr>
            <w:tcW w:w="22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December 31, 2018</w:t>
            </w:r>
          </w:p>
        </w:tc>
        <w:tc>
          <w:tcPr>
            <w:tcW w:w="1720" w:type="dxa"/>
            <w:vAlign w:val="bottom"/>
          </w:tcPr>
          <w:p>
            <w:pPr>
              <w:jc w:val="right"/>
              <w:ind w:right="274"/>
              <w:spacing w:after="0"/>
              <w:rPr>
                <w:sz w:val="20"/>
                <w:szCs w:val="20"/>
                <w:color w:val="auto"/>
              </w:rPr>
            </w:pPr>
            <w:r>
              <w:rPr>
                <w:rFonts w:ascii="Arial" w:cs="Arial" w:eastAsia="Arial" w:hAnsi="Arial"/>
                <w:sz w:val="17"/>
                <w:szCs w:val="17"/>
                <w:b w:val="1"/>
                <w:bCs w:val="1"/>
                <w:color w:val="auto"/>
              </w:rPr>
              <w:t>June 30, 2019</w:t>
            </w:r>
          </w:p>
        </w:tc>
      </w:tr>
      <w:tr>
        <w:trPr>
          <w:trHeight w:val="212"/>
        </w:trPr>
        <w:tc>
          <w:tcPr>
            <w:tcW w:w="79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Progress shipyard installments</w:t>
            </w:r>
          </w:p>
        </w:tc>
        <w:tc>
          <w:tcPr>
            <w:tcW w:w="19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152,075</w:t>
            </w:r>
          </w:p>
        </w:tc>
        <w:tc>
          <w:tcPr>
            <w:tcW w:w="30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179,561</w:t>
            </w:r>
          </w:p>
        </w:tc>
      </w:tr>
      <w:tr>
        <w:trPr>
          <w:trHeight w:val="214"/>
        </w:trPr>
        <w:tc>
          <w:tcPr>
            <w:tcW w:w="7960" w:type="dxa"/>
            <w:vAlign w:val="bottom"/>
          </w:tcPr>
          <w:p>
            <w:pPr>
              <w:spacing w:after="0"/>
              <w:rPr>
                <w:sz w:val="20"/>
                <w:szCs w:val="20"/>
                <w:color w:val="auto"/>
              </w:rPr>
            </w:pPr>
            <w:r>
              <w:rPr>
                <w:rFonts w:ascii="Arial" w:cs="Arial" w:eastAsia="Arial" w:hAnsi="Arial"/>
                <w:sz w:val="17"/>
                <w:szCs w:val="17"/>
                <w:color w:val="auto"/>
              </w:rPr>
              <w:t>Onsite supervision costs</w:t>
            </w:r>
          </w:p>
        </w:tc>
        <w:tc>
          <w:tcPr>
            <w:tcW w:w="2240" w:type="dxa"/>
            <w:vAlign w:val="bottom"/>
            <w:gridSpan w:val="2"/>
          </w:tcPr>
          <w:p>
            <w:pPr>
              <w:jc w:val="right"/>
              <w:ind w:right="300"/>
              <w:spacing w:after="0"/>
              <w:rPr>
                <w:sz w:val="20"/>
                <w:szCs w:val="20"/>
                <w:color w:val="auto"/>
              </w:rPr>
            </w:pPr>
            <w:r>
              <w:rPr>
                <w:rFonts w:ascii="Arial" w:cs="Arial" w:eastAsia="Arial" w:hAnsi="Arial"/>
                <w:sz w:val="17"/>
                <w:szCs w:val="17"/>
                <w:color w:val="auto"/>
              </w:rPr>
              <w:t>5,766</w:t>
            </w:r>
          </w:p>
        </w:tc>
        <w:tc>
          <w:tcPr>
            <w:tcW w:w="1720" w:type="dxa"/>
            <w:vAlign w:val="bottom"/>
          </w:tcPr>
          <w:p>
            <w:pPr>
              <w:jc w:val="right"/>
              <w:spacing w:after="0"/>
              <w:rPr>
                <w:sz w:val="20"/>
                <w:szCs w:val="20"/>
                <w:color w:val="auto"/>
              </w:rPr>
            </w:pPr>
            <w:r>
              <w:rPr>
                <w:rFonts w:ascii="Arial" w:cs="Arial" w:eastAsia="Arial" w:hAnsi="Arial"/>
                <w:sz w:val="17"/>
                <w:szCs w:val="17"/>
                <w:color w:val="auto"/>
              </w:rPr>
              <w:t>4,435</w:t>
            </w:r>
          </w:p>
        </w:tc>
      </w:tr>
      <w:tr>
        <w:trPr>
          <w:trHeight w:val="214"/>
        </w:trPr>
        <w:tc>
          <w:tcPr>
            <w:tcW w:w="7960" w:type="dxa"/>
            <w:vAlign w:val="bottom"/>
            <w:shd w:val="clear" w:color="auto" w:fill="E5FFFF"/>
          </w:tcPr>
          <w:p>
            <w:pPr>
              <w:spacing w:after="0"/>
              <w:rPr>
                <w:sz w:val="20"/>
                <w:szCs w:val="20"/>
                <w:color w:val="auto"/>
              </w:rPr>
            </w:pPr>
            <w:r>
              <w:rPr>
                <w:rFonts w:ascii="Arial" w:cs="Arial" w:eastAsia="Arial" w:hAnsi="Arial"/>
                <w:sz w:val="17"/>
                <w:szCs w:val="17"/>
                <w:color w:val="auto"/>
              </w:rPr>
              <w:t>Critical spare parts, equipment and other vessel delivery expenses</w:t>
            </w:r>
          </w:p>
        </w:tc>
        <w:tc>
          <w:tcPr>
            <w:tcW w:w="224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1,434</w:t>
            </w:r>
          </w:p>
        </w:tc>
        <w:tc>
          <w:tcPr>
            <w:tcW w:w="17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1,727</w:t>
            </w:r>
          </w:p>
        </w:tc>
      </w:tr>
      <w:tr>
        <w:trPr>
          <w:trHeight w:val="208"/>
        </w:trPr>
        <w:tc>
          <w:tcPr>
            <w:tcW w:w="79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159,275</w:t>
            </w:r>
          </w:p>
        </w:tc>
        <w:tc>
          <w:tcPr>
            <w:tcW w:w="30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185,723</w:t>
            </w:r>
          </w:p>
        </w:tc>
      </w:tr>
      <w:tr>
        <w:trPr>
          <w:trHeight w:val="20"/>
        </w:trPr>
        <w:tc>
          <w:tcPr>
            <w:tcW w:w="79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Leases</w:t>
      </w:r>
    </w:p>
    <w:p>
      <w:pPr>
        <w:spacing w:after="0" w:line="25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On adoption of IFRS 16, the Group recognised lease liabilities in relation to leases of various properties, vessel communication equipment and certain printers which had previously been classified as operating leases under IAS 17 </w:t>
      </w:r>
      <w:r>
        <w:rPr>
          <w:rFonts w:ascii="Arial" w:cs="Arial" w:eastAsia="Arial" w:hAnsi="Arial"/>
          <w:sz w:val="17"/>
          <w:szCs w:val="17"/>
          <w:i w:val="1"/>
          <w:iCs w:val="1"/>
          <w:color w:val="auto"/>
        </w:rPr>
        <w:t>Leases</w:t>
      </w:r>
      <w:r>
        <w:rPr>
          <w:rFonts w:ascii="Arial" w:cs="Arial" w:eastAsia="Arial" w:hAnsi="Arial"/>
          <w:sz w:val="17"/>
          <w:szCs w:val="17"/>
          <w:color w:val="auto"/>
        </w:rPr>
        <w:t>. As of January 1, 2019, these liabilities were measured at the present value of the remaining lease payments, discounted using a weighted average incremental borrowing rate of 4.8%.</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movements in right-of use assets are reported in the following table:</w:t>
      </w:r>
    </w:p>
    <w:p>
      <w:pPr>
        <w:spacing w:after="0" w:line="200" w:lineRule="exact"/>
        <w:rPr>
          <w:sz w:val="20"/>
          <w:szCs w:val="20"/>
          <w:color w:val="auto"/>
        </w:rPr>
      </w:pPr>
    </w:p>
    <w:p>
      <w:pPr>
        <w:spacing w:after="0" w:line="269" w:lineRule="exact"/>
        <w:rPr>
          <w:sz w:val="20"/>
          <w:szCs w:val="20"/>
          <w:color w:val="auto"/>
        </w:rPr>
      </w:pPr>
    </w:p>
    <w:tbl>
      <w:tblPr>
        <w:tblLayout w:type="fixed"/>
        <w:tblInd w:w="260" w:type="dxa"/>
        <w:tblCellMar>
          <w:top w:w="0" w:type="dxa"/>
          <w:left w:w="0" w:type="dxa"/>
          <w:bottom w:w="0" w:type="dxa"/>
          <w:right w:w="0" w:type="dxa"/>
        </w:tblCellMar>
      </w:tblPr>
      <w:tr>
        <w:trPr>
          <w:trHeight w:val="226"/>
        </w:trPr>
        <w:tc>
          <w:tcPr>
            <w:tcW w:w="2860" w:type="dxa"/>
            <w:vAlign w:val="bottom"/>
          </w:tcPr>
          <w:p>
            <w:pPr>
              <w:spacing w:after="0"/>
              <w:rPr>
                <w:sz w:val="20"/>
                <w:szCs w:val="20"/>
                <w:color w:val="auto"/>
              </w:rPr>
            </w:pPr>
            <w:r>
              <w:rPr>
                <w:rFonts w:ascii="Arial" w:cs="Arial" w:eastAsia="Arial" w:hAnsi="Arial"/>
                <w:sz w:val="17"/>
                <w:szCs w:val="17"/>
                <w:b w:val="1"/>
                <w:bCs w:val="1"/>
                <w:color w:val="auto"/>
              </w:rPr>
              <w:t>Right-of-Use Assets</w:t>
            </w:r>
          </w:p>
        </w:tc>
        <w:tc>
          <w:tcPr>
            <w:tcW w:w="1660" w:type="dxa"/>
            <w:vAlign w:val="bottom"/>
            <w:gridSpan w:val="2"/>
          </w:tcPr>
          <w:p>
            <w:pPr>
              <w:ind w:left="440"/>
              <w:spacing w:after="0"/>
              <w:rPr>
                <w:sz w:val="20"/>
                <w:szCs w:val="20"/>
                <w:color w:val="auto"/>
              </w:rPr>
            </w:pPr>
            <w:r>
              <w:rPr>
                <w:rFonts w:ascii="Arial" w:cs="Arial" w:eastAsia="Arial" w:hAnsi="Arial"/>
                <w:sz w:val="17"/>
                <w:szCs w:val="17"/>
                <w:b w:val="1"/>
                <w:bCs w:val="1"/>
                <w:color w:val="auto"/>
              </w:rPr>
              <w:t>Vessels</w:t>
            </w:r>
          </w:p>
        </w:tc>
        <w:tc>
          <w:tcPr>
            <w:tcW w:w="2160" w:type="dxa"/>
            <w:vAlign w:val="bottom"/>
            <w:gridSpan w:val="2"/>
          </w:tcPr>
          <w:p>
            <w:pPr>
              <w:ind w:left="280"/>
              <w:spacing w:after="0"/>
              <w:rPr>
                <w:sz w:val="20"/>
                <w:szCs w:val="20"/>
                <w:color w:val="auto"/>
              </w:rPr>
            </w:pPr>
            <w:r>
              <w:rPr>
                <w:rFonts w:ascii="Arial" w:cs="Arial" w:eastAsia="Arial" w:hAnsi="Arial"/>
                <w:sz w:val="17"/>
                <w:szCs w:val="17"/>
                <w:b w:val="1"/>
                <w:bCs w:val="1"/>
                <w:color w:val="auto"/>
              </w:rPr>
              <w:t>Vessel Equipment</w:t>
            </w:r>
          </w:p>
        </w:tc>
        <w:tc>
          <w:tcPr>
            <w:tcW w:w="1340" w:type="dxa"/>
            <w:vAlign w:val="bottom"/>
          </w:tcPr>
          <w:p>
            <w:pPr>
              <w:ind w:left="560"/>
              <w:spacing w:after="0"/>
              <w:rPr>
                <w:sz w:val="20"/>
                <w:szCs w:val="20"/>
                <w:color w:val="auto"/>
              </w:rPr>
            </w:pPr>
            <w:r>
              <w:rPr>
                <w:rFonts w:ascii="Arial" w:cs="Arial" w:eastAsia="Arial" w:hAnsi="Arial"/>
                <w:sz w:val="17"/>
                <w:szCs w:val="17"/>
                <w:b w:val="1"/>
                <w:bCs w:val="1"/>
                <w:color w:val="auto"/>
                <w:w w:val="90"/>
              </w:rPr>
              <w:t>Properties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420"/>
              <w:spacing w:after="0"/>
              <w:rPr>
                <w:sz w:val="20"/>
                <w:szCs w:val="20"/>
                <w:color w:val="auto"/>
              </w:rPr>
            </w:pPr>
            <w:r>
              <w:rPr>
                <w:rFonts w:ascii="Arial" w:cs="Arial" w:eastAsia="Arial" w:hAnsi="Arial"/>
                <w:sz w:val="17"/>
                <w:szCs w:val="17"/>
                <w:b w:val="1"/>
                <w:bCs w:val="1"/>
                <w:color w:val="auto"/>
              </w:rPr>
              <w:t>Other</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Total</w:t>
            </w:r>
          </w:p>
        </w:tc>
      </w:tr>
      <w:tr>
        <w:trPr>
          <w:trHeight w:val="212"/>
        </w:trPr>
        <w:tc>
          <w:tcPr>
            <w:tcW w:w="286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As of January 1, 2019*</w:t>
            </w: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206,753</w:t>
            </w:r>
          </w:p>
        </w:tc>
        <w:tc>
          <w:tcPr>
            <w:tcW w:w="300" w:type="dxa"/>
            <w:vAlign w:val="bottom"/>
            <w:tcBorders>
              <w:top w:val="single" w:sz="8" w:color="E5FFFF"/>
            </w:tcBorders>
            <w:shd w:val="clear" w:color="auto" w:fill="E5FFFF"/>
          </w:tcPr>
          <w:p>
            <w:pPr>
              <w:spacing w:after="0"/>
              <w:rPr>
                <w:sz w:val="18"/>
                <w:szCs w:val="18"/>
                <w:color w:val="auto"/>
              </w:rPr>
            </w:pPr>
          </w:p>
        </w:tc>
        <w:tc>
          <w:tcPr>
            <w:tcW w:w="1860" w:type="dxa"/>
            <w:vAlign w:val="bottom"/>
            <w:tcBorders>
              <w:top w:val="single" w:sz="8" w:color="auto"/>
            </w:tcBorders>
            <w:shd w:val="clear" w:color="auto" w:fill="E5FFFF"/>
          </w:tcPr>
          <w:p>
            <w:pPr>
              <w:jc w:val="right"/>
              <w:ind w:right="14"/>
              <w:spacing w:after="0"/>
              <w:rPr>
                <w:sz w:val="20"/>
                <w:szCs w:val="20"/>
                <w:color w:val="auto"/>
              </w:rPr>
            </w:pPr>
            <w:r>
              <w:rPr>
                <w:rFonts w:ascii="Arial" w:cs="Arial" w:eastAsia="Arial" w:hAnsi="Arial"/>
                <w:sz w:val="17"/>
                <w:szCs w:val="17"/>
                <w:color w:val="auto"/>
              </w:rPr>
              <w:t>2,630</w:t>
            </w:r>
          </w:p>
        </w:tc>
        <w:tc>
          <w:tcPr>
            <w:tcW w:w="30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520" w:type="dxa"/>
            <w:vAlign w:val="bottom"/>
            <w:tcBorders>
              <w:top w:val="single" w:sz="8" w:color="auto"/>
            </w:tcBorders>
            <w:shd w:val="clear" w:color="auto" w:fill="E5FFFF"/>
          </w:tcPr>
          <w:p>
            <w:pPr>
              <w:jc w:val="right"/>
              <w:ind w:right="14"/>
              <w:spacing w:after="0"/>
              <w:rPr>
                <w:sz w:val="20"/>
                <w:szCs w:val="20"/>
                <w:color w:val="auto"/>
              </w:rPr>
            </w:pPr>
            <w:r>
              <w:rPr>
                <w:rFonts w:ascii="Arial" w:cs="Arial" w:eastAsia="Arial" w:hAnsi="Arial"/>
                <w:sz w:val="17"/>
                <w:szCs w:val="17"/>
                <w:color w:val="auto"/>
                <w:w w:val="93"/>
              </w:rPr>
              <w:t>4,969</w:t>
            </w:r>
          </w:p>
        </w:tc>
        <w:tc>
          <w:tcPr>
            <w:tcW w:w="280" w:type="dxa"/>
            <w:vAlign w:val="bottom"/>
            <w:tcBorders>
              <w:top w:val="single" w:sz="8" w:color="E5FFFF"/>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19</w:t>
            </w:r>
          </w:p>
        </w:tc>
        <w:tc>
          <w:tcPr>
            <w:tcW w:w="300" w:type="dxa"/>
            <w:vAlign w:val="bottom"/>
            <w:tcBorders>
              <w:top w:val="single" w:sz="8" w:color="E5FFFF"/>
            </w:tcBorders>
            <w:shd w:val="clear" w:color="auto" w:fill="E5FFFF"/>
          </w:tcPr>
          <w:p>
            <w:pPr>
              <w:spacing w:after="0"/>
              <w:rPr>
                <w:sz w:val="18"/>
                <w:szCs w:val="18"/>
                <w:color w:val="auto"/>
              </w:rPr>
            </w:pPr>
          </w:p>
        </w:tc>
        <w:tc>
          <w:tcPr>
            <w:tcW w:w="11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214,371</w:t>
            </w:r>
          </w:p>
        </w:tc>
      </w:tr>
      <w:tr>
        <w:trPr>
          <w:trHeight w:val="214"/>
        </w:trPr>
        <w:tc>
          <w:tcPr>
            <w:tcW w:w="2860" w:type="dxa"/>
            <w:vAlign w:val="bottom"/>
          </w:tcPr>
          <w:p>
            <w:pPr>
              <w:spacing w:after="0"/>
              <w:rPr>
                <w:sz w:val="20"/>
                <w:szCs w:val="20"/>
                <w:color w:val="auto"/>
              </w:rPr>
            </w:pPr>
            <w:r>
              <w:rPr>
                <w:rFonts w:ascii="Arial" w:cs="Arial" w:eastAsia="Arial" w:hAnsi="Arial"/>
                <w:sz w:val="17"/>
                <w:szCs w:val="17"/>
                <w:color w:val="auto"/>
              </w:rPr>
              <w:t>Additions</w:t>
            </w:r>
          </w:p>
        </w:tc>
        <w:tc>
          <w:tcPr>
            <w:tcW w:w="1360" w:type="dxa"/>
            <w:vAlign w:val="bottom"/>
          </w:tcPr>
          <w:p>
            <w:pPr>
              <w:jc w:val="right"/>
              <w:spacing w:after="0"/>
              <w:rPr>
                <w:sz w:val="20"/>
                <w:szCs w:val="20"/>
                <w:color w:val="auto"/>
              </w:rPr>
            </w:pPr>
            <w:r>
              <w:rPr>
                <w:rFonts w:ascii="Arial" w:cs="Arial" w:eastAsia="Arial" w:hAnsi="Arial"/>
                <w:sz w:val="17"/>
                <w:szCs w:val="17"/>
                <w:color w:val="auto"/>
              </w:rPr>
              <w:t>232</w:t>
            </w:r>
          </w:p>
        </w:tc>
        <w:tc>
          <w:tcPr>
            <w:tcW w:w="300" w:type="dxa"/>
            <w:vAlign w:val="bottom"/>
          </w:tcPr>
          <w:p>
            <w:pPr>
              <w:spacing w:after="0"/>
              <w:rPr>
                <w:sz w:val="18"/>
                <w:szCs w:val="18"/>
                <w:color w:val="auto"/>
              </w:rPr>
            </w:pPr>
          </w:p>
        </w:tc>
        <w:tc>
          <w:tcPr>
            <w:tcW w:w="1860" w:type="dxa"/>
            <w:vAlign w:val="bottom"/>
          </w:tcPr>
          <w:p>
            <w:pPr>
              <w:jc w:val="right"/>
              <w:ind w:right="14"/>
              <w:spacing w:after="0"/>
              <w:rPr>
                <w:sz w:val="20"/>
                <w:szCs w:val="20"/>
                <w:color w:val="auto"/>
              </w:rPr>
            </w:pPr>
            <w:r>
              <w:rPr>
                <w:rFonts w:ascii="Arial" w:cs="Arial" w:eastAsia="Arial" w:hAnsi="Arial"/>
                <w:sz w:val="17"/>
                <w:szCs w:val="17"/>
                <w:color w:val="auto"/>
              </w:rPr>
              <w:t>171</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7"/>
                <w:szCs w:val="17"/>
                <w:color w:val="auto"/>
              </w:rPr>
              <w:t>912</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1,315</w:t>
            </w:r>
          </w:p>
        </w:tc>
      </w:tr>
      <w:tr>
        <w:trPr>
          <w:trHeight w:val="214"/>
        </w:trPr>
        <w:tc>
          <w:tcPr>
            <w:tcW w:w="2860" w:type="dxa"/>
            <w:vAlign w:val="bottom"/>
            <w:shd w:val="clear" w:color="auto" w:fill="E5FFFF"/>
          </w:tcPr>
          <w:p>
            <w:pPr>
              <w:spacing w:after="0"/>
              <w:rPr>
                <w:sz w:val="20"/>
                <w:szCs w:val="20"/>
                <w:color w:val="auto"/>
              </w:rPr>
            </w:pPr>
            <w:r>
              <w:rPr>
                <w:rFonts w:ascii="Arial" w:cs="Arial" w:eastAsia="Arial" w:hAnsi="Arial"/>
                <w:sz w:val="17"/>
                <w:szCs w:val="17"/>
                <w:color w:val="auto"/>
              </w:rPr>
              <w:t>Depreciation expense</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(3,829)</w:t>
            </w:r>
          </w:p>
        </w:tc>
        <w:tc>
          <w:tcPr>
            <w:tcW w:w="300" w:type="dxa"/>
            <w:vAlign w:val="bottom"/>
            <w:shd w:val="clear" w:color="auto" w:fill="E5FFFF"/>
          </w:tcPr>
          <w:p>
            <w:pPr>
              <w:spacing w:after="0"/>
              <w:rPr>
                <w:sz w:val="18"/>
                <w:szCs w:val="18"/>
                <w:color w:val="auto"/>
              </w:rPr>
            </w:pPr>
          </w:p>
        </w:tc>
        <w:tc>
          <w:tcPr>
            <w:tcW w:w="186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7"/>
                <w:szCs w:val="17"/>
                <w:color w:val="auto"/>
              </w:rPr>
              <w:t>(531)</w:t>
            </w:r>
          </w:p>
        </w:tc>
        <w:tc>
          <w:tcPr>
            <w:tcW w:w="300" w:type="dxa"/>
            <w:vAlign w:val="bottom"/>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spacing w:after="0"/>
              <w:rPr>
                <w:sz w:val="18"/>
                <w:szCs w:val="18"/>
                <w:color w:val="auto"/>
              </w:rPr>
            </w:pPr>
          </w:p>
        </w:tc>
        <w:tc>
          <w:tcPr>
            <w:tcW w:w="520" w:type="dxa"/>
            <w:vAlign w:val="bottom"/>
            <w:tcBorders>
              <w:bottom w:val="single" w:sz="8" w:color="auto"/>
            </w:tcBorders>
            <w:shd w:val="clear" w:color="auto" w:fill="E5FFFF"/>
          </w:tcPr>
          <w:p>
            <w:pPr>
              <w:jc w:val="right"/>
              <w:ind w:right="14"/>
              <w:spacing w:after="0"/>
              <w:rPr>
                <w:sz w:val="20"/>
                <w:szCs w:val="20"/>
                <w:color w:val="auto"/>
              </w:rPr>
            </w:pPr>
            <w:r>
              <w:rPr>
                <w:rFonts w:ascii="Arial" w:cs="Arial" w:eastAsia="Arial" w:hAnsi="Arial"/>
                <w:sz w:val="17"/>
                <w:szCs w:val="17"/>
                <w:color w:val="auto"/>
              </w:rPr>
              <w:t>(718)</w:t>
            </w:r>
          </w:p>
        </w:tc>
        <w:tc>
          <w:tcPr>
            <w:tcW w:w="280" w:type="dxa"/>
            <w:vAlign w:val="bottom"/>
            <w:shd w:val="clear" w:color="auto" w:fill="E5FFFF"/>
          </w:tcPr>
          <w:p>
            <w:pPr>
              <w:spacing w:after="0"/>
              <w:rPr>
                <w:sz w:val="18"/>
                <w:szCs w:val="18"/>
                <w:color w:val="auto"/>
              </w:rPr>
            </w:pPr>
          </w:p>
        </w:tc>
        <w:tc>
          <w:tcPr>
            <w:tcW w:w="920" w:type="dxa"/>
            <w:vAlign w:val="bottom"/>
            <w:tcBorders>
              <w:bottom w:val="single" w:sz="8" w:color="auto"/>
            </w:tcBorders>
            <w:shd w:val="clear" w:color="auto" w:fill="E5FFFF"/>
          </w:tcPr>
          <w:p>
            <w:pPr>
              <w:spacing w:after="0"/>
              <w:rPr>
                <w:sz w:val="18"/>
                <w:szCs w:val="18"/>
                <w:color w:val="auto"/>
              </w:rPr>
            </w:pPr>
          </w:p>
        </w:tc>
        <w:tc>
          <w:tcPr>
            <w:tcW w:w="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w:t>
            </w:r>
          </w:p>
        </w:tc>
        <w:tc>
          <w:tcPr>
            <w:tcW w:w="300" w:type="dxa"/>
            <w:vAlign w:val="bottom"/>
            <w:shd w:val="clear" w:color="auto" w:fill="E5FFFF"/>
          </w:tcPr>
          <w:p>
            <w:pPr>
              <w:spacing w:after="0"/>
              <w:rPr>
                <w:sz w:val="18"/>
                <w:szCs w:val="18"/>
                <w:color w:val="auto"/>
              </w:rPr>
            </w:pPr>
          </w:p>
        </w:tc>
        <w:tc>
          <w:tcPr>
            <w:tcW w:w="11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(5,080)</w:t>
            </w:r>
          </w:p>
        </w:tc>
      </w:tr>
      <w:tr>
        <w:trPr>
          <w:trHeight w:val="208"/>
        </w:trPr>
        <w:tc>
          <w:tcPr>
            <w:tcW w:w="2860" w:type="dxa"/>
            <w:vAlign w:val="bottom"/>
          </w:tcPr>
          <w:p>
            <w:pPr>
              <w:spacing w:after="0"/>
              <w:rPr>
                <w:sz w:val="20"/>
                <w:szCs w:val="20"/>
                <w:color w:val="auto"/>
              </w:rPr>
            </w:pPr>
            <w:r>
              <w:rPr>
                <w:rFonts w:ascii="Arial" w:cs="Arial" w:eastAsia="Arial" w:hAnsi="Arial"/>
                <w:sz w:val="17"/>
                <w:szCs w:val="17"/>
                <w:b w:val="1"/>
                <w:bCs w:val="1"/>
                <w:color w:val="auto"/>
              </w:rPr>
              <w:t>As of June 30, 2019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203,156</w:t>
            </w:r>
          </w:p>
        </w:tc>
        <w:tc>
          <w:tcPr>
            <w:tcW w:w="300" w:type="dxa"/>
            <w:vAlign w:val="bottom"/>
          </w:tcPr>
          <w:p>
            <w:pPr>
              <w:spacing w:after="0"/>
              <w:rPr>
                <w:sz w:val="18"/>
                <w:szCs w:val="18"/>
                <w:color w:val="auto"/>
              </w:rPr>
            </w:pP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2,270</w:t>
            </w:r>
          </w:p>
        </w:tc>
        <w:tc>
          <w:tcPr>
            <w:tcW w:w="30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93"/>
              </w:rPr>
              <w:t>5,163</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w:t>
            </w:r>
          </w:p>
        </w:tc>
        <w:tc>
          <w:tcPr>
            <w:tcW w:w="3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210,606</w:t>
            </w:r>
          </w:p>
        </w:tc>
      </w:tr>
      <w:tr>
        <w:trPr>
          <w:trHeight w:val="20"/>
        </w:trPr>
        <w:tc>
          <w:tcPr>
            <w:tcW w:w="2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right="300"/>
        <w:spacing w:after="0" w:line="246" w:lineRule="auto"/>
        <w:rPr>
          <w:sz w:val="20"/>
          <w:szCs w:val="20"/>
          <w:color w:val="auto"/>
        </w:rPr>
      </w:pPr>
      <w:r>
        <w:rPr>
          <w:rFonts w:ascii="Arial" w:cs="Arial" w:eastAsia="Arial" w:hAnsi="Arial"/>
          <w:sz w:val="17"/>
          <w:szCs w:val="17"/>
          <w:color w:val="auto"/>
        </w:rPr>
        <w:t>*</w:t>
      </w:r>
      <w:r>
        <w:rPr>
          <w:rFonts w:ascii="Arial" w:cs="Arial" w:eastAsia="Arial" w:hAnsi="Arial"/>
          <w:sz w:val="15"/>
          <w:szCs w:val="15"/>
          <w:color w:val="auto"/>
        </w:rPr>
        <w:t>The balance as of December 31, 2018 represented the vessel held under finance lease and was included in the financial statement line “Vessel held under finance lease”, which was renamed to</w:t>
      </w:r>
      <w:r>
        <w:rPr>
          <w:rFonts w:ascii="Arial" w:cs="Arial" w:eastAsia="Arial" w:hAnsi="Arial"/>
          <w:sz w:val="17"/>
          <w:szCs w:val="17"/>
          <w:color w:val="auto"/>
        </w:rPr>
        <w:t xml:space="preserve"> </w:t>
      </w:r>
      <w:r>
        <w:rPr>
          <w:rFonts w:ascii="Arial" w:cs="Arial" w:eastAsia="Arial" w:hAnsi="Arial"/>
          <w:sz w:val="15"/>
          <w:szCs w:val="15"/>
          <w:color w:val="auto"/>
        </w:rPr>
        <w:t>“Right-of-use assets” as of January 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ind w:left="440"/>
              <w:spacing w:after="0"/>
              <w:rPr>
                <w:sz w:val="20"/>
                <w:szCs w:val="20"/>
                <w:color w:val="auto"/>
              </w:rPr>
            </w:pPr>
            <w:r>
              <w:rPr>
                <w:rFonts w:ascii="Arial" w:cs="Arial" w:eastAsia="Arial" w:hAnsi="Arial"/>
                <w:sz w:val="17"/>
                <w:szCs w:val="17"/>
                <w:color w:val="auto"/>
              </w:rPr>
              <w:t>An analysis of the lease liabilities is as follows:</w:t>
            </w:r>
          </w:p>
        </w:tc>
        <w:tc>
          <w:tcPr>
            <w:tcW w:w="2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8820" w:type="dxa"/>
            <w:vAlign w:val="bottom"/>
          </w:tcPr>
          <w:p>
            <w:pPr>
              <w:spacing w:after="0"/>
              <w:rPr>
                <w:sz w:val="24"/>
                <w:szCs w:val="24"/>
                <w:color w:val="auto"/>
              </w:rPr>
            </w:pPr>
          </w:p>
        </w:tc>
        <w:tc>
          <w:tcPr>
            <w:tcW w:w="2280" w:type="dxa"/>
            <w:vAlign w:val="bottom"/>
            <w:gridSpan w:val="2"/>
          </w:tcPr>
          <w:p>
            <w:pPr>
              <w:ind w:left="1040"/>
              <w:spacing w:after="0"/>
              <w:rPr>
                <w:sz w:val="20"/>
                <w:szCs w:val="20"/>
                <w:color w:val="auto"/>
              </w:rPr>
            </w:pPr>
            <w:r>
              <w:rPr>
                <w:rFonts w:ascii="Arial" w:cs="Arial" w:eastAsia="Arial" w:hAnsi="Arial"/>
                <w:sz w:val="17"/>
                <w:szCs w:val="17"/>
                <w:b w:val="1"/>
                <w:bCs w:val="1"/>
                <w:color w:val="auto"/>
                <w:w w:val="92"/>
              </w:rPr>
              <w:t>Lease Liabilities</w:t>
            </w:r>
          </w:p>
        </w:tc>
        <w:tc>
          <w:tcPr>
            <w:tcW w:w="0" w:type="dxa"/>
            <w:vAlign w:val="bottom"/>
          </w:tcPr>
          <w:p>
            <w:pPr>
              <w:spacing w:after="0"/>
              <w:rPr>
                <w:sz w:val="1"/>
                <w:szCs w:val="1"/>
                <w:color w:val="auto"/>
              </w:rPr>
            </w:pPr>
          </w:p>
        </w:tc>
      </w:tr>
      <w:tr>
        <w:trPr>
          <w:trHeight w:val="214"/>
        </w:trPr>
        <w:tc>
          <w:tcPr>
            <w:tcW w:w="88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As of January 1, 2019</w:t>
            </w:r>
          </w:p>
        </w:tc>
        <w:tc>
          <w:tcPr>
            <w:tcW w:w="2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213,374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20" w:type="dxa"/>
            <w:vAlign w:val="bottom"/>
          </w:tcPr>
          <w:p>
            <w:pPr>
              <w:spacing w:after="0"/>
              <w:rPr>
                <w:sz w:val="20"/>
                <w:szCs w:val="20"/>
                <w:color w:val="auto"/>
              </w:rPr>
            </w:pPr>
            <w:r>
              <w:rPr>
                <w:rFonts w:ascii="Arial" w:cs="Arial" w:eastAsia="Arial" w:hAnsi="Arial"/>
                <w:sz w:val="17"/>
                <w:szCs w:val="17"/>
                <w:color w:val="auto"/>
              </w:rPr>
              <w:t>Additions</w:t>
            </w:r>
          </w:p>
        </w:tc>
        <w:tc>
          <w:tcPr>
            <w:tcW w:w="2220" w:type="dxa"/>
            <w:vAlign w:val="bottom"/>
          </w:tcPr>
          <w:p>
            <w:pPr>
              <w:jc w:val="right"/>
              <w:spacing w:after="0"/>
              <w:rPr>
                <w:sz w:val="20"/>
                <w:szCs w:val="20"/>
                <w:color w:val="auto"/>
              </w:rPr>
            </w:pPr>
            <w:r>
              <w:rPr>
                <w:rFonts w:ascii="Arial" w:cs="Arial" w:eastAsia="Arial" w:hAnsi="Arial"/>
                <w:sz w:val="17"/>
                <w:szCs w:val="17"/>
                <w:color w:val="auto"/>
              </w:rPr>
              <w:t>1,081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20" w:type="dxa"/>
            <w:vAlign w:val="bottom"/>
            <w:shd w:val="clear" w:color="auto" w:fill="E5FFFF"/>
          </w:tcPr>
          <w:p>
            <w:pPr>
              <w:spacing w:after="0"/>
              <w:rPr>
                <w:sz w:val="20"/>
                <w:szCs w:val="20"/>
                <w:color w:val="auto"/>
              </w:rPr>
            </w:pPr>
            <w:r>
              <w:rPr>
                <w:rFonts w:ascii="Arial" w:cs="Arial" w:eastAsia="Arial" w:hAnsi="Arial"/>
                <w:sz w:val="17"/>
                <w:szCs w:val="17"/>
                <w:color w:val="auto"/>
              </w:rPr>
              <w:t>Lease charge (Note 16)</w:t>
            </w:r>
          </w:p>
        </w:tc>
        <w:tc>
          <w:tcPr>
            <w:tcW w:w="222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2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Payments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As of June 30, 2019</w:t>
            </w:r>
          </w:p>
        </w:tc>
        <w:tc>
          <w:tcPr>
            <w:tcW w:w="2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209,637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7"/>
                <w:szCs w:val="17"/>
                <w:color w:val="auto"/>
              </w:rPr>
              <w:t>Lease liability, current portion</w:t>
            </w:r>
          </w:p>
        </w:tc>
        <w:tc>
          <w:tcPr>
            <w:tcW w:w="2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20" w:type="dxa"/>
            <w:vAlign w:val="bottom"/>
            <w:vMerge w:val="continue"/>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auto"/>
              </w:rPr>
              <w:t>9,052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20" w:type="dxa"/>
            <w:vAlign w:val="bottom"/>
            <w:shd w:val="clear" w:color="auto" w:fill="E5FFFF"/>
          </w:tcPr>
          <w:p>
            <w:pPr>
              <w:spacing w:after="0"/>
              <w:rPr>
                <w:sz w:val="20"/>
                <w:szCs w:val="20"/>
                <w:color w:val="auto"/>
              </w:rPr>
            </w:pPr>
            <w:r>
              <w:rPr>
                <w:rFonts w:ascii="Arial" w:cs="Arial" w:eastAsia="Arial" w:hAnsi="Arial"/>
                <w:sz w:val="17"/>
                <w:szCs w:val="17"/>
                <w:color w:val="auto"/>
              </w:rPr>
              <w:t>Lease liability, non-current portion</w:t>
            </w:r>
          </w:p>
        </w:tc>
        <w:tc>
          <w:tcPr>
            <w:tcW w:w="22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200,585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2240" w:h="15958" w:orient="portrait"/>
          <w:cols w:equalWidth="0" w:num="1">
            <w:col w:w="12000"/>
          </w:cols>
          <w:pgMar w:left="120" w:top="218" w:right="120" w:bottom="0" w:gutter="0" w:footer="0" w:header="0"/>
        </w:sectPr>
      </w:pPr>
    </w:p>
    <w:bookmarkStart w:id="37" w:name="page38"/>
    <w:bookmarkEnd w:id="37"/>
    <w:p>
      <w:pPr>
        <w:spacing w:after="0"/>
        <w:tabs>
          <w:tab w:leader="none" w:pos="1048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209,637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5601970</wp:posOffset>
            </wp:positionH>
            <wp:positionV relativeFrom="paragraph">
              <wp:posOffset>33655</wp:posOffset>
            </wp:positionV>
            <wp:extent cx="14128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412875" cy="8890"/>
                    </a:xfrm>
                    <a:prstGeom prst="rect">
                      <a:avLst/>
                    </a:prstGeom>
                    <a:noFill/>
                  </pic:spPr>
                </pic:pic>
              </a:graphicData>
            </a:graphic>
          </wp:anchor>
        </w:drawing>
        <w:drawing>
          <wp:anchor simplePos="0" relativeHeight="251657728" behindDoc="1" locked="0" layoutInCell="0" allowOverlap="1">
            <wp:simplePos x="0" y="0"/>
            <wp:positionH relativeFrom="column">
              <wp:posOffset>5601970</wp:posOffset>
            </wp:positionH>
            <wp:positionV relativeFrom="paragraph">
              <wp:posOffset>51435</wp:posOffset>
            </wp:positionV>
            <wp:extent cx="1412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412875" cy="8890"/>
                    </a:xfrm>
                    <a:prstGeom prst="rect">
                      <a:avLst/>
                    </a:prstGeom>
                    <a:noFill/>
                  </pic:spPr>
                </pic:pic>
              </a:graphicData>
            </a:graphic>
          </wp:anchor>
        </w:drawing>
      </w:r>
    </w:p>
    <w:p>
      <w:pPr>
        <w:sectPr>
          <w:pgSz w:w="12240" w:h="15840" w:orient="portrait"/>
          <w:cols w:equalWidth="0" w:num="1">
            <w:col w:w="11040"/>
          </w:cols>
          <w:pgMar w:left="120" w:top="0" w:right="1080" w:bottom="1440" w:gutter="0" w:footer="0" w:header="0"/>
        </w:sectPr>
      </w:pPr>
    </w:p>
    <w:p>
      <w:pPr>
        <w:spacing w:after="0" w:line="314"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46670" cy="31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040"/>
          </w:cols>
          <w:pgMar w:left="120" w:top="0" w:right="1080" w:bottom="1440" w:gutter="0" w:footer="0" w:header="0"/>
          <w:type w:val="continuous"/>
        </w:sectPr>
      </w:pPr>
    </w:p>
    <w:bookmarkStart w:id="38" w:name="page39"/>
    <w:bookmarkEnd w:id="38"/>
    <w:p>
      <w:pPr>
        <w:ind w:right="280" w:firstLine="405"/>
        <w:spacing w:after="0" w:line="288" w:lineRule="auto"/>
        <w:rPr>
          <w:sz w:val="20"/>
          <w:szCs w:val="20"/>
          <w:color w:val="auto"/>
        </w:rPr>
      </w:pPr>
      <w:r>
        <w:rPr>
          <w:rFonts w:ascii="Arial" w:cs="Arial" w:eastAsia="Arial" w:hAnsi="Arial"/>
          <w:sz w:val="17"/>
          <w:szCs w:val="17"/>
          <w:color w:val="auto"/>
        </w:rPr>
        <w:t>An amount of $56 has been recognized in the unaudited condensed consolidated statement of profit or loss for the quarter ending June 30, 2019, which represents the lease expense incurred for low value leases not included in the measurement of the right-of-use assets and the lease liability.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0" w:type="dxa"/>
            <w:vAlign w:val="bottom"/>
          </w:tcPr>
          <w:p>
            <w:pPr>
              <w:spacing w:after="0"/>
              <w:rPr>
                <w:sz w:val="20"/>
                <w:szCs w:val="20"/>
                <w:color w:val="auto"/>
              </w:rPr>
            </w:pPr>
            <w:r>
              <w:rPr>
                <w:rFonts w:ascii="Arial" w:cs="Arial" w:eastAsia="Arial" w:hAnsi="Arial"/>
                <w:sz w:val="17"/>
                <w:szCs w:val="17"/>
                <w:b w:val="1"/>
                <w:bCs w:val="1"/>
                <w:color w:val="auto"/>
              </w:rPr>
              <w:t>7. Borrowings</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2"/>
        </w:trPr>
        <w:tc>
          <w:tcPr>
            <w:tcW w:w="8000" w:type="dxa"/>
            <w:vAlign w:val="bottom"/>
          </w:tcPr>
          <w:p>
            <w:pPr>
              <w:ind w:left="460"/>
              <w:spacing w:after="0"/>
              <w:rPr>
                <w:sz w:val="20"/>
                <w:szCs w:val="20"/>
                <w:color w:val="auto"/>
              </w:rPr>
            </w:pPr>
            <w:r>
              <w:rPr>
                <w:rFonts w:ascii="Arial" w:cs="Arial" w:eastAsia="Arial" w:hAnsi="Arial"/>
                <w:sz w:val="17"/>
                <w:szCs w:val="17"/>
                <w:color w:val="auto"/>
              </w:rPr>
              <w:t>An analysis of the borrowings is as follows: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8000" w:type="dxa"/>
            <w:vAlign w:val="bottom"/>
          </w:tcPr>
          <w:p>
            <w:pPr>
              <w:spacing w:after="0"/>
              <w:rPr>
                <w:sz w:val="24"/>
                <w:szCs w:val="24"/>
                <w:color w:val="auto"/>
              </w:rPr>
            </w:pPr>
          </w:p>
        </w:tc>
        <w:tc>
          <w:tcPr>
            <w:tcW w:w="222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December 31, 2018</w:t>
            </w:r>
          </w:p>
        </w:tc>
        <w:tc>
          <w:tcPr>
            <w:tcW w:w="1720" w:type="dxa"/>
            <w:vAlign w:val="bottom"/>
            <w:gridSpan w:val="2"/>
          </w:tcPr>
          <w:p>
            <w:pPr>
              <w:ind w:left="340"/>
              <w:spacing w:after="0"/>
              <w:rPr>
                <w:sz w:val="20"/>
                <w:szCs w:val="20"/>
                <w:color w:val="auto"/>
              </w:rPr>
            </w:pPr>
            <w:r>
              <w:rPr>
                <w:rFonts w:ascii="Arial" w:cs="Arial" w:eastAsia="Arial" w:hAnsi="Arial"/>
                <w:sz w:val="17"/>
                <w:szCs w:val="17"/>
                <w:b w:val="1"/>
                <w:bCs w:val="1"/>
                <w:color w:val="auto"/>
              </w:rPr>
              <w:t>June 30, 2019</w:t>
            </w:r>
          </w:p>
        </w:tc>
      </w:tr>
      <w:tr>
        <w:trPr>
          <w:trHeight w:val="212"/>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Amounts due within one year</w:t>
            </w:r>
          </w:p>
        </w:tc>
        <w:tc>
          <w:tcPr>
            <w:tcW w:w="19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531,209</w:t>
            </w:r>
          </w:p>
        </w:tc>
        <w:tc>
          <w:tcPr>
            <w:tcW w:w="300" w:type="dxa"/>
            <w:vAlign w:val="bottom"/>
            <w:tcBorders>
              <w:top w:val="single" w:sz="8" w:color="E5FFFF"/>
            </w:tcBorders>
            <w:shd w:val="clear" w:color="auto" w:fill="E5FFFF"/>
          </w:tcPr>
          <w:p>
            <w:pPr>
              <w:spacing w:after="0"/>
              <w:rPr>
                <w:sz w:val="18"/>
                <w:szCs w:val="18"/>
                <w:color w:val="auto"/>
              </w:rPr>
            </w:pPr>
          </w:p>
        </w:tc>
        <w:tc>
          <w:tcPr>
            <w:tcW w:w="1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207,747</w:t>
            </w:r>
          </w:p>
        </w:tc>
        <w:tc>
          <w:tcPr>
            <w:tcW w:w="60" w:type="dxa"/>
            <w:vAlign w:val="bottom"/>
          </w:tcPr>
          <w:p>
            <w:pPr>
              <w:spacing w:after="0"/>
              <w:rPr>
                <w:sz w:val="18"/>
                <w:szCs w:val="18"/>
                <w:color w:val="auto"/>
              </w:rPr>
            </w:pPr>
          </w:p>
        </w:tc>
      </w:tr>
      <w:tr>
        <w:trPr>
          <w:trHeight w:val="214"/>
        </w:trPr>
        <w:tc>
          <w:tcPr>
            <w:tcW w:w="8000" w:type="dxa"/>
            <w:vAlign w:val="bottom"/>
          </w:tcPr>
          <w:p>
            <w:pPr>
              <w:spacing w:after="0"/>
              <w:rPr>
                <w:sz w:val="20"/>
                <w:szCs w:val="20"/>
                <w:color w:val="auto"/>
              </w:rPr>
            </w:pPr>
            <w:r>
              <w:rPr>
                <w:rFonts w:ascii="Arial" w:cs="Arial" w:eastAsia="Arial" w:hAnsi="Arial"/>
                <w:sz w:val="17"/>
                <w:szCs w:val="17"/>
                <w:color w:val="auto"/>
              </w:rPr>
              <w:t>Less: unamortized deferred loan/bond issuance costs</w:t>
            </w:r>
          </w:p>
        </w:tc>
        <w:tc>
          <w:tcPr>
            <w:tcW w:w="2220" w:type="dxa"/>
            <w:vAlign w:val="bottom"/>
            <w:gridSpan w:val="2"/>
          </w:tcPr>
          <w:p>
            <w:pPr>
              <w:jc w:val="right"/>
              <w:ind w:right="240"/>
              <w:spacing w:after="0"/>
              <w:rPr>
                <w:sz w:val="20"/>
                <w:szCs w:val="20"/>
                <w:color w:val="auto"/>
              </w:rPr>
            </w:pPr>
            <w:r>
              <w:rPr>
                <w:rFonts w:ascii="Arial" w:cs="Arial" w:eastAsia="Arial" w:hAnsi="Arial"/>
                <w:sz w:val="17"/>
                <w:szCs w:val="17"/>
                <w:color w:val="auto"/>
              </w:rPr>
              <w:t>(10,659)</w:t>
            </w:r>
          </w:p>
        </w:tc>
        <w:tc>
          <w:tcPr>
            <w:tcW w:w="1660" w:type="dxa"/>
            <w:vAlign w:val="bottom"/>
          </w:tcPr>
          <w:p>
            <w:pPr>
              <w:jc w:val="right"/>
              <w:spacing w:after="0"/>
              <w:rPr>
                <w:sz w:val="20"/>
                <w:szCs w:val="20"/>
                <w:color w:val="auto"/>
              </w:rPr>
            </w:pPr>
            <w:r>
              <w:rPr>
                <w:rFonts w:ascii="Arial" w:cs="Arial" w:eastAsia="Arial" w:hAnsi="Arial"/>
                <w:sz w:val="17"/>
                <w:szCs w:val="17"/>
                <w:color w:val="auto"/>
              </w:rPr>
              <w:t>(11,143)</w:t>
            </w:r>
          </w:p>
        </w:tc>
        <w:tc>
          <w:tcPr>
            <w:tcW w:w="60" w:type="dxa"/>
            <w:vAlign w:val="bottom"/>
          </w:tcPr>
          <w:p>
            <w:pPr>
              <w:spacing w:after="0"/>
              <w:rPr>
                <w:sz w:val="18"/>
                <w:szCs w:val="18"/>
                <w:color w:val="auto"/>
              </w:rPr>
            </w:pPr>
          </w:p>
        </w:tc>
      </w:tr>
      <w:tr>
        <w:trPr>
          <w:trHeight w:val="208"/>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Borrowings, current portion</w:t>
            </w: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520,550</w:t>
            </w:r>
          </w:p>
        </w:tc>
        <w:tc>
          <w:tcPr>
            <w:tcW w:w="300" w:type="dxa"/>
            <w:vAlign w:val="bottom"/>
            <w:tcBorders>
              <w:top w:val="single" w:sz="8" w:color="E5FFFF"/>
            </w:tcBorders>
            <w:shd w:val="clear" w:color="auto" w:fill="E5FFFF"/>
          </w:tcPr>
          <w:p>
            <w:pPr>
              <w:spacing w:after="0"/>
              <w:rPr>
                <w:sz w:val="18"/>
                <w:szCs w:val="18"/>
                <w:color w:val="auto"/>
              </w:rPr>
            </w:pP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196,604</w:t>
            </w:r>
          </w:p>
        </w:tc>
        <w:tc>
          <w:tcPr>
            <w:tcW w:w="60" w:type="dxa"/>
            <w:vAlign w:val="bottom"/>
          </w:tcPr>
          <w:p>
            <w:pPr>
              <w:spacing w:after="0"/>
              <w:rPr>
                <w:sz w:val="18"/>
                <w:szCs w:val="18"/>
                <w:color w:val="auto"/>
              </w:rPr>
            </w:pPr>
          </w:p>
        </w:tc>
      </w:tr>
      <w:tr>
        <w:trPr>
          <w:trHeight w:val="208"/>
        </w:trPr>
        <w:tc>
          <w:tcPr>
            <w:tcW w:w="8000" w:type="dxa"/>
            <w:vAlign w:val="bottom"/>
          </w:tcPr>
          <w:p>
            <w:pPr>
              <w:spacing w:after="0"/>
              <w:rPr>
                <w:sz w:val="20"/>
                <w:szCs w:val="20"/>
                <w:color w:val="auto"/>
              </w:rPr>
            </w:pPr>
            <w:r>
              <w:rPr>
                <w:rFonts w:ascii="Arial" w:cs="Arial" w:eastAsia="Arial" w:hAnsi="Arial"/>
                <w:sz w:val="17"/>
                <w:szCs w:val="17"/>
                <w:color w:val="auto"/>
              </w:rPr>
              <w:t>Amounts due after one year</w:t>
            </w:r>
          </w:p>
        </w:tc>
        <w:tc>
          <w:tcPr>
            <w:tcW w:w="1920" w:type="dxa"/>
            <w:vAlign w:val="bottom"/>
          </w:tcPr>
          <w:p>
            <w:pPr>
              <w:jc w:val="right"/>
              <w:spacing w:after="0"/>
              <w:rPr>
                <w:sz w:val="20"/>
                <w:szCs w:val="20"/>
                <w:color w:val="auto"/>
              </w:rPr>
            </w:pPr>
            <w:r>
              <w:rPr>
                <w:rFonts w:ascii="Arial" w:cs="Arial" w:eastAsia="Arial" w:hAnsi="Arial"/>
                <w:sz w:val="17"/>
                <w:szCs w:val="17"/>
                <w:color w:val="auto"/>
              </w:rPr>
              <w:t>2,344,389</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2,899,907</w:t>
            </w:r>
          </w:p>
        </w:tc>
        <w:tc>
          <w:tcPr>
            <w:tcW w:w="60" w:type="dxa"/>
            <w:vAlign w:val="bottom"/>
          </w:tcPr>
          <w:p>
            <w:pPr>
              <w:spacing w:after="0"/>
              <w:rPr>
                <w:sz w:val="18"/>
                <w:szCs w:val="18"/>
                <w:color w:val="auto"/>
              </w:rPr>
            </w:pPr>
          </w:p>
        </w:tc>
      </w:tr>
      <w:tr>
        <w:trPr>
          <w:trHeight w:val="214"/>
        </w:trPr>
        <w:tc>
          <w:tcPr>
            <w:tcW w:w="8000" w:type="dxa"/>
            <w:vAlign w:val="bottom"/>
            <w:shd w:val="clear" w:color="auto" w:fill="E5FFFF"/>
          </w:tcPr>
          <w:p>
            <w:pPr>
              <w:spacing w:after="0"/>
              <w:rPr>
                <w:sz w:val="20"/>
                <w:szCs w:val="20"/>
                <w:color w:val="auto"/>
              </w:rPr>
            </w:pPr>
            <w:r>
              <w:rPr>
                <w:rFonts w:ascii="Arial" w:cs="Arial" w:eastAsia="Arial" w:hAnsi="Arial"/>
                <w:sz w:val="17"/>
                <w:szCs w:val="17"/>
                <w:color w:val="auto"/>
              </w:rPr>
              <w:t>Plus: unamortized premium</w:t>
            </w:r>
          </w:p>
        </w:tc>
        <w:tc>
          <w:tcPr>
            <w:tcW w:w="222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w:t>
            </w:r>
          </w:p>
        </w:tc>
        <w:tc>
          <w:tcPr>
            <w:tcW w:w="16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1,791</w:t>
            </w:r>
          </w:p>
        </w:tc>
        <w:tc>
          <w:tcPr>
            <w:tcW w:w="60" w:type="dxa"/>
            <w:vAlign w:val="bottom"/>
          </w:tcPr>
          <w:p>
            <w:pPr>
              <w:spacing w:after="0"/>
              <w:rPr>
                <w:sz w:val="18"/>
                <w:szCs w:val="18"/>
                <w:color w:val="auto"/>
              </w:rPr>
            </w:pPr>
          </w:p>
        </w:tc>
      </w:tr>
      <w:tr>
        <w:trPr>
          <w:trHeight w:val="214"/>
        </w:trPr>
        <w:tc>
          <w:tcPr>
            <w:tcW w:w="8000" w:type="dxa"/>
            <w:vAlign w:val="bottom"/>
          </w:tcPr>
          <w:p>
            <w:pPr>
              <w:spacing w:after="0"/>
              <w:rPr>
                <w:sz w:val="20"/>
                <w:szCs w:val="20"/>
                <w:color w:val="auto"/>
              </w:rPr>
            </w:pPr>
            <w:r>
              <w:rPr>
                <w:rFonts w:ascii="Arial" w:cs="Arial" w:eastAsia="Arial" w:hAnsi="Arial"/>
                <w:sz w:val="17"/>
                <w:szCs w:val="17"/>
                <w:color w:val="auto"/>
              </w:rPr>
              <w:t>Less: unamortized deferred loan/bond issuance costs</w:t>
            </w:r>
          </w:p>
        </w:tc>
        <w:tc>
          <w:tcPr>
            <w:tcW w:w="2220" w:type="dxa"/>
            <w:vAlign w:val="bottom"/>
            <w:gridSpan w:val="2"/>
          </w:tcPr>
          <w:p>
            <w:pPr>
              <w:jc w:val="right"/>
              <w:ind w:right="240"/>
              <w:spacing w:after="0"/>
              <w:rPr>
                <w:sz w:val="20"/>
                <w:szCs w:val="20"/>
                <w:color w:val="auto"/>
              </w:rPr>
            </w:pPr>
            <w:r>
              <w:rPr>
                <w:rFonts w:ascii="Arial" w:cs="Arial" w:eastAsia="Arial" w:hAnsi="Arial"/>
                <w:sz w:val="17"/>
                <w:szCs w:val="17"/>
                <w:color w:val="auto"/>
              </w:rPr>
              <w:t>(36,480)</w:t>
            </w:r>
          </w:p>
        </w:tc>
        <w:tc>
          <w:tcPr>
            <w:tcW w:w="1660" w:type="dxa"/>
            <w:vAlign w:val="bottom"/>
          </w:tcPr>
          <w:p>
            <w:pPr>
              <w:jc w:val="right"/>
              <w:spacing w:after="0"/>
              <w:rPr>
                <w:sz w:val="20"/>
                <w:szCs w:val="20"/>
                <w:color w:val="auto"/>
              </w:rPr>
            </w:pPr>
            <w:r>
              <w:rPr>
                <w:rFonts w:ascii="Arial" w:cs="Arial" w:eastAsia="Arial" w:hAnsi="Arial"/>
                <w:sz w:val="17"/>
                <w:szCs w:val="17"/>
                <w:color w:val="auto"/>
              </w:rPr>
              <w:t>(42,340)</w:t>
            </w:r>
          </w:p>
        </w:tc>
        <w:tc>
          <w:tcPr>
            <w:tcW w:w="60" w:type="dxa"/>
            <w:vAlign w:val="bottom"/>
          </w:tcPr>
          <w:p>
            <w:pPr>
              <w:spacing w:after="0"/>
              <w:rPr>
                <w:sz w:val="18"/>
                <w:szCs w:val="18"/>
                <w:color w:val="auto"/>
              </w:rPr>
            </w:pPr>
          </w:p>
        </w:tc>
      </w:tr>
      <w:tr>
        <w:trPr>
          <w:trHeight w:val="208"/>
        </w:trPr>
        <w:tc>
          <w:tcPr>
            <w:tcW w:w="80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Borrowings, non-current portion</w:t>
            </w:r>
          </w:p>
        </w:tc>
        <w:tc>
          <w:tcPr>
            <w:tcW w:w="19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2,307,909</w:t>
            </w:r>
          </w:p>
        </w:tc>
        <w:tc>
          <w:tcPr>
            <w:tcW w:w="300" w:type="dxa"/>
            <w:vAlign w:val="bottom"/>
            <w:tcBorders>
              <w:top w:val="single" w:sz="8" w:color="E5FFFF"/>
            </w:tcBorders>
            <w:shd w:val="clear" w:color="auto" w:fill="E5FFFF"/>
          </w:tcPr>
          <w:p>
            <w:pPr>
              <w:spacing w:after="0"/>
              <w:rPr>
                <w:sz w:val="18"/>
                <w:szCs w:val="18"/>
                <w:color w:val="auto"/>
              </w:rPr>
            </w:pPr>
          </w:p>
        </w:tc>
        <w:tc>
          <w:tcPr>
            <w:tcW w:w="16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2,859,358</w:t>
            </w:r>
          </w:p>
        </w:tc>
        <w:tc>
          <w:tcPr>
            <w:tcW w:w="60" w:type="dxa"/>
            <w:vAlign w:val="bottom"/>
          </w:tcPr>
          <w:p>
            <w:pPr>
              <w:spacing w:after="0"/>
              <w:rPr>
                <w:sz w:val="18"/>
                <w:szCs w:val="18"/>
                <w:color w:val="auto"/>
              </w:rPr>
            </w:pPr>
          </w:p>
        </w:tc>
      </w:tr>
      <w:tr>
        <w:trPr>
          <w:trHeight w:val="208"/>
        </w:trPr>
        <w:tc>
          <w:tcPr>
            <w:tcW w:w="80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2,828,459</w:t>
            </w:r>
          </w:p>
        </w:tc>
        <w:tc>
          <w:tcPr>
            <w:tcW w:w="3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3,055,962</w:t>
            </w:r>
          </w:p>
        </w:tc>
        <w:tc>
          <w:tcPr>
            <w:tcW w:w="6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Bank Loans</w:t>
      </w:r>
    </w:p>
    <w:p>
      <w:pPr>
        <w:spacing w:after="0" w:line="247" w:lineRule="exact"/>
        <w:rPr>
          <w:sz w:val="20"/>
          <w:szCs w:val="20"/>
          <w:color w:val="auto"/>
        </w:rPr>
      </w:pPr>
    </w:p>
    <w:p>
      <w:pPr>
        <w:ind w:right="220" w:firstLine="405"/>
        <w:spacing w:after="0" w:line="288" w:lineRule="auto"/>
        <w:rPr>
          <w:sz w:val="20"/>
          <w:szCs w:val="20"/>
          <w:color w:val="auto"/>
        </w:rPr>
      </w:pPr>
      <w:r>
        <w:rPr>
          <w:rFonts w:ascii="Arial" w:cs="Arial" w:eastAsia="Arial" w:hAnsi="Arial"/>
          <w:sz w:val="17"/>
          <w:szCs w:val="17"/>
          <w:color w:val="auto"/>
        </w:rPr>
        <w:t>The main terms of the Group’s loan facilities in existence as of December 31, 2018 have been disclosed in the annual audited consolidated financial statements for the year ended December 31, 2018. Refer to Note 13 “Borrowings”.</w:t>
      </w:r>
    </w:p>
    <w:p>
      <w:pPr>
        <w:spacing w:after="0" w:line="187" w:lineRule="exact"/>
        <w:rPr>
          <w:sz w:val="20"/>
          <w:szCs w:val="20"/>
          <w:color w:val="auto"/>
        </w:rPr>
      </w:pPr>
    </w:p>
    <w:p>
      <w:pPr>
        <w:ind w:right="60" w:firstLine="405"/>
        <w:spacing w:after="0" w:line="288" w:lineRule="auto"/>
        <w:rPr>
          <w:sz w:val="20"/>
          <w:szCs w:val="20"/>
          <w:color w:val="auto"/>
        </w:rPr>
      </w:pPr>
      <w:r>
        <w:rPr>
          <w:rFonts w:ascii="Arial" w:cs="Arial" w:eastAsia="Arial" w:hAnsi="Arial"/>
          <w:sz w:val="17"/>
          <w:szCs w:val="17"/>
          <w:color w:val="auto"/>
        </w:rPr>
        <w:t xml:space="preserve">During the six months ended June 30, 2019, the Group drew down $165,805 to partially finance the delivery of the </w:t>
      </w:r>
      <w:r>
        <w:rPr>
          <w:rFonts w:ascii="Arial" w:cs="Arial" w:eastAsia="Arial" w:hAnsi="Arial"/>
          <w:sz w:val="17"/>
          <w:szCs w:val="17"/>
          <w:i w:val="1"/>
          <w:iCs w:val="1"/>
          <w:color w:val="auto"/>
        </w:rPr>
        <w:t>GasLog Gladstone</w:t>
      </w:r>
      <w:r>
        <w:rPr>
          <w:rFonts w:ascii="Arial" w:cs="Arial" w:eastAsia="Arial" w:hAnsi="Arial"/>
          <w:sz w:val="17"/>
          <w:szCs w:val="17"/>
          <w:color w:val="auto"/>
        </w:rPr>
        <w:t xml:space="preserve"> and repaid $91,229 in accordance with the repayment terms under its loan facilities.</w:t>
      </w:r>
    </w:p>
    <w:p>
      <w:pPr>
        <w:spacing w:after="0" w:line="10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u w:val="single" w:color="auto"/>
          <w:color w:val="auto"/>
        </w:rPr>
        <w:t>2019 Partnership Facility</w:t>
      </w:r>
    </w:p>
    <w:p>
      <w:pPr>
        <w:spacing w:after="0" w:line="161" w:lineRule="exact"/>
        <w:rPr>
          <w:sz w:val="20"/>
          <w:szCs w:val="20"/>
          <w:color w:val="auto"/>
        </w:rPr>
      </w:pPr>
    </w:p>
    <w:p>
      <w:pPr>
        <w:ind w:right="20" w:firstLine="428"/>
        <w:spacing w:after="0" w:line="309" w:lineRule="auto"/>
        <w:rPr>
          <w:sz w:val="20"/>
          <w:szCs w:val="20"/>
          <w:color w:val="auto"/>
        </w:rPr>
      </w:pPr>
      <w:r>
        <w:rPr>
          <w:rFonts w:ascii="Arial" w:cs="Arial" w:eastAsia="Arial" w:hAnsi="Arial"/>
          <w:sz w:val="15"/>
          <w:szCs w:val="15"/>
          <w:color w:val="auto"/>
        </w:rPr>
        <w:t xml:space="preserve">On February 20, 2019, GAS-three Ltd., GAS-four Ltd., GAS-five Ltd., GAS-sixteen Ltd., GAS-seventeen Ltd., GasLog Partners and GasLog Partners Holdings LLC entered into a loan agreement with Credit Suisse AG, Nordea Bank Abp, filial i Norge (“Nordea”) and Iyo Bank Ltd., Singapore Branch, each an original lender and Nordea acting as security agent and trustee for and on behalf of the other finance parties mentioned above, for a credit facility for up to $450,000 (the “2019 Partnership Facility”) for the purpose of refinancing in full the existing facility agreement dated November 12, 2014, with Citibank N.A., London Branch, acting as security agent and trustee (the “Existing Partnership Facility”). Subsequently on the same date, the Development Bank of Japan, Inc. entered the facility as lender via transfer certificate. The vessels covered by the 2019 Partnership Facility are the </w:t>
      </w:r>
      <w:r>
        <w:rPr>
          <w:rFonts w:ascii="Arial" w:cs="Arial" w:eastAsia="Arial" w:hAnsi="Arial"/>
          <w:sz w:val="15"/>
          <w:szCs w:val="15"/>
          <w:i w:val="1"/>
          <w:iCs w:val="1"/>
          <w:color w:val="auto"/>
        </w:rPr>
        <w:t>GasLog Shanghai</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Santiago</w:t>
      </w:r>
      <w:r>
        <w:rPr>
          <w:rFonts w:ascii="Arial" w:cs="Arial" w:eastAsia="Arial" w:hAnsi="Arial"/>
          <w:sz w:val="15"/>
          <w:szCs w:val="15"/>
          <w:color w:val="auto"/>
        </w:rPr>
        <w:t xml:space="preserve">, the </w:t>
      </w:r>
      <w:r>
        <w:rPr>
          <w:rFonts w:ascii="Arial" w:cs="Arial" w:eastAsia="Arial" w:hAnsi="Arial"/>
          <w:sz w:val="15"/>
          <w:szCs w:val="15"/>
          <w:i w:val="1"/>
          <w:iCs w:val="1"/>
          <w:color w:val="auto"/>
        </w:rPr>
        <w:t>GasLog Sydney</w:t>
      </w:r>
      <w:r>
        <w:rPr>
          <w:rFonts w:ascii="Arial" w:cs="Arial" w:eastAsia="Arial" w:hAnsi="Arial"/>
          <w:sz w:val="15"/>
          <w:szCs w:val="15"/>
          <w:color w:val="auto"/>
        </w:rPr>
        <w:t xml:space="preserve">, the </w:t>
      </w:r>
      <w:r>
        <w:rPr>
          <w:rFonts w:ascii="Arial" w:cs="Arial" w:eastAsia="Arial" w:hAnsi="Arial"/>
          <w:sz w:val="15"/>
          <w:szCs w:val="15"/>
          <w:i w:val="1"/>
          <w:iCs w:val="1"/>
          <w:color w:val="auto"/>
        </w:rPr>
        <w:t>Methane Rita Andrea</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Methane Jane Elizabeth</w:t>
      </w:r>
      <w:r>
        <w:rPr>
          <w:rFonts w:ascii="Arial" w:cs="Arial" w:eastAsia="Arial" w:hAnsi="Arial"/>
          <w:sz w:val="15"/>
          <w:szCs w:val="15"/>
          <w:color w:val="auto"/>
        </w:rPr>
        <w:t>.</w:t>
      </w:r>
    </w:p>
    <w:p>
      <w:pPr>
        <w:spacing w:after="0" w:line="179" w:lineRule="exact"/>
        <w:rPr>
          <w:sz w:val="20"/>
          <w:szCs w:val="20"/>
          <w:color w:val="auto"/>
        </w:rPr>
      </w:pPr>
    </w:p>
    <w:p>
      <w:pPr>
        <w:ind w:right="100" w:firstLine="428"/>
        <w:spacing w:after="0" w:line="271" w:lineRule="auto"/>
        <w:rPr>
          <w:sz w:val="20"/>
          <w:szCs w:val="20"/>
          <w:color w:val="auto"/>
        </w:rPr>
      </w:pPr>
      <w:r>
        <w:rPr>
          <w:rFonts w:ascii="Arial" w:cs="Arial" w:eastAsia="Arial" w:hAnsi="Arial"/>
          <w:sz w:val="17"/>
          <w:szCs w:val="17"/>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London Interbank Offered Rate (“LIBOR”) plus a margin.</w:t>
      </w:r>
    </w:p>
    <w:p>
      <w:pPr>
        <w:spacing w:after="0" w:line="201" w:lineRule="exact"/>
        <w:rPr>
          <w:sz w:val="20"/>
          <w:szCs w:val="20"/>
          <w:color w:val="auto"/>
        </w:rPr>
      </w:pPr>
    </w:p>
    <w:p>
      <w:pPr>
        <w:ind w:firstLine="428"/>
        <w:spacing w:after="0" w:line="300" w:lineRule="auto"/>
        <w:rPr>
          <w:sz w:val="20"/>
          <w:szCs w:val="20"/>
          <w:color w:val="auto"/>
        </w:rPr>
      </w:pPr>
      <w:r>
        <w:rPr>
          <w:rFonts w:ascii="Arial" w:cs="Arial" w:eastAsia="Arial" w:hAnsi="Arial"/>
          <w:sz w:val="16"/>
          <w:szCs w:val="16"/>
          <w:color w:val="auto"/>
        </w:rPr>
        <w:t xml:space="preserve">The obligations under the 2019 Partnership Facility are secured by a first priority mortgage over the vessels, a pledge of the share capital of the respective vessel-owning companies and a first priority assignment of earnings related to the vessels (excluding the </w:t>
      </w:r>
      <w:r>
        <w:rPr>
          <w:rFonts w:ascii="Arial" w:cs="Arial" w:eastAsia="Arial" w:hAnsi="Arial"/>
          <w:sz w:val="16"/>
          <w:szCs w:val="16"/>
          <w:i w:val="1"/>
          <w:iCs w:val="1"/>
          <w:color w:val="auto"/>
        </w:rPr>
        <w:t>GasLog Shanghai</w:t>
      </w:r>
      <w:r>
        <w:rPr>
          <w:rFonts w:ascii="Arial" w:cs="Arial" w:eastAsia="Arial" w:hAnsi="Arial"/>
          <w:sz w:val="16"/>
          <w:szCs w:val="16"/>
          <w:color w:val="auto"/>
        </w:rPr>
        <w:t>), including charter revenue, management revenue and any insurance and requisition compensation. The obligations under the facility are guaranteed by the Partnership and GasLog Partners Holdings LLC.</w:t>
      </w:r>
    </w:p>
    <w:p>
      <w:pPr>
        <w:spacing w:after="0" w:line="180" w:lineRule="exact"/>
        <w:rPr>
          <w:sz w:val="20"/>
          <w:szCs w:val="20"/>
          <w:color w:val="auto"/>
        </w:rPr>
      </w:pPr>
    </w:p>
    <w:p>
      <w:pPr>
        <w:ind w:right="280" w:firstLine="428"/>
        <w:spacing w:after="0" w:line="288" w:lineRule="auto"/>
        <w:rPr>
          <w:sz w:val="20"/>
          <w:szCs w:val="20"/>
          <w:color w:val="auto"/>
        </w:rPr>
      </w:pPr>
      <w:r>
        <w:rPr>
          <w:rFonts w:ascii="Arial" w:cs="Arial" w:eastAsia="Arial" w:hAnsi="Arial"/>
          <w:sz w:val="17"/>
          <w:szCs w:val="17"/>
          <w:color w:val="auto"/>
        </w:rPr>
        <w:t>The 2019 Partnership Facility is subject to specified financial covenants that apply to GasLog Partners on a consolidated basis. These financial covenants include the following:</w:t>
      </w:r>
    </w:p>
    <w:p>
      <w:pPr>
        <w:spacing w:after="0" w:line="201" w:lineRule="exact"/>
        <w:rPr>
          <w:sz w:val="20"/>
          <w:szCs w:val="20"/>
          <w:color w:val="auto"/>
        </w:rPr>
      </w:pPr>
    </w:p>
    <w:p>
      <w:pPr>
        <w:ind w:left="380" w:right="200" w:hanging="340"/>
        <w:spacing w:after="0" w:line="249" w:lineRule="auto"/>
        <w:tabs>
          <w:tab w:leader="none" w:pos="386" w:val="left"/>
        </w:tabs>
        <w:numPr>
          <w:ilvl w:val="0"/>
          <w:numId w:val="17"/>
        </w:numPr>
        <w:rPr>
          <w:rFonts w:ascii="Arial" w:cs="Arial" w:eastAsia="Arial" w:hAnsi="Arial"/>
          <w:sz w:val="19"/>
          <w:szCs w:val="19"/>
          <w:color w:val="auto"/>
        </w:rPr>
      </w:pPr>
      <w:r>
        <w:rPr>
          <w:rFonts w:ascii="Arial" w:cs="Arial" w:eastAsia="Arial" w:hAnsi="Arial"/>
          <w:sz w:val="17"/>
          <w:szCs w:val="17"/>
          <w:color w:val="auto"/>
        </w:rPr>
        <w:t>the aggregate amount of cash and cash equivalents, short-term investments and available undrawn facilities with remaining maturities of at least six months must be at least $45,000;</w:t>
      </w:r>
    </w:p>
    <w:p>
      <w:pPr>
        <w:spacing w:after="0" w:line="10" w:lineRule="exact"/>
        <w:rPr>
          <w:rFonts w:ascii="Arial" w:cs="Arial" w:eastAsia="Arial" w:hAnsi="Arial"/>
          <w:sz w:val="19"/>
          <w:szCs w:val="19"/>
          <w:color w:val="auto"/>
        </w:rPr>
      </w:pPr>
    </w:p>
    <w:p>
      <w:pPr>
        <w:ind w:left="380" w:hanging="340"/>
        <w:spacing w:after="0"/>
        <w:tabs>
          <w:tab w:leader="none" w:pos="380" w:val="left"/>
        </w:tabs>
        <w:numPr>
          <w:ilvl w:val="0"/>
          <w:numId w:val="17"/>
        </w:numPr>
        <w:rPr>
          <w:rFonts w:ascii="Arial" w:cs="Arial" w:eastAsia="Arial" w:hAnsi="Arial"/>
          <w:sz w:val="19"/>
          <w:szCs w:val="19"/>
          <w:color w:val="auto"/>
        </w:rPr>
      </w:pPr>
      <w:r>
        <w:rPr>
          <w:rFonts w:ascii="Arial" w:cs="Arial" w:eastAsia="Arial" w:hAnsi="Arial"/>
          <w:sz w:val="17"/>
          <w:szCs w:val="17"/>
          <w:color w:val="auto"/>
        </w:rPr>
        <w:t>total indebtedness divided by total assets must be less than 65.0%; and</w:t>
      </w:r>
    </w:p>
    <w:p>
      <w:pPr>
        <w:spacing w:after="0" w:line="11" w:lineRule="exact"/>
        <w:rPr>
          <w:rFonts w:ascii="Arial" w:cs="Arial" w:eastAsia="Arial" w:hAnsi="Arial"/>
          <w:sz w:val="19"/>
          <w:szCs w:val="19"/>
          <w:color w:val="auto"/>
        </w:rPr>
      </w:pPr>
    </w:p>
    <w:p>
      <w:pPr>
        <w:ind w:left="380" w:right="60" w:hanging="340"/>
        <w:spacing w:after="0" w:line="260" w:lineRule="auto"/>
        <w:tabs>
          <w:tab w:leader="none" w:pos="386" w:val="left"/>
        </w:tabs>
        <w:numPr>
          <w:ilvl w:val="0"/>
          <w:numId w:val="17"/>
        </w:numPr>
        <w:rPr>
          <w:rFonts w:ascii="Arial" w:cs="Arial" w:eastAsia="Arial" w:hAnsi="Arial"/>
          <w:sz w:val="19"/>
          <w:szCs w:val="19"/>
          <w:color w:val="auto"/>
        </w:rPr>
      </w:pPr>
      <w:r>
        <w:rPr>
          <w:rFonts w:ascii="Arial" w:cs="Arial" w:eastAsia="Arial" w:hAnsi="Arial"/>
          <w:sz w:val="17"/>
          <w:szCs w:val="17"/>
          <w:color w:val="auto"/>
        </w:rPr>
        <w:t>the Partnership is permitted to declare or pay any dividends or distributions, subject to no event of default having occurred or occurring as a consequence of the payment of such dividends or distributions.</w:t>
      </w:r>
    </w:p>
    <w:p>
      <w:pPr>
        <w:spacing w:after="0" w:line="208" w:lineRule="exact"/>
        <w:rPr>
          <w:sz w:val="20"/>
          <w:szCs w:val="20"/>
          <w:color w:val="auto"/>
        </w:rPr>
      </w:pPr>
    </w:p>
    <w:p>
      <w:pPr>
        <w:ind w:right="20" w:firstLine="428"/>
        <w:spacing w:after="0" w:line="269" w:lineRule="auto"/>
        <w:rPr>
          <w:sz w:val="20"/>
          <w:szCs w:val="20"/>
          <w:color w:val="auto"/>
        </w:rPr>
      </w:pPr>
      <w:r>
        <w:rPr>
          <w:rFonts w:ascii="Arial" w:cs="Arial" w:eastAsia="Arial" w:hAnsi="Arial"/>
          <w:sz w:val="17"/>
          <w:szCs w:val="17"/>
          <w:color w:val="auto"/>
        </w:rPr>
        <w:t>The 2019 Partnership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2019 Partnership Facility contains covenants requiring us and certain of our subsidiaries to maintain the aggregate of (i) the market value, on a charter exclusive basis, of the mortgaged vessel or vessels and (ii) the market value of any additional security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8" w:right="120" w:bottom="1440" w:gutter="0" w:footer="0" w:header="0"/>
        </w:sectPr>
      </w:pPr>
    </w:p>
    <w:bookmarkStart w:id="39" w:name="page40"/>
    <w:bookmarkEnd w:id="39"/>
    <w:p>
      <w:pPr>
        <w:ind w:left="6" w:right="100"/>
        <w:spacing w:after="0" w:line="275" w:lineRule="auto"/>
        <w:rPr>
          <w:sz w:val="20"/>
          <w:szCs w:val="20"/>
          <w:color w:val="auto"/>
        </w:rPr>
      </w:pPr>
      <w:r>
        <w:rPr>
          <w:rFonts w:ascii="Arial" w:cs="Arial" w:eastAsia="Arial" w:hAnsi="Arial"/>
          <w:sz w:val="17"/>
          <w:szCs w:val="17"/>
          <w:color w:val="auto"/>
        </w:rPr>
        <w:t>provided to the lenders, at a total value not less than 120.0% of the then-outstanding amount under the facility. If GasLog Partners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98" w:lineRule="exact"/>
        <w:rPr>
          <w:sz w:val="20"/>
          <w:szCs w:val="20"/>
          <w:color w:val="auto"/>
        </w:rPr>
      </w:pPr>
    </w:p>
    <w:p>
      <w:pPr>
        <w:ind w:left="6" w:right="220" w:firstLine="428"/>
        <w:spacing w:after="0" w:line="288" w:lineRule="auto"/>
        <w:rPr>
          <w:sz w:val="20"/>
          <w:szCs w:val="20"/>
          <w:color w:val="auto"/>
        </w:rPr>
      </w:pPr>
      <w:r>
        <w:rPr>
          <w:rFonts w:ascii="Arial" w:cs="Arial" w:eastAsia="Arial" w:hAnsi="Arial"/>
          <w:sz w:val="17"/>
          <w:szCs w:val="17"/>
          <w:color w:val="auto"/>
        </w:rPr>
        <w:t>The 2019 Partnership Facility also imposes certain restrictions relating to the Partnership, including restrictions that limit its ability to make any substantial change in the nature of its business or to the partnership structure without approval from the lenders.</w:t>
      </w:r>
    </w:p>
    <w:p>
      <w:pPr>
        <w:spacing w:after="0" w:line="187" w:lineRule="exact"/>
        <w:rPr>
          <w:sz w:val="20"/>
          <w:szCs w:val="20"/>
          <w:color w:val="auto"/>
        </w:rPr>
      </w:pPr>
    </w:p>
    <w:p>
      <w:pPr>
        <w:ind w:left="6" w:right="200" w:firstLine="428"/>
        <w:spacing w:after="0" w:line="271" w:lineRule="auto"/>
        <w:rPr>
          <w:sz w:val="20"/>
          <w:szCs w:val="20"/>
          <w:color w:val="auto"/>
        </w:rPr>
      </w:pPr>
      <w:r>
        <w:rPr>
          <w:rFonts w:ascii="Arial" w:cs="Arial" w:eastAsia="Arial" w:hAnsi="Arial"/>
          <w:sz w:val="17"/>
          <w:szCs w:val="17"/>
          <w:color w:val="auto"/>
        </w:rPr>
        <w:t>On March 6, 2019, the Partnership drew down $360,000 under the 2019 Partnership Facility, out of which $354,375 was used to prepay the outstanding debt of GAS-three Ltd., GAS-four Ltd., GAS-five Ltd., GAS-sixteen Ltd. and GAS-seventeen Ltd., which would have been due in November 2019. On March 7, 2019, the Existing Partnership Facility was terminated and the respective unamortized loan fees of $988 were written-off to profit or loss. On April 1, 2019, the Partnership drew down an additional $75,000 under the 2019 Partnership Facility.</w:t>
      </w:r>
    </w:p>
    <w:p>
      <w:pPr>
        <w:spacing w:after="0" w:line="201" w:lineRule="exact"/>
        <w:rPr>
          <w:sz w:val="20"/>
          <w:szCs w:val="20"/>
          <w:color w:val="auto"/>
        </w:rPr>
      </w:pPr>
    </w:p>
    <w:p>
      <w:pPr>
        <w:ind w:left="406"/>
        <w:spacing w:after="0"/>
        <w:rPr>
          <w:sz w:val="20"/>
          <w:szCs w:val="20"/>
          <w:color w:val="auto"/>
        </w:rPr>
      </w:pPr>
      <w:r>
        <w:rPr>
          <w:rFonts w:ascii="Arial" w:cs="Arial" w:eastAsia="Arial" w:hAnsi="Arial"/>
          <w:sz w:val="17"/>
          <w:szCs w:val="17"/>
          <w:b w:val="1"/>
          <w:bCs w:val="1"/>
          <w:i w:val="1"/>
          <w:iCs w:val="1"/>
          <w:u w:val="single" w:color="auto"/>
          <w:color w:val="auto"/>
        </w:rPr>
        <w:t>GasLog Warsaw Facility</w:t>
      </w:r>
    </w:p>
    <w:p>
      <w:pPr>
        <w:spacing w:after="0" w:line="247" w:lineRule="exact"/>
        <w:rPr>
          <w:sz w:val="20"/>
          <w:szCs w:val="20"/>
          <w:color w:val="auto"/>
        </w:rPr>
      </w:pPr>
    </w:p>
    <w:p>
      <w:pPr>
        <w:ind w:left="6" w:right="260" w:firstLine="405"/>
        <w:spacing w:after="0" w:line="293" w:lineRule="auto"/>
        <w:rPr>
          <w:sz w:val="20"/>
          <w:szCs w:val="20"/>
          <w:color w:val="auto"/>
        </w:rPr>
      </w:pPr>
      <w:r>
        <w:rPr>
          <w:rFonts w:ascii="Arial" w:cs="Arial" w:eastAsia="Arial" w:hAnsi="Arial"/>
          <w:sz w:val="16"/>
          <w:szCs w:val="16"/>
          <w:color w:val="auto"/>
        </w:rPr>
        <w:t xml:space="preserve">On June 25, 2019, GasLog Hellas-1 Special Maritime Enterprise entered into a loan agreement with ABN AMRO BANK N.V. and Oversea-Chinese Banking Corporation Limited, for the financing of the </w:t>
      </w:r>
      <w:r>
        <w:rPr>
          <w:rFonts w:ascii="Arial" w:cs="Arial" w:eastAsia="Arial" w:hAnsi="Arial"/>
          <w:sz w:val="16"/>
          <w:szCs w:val="16"/>
          <w:i w:val="1"/>
          <w:iCs w:val="1"/>
          <w:color w:val="auto"/>
        </w:rPr>
        <w:t>GasLog Warsaw</w:t>
      </w:r>
      <w:r>
        <w:rPr>
          <w:rFonts w:ascii="Arial" w:cs="Arial" w:eastAsia="Arial" w:hAnsi="Arial"/>
          <w:sz w:val="16"/>
          <w:szCs w:val="16"/>
          <w:color w:val="auto"/>
        </w:rPr>
        <w:t>, which was delivered on July 31, 2019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The agreement provides for a single tranche of $129,500 that was drawn on July 25, 2019 and is repayable in 28 equal quarterly installments of $1,619 each and a final balloon payment of $84,175 payable concurrently with the last quarterly installment in June 2026. The loan bears interest at LIBOR plus a margin.</w:t>
      </w:r>
    </w:p>
    <w:p>
      <w:pPr>
        <w:spacing w:after="0" w:line="185" w:lineRule="exact"/>
        <w:rPr>
          <w:sz w:val="20"/>
          <w:szCs w:val="20"/>
          <w:color w:val="auto"/>
        </w:rPr>
      </w:pPr>
    </w:p>
    <w:p>
      <w:pPr>
        <w:ind w:left="6" w:right="80" w:firstLine="428"/>
        <w:spacing w:after="0" w:line="321" w:lineRule="auto"/>
        <w:rPr>
          <w:sz w:val="20"/>
          <w:szCs w:val="20"/>
          <w:color w:val="auto"/>
        </w:rPr>
      </w:pPr>
      <w:r>
        <w:rPr>
          <w:rFonts w:ascii="Arial" w:cs="Arial" w:eastAsia="Arial" w:hAnsi="Arial"/>
          <w:sz w:val="16"/>
          <w:szCs w:val="16"/>
          <w:color w:val="auto"/>
        </w:rPr>
        <w:t xml:space="preserve">The obligations under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are secured by a first priority mortgage over the vessel, a pledge of the share capital of the respective vessel-owning company and a first priority assignment of earnings related to the vessel. The obligations under the facility are guaranteed by GasLog and GasLog Carriers.</w:t>
      </w:r>
    </w:p>
    <w:p>
      <w:pPr>
        <w:spacing w:after="0" w:line="164" w:lineRule="exact"/>
        <w:rPr>
          <w:sz w:val="20"/>
          <w:szCs w:val="20"/>
          <w:color w:val="auto"/>
        </w:rPr>
      </w:pPr>
    </w:p>
    <w:p>
      <w:pPr>
        <w:ind w:left="426"/>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GasLog Warsaw</w:t>
      </w:r>
      <w:r>
        <w:rPr>
          <w:rFonts w:ascii="Arial" w:cs="Arial" w:eastAsia="Arial" w:hAnsi="Arial"/>
          <w:sz w:val="15"/>
          <w:szCs w:val="15"/>
          <w:color w:val="auto"/>
        </w:rPr>
        <w:t xml:space="preserve"> Facility is subject to specified financial covenants that apply to GasLog on a consolidated basis. These financial covenants include the following:</w:t>
      </w:r>
    </w:p>
    <w:p>
      <w:pPr>
        <w:spacing w:after="0" w:line="282" w:lineRule="exact"/>
        <w:rPr>
          <w:sz w:val="20"/>
          <w:szCs w:val="20"/>
          <w:color w:val="auto"/>
        </w:rPr>
      </w:pPr>
    </w:p>
    <w:p>
      <w:pPr>
        <w:ind w:left="406" w:hanging="406"/>
        <w:spacing w:after="0"/>
        <w:tabs>
          <w:tab w:leader="none" w:pos="406" w:val="left"/>
        </w:tabs>
        <w:numPr>
          <w:ilvl w:val="0"/>
          <w:numId w:val="18"/>
        </w:numPr>
        <w:rPr>
          <w:rFonts w:ascii="Arial" w:cs="Arial" w:eastAsia="Arial" w:hAnsi="Arial"/>
          <w:sz w:val="19"/>
          <w:szCs w:val="19"/>
          <w:color w:val="auto"/>
        </w:rPr>
      </w:pPr>
      <w:r>
        <w:rPr>
          <w:rFonts w:ascii="Arial" w:cs="Arial" w:eastAsia="Arial" w:hAnsi="Arial"/>
          <w:sz w:val="17"/>
          <w:szCs w:val="17"/>
          <w:color w:val="auto"/>
        </w:rPr>
        <w:t>net working capital (excluding the current portion of long-term debt) must be not less than $0;</w:t>
      </w:r>
    </w:p>
    <w:p>
      <w:pPr>
        <w:spacing w:after="0" w:line="9" w:lineRule="exact"/>
        <w:rPr>
          <w:rFonts w:ascii="Arial" w:cs="Arial" w:eastAsia="Arial" w:hAnsi="Arial"/>
          <w:sz w:val="19"/>
          <w:szCs w:val="19"/>
          <w:color w:val="auto"/>
        </w:rPr>
      </w:pPr>
    </w:p>
    <w:p>
      <w:pPr>
        <w:ind w:left="406" w:hanging="406"/>
        <w:spacing w:after="0"/>
        <w:tabs>
          <w:tab w:leader="none" w:pos="406" w:val="left"/>
        </w:tabs>
        <w:numPr>
          <w:ilvl w:val="0"/>
          <w:numId w:val="18"/>
        </w:numPr>
        <w:rPr>
          <w:rFonts w:ascii="Arial" w:cs="Arial" w:eastAsia="Arial" w:hAnsi="Arial"/>
          <w:sz w:val="19"/>
          <w:szCs w:val="19"/>
          <w:color w:val="auto"/>
        </w:rPr>
      </w:pPr>
      <w:r>
        <w:rPr>
          <w:rFonts w:ascii="Arial" w:cs="Arial" w:eastAsia="Arial" w:hAnsi="Arial"/>
          <w:sz w:val="17"/>
          <w:szCs w:val="17"/>
          <w:color w:val="auto"/>
        </w:rPr>
        <w:t>market value adjusted net worth must at all times be not less than $350,000;</w:t>
      </w:r>
    </w:p>
    <w:p>
      <w:pPr>
        <w:spacing w:after="0" w:line="9" w:lineRule="exact"/>
        <w:rPr>
          <w:rFonts w:ascii="Arial" w:cs="Arial" w:eastAsia="Arial" w:hAnsi="Arial"/>
          <w:sz w:val="19"/>
          <w:szCs w:val="19"/>
          <w:color w:val="auto"/>
        </w:rPr>
      </w:pPr>
    </w:p>
    <w:p>
      <w:pPr>
        <w:ind w:left="406" w:hanging="406"/>
        <w:spacing w:after="0"/>
        <w:tabs>
          <w:tab w:leader="none" w:pos="406" w:val="left"/>
        </w:tabs>
        <w:numPr>
          <w:ilvl w:val="0"/>
          <w:numId w:val="18"/>
        </w:numPr>
        <w:rPr>
          <w:rFonts w:ascii="Arial" w:cs="Arial" w:eastAsia="Arial" w:hAnsi="Arial"/>
          <w:sz w:val="19"/>
          <w:szCs w:val="19"/>
          <w:color w:val="auto"/>
        </w:rPr>
      </w:pPr>
      <w:r>
        <w:rPr>
          <w:rFonts w:ascii="Arial" w:cs="Arial" w:eastAsia="Arial" w:hAnsi="Arial"/>
          <w:sz w:val="17"/>
          <w:szCs w:val="17"/>
          <w:color w:val="auto"/>
        </w:rPr>
        <w:t>the aggregate amount of cash and cash equivalents and short-term investments must be at least $75,000;</w:t>
      </w:r>
    </w:p>
    <w:p>
      <w:pPr>
        <w:spacing w:after="0" w:line="11" w:lineRule="exact"/>
        <w:rPr>
          <w:rFonts w:ascii="Arial" w:cs="Arial" w:eastAsia="Arial" w:hAnsi="Arial"/>
          <w:sz w:val="19"/>
          <w:szCs w:val="19"/>
          <w:color w:val="auto"/>
        </w:rPr>
      </w:pPr>
    </w:p>
    <w:p>
      <w:pPr>
        <w:ind w:left="406" w:right="180" w:hanging="406"/>
        <w:spacing w:after="0" w:line="253" w:lineRule="auto"/>
        <w:tabs>
          <w:tab w:leader="none" w:pos="407" w:val="left"/>
        </w:tabs>
        <w:numPr>
          <w:ilvl w:val="0"/>
          <w:numId w:val="18"/>
        </w:numPr>
        <w:rPr>
          <w:rFonts w:ascii="Arial" w:cs="Arial" w:eastAsia="Arial" w:hAnsi="Arial"/>
          <w:sz w:val="19"/>
          <w:szCs w:val="19"/>
          <w:color w:val="auto"/>
        </w:rPr>
      </w:pPr>
      <w:r>
        <w:rPr>
          <w:rFonts w:ascii="Arial" w:cs="Arial" w:eastAsia="Arial" w:hAnsi="Arial"/>
          <w:sz w:val="17"/>
          <w:szCs w:val="17"/>
          <w:color w:val="auto"/>
        </w:rPr>
        <w:t>the ratio of EBITDA over our debt service obligations (including interest and debt repayments) on a trailing 12 months’ basis must be not less than 110.0%. The ratio shall be regarded as having been complied with even if the ratio falls below the stipulated 110% when cash and cash equivalent and short-term investments are at least $110,000.</w:t>
      </w:r>
    </w:p>
    <w:p>
      <w:pPr>
        <w:spacing w:after="0" w:line="11" w:lineRule="exact"/>
        <w:rPr>
          <w:rFonts w:ascii="Arial" w:cs="Arial" w:eastAsia="Arial" w:hAnsi="Arial"/>
          <w:sz w:val="19"/>
          <w:szCs w:val="19"/>
          <w:color w:val="auto"/>
        </w:rPr>
      </w:pPr>
    </w:p>
    <w:p>
      <w:pPr>
        <w:ind w:left="406" w:hanging="406"/>
        <w:spacing w:after="0"/>
        <w:tabs>
          <w:tab w:leader="none" w:pos="406" w:val="left"/>
        </w:tabs>
        <w:numPr>
          <w:ilvl w:val="0"/>
          <w:numId w:val="18"/>
        </w:numPr>
        <w:rPr>
          <w:rFonts w:ascii="Arial" w:cs="Arial" w:eastAsia="Arial" w:hAnsi="Arial"/>
          <w:sz w:val="19"/>
          <w:szCs w:val="19"/>
          <w:color w:val="auto"/>
        </w:rPr>
      </w:pPr>
      <w:r>
        <w:rPr>
          <w:rFonts w:ascii="Arial" w:cs="Arial" w:eastAsia="Arial" w:hAnsi="Arial"/>
          <w:sz w:val="17"/>
          <w:szCs w:val="17"/>
          <w:color w:val="auto"/>
        </w:rPr>
        <w:t>total indebtedness divided by total assets must be less than 75.0%; and</w:t>
      </w:r>
    </w:p>
    <w:p>
      <w:pPr>
        <w:spacing w:after="0" w:line="11" w:lineRule="exact"/>
        <w:rPr>
          <w:rFonts w:ascii="Arial" w:cs="Arial" w:eastAsia="Arial" w:hAnsi="Arial"/>
          <w:sz w:val="19"/>
          <w:szCs w:val="19"/>
          <w:color w:val="auto"/>
        </w:rPr>
      </w:pPr>
    </w:p>
    <w:p>
      <w:pPr>
        <w:ind w:left="406" w:hanging="406"/>
        <w:spacing w:after="0"/>
        <w:tabs>
          <w:tab w:leader="none" w:pos="406" w:val="left"/>
        </w:tabs>
        <w:numPr>
          <w:ilvl w:val="0"/>
          <w:numId w:val="18"/>
        </w:numPr>
        <w:rPr>
          <w:rFonts w:ascii="Arial" w:cs="Arial" w:eastAsia="Arial" w:hAnsi="Arial"/>
          <w:sz w:val="17"/>
          <w:szCs w:val="17"/>
          <w:color w:val="auto"/>
        </w:rPr>
      </w:pPr>
      <w:r>
        <w:rPr>
          <w:rFonts w:ascii="Arial" w:cs="Arial" w:eastAsia="Arial" w:hAnsi="Arial"/>
          <w:sz w:val="15"/>
          <w:szCs w:val="15"/>
          <w:color w:val="auto"/>
        </w:rPr>
        <w:t>GasLog is permitted to declare or pay any dividends, subject to no event of default having occurred or occurring as a consequence of the payment of such dividends.</w:t>
      </w:r>
    </w:p>
    <w:p>
      <w:pPr>
        <w:spacing w:after="0" w:line="247" w:lineRule="exact"/>
        <w:rPr>
          <w:sz w:val="20"/>
          <w:szCs w:val="20"/>
          <w:color w:val="auto"/>
        </w:rPr>
      </w:pPr>
    </w:p>
    <w:p>
      <w:pPr>
        <w:ind w:left="6" w:firstLine="405"/>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contains customary events of default, including non-payment of principal or interest, breach of covenants or material inaccuracy of representations, default under other material indebtedness and bankruptcy as well as an event of default in the event of the cancellation, rescission, frustration or withdrawal of a charter agreement prior to its scheduled expiration, if certain prepayment and security provisions are not met. In addition, the </w:t>
      </w:r>
      <w:r>
        <w:rPr>
          <w:rFonts w:ascii="Arial" w:cs="Arial" w:eastAsia="Arial" w:hAnsi="Arial"/>
          <w:sz w:val="16"/>
          <w:szCs w:val="16"/>
          <w:i w:val="1"/>
          <w:iCs w:val="1"/>
          <w:color w:val="auto"/>
        </w:rPr>
        <w:t>GasLog Warsaw</w:t>
      </w:r>
      <w:r>
        <w:rPr>
          <w:rFonts w:ascii="Arial" w:cs="Arial" w:eastAsia="Arial" w:hAnsi="Arial"/>
          <w:sz w:val="16"/>
          <w:szCs w:val="16"/>
          <w:color w:val="auto"/>
        </w:rPr>
        <w:t xml:space="preserve"> Facility contains covenants requiring GasLog and certain of GasLog’s subsidiaries to maintain the aggregate of (i) the market value, on a charter exclusive basis, of the mortgaged vessel; and (ii) the market value of any additional security provided to the lenders, at a total value not less than 120.0% of the then-outstanding amount under the facility. If GasLog fails to comply with these covenants and is not able to obtain covenant waivers or modifications, its lenders could require it to make prepayments or provide additional collateral sufficient to bring it into compliance with such covenants, and if it fails to do so its lenders could accelerate our indebtedness.</w:t>
      </w:r>
    </w:p>
    <w:p>
      <w:pPr>
        <w:spacing w:after="0" w:line="191" w:lineRule="exact"/>
        <w:rPr>
          <w:sz w:val="20"/>
          <w:szCs w:val="20"/>
          <w:color w:val="auto"/>
        </w:rPr>
      </w:pPr>
    </w:p>
    <w:p>
      <w:pPr>
        <w:ind w:left="6" w:right="380" w:firstLine="405"/>
        <w:spacing w:after="0" w:line="28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GasLog Warsaw</w:t>
      </w:r>
      <w:r>
        <w:rPr>
          <w:rFonts w:ascii="Arial" w:cs="Arial" w:eastAsia="Arial" w:hAnsi="Arial"/>
          <w:sz w:val="17"/>
          <w:szCs w:val="17"/>
          <w:color w:val="auto"/>
        </w:rPr>
        <w:t xml:space="preserve"> Facility also imposes certain restrictions relating to the Group, including restrictions that limit its ability to make any substantial change in the nature of its business or to the Partnership structure without approval from the lenders.</w:t>
      </w:r>
    </w:p>
    <w:p>
      <w:pPr>
        <w:spacing w:after="0" w:line="187" w:lineRule="exact"/>
        <w:rPr>
          <w:sz w:val="20"/>
          <w:szCs w:val="20"/>
          <w:color w:val="auto"/>
        </w:rPr>
      </w:pPr>
    </w:p>
    <w:p>
      <w:pPr>
        <w:ind w:left="6" w:firstLine="405"/>
        <w:spacing w:after="0" w:line="288" w:lineRule="auto"/>
        <w:rPr>
          <w:sz w:val="20"/>
          <w:szCs w:val="20"/>
          <w:color w:val="auto"/>
        </w:rPr>
      </w:pPr>
      <w:r>
        <w:rPr>
          <w:rFonts w:ascii="Arial" w:cs="Arial" w:eastAsia="Arial" w:hAnsi="Arial"/>
          <w:sz w:val="17"/>
          <w:szCs w:val="17"/>
          <w:color w:val="auto"/>
        </w:rPr>
        <w:t>The carrying amount of the Group’s bank debt recognized in the unaudited condensed consolidated financial statements approximates its fair value after adjusting for the unamortized loan/bond issuance costs.</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7"/>
          <w:szCs w:val="17"/>
          <w:b w:val="1"/>
          <w:bCs w:val="1"/>
          <w:i w:val="1"/>
          <w:iCs w:val="1"/>
          <w:color w:val="auto"/>
        </w:rPr>
        <w:t>Bonds</w:t>
      </w:r>
    </w:p>
    <w:p>
      <w:pPr>
        <w:spacing w:after="0" w:line="247" w:lineRule="exact"/>
        <w:rPr>
          <w:sz w:val="20"/>
          <w:szCs w:val="20"/>
          <w:color w:val="auto"/>
        </w:rPr>
      </w:pPr>
    </w:p>
    <w:p>
      <w:pPr>
        <w:ind w:left="6" w:right="80" w:firstLine="460"/>
        <w:spacing w:after="0" w:line="288" w:lineRule="auto"/>
        <w:rPr>
          <w:sz w:val="20"/>
          <w:szCs w:val="20"/>
          <w:color w:val="auto"/>
        </w:rPr>
      </w:pPr>
      <w:r>
        <w:rPr>
          <w:rFonts w:ascii="Arial" w:cs="Arial" w:eastAsia="Arial" w:hAnsi="Arial"/>
          <w:sz w:val="17"/>
          <w:szCs w:val="17"/>
          <w:color w:val="auto"/>
        </w:rPr>
        <w:t>The main terms of the Group’s bonds have been disclosed in the annual audited consolidated financial statements for the year ended December 31, 2018. Refer to Note 13 “Borrowings”.</w:t>
      </w:r>
    </w:p>
    <w:p>
      <w:pPr>
        <w:spacing w:after="0" w:line="187" w:lineRule="exact"/>
        <w:rPr>
          <w:sz w:val="20"/>
          <w:szCs w:val="20"/>
          <w:color w:val="auto"/>
        </w:rPr>
      </w:pPr>
    </w:p>
    <w:p>
      <w:pPr>
        <w:ind w:left="6" w:right="240" w:firstLine="460"/>
        <w:spacing w:after="0" w:line="288" w:lineRule="auto"/>
        <w:rPr>
          <w:sz w:val="20"/>
          <w:szCs w:val="20"/>
          <w:color w:val="auto"/>
        </w:rPr>
      </w:pPr>
      <w:r>
        <w:rPr>
          <w:rFonts w:ascii="Arial" w:cs="Arial" w:eastAsia="Arial" w:hAnsi="Arial"/>
          <w:sz w:val="17"/>
          <w:szCs w:val="17"/>
          <w:color w:val="auto"/>
        </w:rPr>
        <w:t>On May 16, 2019, GasLog closed a follow-on issue of $75,000 of the 8.875% senior unsecured notes due 2022 (the “8.875% Senior Notes”) priced at 102.5% of par with a yield to maturity of 7.89%.</w:t>
      </w:r>
    </w:p>
    <w:p>
      <w:pPr>
        <w:spacing w:after="0" w:line="187" w:lineRule="exact"/>
        <w:rPr>
          <w:sz w:val="20"/>
          <w:szCs w:val="20"/>
          <w:color w:val="auto"/>
        </w:rPr>
      </w:pPr>
    </w:p>
    <w:p>
      <w:pPr>
        <w:ind w:left="6" w:right="140" w:firstLine="460"/>
        <w:spacing w:after="0" w:line="275" w:lineRule="auto"/>
        <w:rPr>
          <w:sz w:val="20"/>
          <w:szCs w:val="20"/>
          <w:color w:val="auto"/>
        </w:rPr>
      </w:pPr>
      <w:r>
        <w:rPr>
          <w:rFonts w:ascii="Arial" w:cs="Arial" w:eastAsia="Arial" w:hAnsi="Arial"/>
          <w:sz w:val="17"/>
          <w:szCs w:val="17"/>
          <w:color w:val="auto"/>
        </w:rPr>
        <w:t>The carrying amount under the NOK bonds maturing in 2021 (the “NOK 2021 Bonds”), net of unamortized financing costs, as of June 30, 2019 is $87,265 (December 31, 2018: $85,231) while their fair value is $91,547 based on a USD/NOK exchange rate of 0.1174 as of June 30, 2019 (December 31, 2018: $91,664, based on a USD/NOK exchange rate of 0.1149).</w:t>
      </w:r>
    </w:p>
    <w:p>
      <w:pPr>
        <w:spacing w:after="0" w:line="198" w:lineRule="exact"/>
        <w:rPr>
          <w:sz w:val="20"/>
          <w:szCs w:val="20"/>
          <w:color w:val="auto"/>
        </w:rPr>
      </w:pPr>
    </w:p>
    <w:p>
      <w:pPr>
        <w:ind w:left="466"/>
        <w:spacing w:after="0"/>
        <w:rPr>
          <w:sz w:val="20"/>
          <w:szCs w:val="20"/>
          <w:color w:val="auto"/>
        </w:rPr>
      </w:pPr>
      <w:r>
        <w:rPr>
          <w:rFonts w:ascii="Arial" w:cs="Arial" w:eastAsia="Arial" w:hAnsi="Arial"/>
          <w:sz w:val="15"/>
          <w:szCs w:val="15"/>
          <w:color w:val="auto"/>
        </w:rPr>
        <w:t>The carrying amount under the 8.875% Senior Notes, net of unamortized financing costs and premium as of June 30, 2019 is $322,213 (December 31, 2018: $246,760).</w:t>
      </w:r>
    </w:p>
    <w:p>
      <w:pPr>
        <w:spacing w:after="0" w:line="200" w:lineRule="exact"/>
        <w:rPr>
          <w:sz w:val="20"/>
          <w:szCs w:val="20"/>
          <w:color w:val="auto"/>
        </w:rPr>
      </w:pPr>
    </w:p>
    <w:p>
      <w:pPr>
        <w:spacing w:after="0" w:line="298" w:lineRule="exact"/>
        <w:rPr>
          <w:sz w:val="20"/>
          <w:szCs w:val="20"/>
          <w:color w:val="auto"/>
        </w:rPr>
      </w:pPr>
    </w:p>
    <w:p>
      <w:pPr>
        <w:ind w:left="506"/>
        <w:spacing w:after="0"/>
        <w:rPr>
          <w:sz w:val="20"/>
          <w:szCs w:val="20"/>
          <w:color w:val="auto"/>
        </w:rPr>
      </w:pPr>
      <w:r>
        <w:rPr>
          <w:rFonts w:ascii="Arial" w:cs="Arial" w:eastAsia="Arial" w:hAnsi="Arial"/>
          <w:sz w:val="17"/>
          <w:szCs w:val="17"/>
          <w:color w:val="auto"/>
        </w:rPr>
        <w:t>The Group was in compliance with its financial covenants as of June 30, 2019.</w:t>
      </w:r>
    </w:p>
    <w:p>
      <w:pPr>
        <w:spacing w:after="0" w:line="247" w:lineRule="exact"/>
        <w:rPr>
          <w:sz w:val="20"/>
          <w:szCs w:val="20"/>
          <w:color w:val="auto"/>
        </w:rPr>
      </w:pPr>
    </w:p>
    <w:p>
      <w:pPr>
        <w:jc w:val="center"/>
        <w:ind w:right="-25"/>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7646670"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18" w:right="140" w:bottom="829"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8. Related Party Transactions</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Group has the following balances with related parties which have been included in the unaudited condensed consolidated statements of financial position: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80" w:type="dxa"/>
            <w:vAlign w:val="bottom"/>
          </w:tcPr>
          <w:p>
            <w:pPr>
              <w:spacing w:after="0"/>
              <w:rPr>
                <w:sz w:val="20"/>
                <w:szCs w:val="20"/>
                <w:color w:val="auto"/>
              </w:rPr>
            </w:pPr>
            <w:r>
              <w:rPr>
                <w:rFonts w:ascii="Arial" w:cs="Arial" w:eastAsia="Arial" w:hAnsi="Arial"/>
                <w:sz w:val="17"/>
                <w:szCs w:val="17"/>
                <w:b w:val="1"/>
                <w:bCs w:val="1"/>
                <w:i w:val="1"/>
                <w:iCs w:val="1"/>
                <w:color w:val="auto"/>
              </w:rPr>
              <w:t>Current Assets</w:t>
            </w: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442"/>
        </w:trPr>
        <w:tc>
          <w:tcPr>
            <w:tcW w:w="8380" w:type="dxa"/>
            <w:vAlign w:val="bottom"/>
          </w:tcPr>
          <w:p>
            <w:pPr>
              <w:spacing w:after="0"/>
              <w:rPr>
                <w:sz w:val="20"/>
                <w:szCs w:val="20"/>
                <w:color w:val="auto"/>
              </w:rPr>
            </w:pPr>
            <w:r>
              <w:rPr>
                <w:rFonts w:ascii="Arial" w:cs="Arial" w:eastAsia="Arial" w:hAnsi="Arial"/>
                <w:sz w:val="17"/>
                <w:szCs w:val="17"/>
                <w:b w:val="1"/>
                <w:bCs w:val="1"/>
                <w:i w:val="1"/>
                <w:iCs w:val="1"/>
                <w:color w:val="auto"/>
              </w:rPr>
              <w:t>Dividends receivable and other amounts due from related parties</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4"/>
        </w:trPr>
        <w:tc>
          <w:tcPr>
            <w:tcW w:w="8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8"/>
              </w:rPr>
              <w:t>December 31,</w:t>
            </w:r>
          </w:p>
        </w:tc>
        <w:tc>
          <w:tcPr>
            <w:tcW w:w="20" w:type="dxa"/>
            <w:vAlign w:val="bottom"/>
          </w:tcPr>
          <w:p>
            <w:pPr>
              <w:spacing w:after="0"/>
              <w:rPr>
                <w:sz w:val="24"/>
                <w:szCs w:val="24"/>
                <w:color w:val="auto"/>
              </w:rPr>
            </w:pPr>
          </w:p>
        </w:tc>
        <w:tc>
          <w:tcPr>
            <w:tcW w:w="1520" w:type="dxa"/>
            <w:vAlign w:val="bottom"/>
          </w:tcPr>
          <w:p>
            <w:pPr>
              <w:jc w:val="right"/>
              <w:ind w:right="374"/>
              <w:spacing w:after="0"/>
              <w:rPr>
                <w:sz w:val="20"/>
                <w:szCs w:val="20"/>
                <w:color w:val="auto"/>
              </w:rPr>
            </w:pPr>
            <w:r>
              <w:rPr>
                <w:rFonts w:ascii="Arial" w:cs="Arial" w:eastAsia="Arial" w:hAnsi="Arial"/>
                <w:sz w:val="17"/>
                <w:szCs w:val="17"/>
                <w:b w:val="1"/>
                <w:bCs w:val="1"/>
                <w:color w:val="auto"/>
              </w:rPr>
              <w:t>June 30,</w:t>
            </w:r>
          </w:p>
        </w:tc>
      </w:tr>
      <w:tr>
        <w:trPr>
          <w:trHeight w:val="226"/>
        </w:trPr>
        <w:tc>
          <w:tcPr>
            <w:tcW w:w="8380" w:type="dxa"/>
            <w:vAlign w:val="bottom"/>
            <w:tcBorders>
              <w:bottom w:val="single" w:sz="8" w:color="E5FFFF"/>
            </w:tcBorders>
          </w:tcPr>
          <w:p>
            <w:pPr>
              <w:spacing w:after="0"/>
              <w:rPr>
                <w:sz w:val="19"/>
                <w:szCs w:val="19"/>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2018</w:t>
            </w:r>
          </w:p>
        </w:tc>
        <w:tc>
          <w:tcPr>
            <w:tcW w:w="20" w:type="dxa"/>
            <w:vAlign w:val="bottom"/>
            <w:tcBorders>
              <w:bottom w:val="single" w:sz="8" w:color="E5FFFF"/>
            </w:tcBorders>
          </w:tcPr>
          <w:p>
            <w:pPr>
              <w:spacing w:after="0"/>
              <w:rPr>
                <w:sz w:val="19"/>
                <w:szCs w:val="19"/>
                <w:color w:val="auto"/>
              </w:rPr>
            </w:pPr>
          </w:p>
        </w:tc>
        <w:tc>
          <w:tcPr>
            <w:tcW w:w="280" w:type="dxa"/>
            <w:vAlign w:val="bottom"/>
            <w:tcBorders>
              <w:bottom w:val="single" w:sz="8" w:color="E5FFFF"/>
            </w:tcBorders>
          </w:tcPr>
          <w:p>
            <w:pPr>
              <w:spacing w:after="0"/>
              <w:rPr>
                <w:sz w:val="19"/>
                <w:szCs w:val="19"/>
                <w:color w:val="auto"/>
              </w:rPr>
            </w:pPr>
          </w:p>
        </w:tc>
        <w:tc>
          <w:tcPr>
            <w:tcW w:w="154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7"/>
                <w:szCs w:val="17"/>
                <w:b w:val="1"/>
                <w:bCs w:val="1"/>
                <w:color w:val="auto"/>
              </w:rPr>
              <w:t>2019</w:t>
            </w:r>
          </w:p>
        </w:tc>
      </w:tr>
      <w:tr>
        <w:trPr>
          <w:trHeight w:val="212"/>
        </w:trPr>
        <w:tc>
          <w:tcPr>
            <w:tcW w:w="8380" w:type="dxa"/>
            <w:vAlign w:val="bottom"/>
            <w:shd w:val="clear" w:color="auto" w:fill="E5FFFF"/>
          </w:tcPr>
          <w:p>
            <w:pPr>
              <w:spacing w:after="0"/>
              <w:rPr>
                <w:sz w:val="20"/>
                <w:szCs w:val="20"/>
                <w:color w:val="auto"/>
              </w:rPr>
            </w:pPr>
            <w:r>
              <w:rPr>
                <w:rFonts w:ascii="Arial" w:cs="Arial" w:eastAsia="Arial" w:hAnsi="Arial"/>
                <w:sz w:val="17"/>
                <w:szCs w:val="17"/>
                <w:color w:val="auto"/>
              </w:rPr>
              <w:t>Dividends receivable from associate</w:t>
            </w:r>
          </w:p>
        </w:tc>
        <w:tc>
          <w:tcPr>
            <w:tcW w:w="178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885</w:t>
            </w: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775</w:t>
            </w:r>
          </w:p>
        </w:tc>
      </w:tr>
      <w:tr>
        <w:trPr>
          <w:trHeight w:val="214"/>
        </w:trPr>
        <w:tc>
          <w:tcPr>
            <w:tcW w:w="8380" w:type="dxa"/>
            <w:vAlign w:val="bottom"/>
          </w:tcPr>
          <w:p>
            <w:pPr>
              <w:spacing w:after="0"/>
              <w:rPr>
                <w:sz w:val="20"/>
                <w:szCs w:val="20"/>
                <w:color w:val="auto"/>
              </w:rPr>
            </w:pPr>
            <w:r>
              <w:rPr>
                <w:rFonts w:ascii="Arial" w:cs="Arial" w:eastAsia="Arial" w:hAnsi="Arial"/>
                <w:sz w:val="17"/>
                <w:szCs w:val="17"/>
                <w:color w:val="auto"/>
              </w:rPr>
              <w:t>Due from The Cool Pool Limited</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32,397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8,616</w:t>
            </w:r>
          </w:p>
        </w:tc>
      </w:tr>
      <w:tr>
        <w:trPr>
          <w:trHeight w:val="214"/>
        </w:trPr>
        <w:tc>
          <w:tcPr>
            <w:tcW w:w="8380" w:type="dxa"/>
            <w:vAlign w:val="bottom"/>
            <w:shd w:val="clear" w:color="auto" w:fill="E5FFFF"/>
          </w:tcPr>
          <w:p>
            <w:pPr>
              <w:spacing w:after="0"/>
              <w:rPr>
                <w:sz w:val="20"/>
                <w:szCs w:val="20"/>
                <w:color w:val="auto"/>
              </w:rPr>
            </w:pPr>
            <w:r>
              <w:rPr>
                <w:rFonts w:ascii="Arial" w:cs="Arial" w:eastAsia="Arial" w:hAnsi="Arial"/>
                <w:sz w:val="17"/>
                <w:szCs w:val="17"/>
                <w:color w:val="auto"/>
              </w:rPr>
              <w:t>Other receivables</w:t>
            </w:r>
          </w:p>
        </w:tc>
        <w:tc>
          <w:tcPr>
            <w:tcW w:w="1800" w:type="dxa"/>
            <w:vAlign w:val="bottom"/>
            <w:gridSpan w:val="3"/>
            <w:shd w:val="clear" w:color="auto" w:fill="E5FFFF"/>
          </w:tcPr>
          <w:p>
            <w:pPr>
              <w:jc w:val="right"/>
              <w:ind w:right="20"/>
              <w:spacing w:after="0"/>
              <w:rPr>
                <w:sz w:val="20"/>
                <w:szCs w:val="20"/>
                <w:color w:val="auto"/>
              </w:rPr>
            </w:pPr>
            <w:r>
              <w:rPr>
                <w:rFonts w:ascii="Arial" w:cs="Arial" w:eastAsia="Arial" w:hAnsi="Arial"/>
                <w:sz w:val="17"/>
                <w:szCs w:val="17"/>
                <w:color w:val="auto"/>
              </w:rPr>
              <w:t>113</w:t>
            </w:r>
          </w:p>
        </w:tc>
        <w:tc>
          <w:tcPr>
            <w:tcW w:w="280" w:type="dxa"/>
            <w:vAlign w:val="bottom"/>
            <w:shd w:val="clear" w:color="auto" w:fill="E5FFFF"/>
          </w:tcPr>
          <w:p>
            <w:pPr>
              <w:spacing w:after="0"/>
              <w:rPr>
                <w:sz w:val="18"/>
                <w:szCs w:val="18"/>
                <w:color w:val="auto"/>
              </w:rPr>
            </w:pPr>
          </w:p>
        </w:tc>
        <w:tc>
          <w:tcPr>
            <w:tcW w:w="15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398</w:t>
            </w:r>
          </w:p>
        </w:tc>
      </w:tr>
      <w:tr>
        <w:trPr>
          <w:trHeight w:val="208"/>
        </w:trPr>
        <w:tc>
          <w:tcPr>
            <w:tcW w:w="838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33,395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9,789</w:t>
            </w:r>
          </w:p>
        </w:tc>
      </w:tr>
      <w:tr>
        <w:trPr>
          <w:trHeight w:val="20"/>
        </w:trPr>
        <w:tc>
          <w:tcPr>
            <w:tcW w:w="8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18"/>
        </w:trPr>
        <w:tc>
          <w:tcPr>
            <w:tcW w:w="10460" w:type="dxa"/>
            <w:vAlign w:val="bottom"/>
            <w:gridSpan w:val="5"/>
          </w:tcPr>
          <w:p>
            <w:pPr>
              <w:ind w:left="400"/>
              <w:spacing w:after="0"/>
              <w:rPr>
                <w:sz w:val="20"/>
                <w:szCs w:val="20"/>
                <w:color w:val="auto"/>
              </w:rPr>
            </w:pPr>
            <w:r>
              <w:rPr>
                <w:rFonts w:ascii="Arial" w:cs="Arial" w:eastAsia="Arial" w:hAnsi="Arial"/>
                <w:sz w:val="17"/>
                <w:szCs w:val="17"/>
                <w:color w:val="auto"/>
              </w:rPr>
              <w:t>On June 28, 2019, GasLog transferred to Golar its 100 shares of the common capital stock of the Cool Pool Limited (Note 1).</w:t>
            </w: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2"/>
        </w:trPr>
        <w:tc>
          <w:tcPr>
            <w:tcW w:w="8380" w:type="dxa"/>
            <w:vAlign w:val="bottom"/>
          </w:tcPr>
          <w:p>
            <w:pPr>
              <w:spacing w:after="0"/>
              <w:rPr>
                <w:sz w:val="20"/>
                <w:szCs w:val="20"/>
                <w:color w:val="auto"/>
              </w:rPr>
            </w:pPr>
            <w:r>
              <w:rPr>
                <w:rFonts w:ascii="Arial" w:cs="Arial" w:eastAsia="Arial" w:hAnsi="Arial"/>
                <w:sz w:val="17"/>
                <w:szCs w:val="17"/>
                <w:b w:val="1"/>
                <w:bCs w:val="1"/>
                <w:i w:val="1"/>
                <w:iCs w:val="1"/>
                <w:color w:val="auto"/>
              </w:rPr>
              <w:t>Current Liabilities</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42"/>
        </w:trPr>
        <w:tc>
          <w:tcPr>
            <w:tcW w:w="8380" w:type="dxa"/>
            <w:vAlign w:val="bottom"/>
          </w:tcPr>
          <w:p>
            <w:pPr>
              <w:spacing w:after="0"/>
              <w:rPr>
                <w:sz w:val="20"/>
                <w:szCs w:val="20"/>
                <w:color w:val="auto"/>
              </w:rPr>
            </w:pPr>
            <w:r>
              <w:rPr>
                <w:rFonts w:ascii="Arial" w:cs="Arial" w:eastAsia="Arial" w:hAnsi="Arial"/>
                <w:sz w:val="17"/>
                <w:szCs w:val="17"/>
                <w:b w:val="1"/>
                <w:bCs w:val="1"/>
                <w:i w:val="1"/>
                <w:iCs w:val="1"/>
                <w:color w:val="auto"/>
              </w:rPr>
              <w:t>Amounts due to related parties</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4"/>
        </w:trPr>
        <w:tc>
          <w:tcPr>
            <w:tcW w:w="8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0"/>
              </w:rPr>
              <w:t>December 31,</w:t>
            </w:r>
          </w:p>
        </w:tc>
        <w:tc>
          <w:tcPr>
            <w:tcW w:w="20" w:type="dxa"/>
            <w:vAlign w:val="bottom"/>
          </w:tcPr>
          <w:p>
            <w:pPr>
              <w:spacing w:after="0"/>
              <w:rPr>
                <w:sz w:val="24"/>
                <w:szCs w:val="24"/>
                <w:color w:val="auto"/>
              </w:rPr>
            </w:pPr>
          </w:p>
        </w:tc>
        <w:tc>
          <w:tcPr>
            <w:tcW w:w="1520" w:type="dxa"/>
            <w:vAlign w:val="bottom"/>
          </w:tcPr>
          <w:p>
            <w:pPr>
              <w:jc w:val="right"/>
              <w:ind w:right="374"/>
              <w:spacing w:after="0"/>
              <w:rPr>
                <w:sz w:val="20"/>
                <w:szCs w:val="20"/>
                <w:color w:val="auto"/>
              </w:rPr>
            </w:pPr>
            <w:r>
              <w:rPr>
                <w:rFonts w:ascii="Arial" w:cs="Arial" w:eastAsia="Arial" w:hAnsi="Arial"/>
                <w:sz w:val="17"/>
                <w:szCs w:val="17"/>
                <w:b w:val="1"/>
                <w:bCs w:val="1"/>
                <w:color w:val="auto"/>
              </w:rPr>
              <w:t>June 30,</w:t>
            </w:r>
          </w:p>
        </w:tc>
      </w:tr>
      <w:tr>
        <w:trPr>
          <w:trHeight w:val="226"/>
        </w:trPr>
        <w:tc>
          <w:tcPr>
            <w:tcW w:w="8380" w:type="dxa"/>
            <w:vAlign w:val="bottom"/>
          </w:tcPr>
          <w:p>
            <w:pPr>
              <w:spacing w:after="0"/>
              <w:rPr>
                <w:sz w:val="19"/>
                <w:szCs w:val="19"/>
                <w:color w:val="auto"/>
              </w:rPr>
            </w:pPr>
          </w:p>
        </w:tc>
        <w:tc>
          <w:tcPr>
            <w:tcW w:w="17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2018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right"/>
              <w:ind w:right="494"/>
              <w:spacing w:after="0"/>
              <w:rPr>
                <w:sz w:val="20"/>
                <w:szCs w:val="20"/>
                <w:color w:val="auto"/>
              </w:rPr>
            </w:pPr>
            <w:r>
              <w:rPr>
                <w:rFonts w:ascii="Arial" w:cs="Arial" w:eastAsia="Arial" w:hAnsi="Arial"/>
                <w:sz w:val="17"/>
                <w:szCs w:val="17"/>
                <w:b w:val="1"/>
                <w:bCs w:val="1"/>
                <w:color w:val="auto"/>
              </w:rPr>
              <w:t>2019</w:t>
            </w:r>
          </w:p>
        </w:tc>
      </w:tr>
      <w:tr>
        <w:trPr>
          <w:trHeight w:val="212"/>
        </w:trPr>
        <w:tc>
          <w:tcPr>
            <w:tcW w:w="838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Ship management creditors</w:t>
            </w:r>
          </w:p>
        </w:tc>
        <w:tc>
          <w:tcPr>
            <w:tcW w:w="20" w:type="dxa"/>
            <w:vAlign w:val="bottom"/>
            <w:tcBorders>
              <w:top w:val="single" w:sz="8" w:color="E5FFFF"/>
            </w:tcBorders>
            <w:shd w:val="clear" w:color="auto" w:fill="E5FFFF"/>
          </w:tcPr>
          <w:p>
            <w:pPr>
              <w:spacing w:after="0"/>
              <w:rPr>
                <w:sz w:val="18"/>
                <w:szCs w:val="18"/>
                <w:color w:val="auto"/>
              </w:rPr>
            </w:pPr>
          </w:p>
        </w:tc>
        <w:tc>
          <w:tcPr>
            <w:tcW w:w="17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268</w:t>
            </w:r>
          </w:p>
        </w:tc>
        <w:tc>
          <w:tcPr>
            <w:tcW w:w="2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478</w:t>
            </w:r>
          </w:p>
        </w:tc>
      </w:tr>
      <w:tr>
        <w:trPr>
          <w:trHeight w:val="216"/>
        </w:trPr>
        <w:tc>
          <w:tcPr>
            <w:tcW w:w="8380" w:type="dxa"/>
            <w:vAlign w:val="bottom"/>
          </w:tcPr>
          <w:p>
            <w:pPr>
              <w:spacing w:after="0"/>
              <w:rPr>
                <w:sz w:val="20"/>
                <w:szCs w:val="20"/>
                <w:color w:val="auto"/>
              </w:rPr>
            </w:pPr>
            <w:r>
              <w:rPr>
                <w:rFonts w:ascii="Arial" w:cs="Arial" w:eastAsia="Arial" w:hAnsi="Arial"/>
                <w:sz w:val="17"/>
                <w:szCs w:val="17"/>
                <w:color w:val="auto"/>
              </w:rPr>
              <w:t>Amounts due to related parties</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169</w:t>
            </w:r>
          </w:p>
        </w:tc>
        <w:tc>
          <w:tcPr>
            <w:tcW w:w="28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79</w:t>
            </w:r>
          </w:p>
        </w:tc>
      </w:tr>
    </w:tbl>
    <w:p>
      <w:pPr>
        <w:spacing w:after="0" w:line="2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Ship management creditors’ liability comprises cash collected from Egypt LNG Shipping Ltd. to cover the obligations of its vessel under the Group’s management.</w:t>
      </w:r>
    </w:p>
    <w:p>
      <w:pPr>
        <w:spacing w:after="0" w:line="258" w:lineRule="exact"/>
        <w:rPr>
          <w:sz w:val="20"/>
          <w:szCs w:val="20"/>
          <w:color w:val="auto"/>
        </w:rPr>
      </w:pPr>
    </w:p>
    <w:p>
      <w:pPr>
        <w:ind w:right="60" w:firstLine="460"/>
        <w:spacing w:after="0" w:line="288" w:lineRule="auto"/>
        <w:rPr>
          <w:sz w:val="20"/>
          <w:szCs w:val="20"/>
          <w:color w:val="auto"/>
        </w:rPr>
      </w:pPr>
      <w:r>
        <w:rPr>
          <w:rFonts w:ascii="Arial" w:cs="Arial" w:eastAsia="Arial" w:hAnsi="Arial"/>
          <w:sz w:val="17"/>
          <w:szCs w:val="17"/>
          <w:color w:val="auto"/>
        </w:rPr>
        <w:t>Amounts due to related parties of $79 as of June 30, 2019 (December 31, 2018: $169) are expenses paid by a related party on behalf of the Group and payables to other related parties for the office lease and other operating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tcPr>
          <w:p>
            <w:pPr>
              <w:spacing w:after="0"/>
              <w:rPr>
                <w:sz w:val="20"/>
                <w:szCs w:val="20"/>
                <w:color w:val="auto"/>
              </w:rPr>
            </w:pPr>
            <w:r>
              <w:rPr>
                <w:rFonts w:ascii="Arial" w:cs="Arial" w:eastAsia="Arial" w:hAnsi="Arial"/>
                <w:sz w:val="17"/>
                <w:szCs w:val="17"/>
                <w:b w:val="1"/>
                <w:bCs w:val="1"/>
                <w:color w:val="auto"/>
              </w:rPr>
              <w:t>9. Revenues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42"/>
        </w:trPr>
        <w:tc>
          <w:tcPr>
            <w:tcW w:w="5400" w:type="dxa"/>
            <w:vAlign w:val="bottom"/>
          </w:tcPr>
          <w:p>
            <w:pPr>
              <w:ind w:left="460"/>
              <w:spacing w:after="0"/>
              <w:rPr>
                <w:sz w:val="20"/>
                <w:szCs w:val="20"/>
                <w:color w:val="auto"/>
              </w:rPr>
            </w:pPr>
            <w:r>
              <w:rPr>
                <w:rFonts w:ascii="Arial" w:cs="Arial" w:eastAsia="Arial" w:hAnsi="Arial"/>
                <w:sz w:val="17"/>
                <w:szCs w:val="17"/>
                <w:color w:val="auto"/>
                <w:w w:val="92"/>
              </w:rPr>
              <w:t>The Group has recognized the following amounts relating to revenues: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2"/>
        </w:trPr>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80" w:type="dxa"/>
            <w:vAlign w:val="bottom"/>
            <w:gridSpan w:val="4"/>
          </w:tcPr>
          <w:p>
            <w:pPr>
              <w:jc w:val="right"/>
              <w:ind w:right="354"/>
              <w:spacing w:after="0"/>
              <w:rPr>
                <w:sz w:val="20"/>
                <w:szCs w:val="20"/>
                <w:color w:val="auto"/>
              </w:rPr>
            </w:pPr>
            <w:r>
              <w:rPr>
                <w:rFonts w:ascii="Arial" w:cs="Arial" w:eastAsia="Arial" w:hAnsi="Arial"/>
                <w:sz w:val="17"/>
                <w:szCs w:val="17"/>
                <w:b w:val="1"/>
                <w:bCs w:val="1"/>
                <w:color w:val="auto"/>
              </w:rPr>
              <w:t>For the three months ended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5"/>
          </w:tcPr>
          <w:p>
            <w:pPr>
              <w:jc w:val="right"/>
              <w:ind w:right="434"/>
              <w:spacing w:after="0"/>
              <w:rPr>
                <w:sz w:val="20"/>
                <w:szCs w:val="20"/>
                <w:color w:val="auto"/>
              </w:rPr>
            </w:pPr>
            <w:r>
              <w:rPr>
                <w:rFonts w:ascii="Arial" w:cs="Arial" w:eastAsia="Arial" w:hAnsi="Arial"/>
                <w:sz w:val="17"/>
                <w:szCs w:val="17"/>
                <w:b w:val="1"/>
                <w:bCs w:val="1"/>
                <w:color w:val="auto"/>
              </w:rPr>
              <w:t>For the six months ended</w:t>
            </w:r>
          </w:p>
        </w:tc>
      </w:tr>
      <w:tr>
        <w:trPr>
          <w:trHeight w:val="232"/>
        </w:trPr>
        <w:tc>
          <w:tcPr>
            <w:tcW w:w="5400" w:type="dxa"/>
            <w:vAlign w:val="bottom"/>
          </w:tcPr>
          <w:p>
            <w:pPr>
              <w:spacing w:after="0"/>
              <w:rPr>
                <w:sz w:val="20"/>
                <w:szCs w:val="20"/>
                <w:color w:val="auto"/>
              </w:rPr>
            </w:pPr>
          </w:p>
        </w:tc>
        <w:tc>
          <w:tcPr>
            <w:tcW w:w="1420" w:type="dxa"/>
            <w:vAlign w:val="bottom"/>
            <w:gridSpan w:val="3"/>
          </w:tcPr>
          <w:p>
            <w:pPr>
              <w:jc w:val="right"/>
              <w:ind w:right="234"/>
              <w:spacing w:after="0"/>
              <w:rPr>
                <w:sz w:val="20"/>
                <w:szCs w:val="20"/>
                <w:color w:val="auto"/>
              </w:rPr>
            </w:pPr>
            <w:r>
              <w:rPr>
                <w:rFonts w:ascii="Arial" w:cs="Arial" w:eastAsia="Arial" w:hAnsi="Arial"/>
                <w:sz w:val="17"/>
                <w:szCs w:val="17"/>
                <w:b w:val="1"/>
                <w:bCs w:val="1"/>
                <w:color w:val="auto"/>
                <w:w w:val="97"/>
              </w:rPr>
              <w:t>June 30, 2018</w:t>
            </w:r>
          </w:p>
        </w:tc>
        <w:tc>
          <w:tcPr>
            <w:tcW w:w="1580" w:type="dxa"/>
            <w:vAlign w:val="bottom"/>
            <w:gridSpan w:val="3"/>
          </w:tcPr>
          <w:p>
            <w:pPr>
              <w:jc w:val="right"/>
              <w:ind w:right="234"/>
              <w:spacing w:after="0"/>
              <w:rPr>
                <w:sz w:val="20"/>
                <w:szCs w:val="20"/>
                <w:color w:val="auto"/>
              </w:rPr>
            </w:pPr>
            <w:r>
              <w:rPr>
                <w:rFonts w:ascii="Arial" w:cs="Arial" w:eastAsia="Arial" w:hAnsi="Arial"/>
                <w:sz w:val="17"/>
                <w:szCs w:val="17"/>
                <w:b w:val="1"/>
                <w:bCs w:val="1"/>
                <w:color w:val="auto"/>
              </w:rPr>
              <w:t>June 30, 2019</w:t>
            </w:r>
          </w:p>
        </w:tc>
        <w:tc>
          <w:tcPr>
            <w:tcW w:w="1680" w:type="dxa"/>
            <w:vAlign w:val="bottom"/>
            <w:gridSpan w:val="4"/>
          </w:tcPr>
          <w:p>
            <w:pPr>
              <w:jc w:val="right"/>
              <w:ind w:right="420"/>
              <w:spacing w:after="0"/>
              <w:rPr>
                <w:sz w:val="20"/>
                <w:szCs w:val="20"/>
                <w:color w:val="auto"/>
              </w:rPr>
            </w:pPr>
            <w:r>
              <w:rPr>
                <w:rFonts w:ascii="Arial" w:cs="Arial" w:eastAsia="Arial" w:hAnsi="Arial"/>
                <w:sz w:val="17"/>
                <w:szCs w:val="17"/>
                <w:b w:val="1"/>
                <w:bCs w:val="1"/>
                <w:color w:val="auto"/>
              </w:rPr>
              <w:t>June 30, 2018</w:t>
            </w:r>
          </w:p>
        </w:tc>
        <w:tc>
          <w:tcPr>
            <w:tcW w:w="1460" w:type="dxa"/>
            <w:vAlign w:val="bottom"/>
            <w:gridSpan w:val="3"/>
          </w:tcPr>
          <w:p>
            <w:pPr>
              <w:jc w:val="right"/>
              <w:ind w:right="254"/>
              <w:spacing w:after="0"/>
              <w:rPr>
                <w:sz w:val="20"/>
                <w:szCs w:val="20"/>
                <w:color w:val="auto"/>
              </w:rPr>
            </w:pPr>
            <w:r>
              <w:rPr>
                <w:rFonts w:ascii="Arial" w:cs="Arial" w:eastAsia="Arial" w:hAnsi="Arial"/>
                <w:sz w:val="17"/>
                <w:szCs w:val="17"/>
                <w:b w:val="1"/>
                <w:bCs w:val="1"/>
                <w:color w:val="auto"/>
                <w:w w:val="99"/>
              </w:rPr>
              <w:t>June 30, 2019</w:t>
            </w:r>
          </w:p>
        </w:tc>
      </w:tr>
      <w:tr>
        <w:trPr>
          <w:trHeight w:val="212"/>
        </w:trPr>
        <w:tc>
          <w:tcPr>
            <w:tcW w:w="5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Revenues from time charters</w:t>
            </w:r>
          </w:p>
        </w:tc>
        <w:tc>
          <w:tcPr>
            <w:tcW w:w="1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127,573</w:t>
            </w:r>
          </w:p>
        </w:tc>
        <w:tc>
          <w:tcPr>
            <w:tcW w:w="26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141,291</w:t>
            </w:r>
          </w:p>
        </w:tc>
        <w:tc>
          <w:tcPr>
            <w:tcW w:w="26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252,467</w:t>
            </w:r>
          </w:p>
        </w:tc>
        <w:tc>
          <w:tcPr>
            <w:tcW w:w="1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275,503</w:t>
            </w:r>
          </w:p>
        </w:tc>
      </w:tr>
      <w:tr>
        <w:trPr>
          <w:trHeight w:val="214"/>
        </w:trPr>
        <w:tc>
          <w:tcPr>
            <w:tcW w:w="5400" w:type="dxa"/>
            <w:vAlign w:val="bottom"/>
          </w:tcPr>
          <w:p>
            <w:pPr>
              <w:spacing w:after="0"/>
              <w:rPr>
                <w:sz w:val="20"/>
                <w:szCs w:val="20"/>
                <w:color w:val="auto"/>
              </w:rPr>
            </w:pPr>
            <w:r>
              <w:rPr>
                <w:rFonts w:ascii="Arial" w:cs="Arial" w:eastAsia="Arial" w:hAnsi="Arial"/>
                <w:sz w:val="17"/>
                <w:szCs w:val="17"/>
                <w:color w:val="auto"/>
              </w:rPr>
              <w:t>Revenues from The Cool Pool Limited (GasLog vessels)</w:t>
            </w:r>
          </w:p>
        </w:tc>
        <w:tc>
          <w:tcPr>
            <w:tcW w:w="1420" w:type="dxa"/>
            <w:vAlign w:val="bottom"/>
            <w:gridSpan w:val="3"/>
          </w:tcPr>
          <w:p>
            <w:pPr>
              <w:jc w:val="right"/>
              <w:spacing w:after="0"/>
              <w:rPr>
                <w:sz w:val="20"/>
                <w:szCs w:val="20"/>
                <w:color w:val="auto"/>
              </w:rPr>
            </w:pPr>
            <w:r>
              <w:rPr>
                <w:rFonts w:ascii="Arial" w:cs="Arial" w:eastAsia="Arial" w:hAnsi="Arial"/>
                <w:sz w:val="17"/>
                <w:szCs w:val="17"/>
                <w:color w:val="auto"/>
              </w:rPr>
              <w:t>5,047</w:t>
            </w: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12,776</w:t>
            </w:r>
          </w:p>
        </w:tc>
        <w:tc>
          <w:tcPr>
            <w:tcW w:w="1680" w:type="dxa"/>
            <w:vAlign w:val="bottom"/>
            <w:gridSpan w:val="4"/>
          </w:tcPr>
          <w:p>
            <w:pPr>
              <w:jc w:val="right"/>
              <w:ind w:right="120"/>
              <w:spacing w:after="0"/>
              <w:rPr>
                <w:sz w:val="20"/>
                <w:szCs w:val="20"/>
                <w:color w:val="auto"/>
              </w:rPr>
            </w:pPr>
            <w:r>
              <w:rPr>
                <w:rFonts w:ascii="Arial" w:cs="Arial" w:eastAsia="Arial" w:hAnsi="Arial"/>
                <w:sz w:val="17"/>
                <w:szCs w:val="17"/>
                <w:color w:val="auto"/>
              </w:rPr>
              <w:t>18,452</w:t>
            </w: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44,918</w:t>
            </w:r>
          </w:p>
        </w:tc>
      </w:tr>
      <w:tr>
        <w:trPr>
          <w:trHeight w:val="214"/>
        </w:trPr>
        <w:tc>
          <w:tcPr>
            <w:tcW w:w="5400" w:type="dxa"/>
            <w:vAlign w:val="bottom"/>
            <w:shd w:val="clear" w:color="auto" w:fill="E5FFFF"/>
          </w:tcPr>
          <w:p>
            <w:pPr>
              <w:spacing w:after="0"/>
              <w:rPr>
                <w:sz w:val="20"/>
                <w:szCs w:val="20"/>
                <w:color w:val="auto"/>
              </w:rPr>
            </w:pPr>
            <w:r>
              <w:rPr>
                <w:rFonts w:ascii="Arial" w:cs="Arial" w:eastAsia="Arial" w:hAnsi="Arial"/>
                <w:sz w:val="17"/>
                <w:szCs w:val="17"/>
                <w:color w:val="auto"/>
              </w:rPr>
              <w:t>Revenues from vessel management services</w:t>
            </w:r>
          </w:p>
        </w:tc>
        <w:tc>
          <w:tcPr>
            <w:tcW w:w="142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204</w:t>
            </w:r>
          </w:p>
        </w:tc>
        <w:tc>
          <w:tcPr>
            <w:tcW w:w="158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184</w:t>
            </w:r>
          </w:p>
        </w:tc>
        <w:tc>
          <w:tcPr>
            <w:tcW w:w="1680" w:type="dxa"/>
            <w:vAlign w:val="bottom"/>
            <w:gridSpan w:val="4"/>
            <w:shd w:val="clear" w:color="auto" w:fill="E5FFFF"/>
          </w:tcPr>
          <w:p>
            <w:pPr>
              <w:jc w:val="right"/>
              <w:ind w:right="120"/>
              <w:spacing w:after="0"/>
              <w:rPr>
                <w:sz w:val="20"/>
                <w:szCs w:val="20"/>
                <w:color w:val="auto"/>
              </w:rPr>
            </w:pPr>
            <w:r>
              <w:rPr>
                <w:rFonts w:ascii="Arial" w:cs="Arial" w:eastAsia="Arial" w:hAnsi="Arial"/>
                <w:sz w:val="17"/>
                <w:szCs w:val="17"/>
                <w:color w:val="auto"/>
              </w:rPr>
              <w:t>383</w:t>
            </w:r>
          </w:p>
        </w:tc>
        <w:tc>
          <w:tcPr>
            <w:tcW w:w="14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377</w:t>
            </w:r>
          </w:p>
        </w:tc>
      </w:tr>
      <w:tr>
        <w:trPr>
          <w:trHeight w:val="208"/>
        </w:trPr>
        <w:tc>
          <w:tcPr>
            <w:tcW w:w="54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132,824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154,251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271,302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320,798</w:t>
            </w:r>
          </w:p>
        </w:tc>
      </w:tr>
      <w:tr>
        <w:trPr>
          <w:trHeight w:val="20"/>
        </w:trPr>
        <w:tc>
          <w:tcPr>
            <w:tcW w:w="5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220" w:firstLine="405"/>
        <w:spacing w:after="0" w:line="275" w:lineRule="auto"/>
        <w:rPr>
          <w:sz w:val="20"/>
          <w:szCs w:val="20"/>
          <w:color w:val="auto"/>
        </w:rPr>
      </w:pPr>
      <w:r>
        <w:rPr>
          <w:rFonts w:ascii="Arial" w:cs="Arial" w:eastAsia="Arial" w:hAnsi="Arial"/>
          <w:sz w:val="17"/>
          <w:szCs w:val="17"/>
          <w:color w:val="auto"/>
        </w:rPr>
        <w:t>Revenues from the Cool Pool relate only to the pool revenues received from GasLog’s vessels operating in the Cool Pool and do not include the Net pool allocation to GasLog of $2,658 and ($4,080) for the three and six months ended June 30, 2019, respectively ($6,958 and $15,611 for the three and six months ended June 30, 2018,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00" w:type="dxa"/>
            <w:vAlign w:val="bottom"/>
          </w:tcPr>
          <w:p>
            <w:pPr>
              <w:spacing w:after="0"/>
              <w:rPr>
                <w:sz w:val="20"/>
                <w:szCs w:val="20"/>
                <w:color w:val="auto"/>
              </w:rPr>
            </w:pPr>
            <w:r>
              <w:rPr>
                <w:rFonts w:ascii="Arial" w:cs="Arial" w:eastAsia="Arial" w:hAnsi="Arial"/>
                <w:sz w:val="17"/>
                <w:szCs w:val="17"/>
                <w:b w:val="1"/>
                <w:bCs w:val="1"/>
                <w:color w:val="auto"/>
              </w:rPr>
              <w:t>10. General and Administrative Expenses</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5300" w:type="dxa"/>
            <w:vAlign w:val="bottom"/>
          </w:tcPr>
          <w:p>
            <w:pPr>
              <w:ind w:left="460"/>
              <w:spacing w:after="0"/>
              <w:rPr>
                <w:sz w:val="20"/>
                <w:szCs w:val="20"/>
                <w:color w:val="auto"/>
              </w:rPr>
            </w:pPr>
            <w:r>
              <w:rPr>
                <w:rFonts w:ascii="Arial" w:cs="Arial" w:eastAsia="Arial" w:hAnsi="Arial"/>
                <w:sz w:val="17"/>
                <w:szCs w:val="17"/>
                <w:color w:val="auto"/>
                <w:w w:val="98"/>
              </w:rPr>
              <w:t>An analysis of general and administrative expenses is as follows: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5"/>
          </w:tcPr>
          <w:p>
            <w:pPr>
              <w:ind w:left="420"/>
              <w:spacing w:after="0"/>
              <w:rPr>
                <w:sz w:val="20"/>
                <w:szCs w:val="20"/>
                <w:color w:val="auto"/>
              </w:rPr>
            </w:pPr>
            <w:r>
              <w:rPr>
                <w:rFonts w:ascii="Arial" w:cs="Arial" w:eastAsia="Arial" w:hAnsi="Arial"/>
                <w:sz w:val="17"/>
                <w:szCs w:val="17"/>
                <w:b w:val="1"/>
                <w:bCs w:val="1"/>
                <w:color w:val="auto"/>
              </w:rPr>
              <w:t>For the 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5"/>
          </w:tcPr>
          <w:p>
            <w:pPr>
              <w:jc w:val="right"/>
              <w:ind w:right="434"/>
              <w:spacing w:after="0"/>
              <w:rPr>
                <w:sz w:val="20"/>
                <w:szCs w:val="20"/>
                <w:color w:val="auto"/>
              </w:rPr>
            </w:pPr>
            <w:r>
              <w:rPr>
                <w:rFonts w:ascii="Arial" w:cs="Arial" w:eastAsia="Arial" w:hAnsi="Arial"/>
                <w:sz w:val="17"/>
                <w:szCs w:val="17"/>
                <w:b w:val="1"/>
                <w:bCs w:val="1"/>
                <w:color w:val="auto"/>
              </w:rPr>
              <w:t>For the six months ended</w:t>
            </w:r>
          </w:p>
        </w:tc>
        <w:tc>
          <w:tcPr>
            <w:tcW w:w="0" w:type="dxa"/>
            <w:vAlign w:val="bottom"/>
          </w:tcPr>
          <w:p>
            <w:pPr>
              <w:spacing w:after="0"/>
              <w:rPr>
                <w:sz w:val="1"/>
                <w:szCs w:val="1"/>
                <w:color w:val="auto"/>
              </w:rPr>
            </w:pPr>
          </w:p>
        </w:tc>
      </w:tr>
      <w:tr>
        <w:trPr>
          <w:trHeight w:val="232"/>
        </w:trPr>
        <w:tc>
          <w:tcPr>
            <w:tcW w:w="5300" w:type="dxa"/>
            <w:vAlign w:val="bottom"/>
          </w:tcPr>
          <w:p>
            <w:pPr>
              <w:spacing w:after="0"/>
              <w:rPr>
                <w:sz w:val="20"/>
                <w:szCs w:val="20"/>
                <w:color w:val="auto"/>
              </w:rPr>
            </w:pPr>
          </w:p>
        </w:tc>
        <w:tc>
          <w:tcPr>
            <w:tcW w:w="1520" w:type="dxa"/>
            <w:vAlign w:val="bottom"/>
            <w:gridSpan w:val="3"/>
          </w:tcPr>
          <w:p>
            <w:pPr>
              <w:jc w:val="right"/>
              <w:ind w:right="234"/>
              <w:spacing w:after="0"/>
              <w:rPr>
                <w:sz w:val="20"/>
                <w:szCs w:val="20"/>
                <w:color w:val="auto"/>
              </w:rPr>
            </w:pPr>
            <w:r>
              <w:rPr>
                <w:rFonts w:ascii="Arial" w:cs="Arial" w:eastAsia="Arial" w:hAnsi="Arial"/>
                <w:sz w:val="17"/>
                <w:szCs w:val="17"/>
                <w:b w:val="1"/>
                <w:bCs w:val="1"/>
                <w:color w:val="auto"/>
              </w:rPr>
              <w:t>June 30, 2018</w:t>
            </w:r>
          </w:p>
        </w:tc>
        <w:tc>
          <w:tcPr>
            <w:tcW w:w="1700" w:type="dxa"/>
            <w:vAlign w:val="bottom"/>
            <w:gridSpan w:val="4"/>
          </w:tcPr>
          <w:p>
            <w:pPr>
              <w:ind w:left="260"/>
              <w:spacing w:after="0"/>
              <w:rPr>
                <w:sz w:val="20"/>
                <w:szCs w:val="20"/>
                <w:color w:val="auto"/>
              </w:rPr>
            </w:pPr>
            <w:r>
              <w:rPr>
                <w:rFonts w:ascii="Arial" w:cs="Arial" w:eastAsia="Arial" w:hAnsi="Arial"/>
                <w:sz w:val="17"/>
                <w:szCs w:val="17"/>
                <w:b w:val="1"/>
                <w:bCs w:val="1"/>
                <w:color w:val="auto"/>
              </w:rPr>
              <w:t>June 30, 2019</w:t>
            </w:r>
          </w:p>
        </w:tc>
        <w:tc>
          <w:tcPr>
            <w:tcW w:w="1560" w:type="dxa"/>
            <w:vAlign w:val="bottom"/>
            <w:gridSpan w:val="4"/>
          </w:tcPr>
          <w:p>
            <w:pPr>
              <w:jc w:val="right"/>
              <w:ind w:right="420"/>
              <w:spacing w:after="0"/>
              <w:rPr>
                <w:sz w:val="20"/>
                <w:szCs w:val="20"/>
                <w:color w:val="auto"/>
              </w:rPr>
            </w:pPr>
            <w:r>
              <w:rPr>
                <w:rFonts w:ascii="Arial" w:cs="Arial" w:eastAsia="Arial" w:hAnsi="Arial"/>
                <w:sz w:val="17"/>
                <w:szCs w:val="17"/>
                <w:b w:val="1"/>
                <w:bCs w:val="1"/>
                <w:color w:val="auto"/>
              </w:rPr>
              <w:t>June 30, 2018</w:t>
            </w:r>
          </w:p>
        </w:tc>
        <w:tc>
          <w:tcPr>
            <w:tcW w:w="1460" w:type="dxa"/>
            <w:vAlign w:val="bottom"/>
            <w:gridSpan w:val="3"/>
          </w:tcPr>
          <w:p>
            <w:pPr>
              <w:jc w:val="right"/>
              <w:ind w:right="254"/>
              <w:spacing w:after="0"/>
              <w:rPr>
                <w:sz w:val="20"/>
                <w:szCs w:val="20"/>
                <w:color w:val="auto"/>
              </w:rPr>
            </w:pPr>
            <w:r>
              <w:rPr>
                <w:rFonts w:ascii="Arial" w:cs="Arial" w:eastAsia="Arial" w:hAnsi="Arial"/>
                <w:sz w:val="17"/>
                <w:szCs w:val="17"/>
                <w:b w:val="1"/>
                <w:bCs w:val="1"/>
                <w:color w:val="auto"/>
                <w:w w:val="99"/>
              </w:rPr>
              <w:t>June 30, 2019</w:t>
            </w:r>
          </w:p>
        </w:tc>
        <w:tc>
          <w:tcPr>
            <w:tcW w:w="0" w:type="dxa"/>
            <w:vAlign w:val="bottom"/>
          </w:tcPr>
          <w:p>
            <w:pPr>
              <w:spacing w:after="0"/>
              <w:rPr>
                <w:sz w:val="1"/>
                <w:szCs w:val="1"/>
                <w:color w:val="auto"/>
              </w:rPr>
            </w:pPr>
          </w:p>
        </w:tc>
      </w:tr>
      <w:tr>
        <w:trPr>
          <w:trHeight w:val="212"/>
        </w:trPr>
        <w:tc>
          <w:tcPr>
            <w:tcW w:w="5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Employee costs</w:t>
            </w:r>
          </w:p>
        </w:tc>
        <w:tc>
          <w:tcPr>
            <w:tcW w:w="2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4,677</w:t>
            </w:r>
          </w:p>
        </w:tc>
        <w:tc>
          <w:tcPr>
            <w:tcW w:w="26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5,123</w:t>
            </w:r>
          </w:p>
        </w:tc>
        <w:tc>
          <w:tcPr>
            <w:tcW w:w="1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11,628</w:t>
            </w:r>
          </w:p>
        </w:tc>
        <w:tc>
          <w:tcPr>
            <w:tcW w:w="1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10,422</w:t>
            </w:r>
          </w:p>
        </w:tc>
        <w:tc>
          <w:tcPr>
            <w:tcW w:w="0" w:type="dxa"/>
            <w:vAlign w:val="bottom"/>
          </w:tcPr>
          <w:p>
            <w:pPr>
              <w:spacing w:after="0"/>
              <w:rPr>
                <w:sz w:val="1"/>
                <w:szCs w:val="1"/>
                <w:color w:val="auto"/>
              </w:rPr>
            </w:pPr>
          </w:p>
        </w:tc>
      </w:tr>
      <w:tr>
        <w:trPr>
          <w:trHeight w:val="214"/>
        </w:trPr>
        <w:tc>
          <w:tcPr>
            <w:tcW w:w="530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1,329</w:t>
            </w: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1,120</w:t>
            </w:r>
          </w:p>
        </w:tc>
        <w:tc>
          <w:tcPr>
            <w:tcW w:w="120" w:type="dxa"/>
            <w:vAlign w:val="bottom"/>
          </w:tcPr>
          <w:p>
            <w:pPr>
              <w:spacing w:after="0"/>
              <w:rPr>
                <w:sz w:val="18"/>
                <w:szCs w:val="18"/>
                <w:color w:val="auto"/>
              </w:rPr>
            </w:pPr>
          </w:p>
        </w:tc>
        <w:tc>
          <w:tcPr>
            <w:tcW w:w="1560" w:type="dxa"/>
            <w:vAlign w:val="bottom"/>
            <w:gridSpan w:val="4"/>
          </w:tcPr>
          <w:p>
            <w:pPr>
              <w:jc w:val="right"/>
              <w:ind w:right="120"/>
              <w:spacing w:after="0"/>
              <w:rPr>
                <w:sz w:val="20"/>
                <w:szCs w:val="20"/>
                <w:color w:val="auto"/>
              </w:rPr>
            </w:pPr>
            <w:r>
              <w:rPr>
                <w:rFonts w:ascii="Arial" w:cs="Arial" w:eastAsia="Arial" w:hAnsi="Arial"/>
                <w:sz w:val="17"/>
                <w:szCs w:val="17"/>
                <w:color w:val="auto"/>
              </w:rPr>
              <w:t>2,515</w:t>
            </w: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14"/>
        </w:trPr>
        <w:tc>
          <w:tcPr>
            <w:tcW w:w="5300" w:type="dxa"/>
            <w:vAlign w:val="bottom"/>
            <w:shd w:val="clear" w:color="auto" w:fill="E5FFFF"/>
          </w:tcPr>
          <w:p>
            <w:pPr>
              <w:spacing w:after="0"/>
              <w:rPr>
                <w:sz w:val="20"/>
                <w:szCs w:val="20"/>
                <w:color w:val="auto"/>
              </w:rPr>
            </w:pPr>
            <w:r>
              <w:rPr>
                <w:rFonts w:ascii="Arial" w:cs="Arial" w:eastAsia="Arial" w:hAnsi="Arial"/>
                <w:sz w:val="17"/>
                <w:szCs w:val="17"/>
                <w:color w:val="auto"/>
              </w:rPr>
              <w:t>Other expenses</w:t>
            </w:r>
          </w:p>
        </w:tc>
        <w:tc>
          <w:tcPr>
            <w:tcW w:w="152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4,346</w:t>
            </w:r>
          </w:p>
        </w:tc>
        <w:tc>
          <w:tcPr>
            <w:tcW w:w="158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4,929</w:t>
            </w:r>
          </w:p>
        </w:tc>
        <w:tc>
          <w:tcPr>
            <w:tcW w:w="120" w:type="dxa"/>
            <w:vAlign w:val="bottom"/>
            <w:shd w:val="clear" w:color="auto" w:fill="E5FFFF"/>
          </w:tcPr>
          <w:p>
            <w:pPr>
              <w:spacing w:after="0"/>
              <w:rPr>
                <w:sz w:val="18"/>
                <w:szCs w:val="18"/>
                <w:color w:val="auto"/>
              </w:rPr>
            </w:pPr>
          </w:p>
        </w:tc>
        <w:tc>
          <w:tcPr>
            <w:tcW w:w="1560" w:type="dxa"/>
            <w:vAlign w:val="bottom"/>
            <w:gridSpan w:val="4"/>
            <w:shd w:val="clear" w:color="auto" w:fill="E5FFFF"/>
          </w:tcPr>
          <w:p>
            <w:pPr>
              <w:jc w:val="right"/>
              <w:ind w:right="120"/>
              <w:spacing w:after="0"/>
              <w:rPr>
                <w:sz w:val="20"/>
                <w:szCs w:val="20"/>
                <w:color w:val="auto"/>
              </w:rPr>
            </w:pPr>
            <w:r>
              <w:rPr>
                <w:rFonts w:ascii="Arial" w:cs="Arial" w:eastAsia="Arial" w:hAnsi="Arial"/>
                <w:sz w:val="17"/>
                <w:szCs w:val="17"/>
                <w:color w:val="auto"/>
              </w:rPr>
              <w:t>8,222</w:t>
            </w:r>
          </w:p>
        </w:tc>
        <w:tc>
          <w:tcPr>
            <w:tcW w:w="14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8,806</w:t>
            </w:r>
          </w:p>
        </w:tc>
        <w:tc>
          <w:tcPr>
            <w:tcW w:w="0" w:type="dxa"/>
            <w:vAlign w:val="bottom"/>
          </w:tcPr>
          <w:p>
            <w:pPr>
              <w:spacing w:after="0"/>
              <w:rPr>
                <w:sz w:val="1"/>
                <w:szCs w:val="1"/>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21,549</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b w:val="1"/>
                <w:bCs w:val="1"/>
                <w:color w:val="auto"/>
              </w:rPr>
              <w:t>11. Vessel Operating and Supervision Costs</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300" w:type="dxa"/>
            <w:vAlign w:val="bottom"/>
          </w:tcPr>
          <w:p>
            <w:pPr>
              <w:ind w:left="460"/>
              <w:spacing w:after="0"/>
              <w:rPr>
                <w:sz w:val="20"/>
                <w:szCs w:val="20"/>
                <w:color w:val="auto"/>
              </w:rPr>
            </w:pPr>
            <w:r>
              <w:rPr>
                <w:rFonts w:ascii="Arial" w:cs="Arial" w:eastAsia="Arial" w:hAnsi="Arial"/>
                <w:sz w:val="17"/>
                <w:szCs w:val="17"/>
                <w:color w:val="auto"/>
                <w:w w:val="94"/>
              </w:rPr>
              <w:t>An analysis of vessels operating and supervision costs is as follows: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5"/>
          </w:tcPr>
          <w:p>
            <w:pPr>
              <w:ind w:left="420"/>
              <w:spacing w:after="0"/>
              <w:rPr>
                <w:sz w:val="20"/>
                <w:szCs w:val="20"/>
                <w:color w:val="auto"/>
              </w:rPr>
            </w:pPr>
            <w:r>
              <w:rPr>
                <w:rFonts w:ascii="Arial" w:cs="Arial" w:eastAsia="Arial" w:hAnsi="Arial"/>
                <w:sz w:val="17"/>
                <w:szCs w:val="17"/>
                <w:b w:val="1"/>
                <w:bCs w:val="1"/>
                <w:color w:val="auto"/>
              </w:rPr>
              <w:t>For the 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5"/>
          </w:tcPr>
          <w:p>
            <w:pPr>
              <w:jc w:val="right"/>
              <w:ind w:right="434"/>
              <w:spacing w:after="0"/>
              <w:rPr>
                <w:sz w:val="20"/>
                <w:szCs w:val="20"/>
                <w:color w:val="auto"/>
              </w:rPr>
            </w:pPr>
            <w:r>
              <w:rPr>
                <w:rFonts w:ascii="Arial" w:cs="Arial" w:eastAsia="Arial" w:hAnsi="Arial"/>
                <w:sz w:val="17"/>
                <w:szCs w:val="17"/>
                <w:b w:val="1"/>
                <w:bCs w:val="1"/>
                <w:color w:val="auto"/>
              </w:rPr>
              <w:t>For the six months ended</w:t>
            </w:r>
          </w:p>
        </w:tc>
        <w:tc>
          <w:tcPr>
            <w:tcW w:w="0" w:type="dxa"/>
            <w:vAlign w:val="bottom"/>
          </w:tcPr>
          <w:p>
            <w:pPr>
              <w:spacing w:after="0"/>
              <w:rPr>
                <w:sz w:val="1"/>
                <w:szCs w:val="1"/>
                <w:color w:val="auto"/>
              </w:rPr>
            </w:pPr>
          </w:p>
        </w:tc>
      </w:tr>
      <w:tr>
        <w:trPr>
          <w:trHeight w:val="232"/>
        </w:trPr>
        <w:tc>
          <w:tcPr>
            <w:tcW w:w="5300" w:type="dxa"/>
            <w:vAlign w:val="bottom"/>
          </w:tcPr>
          <w:p>
            <w:pPr>
              <w:spacing w:after="0"/>
              <w:rPr>
                <w:sz w:val="20"/>
                <w:szCs w:val="20"/>
                <w:color w:val="auto"/>
              </w:rPr>
            </w:pPr>
          </w:p>
        </w:tc>
        <w:tc>
          <w:tcPr>
            <w:tcW w:w="1520" w:type="dxa"/>
            <w:vAlign w:val="bottom"/>
            <w:gridSpan w:val="3"/>
          </w:tcPr>
          <w:p>
            <w:pPr>
              <w:jc w:val="right"/>
              <w:ind w:right="234"/>
              <w:spacing w:after="0"/>
              <w:rPr>
                <w:sz w:val="20"/>
                <w:szCs w:val="20"/>
                <w:color w:val="auto"/>
              </w:rPr>
            </w:pPr>
            <w:r>
              <w:rPr>
                <w:rFonts w:ascii="Arial" w:cs="Arial" w:eastAsia="Arial" w:hAnsi="Arial"/>
                <w:sz w:val="17"/>
                <w:szCs w:val="17"/>
                <w:b w:val="1"/>
                <w:bCs w:val="1"/>
                <w:color w:val="auto"/>
              </w:rPr>
              <w:t>June 30, 2018</w:t>
            </w:r>
          </w:p>
        </w:tc>
        <w:tc>
          <w:tcPr>
            <w:tcW w:w="1700" w:type="dxa"/>
            <w:vAlign w:val="bottom"/>
            <w:gridSpan w:val="4"/>
          </w:tcPr>
          <w:p>
            <w:pPr>
              <w:ind w:left="260"/>
              <w:spacing w:after="0"/>
              <w:rPr>
                <w:sz w:val="20"/>
                <w:szCs w:val="20"/>
                <w:color w:val="auto"/>
              </w:rPr>
            </w:pPr>
            <w:r>
              <w:rPr>
                <w:rFonts w:ascii="Arial" w:cs="Arial" w:eastAsia="Arial" w:hAnsi="Arial"/>
                <w:sz w:val="17"/>
                <w:szCs w:val="17"/>
                <w:b w:val="1"/>
                <w:bCs w:val="1"/>
                <w:color w:val="auto"/>
              </w:rPr>
              <w:t>June 30, 2019</w:t>
            </w:r>
          </w:p>
        </w:tc>
        <w:tc>
          <w:tcPr>
            <w:tcW w:w="1560" w:type="dxa"/>
            <w:vAlign w:val="bottom"/>
            <w:gridSpan w:val="4"/>
          </w:tcPr>
          <w:p>
            <w:pPr>
              <w:jc w:val="right"/>
              <w:ind w:right="420"/>
              <w:spacing w:after="0"/>
              <w:rPr>
                <w:sz w:val="20"/>
                <w:szCs w:val="20"/>
                <w:color w:val="auto"/>
              </w:rPr>
            </w:pPr>
            <w:r>
              <w:rPr>
                <w:rFonts w:ascii="Arial" w:cs="Arial" w:eastAsia="Arial" w:hAnsi="Arial"/>
                <w:sz w:val="17"/>
                <w:szCs w:val="17"/>
                <w:b w:val="1"/>
                <w:bCs w:val="1"/>
                <w:color w:val="auto"/>
              </w:rPr>
              <w:t>June 30, 2018</w:t>
            </w:r>
          </w:p>
        </w:tc>
        <w:tc>
          <w:tcPr>
            <w:tcW w:w="1460" w:type="dxa"/>
            <w:vAlign w:val="bottom"/>
            <w:gridSpan w:val="3"/>
          </w:tcPr>
          <w:p>
            <w:pPr>
              <w:jc w:val="right"/>
              <w:ind w:right="254"/>
              <w:spacing w:after="0"/>
              <w:rPr>
                <w:sz w:val="20"/>
                <w:szCs w:val="20"/>
                <w:color w:val="auto"/>
              </w:rPr>
            </w:pPr>
            <w:r>
              <w:rPr>
                <w:rFonts w:ascii="Arial" w:cs="Arial" w:eastAsia="Arial" w:hAnsi="Arial"/>
                <w:sz w:val="17"/>
                <w:szCs w:val="17"/>
                <w:b w:val="1"/>
                <w:bCs w:val="1"/>
                <w:color w:val="auto"/>
                <w:w w:val="99"/>
              </w:rPr>
              <w:t>June 30, 2019</w:t>
            </w:r>
          </w:p>
        </w:tc>
        <w:tc>
          <w:tcPr>
            <w:tcW w:w="0" w:type="dxa"/>
            <w:vAlign w:val="bottom"/>
          </w:tcPr>
          <w:p>
            <w:pPr>
              <w:spacing w:after="0"/>
              <w:rPr>
                <w:sz w:val="1"/>
                <w:szCs w:val="1"/>
                <w:color w:val="auto"/>
              </w:rPr>
            </w:pPr>
          </w:p>
        </w:tc>
      </w:tr>
      <w:tr>
        <w:trPr>
          <w:trHeight w:val="212"/>
        </w:trPr>
        <w:tc>
          <w:tcPr>
            <w:tcW w:w="5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Crew wages and vessel management employee costs</w:t>
            </w:r>
          </w:p>
        </w:tc>
        <w:tc>
          <w:tcPr>
            <w:tcW w:w="20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20,228</w:t>
            </w:r>
          </w:p>
        </w:tc>
        <w:tc>
          <w:tcPr>
            <w:tcW w:w="26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19,733</w:t>
            </w:r>
          </w:p>
        </w:tc>
        <w:tc>
          <w:tcPr>
            <w:tcW w:w="12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40,258</w:t>
            </w:r>
          </w:p>
        </w:tc>
        <w:tc>
          <w:tcPr>
            <w:tcW w:w="1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39,344</w:t>
            </w:r>
          </w:p>
        </w:tc>
        <w:tc>
          <w:tcPr>
            <w:tcW w:w="0" w:type="dxa"/>
            <w:vAlign w:val="bottom"/>
          </w:tcPr>
          <w:p>
            <w:pPr>
              <w:spacing w:after="0"/>
              <w:rPr>
                <w:sz w:val="1"/>
                <w:szCs w:val="1"/>
                <w:color w:val="auto"/>
              </w:rPr>
            </w:pPr>
          </w:p>
        </w:tc>
      </w:tr>
      <w:tr>
        <w:trPr>
          <w:trHeight w:val="214"/>
        </w:trPr>
        <w:tc>
          <w:tcPr>
            <w:tcW w:w="5300" w:type="dxa"/>
            <w:vAlign w:val="bottom"/>
          </w:tcPr>
          <w:p>
            <w:pPr>
              <w:spacing w:after="0"/>
              <w:rPr>
                <w:sz w:val="20"/>
                <w:szCs w:val="20"/>
                <w:color w:val="auto"/>
              </w:rPr>
            </w:pPr>
            <w:r>
              <w:rPr>
                <w:rFonts w:ascii="Arial" w:cs="Arial" w:eastAsia="Arial" w:hAnsi="Arial"/>
                <w:sz w:val="17"/>
                <w:szCs w:val="17"/>
                <w:color w:val="auto"/>
              </w:rPr>
              <w:t>Technical maintenance expenses</w:t>
            </w:r>
          </w:p>
        </w:tc>
        <w:tc>
          <w:tcPr>
            <w:tcW w:w="1520" w:type="dxa"/>
            <w:vAlign w:val="bottom"/>
            <w:gridSpan w:val="3"/>
          </w:tcPr>
          <w:p>
            <w:pPr>
              <w:jc w:val="right"/>
              <w:spacing w:after="0"/>
              <w:rPr>
                <w:sz w:val="20"/>
                <w:szCs w:val="20"/>
                <w:color w:val="auto"/>
              </w:rPr>
            </w:pPr>
            <w:r>
              <w:rPr>
                <w:rFonts w:ascii="Arial" w:cs="Arial" w:eastAsia="Arial" w:hAnsi="Arial"/>
                <w:sz w:val="17"/>
                <w:szCs w:val="17"/>
                <w:color w:val="auto"/>
              </w:rPr>
              <w:t>6,919</w:t>
            </w: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8,597</w:t>
            </w:r>
          </w:p>
        </w:tc>
        <w:tc>
          <w:tcPr>
            <w:tcW w:w="120" w:type="dxa"/>
            <w:vAlign w:val="bottom"/>
          </w:tcPr>
          <w:p>
            <w:pPr>
              <w:spacing w:after="0"/>
              <w:rPr>
                <w:sz w:val="18"/>
                <w:szCs w:val="18"/>
                <w:color w:val="auto"/>
              </w:rPr>
            </w:pPr>
          </w:p>
        </w:tc>
        <w:tc>
          <w:tcPr>
            <w:tcW w:w="1560" w:type="dxa"/>
            <w:vAlign w:val="bottom"/>
            <w:gridSpan w:val="4"/>
          </w:tcPr>
          <w:p>
            <w:pPr>
              <w:jc w:val="right"/>
              <w:ind w:right="120"/>
              <w:spacing w:after="0"/>
              <w:rPr>
                <w:sz w:val="20"/>
                <w:szCs w:val="20"/>
                <w:color w:val="auto"/>
              </w:rPr>
            </w:pPr>
            <w:r>
              <w:rPr>
                <w:rFonts w:ascii="Arial" w:cs="Arial" w:eastAsia="Arial" w:hAnsi="Arial"/>
                <w:sz w:val="17"/>
                <w:szCs w:val="17"/>
                <w:color w:val="auto"/>
              </w:rPr>
              <w:t>15,601</w:t>
            </w:r>
          </w:p>
        </w:tc>
        <w:tc>
          <w:tcPr>
            <w:tcW w:w="1460" w:type="dxa"/>
            <w:vAlign w:val="bottom"/>
            <w:gridSpan w:val="3"/>
          </w:tcPr>
          <w:p>
            <w:pPr>
              <w:jc w:val="right"/>
              <w:spacing w:after="0"/>
              <w:rPr>
                <w:sz w:val="20"/>
                <w:szCs w:val="20"/>
                <w:color w:val="auto"/>
              </w:rPr>
            </w:pPr>
            <w:r>
              <w:rPr>
                <w:rFonts w:ascii="Arial" w:cs="Arial" w:eastAsia="Arial" w:hAnsi="Arial"/>
                <w:sz w:val="17"/>
                <w:szCs w:val="17"/>
                <w:color w:val="auto"/>
              </w:rPr>
              <w:t>17,125</w:t>
            </w:r>
          </w:p>
        </w:tc>
        <w:tc>
          <w:tcPr>
            <w:tcW w:w="0" w:type="dxa"/>
            <w:vAlign w:val="bottom"/>
          </w:tcPr>
          <w:p>
            <w:pPr>
              <w:spacing w:after="0"/>
              <w:rPr>
                <w:sz w:val="1"/>
                <w:szCs w:val="1"/>
                <w:color w:val="auto"/>
              </w:rPr>
            </w:pPr>
          </w:p>
        </w:tc>
      </w:tr>
      <w:tr>
        <w:trPr>
          <w:trHeight w:val="214"/>
        </w:trPr>
        <w:tc>
          <w:tcPr>
            <w:tcW w:w="5300" w:type="dxa"/>
            <w:vAlign w:val="bottom"/>
            <w:shd w:val="clear" w:color="auto" w:fill="E5FFFF"/>
          </w:tcPr>
          <w:p>
            <w:pPr>
              <w:spacing w:after="0"/>
              <w:rPr>
                <w:sz w:val="20"/>
                <w:szCs w:val="20"/>
                <w:color w:val="auto"/>
              </w:rPr>
            </w:pPr>
            <w:r>
              <w:rPr>
                <w:rFonts w:ascii="Arial" w:cs="Arial" w:eastAsia="Arial" w:hAnsi="Arial"/>
                <w:sz w:val="17"/>
                <w:szCs w:val="17"/>
                <w:color w:val="auto"/>
              </w:rPr>
              <w:t>Other vessel operating expenses</w:t>
            </w:r>
          </w:p>
        </w:tc>
        <w:tc>
          <w:tcPr>
            <w:tcW w:w="152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5,556</w:t>
            </w:r>
          </w:p>
        </w:tc>
        <w:tc>
          <w:tcPr>
            <w:tcW w:w="158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5,028</w:t>
            </w:r>
          </w:p>
        </w:tc>
        <w:tc>
          <w:tcPr>
            <w:tcW w:w="120" w:type="dxa"/>
            <w:vAlign w:val="bottom"/>
            <w:shd w:val="clear" w:color="auto" w:fill="E5FFFF"/>
          </w:tcPr>
          <w:p>
            <w:pPr>
              <w:spacing w:after="0"/>
              <w:rPr>
                <w:sz w:val="18"/>
                <w:szCs w:val="18"/>
                <w:color w:val="auto"/>
              </w:rPr>
            </w:pPr>
          </w:p>
        </w:tc>
        <w:tc>
          <w:tcPr>
            <w:tcW w:w="1560" w:type="dxa"/>
            <w:vAlign w:val="bottom"/>
            <w:gridSpan w:val="4"/>
            <w:shd w:val="clear" w:color="auto" w:fill="E5FFFF"/>
          </w:tcPr>
          <w:p>
            <w:pPr>
              <w:jc w:val="right"/>
              <w:ind w:right="120"/>
              <w:spacing w:after="0"/>
              <w:rPr>
                <w:sz w:val="20"/>
                <w:szCs w:val="20"/>
                <w:color w:val="auto"/>
              </w:rPr>
            </w:pPr>
            <w:r>
              <w:rPr>
                <w:rFonts w:ascii="Arial" w:cs="Arial" w:eastAsia="Arial" w:hAnsi="Arial"/>
                <w:sz w:val="17"/>
                <w:szCs w:val="17"/>
                <w:color w:val="auto"/>
              </w:rPr>
              <w:t>11,157</w:t>
            </w:r>
          </w:p>
        </w:tc>
        <w:tc>
          <w:tcPr>
            <w:tcW w:w="1460" w:type="dxa"/>
            <w:vAlign w:val="bottom"/>
            <w:gridSpan w:val="3"/>
            <w:shd w:val="clear" w:color="auto" w:fill="E5FFFF"/>
          </w:tcPr>
          <w:p>
            <w:pPr>
              <w:jc w:val="right"/>
              <w:spacing w:after="0"/>
              <w:rPr>
                <w:sz w:val="20"/>
                <w:szCs w:val="20"/>
                <w:color w:val="auto"/>
              </w:rPr>
            </w:pPr>
            <w:r>
              <w:rPr>
                <w:rFonts w:ascii="Arial" w:cs="Arial" w:eastAsia="Arial" w:hAnsi="Arial"/>
                <w:sz w:val="17"/>
                <w:szCs w:val="17"/>
                <w:color w:val="auto"/>
              </w:rPr>
              <w:t>9,859</w:t>
            </w:r>
          </w:p>
        </w:tc>
        <w:tc>
          <w:tcPr>
            <w:tcW w:w="0" w:type="dxa"/>
            <w:vAlign w:val="bottom"/>
          </w:tcPr>
          <w:p>
            <w:pPr>
              <w:spacing w:after="0"/>
              <w:rPr>
                <w:sz w:val="1"/>
                <w:szCs w:val="1"/>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20" w:type="dxa"/>
            <w:vAlign w:val="bottom"/>
            <w:gridSpan w:val="2"/>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32,703</w:t>
            </w:r>
          </w:p>
        </w:tc>
        <w:tc>
          <w:tcPr>
            <w:tcW w:w="280" w:type="dxa"/>
            <w:vAlign w:val="bottom"/>
            <w:gridSpan w:val="2"/>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33,358</w:t>
            </w: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67,016</w:t>
            </w: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66,328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2000"/>
          </w:cols>
          <w:pgMar w:left="120" w:top="212" w:right="120" w:bottom="0" w:gutter="0" w:footer="0" w:header="0"/>
        </w:sectPr>
      </w:pPr>
    </w:p>
    <w:bookmarkStart w:id="41" w:name="page42"/>
    <w:bookmarkEnd w:id="41"/>
    <w:p>
      <w:pPr>
        <w:jc w:val="center"/>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97155</wp:posOffset>
            </wp:positionV>
            <wp:extent cx="7646670" cy="31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9360"/>
          </w:cols>
          <w:pgMar w:left="1440" w:top="0"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2"/>
        </w:trPr>
        <w:tc>
          <w:tcPr>
            <w:tcW w:w="8760" w:type="dxa"/>
            <w:vAlign w:val="bottom"/>
          </w:tcPr>
          <w:p>
            <w:pPr>
              <w:spacing w:after="0"/>
              <w:rPr>
                <w:sz w:val="20"/>
                <w:szCs w:val="20"/>
                <w:color w:val="auto"/>
              </w:rPr>
            </w:pPr>
            <w:r>
              <w:rPr>
                <w:rFonts w:ascii="Arial" w:cs="Arial" w:eastAsia="Arial" w:hAnsi="Arial"/>
                <w:sz w:val="17"/>
                <w:szCs w:val="17"/>
                <w:b w:val="1"/>
                <w:bCs w:val="1"/>
                <w:color w:val="auto"/>
              </w:rPr>
              <w:t>12. Other Payables and Accruals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42"/>
        </w:trPr>
        <w:tc>
          <w:tcPr>
            <w:tcW w:w="8760" w:type="dxa"/>
            <w:vAlign w:val="bottom"/>
          </w:tcPr>
          <w:p>
            <w:pPr>
              <w:ind w:left="460"/>
              <w:spacing w:after="0"/>
              <w:rPr>
                <w:sz w:val="20"/>
                <w:szCs w:val="20"/>
                <w:color w:val="auto"/>
              </w:rPr>
            </w:pPr>
            <w:r>
              <w:rPr>
                <w:rFonts w:ascii="Arial" w:cs="Arial" w:eastAsia="Arial" w:hAnsi="Arial"/>
                <w:sz w:val="17"/>
                <w:szCs w:val="17"/>
                <w:color w:val="auto"/>
              </w:rPr>
              <w:t>An analysis of other payables and accruals is as follows:</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4"/>
        </w:trPr>
        <w:tc>
          <w:tcPr>
            <w:tcW w:w="8760" w:type="dxa"/>
            <w:vAlign w:val="bottom"/>
          </w:tcPr>
          <w:p>
            <w:pPr>
              <w:spacing w:after="0"/>
              <w:rPr>
                <w:sz w:val="24"/>
                <w:szCs w:val="24"/>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December 31,</w:t>
            </w:r>
          </w:p>
        </w:tc>
        <w:tc>
          <w:tcPr>
            <w:tcW w:w="1300" w:type="dxa"/>
            <w:vAlign w:val="bottom"/>
          </w:tcPr>
          <w:p>
            <w:pPr>
              <w:jc w:val="right"/>
              <w:ind w:right="274"/>
              <w:spacing w:after="0"/>
              <w:rPr>
                <w:sz w:val="20"/>
                <w:szCs w:val="20"/>
                <w:color w:val="auto"/>
              </w:rPr>
            </w:pPr>
            <w:r>
              <w:rPr>
                <w:rFonts w:ascii="Arial" w:cs="Arial" w:eastAsia="Arial" w:hAnsi="Arial"/>
                <w:sz w:val="17"/>
                <w:szCs w:val="17"/>
                <w:b w:val="1"/>
                <w:bCs w:val="1"/>
                <w:color w:val="auto"/>
              </w:rPr>
              <w:t>June 30,</w:t>
            </w:r>
          </w:p>
        </w:tc>
      </w:tr>
      <w:tr>
        <w:trPr>
          <w:trHeight w:val="226"/>
        </w:trPr>
        <w:tc>
          <w:tcPr>
            <w:tcW w:w="8760" w:type="dxa"/>
            <w:vAlign w:val="bottom"/>
            <w:tcBorders>
              <w:bottom w:val="single" w:sz="8" w:color="E5FFFF"/>
            </w:tcBorders>
          </w:tcPr>
          <w:p>
            <w:pPr>
              <w:spacing w:after="0"/>
              <w:rPr>
                <w:sz w:val="19"/>
                <w:szCs w:val="19"/>
                <w:color w:val="auto"/>
              </w:rPr>
            </w:pPr>
          </w:p>
        </w:tc>
        <w:tc>
          <w:tcPr>
            <w:tcW w:w="12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2018</w:t>
            </w:r>
          </w:p>
        </w:tc>
        <w:tc>
          <w:tcPr>
            <w:tcW w:w="300" w:type="dxa"/>
            <w:vAlign w:val="bottom"/>
            <w:tcBorders>
              <w:bottom w:val="single" w:sz="8" w:color="E5FFFF"/>
            </w:tcBorders>
          </w:tcPr>
          <w:p>
            <w:pPr>
              <w:spacing w:after="0"/>
              <w:rPr>
                <w:sz w:val="19"/>
                <w:szCs w:val="19"/>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2019</w:t>
            </w:r>
          </w:p>
        </w:tc>
      </w:tr>
      <w:tr>
        <w:trPr>
          <w:trHeight w:val="212"/>
        </w:trPr>
        <w:tc>
          <w:tcPr>
            <w:tcW w:w="8760" w:type="dxa"/>
            <w:vAlign w:val="bottom"/>
            <w:shd w:val="clear" w:color="auto" w:fill="E5FFFF"/>
          </w:tcPr>
          <w:p>
            <w:pPr>
              <w:spacing w:after="0"/>
              <w:rPr>
                <w:sz w:val="20"/>
                <w:szCs w:val="20"/>
                <w:color w:val="auto"/>
              </w:rPr>
            </w:pPr>
            <w:r>
              <w:rPr>
                <w:rFonts w:ascii="Arial" w:cs="Arial" w:eastAsia="Arial" w:hAnsi="Arial"/>
                <w:sz w:val="17"/>
                <w:szCs w:val="17"/>
                <w:color w:val="auto"/>
              </w:rPr>
              <w:t>Unearned revenue</w:t>
            </w:r>
          </w:p>
        </w:tc>
        <w:tc>
          <w:tcPr>
            <w:tcW w:w="12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38,680</w:t>
            </w:r>
          </w:p>
        </w:tc>
        <w:tc>
          <w:tcPr>
            <w:tcW w:w="300" w:type="dxa"/>
            <w:vAlign w:val="bottom"/>
            <w:shd w:val="clear" w:color="auto" w:fill="E5FFFF"/>
          </w:tcPr>
          <w:p>
            <w:pPr>
              <w:spacing w:after="0"/>
              <w:rPr>
                <w:sz w:val="18"/>
                <w:szCs w:val="18"/>
                <w:color w:val="auto"/>
              </w:rPr>
            </w:pPr>
          </w:p>
        </w:tc>
        <w:tc>
          <w:tcPr>
            <w:tcW w:w="13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2,325</w:t>
            </w:r>
          </w:p>
        </w:tc>
      </w:tr>
      <w:tr>
        <w:trPr>
          <w:trHeight w:val="214"/>
        </w:trPr>
        <w:tc>
          <w:tcPr>
            <w:tcW w:w="8760" w:type="dxa"/>
            <w:vAlign w:val="bottom"/>
          </w:tcPr>
          <w:p>
            <w:pPr>
              <w:spacing w:after="0"/>
              <w:rPr>
                <w:sz w:val="20"/>
                <w:szCs w:val="20"/>
                <w:color w:val="auto"/>
              </w:rPr>
            </w:pPr>
            <w:r>
              <w:rPr>
                <w:rFonts w:ascii="Arial" w:cs="Arial" w:eastAsia="Arial" w:hAnsi="Arial"/>
                <w:sz w:val="17"/>
                <w:szCs w:val="17"/>
                <w:color w:val="auto"/>
              </w:rPr>
              <w:t>Accrued off-hire</w:t>
            </w:r>
          </w:p>
        </w:tc>
        <w:tc>
          <w:tcPr>
            <w:tcW w:w="1580" w:type="dxa"/>
            <w:vAlign w:val="bottom"/>
            <w:gridSpan w:val="2"/>
          </w:tcPr>
          <w:p>
            <w:pPr>
              <w:jc w:val="right"/>
              <w:ind w:right="300"/>
              <w:spacing w:after="0"/>
              <w:rPr>
                <w:sz w:val="20"/>
                <w:szCs w:val="20"/>
                <w:color w:val="auto"/>
              </w:rPr>
            </w:pPr>
            <w:r>
              <w:rPr>
                <w:rFonts w:ascii="Arial" w:cs="Arial" w:eastAsia="Arial" w:hAnsi="Arial"/>
                <w:sz w:val="17"/>
                <w:szCs w:val="17"/>
                <w:color w:val="auto"/>
              </w:rPr>
              <w:t>7,376</w:t>
            </w:r>
          </w:p>
        </w:tc>
        <w:tc>
          <w:tcPr>
            <w:tcW w:w="1300" w:type="dxa"/>
            <w:vAlign w:val="bottom"/>
          </w:tcPr>
          <w:p>
            <w:pPr>
              <w:jc w:val="right"/>
              <w:spacing w:after="0"/>
              <w:rPr>
                <w:sz w:val="20"/>
                <w:szCs w:val="20"/>
                <w:color w:val="auto"/>
              </w:rPr>
            </w:pPr>
            <w:r>
              <w:rPr>
                <w:rFonts w:ascii="Arial" w:cs="Arial" w:eastAsia="Arial" w:hAnsi="Arial"/>
                <w:sz w:val="17"/>
                <w:szCs w:val="17"/>
                <w:color w:val="auto"/>
              </w:rPr>
              <w:t>6,584</w:t>
            </w:r>
          </w:p>
        </w:tc>
      </w:tr>
      <w:tr>
        <w:trPr>
          <w:trHeight w:val="214"/>
        </w:trPr>
        <w:tc>
          <w:tcPr>
            <w:tcW w:w="8760" w:type="dxa"/>
            <w:vAlign w:val="bottom"/>
            <w:shd w:val="clear" w:color="auto" w:fill="E5FFFF"/>
          </w:tcPr>
          <w:p>
            <w:pPr>
              <w:spacing w:after="0"/>
              <w:rPr>
                <w:sz w:val="20"/>
                <w:szCs w:val="20"/>
                <w:color w:val="auto"/>
              </w:rPr>
            </w:pPr>
            <w:r>
              <w:rPr>
                <w:rFonts w:ascii="Arial" w:cs="Arial" w:eastAsia="Arial" w:hAnsi="Arial"/>
                <w:sz w:val="17"/>
                <w:szCs w:val="17"/>
                <w:color w:val="auto"/>
              </w:rPr>
              <w:t>Accrued purchases</w:t>
            </w:r>
          </w:p>
        </w:tc>
        <w:tc>
          <w:tcPr>
            <w:tcW w:w="158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18,578</w:t>
            </w:r>
          </w:p>
        </w:tc>
        <w:tc>
          <w:tcPr>
            <w:tcW w:w="13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7,012</w:t>
            </w:r>
          </w:p>
        </w:tc>
      </w:tr>
      <w:tr>
        <w:trPr>
          <w:trHeight w:val="214"/>
        </w:trPr>
        <w:tc>
          <w:tcPr>
            <w:tcW w:w="8760" w:type="dxa"/>
            <w:vAlign w:val="bottom"/>
          </w:tcPr>
          <w:p>
            <w:pPr>
              <w:spacing w:after="0"/>
              <w:rPr>
                <w:sz w:val="20"/>
                <w:szCs w:val="20"/>
                <w:color w:val="auto"/>
              </w:rPr>
            </w:pPr>
            <w:r>
              <w:rPr>
                <w:rFonts w:ascii="Arial" w:cs="Arial" w:eastAsia="Arial" w:hAnsi="Arial"/>
                <w:sz w:val="17"/>
                <w:szCs w:val="17"/>
                <w:color w:val="auto"/>
              </w:rPr>
              <w:t>Accrued interest</w:t>
            </w:r>
          </w:p>
        </w:tc>
        <w:tc>
          <w:tcPr>
            <w:tcW w:w="1580" w:type="dxa"/>
            <w:vAlign w:val="bottom"/>
            <w:gridSpan w:val="2"/>
          </w:tcPr>
          <w:p>
            <w:pPr>
              <w:jc w:val="right"/>
              <w:ind w:right="300"/>
              <w:spacing w:after="0"/>
              <w:rPr>
                <w:sz w:val="20"/>
                <w:szCs w:val="20"/>
                <w:color w:val="auto"/>
              </w:rPr>
            </w:pPr>
            <w:r>
              <w:rPr>
                <w:rFonts w:ascii="Arial" w:cs="Arial" w:eastAsia="Arial" w:hAnsi="Arial"/>
                <w:sz w:val="17"/>
                <w:szCs w:val="17"/>
                <w:color w:val="auto"/>
              </w:rPr>
              <w:t>38,107</w:t>
            </w:r>
          </w:p>
        </w:tc>
        <w:tc>
          <w:tcPr>
            <w:tcW w:w="1300" w:type="dxa"/>
            <w:vAlign w:val="bottom"/>
          </w:tcPr>
          <w:p>
            <w:pPr>
              <w:jc w:val="right"/>
              <w:spacing w:after="0"/>
              <w:rPr>
                <w:sz w:val="20"/>
                <w:szCs w:val="20"/>
                <w:color w:val="auto"/>
              </w:rPr>
            </w:pPr>
            <w:r>
              <w:rPr>
                <w:rFonts w:ascii="Arial" w:cs="Arial" w:eastAsia="Arial" w:hAnsi="Arial"/>
                <w:sz w:val="17"/>
                <w:szCs w:val="17"/>
                <w:color w:val="auto"/>
              </w:rPr>
              <w:t>40,058</w:t>
            </w:r>
          </w:p>
        </w:tc>
      </w:tr>
      <w:tr>
        <w:trPr>
          <w:trHeight w:val="214"/>
        </w:trPr>
        <w:tc>
          <w:tcPr>
            <w:tcW w:w="8760" w:type="dxa"/>
            <w:vAlign w:val="bottom"/>
            <w:shd w:val="clear" w:color="auto" w:fill="E5FFFF"/>
          </w:tcPr>
          <w:p>
            <w:pPr>
              <w:spacing w:after="0"/>
              <w:rPr>
                <w:sz w:val="20"/>
                <w:szCs w:val="20"/>
                <w:color w:val="auto"/>
              </w:rPr>
            </w:pPr>
            <w:r>
              <w:rPr>
                <w:rFonts w:ascii="Arial" w:cs="Arial" w:eastAsia="Arial" w:hAnsi="Arial"/>
                <w:sz w:val="17"/>
                <w:szCs w:val="17"/>
                <w:color w:val="auto"/>
              </w:rPr>
              <w:t>Other accruals</w:t>
            </w:r>
          </w:p>
        </w:tc>
        <w:tc>
          <w:tcPr>
            <w:tcW w:w="158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24,709</w:t>
            </w:r>
          </w:p>
        </w:tc>
        <w:tc>
          <w:tcPr>
            <w:tcW w:w="13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23,073</w:t>
            </w:r>
          </w:p>
        </w:tc>
      </w:tr>
      <w:tr>
        <w:trPr>
          <w:trHeight w:val="208"/>
        </w:trPr>
        <w:tc>
          <w:tcPr>
            <w:tcW w:w="876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127,450</w:t>
            </w:r>
          </w:p>
        </w:tc>
        <w:tc>
          <w:tcPr>
            <w:tcW w:w="3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79,052</w:t>
            </w:r>
          </w:p>
        </w:tc>
      </w:tr>
      <w:tr>
        <w:trPr>
          <w:trHeight w:val="20"/>
        </w:trPr>
        <w:tc>
          <w:tcPr>
            <w:tcW w:w="87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300" w:firstLine="418"/>
        <w:spacing w:after="0" w:line="288" w:lineRule="auto"/>
        <w:rPr>
          <w:sz w:val="20"/>
          <w:szCs w:val="20"/>
          <w:color w:val="auto"/>
        </w:rPr>
      </w:pPr>
      <w:r>
        <w:rPr>
          <w:rFonts w:ascii="Arial" w:cs="Arial" w:eastAsia="Arial" w:hAnsi="Arial"/>
          <w:sz w:val="17"/>
          <w:szCs w:val="17"/>
          <w:color w:val="auto"/>
        </w:rPr>
        <w:t>As of December 31, 2018, the unearned revenue of $38,680 represented monthly charter hires received in advance relating to January 2019. As of June 30, 2019, the balance was $2,325 since the majority of the hires were received on July 1, 2019.</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13. Share Capital and Preference Shares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GasLog’s authorized share capital consists of 500,000,000 shares with a par value of $0.01 per share.</w:t>
      </w:r>
    </w:p>
    <w:p>
      <w:pPr>
        <w:spacing w:after="0" w:line="175" w:lineRule="exact"/>
        <w:rPr>
          <w:sz w:val="20"/>
          <w:szCs w:val="20"/>
          <w:color w:val="auto"/>
        </w:rPr>
      </w:pPr>
    </w:p>
    <w:p>
      <w:pPr>
        <w:ind w:firstLine="418"/>
        <w:spacing w:after="0" w:line="275" w:lineRule="auto"/>
        <w:rPr>
          <w:sz w:val="20"/>
          <w:szCs w:val="20"/>
          <w:color w:val="auto"/>
        </w:rPr>
      </w:pPr>
      <w:r>
        <w:rPr>
          <w:rFonts w:ascii="Arial" w:cs="Arial" w:eastAsia="Arial" w:hAnsi="Arial"/>
          <w:sz w:val="17"/>
          <w:szCs w:val="17"/>
          <w:color w:val="auto"/>
        </w:rPr>
        <w:t>As of June 30, 2019, the share capital consisted of 80,861,350 issued and outstanding common shares, par value $0.01 per share, 131,776 treasury shares issued and held by GasLog and 4,600,000 preference shares issued and outstanding. The movements in the number of shares, the share capital, the preference shares, the contributed surplus and the treasury shares are reported in the following table: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2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w w:val="98"/>
              </w:rPr>
              <w:t>Number of Shares</w:t>
            </w:r>
          </w:p>
        </w:tc>
        <w:tc>
          <w:tcPr>
            <w:tcW w:w="1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rPr>
              <w:t>Amounts</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200" w:type="dxa"/>
            <w:vAlign w:val="bottom"/>
          </w:tcPr>
          <w:p>
            <w:pPr>
              <w:spacing w:after="0"/>
              <w:rPr>
                <w:sz w:val="17"/>
                <w:szCs w:val="17"/>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Number of</w:t>
            </w:r>
          </w:p>
        </w:tc>
        <w:tc>
          <w:tcPr>
            <w:tcW w:w="150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Number of</w:t>
            </w:r>
          </w:p>
        </w:tc>
        <w:tc>
          <w:tcPr>
            <w:tcW w:w="16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Number of</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7"/>
                <w:szCs w:val="17"/>
                <w:b w:val="1"/>
                <w:bCs w:val="1"/>
                <w:color w:val="auto"/>
              </w:rPr>
              <w:t>Preference</w:t>
            </w:r>
          </w:p>
        </w:tc>
        <w:tc>
          <w:tcPr>
            <w:tcW w:w="13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Contributed</w:t>
            </w:r>
          </w:p>
        </w:tc>
        <w:tc>
          <w:tcPr>
            <w:tcW w:w="860" w:type="dxa"/>
            <w:vAlign w:val="bottom"/>
          </w:tcPr>
          <w:p>
            <w:pPr>
              <w:jc w:val="right"/>
              <w:ind w:right="14"/>
              <w:spacing w:after="0"/>
              <w:rPr>
                <w:sz w:val="20"/>
                <w:szCs w:val="20"/>
                <w:color w:val="auto"/>
              </w:rPr>
            </w:pPr>
            <w:r>
              <w:rPr>
                <w:rFonts w:ascii="Arial" w:cs="Arial" w:eastAsia="Arial" w:hAnsi="Arial"/>
                <w:sz w:val="17"/>
                <w:szCs w:val="17"/>
                <w:b w:val="1"/>
                <w:bCs w:val="1"/>
                <w:color w:val="auto"/>
              </w:rPr>
              <w:t>Treasury</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3"/>
              </w:rPr>
              <w:t>common shares</w:t>
            </w:r>
          </w:p>
        </w:tc>
        <w:tc>
          <w:tcPr>
            <w:tcW w:w="15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4"/>
              </w:rPr>
              <w:t>treasury shares</w:t>
            </w:r>
          </w:p>
        </w:tc>
        <w:tc>
          <w:tcPr>
            <w:tcW w:w="178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87"/>
              </w:rPr>
              <w:t>preference shares</w:t>
            </w:r>
          </w:p>
        </w:tc>
        <w:tc>
          <w:tcPr>
            <w:tcW w:w="14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Share capital</w:t>
            </w:r>
          </w:p>
        </w:tc>
        <w:tc>
          <w:tcPr>
            <w:tcW w:w="1180" w:type="dxa"/>
            <w:vAlign w:val="bottom"/>
            <w:gridSpan w:val="2"/>
          </w:tcPr>
          <w:p>
            <w:pPr>
              <w:ind w:left="280"/>
              <w:spacing w:after="0"/>
              <w:rPr>
                <w:sz w:val="20"/>
                <w:szCs w:val="20"/>
                <w:color w:val="auto"/>
              </w:rPr>
            </w:pPr>
            <w:r>
              <w:rPr>
                <w:rFonts w:ascii="Arial" w:cs="Arial" w:eastAsia="Arial" w:hAnsi="Arial"/>
                <w:sz w:val="17"/>
                <w:szCs w:val="17"/>
                <w:b w:val="1"/>
                <w:bCs w:val="1"/>
                <w:color w:val="auto"/>
              </w:rPr>
              <w:t>shares</w:t>
            </w:r>
          </w:p>
        </w:tc>
        <w:tc>
          <w:tcPr>
            <w:tcW w:w="13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surplus</w:t>
            </w:r>
          </w:p>
        </w:tc>
        <w:tc>
          <w:tcPr>
            <w:tcW w:w="92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shares</w:t>
            </w:r>
          </w:p>
        </w:tc>
        <w:tc>
          <w:tcPr>
            <w:tcW w:w="0" w:type="dxa"/>
            <w:vAlign w:val="bottom"/>
          </w:tcPr>
          <w:p>
            <w:pPr>
              <w:spacing w:after="0"/>
              <w:rPr>
                <w:sz w:val="1"/>
                <w:szCs w:val="1"/>
                <w:color w:val="auto"/>
              </w:rPr>
            </w:pPr>
          </w:p>
        </w:tc>
      </w:tr>
      <w:tr>
        <w:trPr>
          <w:trHeight w:val="184"/>
        </w:trPr>
        <w:tc>
          <w:tcPr>
            <w:tcW w:w="2200" w:type="dxa"/>
            <w:vAlign w:val="bottom"/>
            <w:tcBorders>
              <w:top w:val="single" w:sz="8" w:color="E5FFFF"/>
            </w:tcBorders>
            <w:shd w:val="clear" w:color="auto" w:fill="E5FFFF"/>
          </w:tcPr>
          <w:p>
            <w:pPr>
              <w:spacing w:after="0" w:line="184" w:lineRule="exact"/>
              <w:rPr>
                <w:sz w:val="20"/>
                <w:szCs w:val="20"/>
                <w:color w:val="auto"/>
              </w:rPr>
            </w:pPr>
            <w:r>
              <w:rPr>
                <w:rFonts w:ascii="Arial" w:cs="Arial" w:eastAsia="Arial" w:hAnsi="Arial"/>
                <w:sz w:val="17"/>
                <w:szCs w:val="17"/>
                <w:b w:val="1"/>
                <w:bCs w:val="1"/>
                <w:color w:val="auto"/>
              </w:rPr>
              <w:t>Outstanding as of</w:t>
            </w:r>
          </w:p>
        </w:tc>
        <w:tc>
          <w:tcPr>
            <w:tcW w:w="134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1340" w:type="dxa"/>
            <w:vAlign w:val="bottom"/>
            <w:tcBorders>
              <w:top w:val="single" w:sz="8" w:color="auto"/>
            </w:tcBorders>
            <w:shd w:val="clear" w:color="auto" w:fill="E5FFFF"/>
          </w:tcPr>
          <w:p>
            <w:pPr>
              <w:spacing w:after="0"/>
              <w:rPr>
                <w:sz w:val="16"/>
                <w:szCs w:val="16"/>
                <w:color w:val="auto"/>
              </w:rPr>
            </w:pPr>
          </w:p>
        </w:tc>
        <w:tc>
          <w:tcPr>
            <w:tcW w:w="160" w:type="dxa"/>
            <w:vAlign w:val="bottom"/>
            <w:tcBorders>
              <w:top w:val="single" w:sz="8" w:color="E5FFFF"/>
            </w:tcBorders>
            <w:shd w:val="clear" w:color="auto" w:fill="E5FFFF"/>
          </w:tcPr>
          <w:p>
            <w:pPr>
              <w:spacing w:after="0"/>
              <w:rPr>
                <w:sz w:val="16"/>
                <w:szCs w:val="16"/>
                <w:color w:val="auto"/>
              </w:rPr>
            </w:pPr>
          </w:p>
        </w:tc>
        <w:tc>
          <w:tcPr>
            <w:tcW w:w="142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40" w:type="dxa"/>
            <w:vAlign w:val="bottom"/>
            <w:tcBorders>
              <w:top w:val="single" w:sz="8" w:color="E5FFFF"/>
            </w:tcBorders>
            <w:shd w:val="clear" w:color="auto" w:fill="E5FFFF"/>
          </w:tcPr>
          <w:p>
            <w:pPr>
              <w:spacing w:after="0"/>
              <w:rPr>
                <w:sz w:val="16"/>
                <w:szCs w:val="16"/>
                <w:color w:val="auto"/>
              </w:rPr>
            </w:pPr>
          </w:p>
        </w:tc>
        <w:tc>
          <w:tcPr>
            <w:tcW w:w="1200" w:type="dxa"/>
            <w:vAlign w:val="bottom"/>
            <w:tcBorders>
              <w:top w:val="single" w:sz="8" w:color="auto"/>
            </w:tcBorders>
            <w:shd w:val="clear" w:color="auto" w:fill="E5FFFF"/>
          </w:tcPr>
          <w:p>
            <w:pPr>
              <w:spacing w:after="0"/>
              <w:rPr>
                <w:sz w:val="16"/>
                <w:szCs w:val="16"/>
                <w:color w:val="auto"/>
              </w:rPr>
            </w:pPr>
          </w:p>
        </w:tc>
        <w:tc>
          <w:tcPr>
            <w:tcW w:w="220" w:type="dxa"/>
            <w:vAlign w:val="bottom"/>
            <w:tcBorders>
              <w:top w:val="single" w:sz="8" w:color="E5FFFF"/>
            </w:tcBorders>
            <w:shd w:val="clear" w:color="auto" w:fill="E5FFFF"/>
          </w:tcPr>
          <w:p>
            <w:pPr>
              <w:spacing w:after="0"/>
              <w:rPr>
                <w:sz w:val="16"/>
                <w:szCs w:val="16"/>
                <w:color w:val="auto"/>
              </w:rPr>
            </w:pPr>
          </w:p>
        </w:tc>
        <w:tc>
          <w:tcPr>
            <w:tcW w:w="1000" w:type="dxa"/>
            <w:vAlign w:val="bottom"/>
            <w:tcBorders>
              <w:top w:val="single" w:sz="8" w:color="auto"/>
            </w:tcBorders>
            <w:shd w:val="clear" w:color="auto" w:fill="E5FFFF"/>
          </w:tcPr>
          <w:p>
            <w:pPr>
              <w:spacing w:after="0"/>
              <w:rPr>
                <w:sz w:val="16"/>
                <w:szCs w:val="16"/>
                <w:color w:val="auto"/>
              </w:rPr>
            </w:pPr>
          </w:p>
        </w:tc>
        <w:tc>
          <w:tcPr>
            <w:tcW w:w="180" w:type="dxa"/>
            <w:vAlign w:val="bottom"/>
            <w:tcBorders>
              <w:top w:val="single" w:sz="8" w:color="E5FFFF"/>
            </w:tcBorders>
            <w:shd w:val="clear" w:color="auto" w:fill="E5FFFF"/>
          </w:tcPr>
          <w:p>
            <w:pPr>
              <w:spacing w:after="0"/>
              <w:rPr>
                <w:sz w:val="16"/>
                <w:szCs w:val="16"/>
                <w:color w:val="auto"/>
              </w:rPr>
            </w:pPr>
          </w:p>
        </w:tc>
        <w:tc>
          <w:tcPr>
            <w:tcW w:w="1160" w:type="dxa"/>
            <w:vAlign w:val="bottom"/>
            <w:tcBorders>
              <w:top w:val="single" w:sz="8" w:color="auto"/>
            </w:tcBorders>
            <w:shd w:val="clear" w:color="auto" w:fill="E5FFFF"/>
          </w:tcPr>
          <w:p>
            <w:pPr>
              <w:spacing w:after="0"/>
              <w:rPr>
                <w:sz w:val="16"/>
                <w:szCs w:val="16"/>
                <w:color w:val="auto"/>
              </w:rPr>
            </w:pPr>
          </w:p>
        </w:tc>
        <w:tc>
          <w:tcPr>
            <w:tcW w:w="200" w:type="dxa"/>
            <w:vAlign w:val="bottom"/>
            <w:tcBorders>
              <w:top w:val="single" w:sz="8" w:color="E5FFFF"/>
            </w:tcBorders>
            <w:shd w:val="clear" w:color="auto" w:fill="E5FFFF"/>
          </w:tcPr>
          <w:p>
            <w:pPr>
              <w:spacing w:after="0"/>
              <w:rPr>
                <w:sz w:val="16"/>
                <w:szCs w:val="16"/>
                <w:color w:val="auto"/>
              </w:rPr>
            </w:pPr>
          </w:p>
        </w:tc>
        <w:tc>
          <w:tcPr>
            <w:tcW w:w="860" w:type="dxa"/>
            <w:vAlign w:val="bottom"/>
            <w:tcBorders>
              <w:top w:val="single" w:sz="8" w:color="auto"/>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E5FFFF"/>
          </w:tcPr>
          <w:p>
            <w:pPr>
              <w:ind w:left="160"/>
              <w:spacing w:after="0"/>
              <w:rPr>
                <w:sz w:val="20"/>
                <w:szCs w:val="20"/>
                <w:color w:val="auto"/>
              </w:rPr>
            </w:pPr>
            <w:r>
              <w:rPr>
                <w:rFonts w:ascii="Arial" w:cs="Arial" w:eastAsia="Arial" w:hAnsi="Arial"/>
                <w:sz w:val="17"/>
                <w:szCs w:val="17"/>
                <w:b w:val="1"/>
                <w:bCs w:val="1"/>
                <w:color w:val="auto"/>
              </w:rPr>
              <w:t>January 1, 2019</w:t>
            </w:r>
          </w:p>
        </w:tc>
        <w:tc>
          <w:tcPr>
            <w:tcW w:w="134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80,861,246</w:t>
            </w:r>
          </w:p>
        </w:tc>
        <w:tc>
          <w:tcPr>
            <w:tcW w:w="2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131,880</w:t>
            </w:r>
          </w:p>
        </w:tc>
        <w:tc>
          <w:tcPr>
            <w:tcW w:w="160" w:type="dxa"/>
            <w:vAlign w:val="bottom"/>
            <w:shd w:val="clear" w:color="auto" w:fill="E5FFFF"/>
          </w:tcPr>
          <w:p>
            <w:pPr>
              <w:spacing w:after="0"/>
              <w:rPr>
                <w:sz w:val="19"/>
                <w:szCs w:val="19"/>
                <w:color w:val="auto"/>
              </w:rPr>
            </w:pPr>
          </w:p>
        </w:tc>
        <w:tc>
          <w:tcPr>
            <w:tcW w:w="142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4,600,000</w:t>
            </w:r>
          </w:p>
        </w:tc>
        <w:tc>
          <w:tcPr>
            <w:tcW w:w="22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b w:val="1"/>
                <w:bCs w:val="1"/>
                <w:color w:val="auto"/>
              </w:rPr>
              <w:t>810</w:t>
            </w:r>
          </w:p>
        </w:tc>
        <w:tc>
          <w:tcPr>
            <w:tcW w:w="1180" w:type="dxa"/>
            <w:vAlign w:val="bottom"/>
            <w:gridSpan w:val="2"/>
            <w:shd w:val="clear" w:color="auto" w:fill="E5FFFF"/>
          </w:tcPr>
          <w:p>
            <w:pPr>
              <w:ind w:left="840"/>
              <w:spacing w:after="0"/>
              <w:rPr>
                <w:sz w:val="20"/>
                <w:szCs w:val="20"/>
                <w:color w:val="auto"/>
              </w:rPr>
            </w:pPr>
            <w:r>
              <w:rPr>
                <w:rFonts w:ascii="Arial" w:cs="Arial" w:eastAsia="Arial" w:hAnsi="Arial"/>
                <w:sz w:val="17"/>
                <w:szCs w:val="17"/>
                <w:b w:val="1"/>
                <w:bCs w:val="1"/>
                <w:color w:val="auto"/>
              </w:rPr>
              <w:t>46</w:t>
            </w:r>
          </w:p>
        </w:tc>
        <w:tc>
          <w:tcPr>
            <w:tcW w:w="116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850,576</w:t>
            </w:r>
          </w:p>
        </w:tc>
        <w:tc>
          <w:tcPr>
            <w:tcW w:w="200" w:type="dxa"/>
            <w:vAlign w:val="bottom"/>
            <w:shd w:val="clear" w:color="auto" w:fill="E5FFFF"/>
          </w:tcPr>
          <w:p>
            <w:pPr>
              <w:spacing w:after="0"/>
              <w:rPr>
                <w:sz w:val="19"/>
                <w:szCs w:val="19"/>
                <w:color w:val="auto"/>
              </w:rPr>
            </w:pP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(3,266)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200" w:type="dxa"/>
            <w:vAlign w:val="bottom"/>
          </w:tcPr>
          <w:p>
            <w:pPr>
              <w:spacing w:after="0"/>
              <w:rPr>
                <w:sz w:val="20"/>
                <w:szCs w:val="20"/>
                <w:color w:val="auto"/>
              </w:rPr>
            </w:pPr>
            <w:r>
              <w:rPr>
                <w:rFonts w:ascii="Arial" w:cs="Arial" w:eastAsia="Arial" w:hAnsi="Arial"/>
                <w:sz w:val="17"/>
                <w:szCs w:val="17"/>
                <w:color w:val="auto"/>
              </w:rPr>
              <w:t>Purchase of treasury shares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(212,111)</w:t>
            </w:r>
          </w:p>
        </w:tc>
        <w:tc>
          <w:tcPr>
            <w:tcW w:w="2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212,111</w:t>
            </w:r>
          </w:p>
        </w:tc>
        <w:tc>
          <w:tcPr>
            <w:tcW w:w="16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tcBorders>
              <w:top w:val="single" w:sz="8" w:color="auto"/>
            </w:tcBorders>
          </w:tcPr>
          <w:p>
            <w:pPr>
              <w:ind w:left="840"/>
              <w:spacing w:after="0"/>
              <w:rPr>
                <w:sz w:val="20"/>
                <w:szCs w:val="20"/>
                <w:color w:val="auto"/>
              </w:rPr>
            </w:pPr>
            <w:r>
              <w:rPr>
                <w:rFonts w:ascii="Arial" w:cs="Arial" w:eastAsia="Arial" w:hAnsi="Arial"/>
                <w:sz w:val="17"/>
                <w:szCs w:val="17"/>
                <w:color w:val="auto"/>
                <w:w w:val="82"/>
              </w:rPr>
              <w:t>—</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(3,752)</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00" w:type="dxa"/>
            <w:vAlign w:val="bottom"/>
            <w:shd w:val="clear" w:color="auto" w:fill="E5FFFF"/>
          </w:tcPr>
          <w:p>
            <w:pPr>
              <w:spacing w:after="0"/>
              <w:rPr>
                <w:sz w:val="20"/>
                <w:szCs w:val="20"/>
                <w:color w:val="auto"/>
              </w:rPr>
            </w:pPr>
            <w:r>
              <w:rPr>
                <w:rFonts w:ascii="Arial" w:cs="Arial" w:eastAsia="Arial" w:hAnsi="Arial"/>
                <w:sz w:val="17"/>
                <w:szCs w:val="17"/>
                <w:color w:val="auto"/>
              </w:rPr>
              <w:t>Treasury shares distributed</w:t>
            </w:r>
          </w:p>
        </w:tc>
        <w:tc>
          <w:tcPr>
            <w:tcW w:w="1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for awards vested or</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exercised in the period</w:t>
            </w:r>
          </w:p>
        </w:tc>
        <w:tc>
          <w:tcPr>
            <w:tcW w:w="13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212,215</w:t>
            </w:r>
          </w:p>
        </w:tc>
        <w:tc>
          <w:tcPr>
            <w:tcW w:w="200" w:type="dxa"/>
            <w:vAlign w:val="bottom"/>
            <w:shd w:val="clear" w:color="auto" w:fill="E5FFFF"/>
          </w:tcPr>
          <w:p>
            <w:pPr>
              <w:spacing w:after="0"/>
              <w:rPr>
                <w:sz w:val="19"/>
                <w:szCs w:val="19"/>
                <w:color w:val="auto"/>
              </w:rPr>
            </w:pPr>
          </w:p>
        </w:tc>
        <w:tc>
          <w:tcPr>
            <w:tcW w:w="1500" w:type="dxa"/>
            <w:vAlign w:val="bottom"/>
            <w:gridSpan w:val="2"/>
            <w:shd w:val="clear" w:color="auto" w:fill="E5FFFF"/>
          </w:tcPr>
          <w:p>
            <w:pPr>
              <w:jc w:val="right"/>
              <w:ind w:right="120"/>
              <w:spacing w:after="0"/>
              <w:rPr>
                <w:sz w:val="20"/>
                <w:szCs w:val="20"/>
                <w:color w:val="auto"/>
              </w:rPr>
            </w:pPr>
            <w:r>
              <w:rPr>
                <w:rFonts w:ascii="Arial" w:cs="Arial" w:eastAsia="Arial" w:hAnsi="Arial"/>
                <w:sz w:val="17"/>
                <w:szCs w:val="17"/>
                <w:color w:val="auto"/>
              </w:rPr>
              <w:t>(212,215)</w:t>
            </w:r>
          </w:p>
        </w:tc>
        <w:tc>
          <w:tcPr>
            <w:tcW w:w="1780" w:type="dxa"/>
            <w:vAlign w:val="bottom"/>
            <w:gridSpan w:val="3"/>
            <w:shd w:val="clear" w:color="auto" w:fill="E5FFFF"/>
          </w:tcPr>
          <w:p>
            <w:pPr>
              <w:jc w:val="right"/>
              <w:ind w:right="3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E5FFFF"/>
          </w:tcPr>
          <w:p>
            <w:pPr>
              <w:ind w:left="8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4,676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00" w:type="dxa"/>
            <w:vAlign w:val="bottom"/>
          </w:tcPr>
          <w:p>
            <w:pPr>
              <w:spacing w:after="0"/>
              <w:rPr>
                <w:sz w:val="20"/>
                <w:szCs w:val="20"/>
                <w:color w:val="auto"/>
              </w:rPr>
            </w:pPr>
            <w:r>
              <w:rPr>
                <w:rFonts w:ascii="Arial" w:cs="Arial" w:eastAsia="Arial" w:hAnsi="Arial"/>
                <w:sz w:val="17"/>
                <w:szCs w:val="17"/>
                <w:color w:val="auto"/>
              </w:rPr>
              <w:t>Equity raising fees</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tcPr>
          <w:p>
            <w:pPr>
              <w:ind w:left="84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7"/>
                <w:szCs w:val="17"/>
                <w:color w:val="auto"/>
              </w:rPr>
              <w:t>(580)</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200" w:type="dxa"/>
            <w:vAlign w:val="bottom"/>
            <w:shd w:val="clear" w:color="auto" w:fill="E5FFFF"/>
          </w:tcPr>
          <w:p>
            <w:pPr>
              <w:spacing w:after="0"/>
              <w:rPr>
                <w:sz w:val="20"/>
                <w:szCs w:val="20"/>
                <w:color w:val="auto"/>
              </w:rPr>
            </w:pPr>
            <w:r>
              <w:rPr>
                <w:rFonts w:ascii="Arial" w:cs="Arial" w:eastAsia="Arial" w:hAnsi="Arial"/>
                <w:sz w:val="17"/>
                <w:szCs w:val="17"/>
                <w:color w:val="auto"/>
              </w:rPr>
              <w:t>Dividends declared</w:t>
            </w:r>
          </w:p>
        </w:tc>
        <w:tc>
          <w:tcPr>
            <w:tcW w:w="13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4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2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deducted from</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Contributed surplus due</w:t>
            </w:r>
          </w:p>
        </w:tc>
        <w:tc>
          <w:tcPr>
            <w:tcW w:w="13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14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11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to accumulated deficit</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w:t>
            </w:r>
          </w:p>
        </w:tc>
        <w:tc>
          <w:tcPr>
            <w:tcW w:w="1780" w:type="dxa"/>
            <w:vAlign w:val="bottom"/>
            <w:gridSpan w:val="3"/>
            <w:shd w:val="clear" w:color="auto" w:fill="E5FFFF"/>
          </w:tcPr>
          <w:p>
            <w:pPr>
              <w:jc w:val="right"/>
              <w:ind w:right="36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E5FFFF"/>
          </w:tcPr>
          <w:p>
            <w:pPr>
              <w:ind w:left="8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E5FFFF"/>
          </w:tcPr>
          <w:p>
            <w:pPr>
              <w:jc w:val="right"/>
              <w:ind w:right="140"/>
              <w:spacing w:after="0"/>
              <w:rPr>
                <w:sz w:val="20"/>
                <w:szCs w:val="20"/>
                <w:color w:val="auto"/>
              </w:rPr>
            </w:pPr>
            <w:r>
              <w:rPr>
                <w:rFonts w:ascii="Arial" w:cs="Arial" w:eastAsia="Arial" w:hAnsi="Arial"/>
                <w:sz w:val="17"/>
                <w:szCs w:val="17"/>
                <w:color w:val="auto"/>
              </w:rPr>
              <w:t>(29,289)</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7"/>
                <w:szCs w:val="17"/>
                <w:b w:val="1"/>
                <w:bCs w:val="1"/>
                <w:color w:val="auto"/>
              </w:rPr>
              <w:t>Outstanding as of</w:t>
            </w: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200" w:type="dxa"/>
            <w:vAlign w:val="bottom"/>
            <w:vMerge w:val="continue"/>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80,861,350</w:t>
            </w: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131,776</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4,600,000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7"/>
                <w:szCs w:val="17"/>
                <w:b w:val="1"/>
                <w:bCs w:val="1"/>
                <w:color w:val="auto"/>
              </w:rPr>
              <w:t>810</w:t>
            </w:r>
          </w:p>
        </w:tc>
        <w:tc>
          <w:tcPr>
            <w:tcW w:w="1180" w:type="dxa"/>
            <w:vAlign w:val="bottom"/>
            <w:gridSpan w:val="2"/>
            <w:vMerge w:val="restart"/>
          </w:tcPr>
          <w:p>
            <w:pPr>
              <w:ind w:left="840"/>
              <w:spacing w:after="0"/>
              <w:rPr>
                <w:sz w:val="20"/>
                <w:szCs w:val="20"/>
                <w:color w:val="auto"/>
              </w:rPr>
            </w:pPr>
            <w:r>
              <w:rPr>
                <w:rFonts w:ascii="Arial" w:cs="Arial" w:eastAsia="Arial" w:hAnsi="Arial"/>
                <w:sz w:val="17"/>
                <w:szCs w:val="17"/>
                <w:b w:val="1"/>
                <w:bCs w:val="1"/>
                <w:color w:val="auto"/>
              </w:rPr>
              <w:t>46</w:t>
            </w:r>
          </w:p>
        </w:tc>
        <w:tc>
          <w:tcPr>
            <w:tcW w:w="1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820,707</w:t>
            </w:r>
          </w:p>
        </w:tc>
        <w:tc>
          <w:tcPr>
            <w:tcW w:w="200" w:type="dxa"/>
            <w:vAlign w:val="bottom"/>
          </w:tcPr>
          <w:p>
            <w:pPr>
              <w:spacing w:after="0"/>
              <w:rPr>
                <w:sz w:val="15"/>
                <w:szCs w:val="15"/>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auto"/>
              </w:rPr>
              <w:t>(2,342)</w:t>
            </w:r>
          </w:p>
        </w:tc>
        <w:tc>
          <w:tcPr>
            <w:tcW w:w="0" w:type="dxa"/>
            <w:vAlign w:val="bottom"/>
          </w:tcPr>
          <w:p>
            <w:pPr>
              <w:spacing w:after="0"/>
              <w:rPr>
                <w:sz w:val="1"/>
                <w:szCs w:val="1"/>
                <w:color w:val="auto"/>
              </w:rPr>
            </w:pPr>
          </w:p>
        </w:tc>
      </w:tr>
      <w:tr>
        <w:trPr>
          <w:trHeight w:val="215"/>
        </w:trPr>
        <w:tc>
          <w:tcPr>
            <w:tcW w:w="2200" w:type="dxa"/>
            <w:vAlign w:val="bottom"/>
          </w:tcPr>
          <w:p>
            <w:pPr>
              <w:ind w:left="160"/>
              <w:spacing w:after="0"/>
              <w:rPr>
                <w:sz w:val="20"/>
                <w:szCs w:val="20"/>
                <w:color w:val="auto"/>
              </w:rPr>
            </w:pPr>
            <w:r>
              <w:rPr>
                <w:rFonts w:ascii="Arial" w:cs="Arial" w:eastAsia="Arial" w:hAnsi="Arial"/>
                <w:sz w:val="17"/>
                <w:szCs w:val="17"/>
                <w:b w:val="1"/>
                <w:bCs w:val="1"/>
                <w:color w:val="auto"/>
              </w:rPr>
              <w:t>June 30, 2019</w:t>
            </w:r>
          </w:p>
        </w:tc>
        <w:tc>
          <w:tcPr>
            <w:tcW w:w="13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treasury shares were acquired by GasLog in relation to the share-based compensation (Note 18).</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 distribution</w:t>
      </w:r>
    </w:p>
    <w:p>
      <w:pPr>
        <w:spacing w:after="0" w:line="247" w:lineRule="exact"/>
        <w:rPr>
          <w:sz w:val="20"/>
          <w:szCs w:val="20"/>
          <w:color w:val="auto"/>
        </w:rPr>
      </w:pPr>
    </w:p>
    <w:p>
      <w:pPr>
        <w:ind w:right="460" w:firstLine="405"/>
        <w:spacing w:after="0" w:line="288" w:lineRule="auto"/>
        <w:rPr>
          <w:sz w:val="20"/>
          <w:szCs w:val="20"/>
          <w:color w:val="auto"/>
        </w:rPr>
      </w:pPr>
      <w:r>
        <w:rPr>
          <w:rFonts w:ascii="Arial" w:cs="Arial" w:eastAsia="Arial" w:hAnsi="Arial"/>
          <w:sz w:val="17"/>
          <w:szCs w:val="17"/>
          <w:color w:val="auto"/>
        </w:rPr>
        <w:t>On February 13, 2019, the board of directors declared a quarterly cash dividend of $0.15 per common share, which was paid on March 14, 2019 to shareholders of record as of March 4, 2019 for a total amount of $12,129.</w:t>
      </w:r>
    </w:p>
    <w:p>
      <w:pPr>
        <w:spacing w:after="0" w:line="187" w:lineRule="exact"/>
        <w:rPr>
          <w:sz w:val="20"/>
          <w:szCs w:val="20"/>
          <w:color w:val="auto"/>
        </w:rPr>
      </w:pPr>
    </w:p>
    <w:p>
      <w:pPr>
        <w:ind w:right="140" w:firstLine="405"/>
        <w:spacing w:after="0" w:line="288" w:lineRule="auto"/>
        <w:rPr>
          <w:sz w:val="20"/>
          <w:szCs w:val="20"/>
          <w:color w:val="auto"/>
        </w:rPr>
      </w:pPr>
      <w:r>
        <w:rPr>
          <w:rFonts w:ascii="Arial" w:cs="Arial" w:eastAsia="Arial" w:hAnsi="Arial"/>
          <w:sz w:val="17"/>
          <w:szCs w:val="17"/>
          <w:color w:val="auto"/>
        </w:rPr>
        <w:t>On March 7, 2019, the board of directors declared a dividend on the Series A Preference Shares of $0.546875 per share, or $2,516 in the aggregate, payable on April 1, 2019 to holders of record as of March 29, 2019. GasLog paid the declared dividend to the transfer agent on March 29, 2019.</w:t>
      </w:r>
    </w:p>
    <w:p>
      <w:pPr>
        <w:spacing w:after="0" w:line="187" w:lineRule="exact"/>
        <w:rPr>
          <w:sz w:val="20"/>
          <w:szCs w:val="20"/>
          <w:color w:val="auto"/>
        </w:rPr>
      </w:pPr>
    </w:p>
    <w:p>
      <w:pPr>
        <w:ind w:right="140" w:firstLine="405"/>
        <w:spacing w:after="0" w:line="288" w:lineRule="auto"/>
        <w:rPr>
          <w:sz w:val="20"/>
          <w:szCs w:val="20"/>
          <w:color w:val="auto"/>
        </w:rPr>
      </w:pPr>
      <w:r>
        <w:rPr>
          <w:rFonts w:ascii="Arial" w:cs="Arial" w:eastAsia="Arial" w:hAnsi="Arial"/>
          <w:sz w:val="17"/>
          <w:szCs w:val="17"/>
          <w:color w:val="auto"/>
        </w:rPr>
        <w:t>On May 2, 2019, the board of directors declared a quarterly cash dividend of $0.15 per common share, which was paid on May 23, 2019 to shareholders of record as of May 14, 2019 for a total amount of $12,129.</w:t>
      </w:r>
    </w:p>
    <w:p>
      <w:pPr>
        <w:spacing w:after="0" w:line="187" w:lineRule="exact"/>
        <w:rPr>
          <w:sz w:val="20"/>
          <w:szCs w:val="20"/>
          <w:color w:val="auto"/>
        </w:rPr>
      </w:pPr>
    </w:p>
    <w:p>
      <w:pPr>
        <w:ind w:right="280" w:firstLine="405"/>
        <w:spacing w:after="0" w:line="288" w:lineRule="auto"/>
        <w:rPr>
          <w:sz w:val="20"/>
          <w:szCs w:val="20"/>
          <w:color w:val="auto"/>
        </w:rPr>
      </w:pPr>
      <w:r>
        <w:rPr>
          <w:rFonts w:ascii="Arial" w:cs="Arial" w:eastAsia="Arial" w:hAnsi="Arial"/>
          <w:sz w:val="17"/>
          <w:szCs w:val="17"/>
          <w:color w:val="auto"/>
        </w:rPr>
        <w:t>On May 10, 2019, the board of directors declared a dividend on the Series A Preference Shares of $0.546875 per share, or $2,515 in the aggregate, payable on July 1, 2019 to holders of record as of June 28, 2019. GasLog paid the declared dividend to the transfer agent on June 28,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1440" w:gutter="0" w:footer="0" w:header="0"/>
        </w:sectPr>
      </w:pPr>
    </w:p>
    <w:bookmarkStart w:id="43" w:name="page44"/>
    <w:bookmarkEnd w:id="43"/>
    <w:tbl>
      <w:tblPr>
        <w:tblLayout w:type="fixed"/>
        <w:tblInd w:w="6" w:type="dxa"/>
        <w:tblCellMar>
          <w:top w:w="0" w:type="dxa"/>
          <w:left w:w="0" w:type="dxa"/>
          <w:bottom w:w="0" w:type="dxa"/>
          <w:right w:w="0" w:type="dxa"/>
        </w:tblCellMar>
      </w:tblPr>
      <w:tr>
        <w:trPr>
          <w:trHeight w:val="222"/>
        </w:trPr>
        <w:tc>
          <w:tcPr>
            <w:tcW w:w="9600" w:type="dxa"/>
            <w:vAlign w:val="bottom"/>
          </w:tcPr>
          <w:p>
            <w:pPr>
              <w:spacing w:after="0"/>
              <w:rPr>
                <w:sz w:val="20"/>
                <w:szCs w:val="20"/>
                <w:color w:val="auto"/>
              </w:rPr>
            </w:pPr>
            <w:r>
              <w:rPr>
                <w:rFonts w:ascii="Arial" w:cs="Arial" w:eastAsia="Arial" w:hAnsi="Arial"/>
                <w:sz w:val="17"/>
                <w:szCs w:val="17"/>
                <w:b w:val="1"/>
                <w:bCs w:val="1"/>
                <w:color w:val="auto"/>
              </w:rPr>
              <w:t>14. Commitments and Contingencies</w:t>
            </w:r>
          </w:p>
        </w:tc>
        <w:tc>
          <w:tcPr>
            <w:tcW w:w="2280" w:type="dxa"/>
            <w:vAlign w:val="bottom"/>
          </w:tcPr>
          <w:p>
            <w:pPr>
              <w:spacing w:after="0"/>
              <w:rPr>
                <w:sz w:val="19"/>
                <w:szCs w:val="19"/>
                <w:color w:val="auto"/>
              </w:rPr>
            </w:pPr>
          </w:p>
        </w:tc>
      </w:tr>
      <w:tr>
        <w:trPr>
          <w:trHeight w:val="428"/>
        </w:trPr>
        <w:tc>
          <w:tcPr>
            <w:tcW w:w="9600" w:type="dxa"/>
            <w:vAlign w:val="bottom"/>
          </w:tcPr>
          <w:p>
            <w:pPr>
              <w:spacing w:after="0"/>
              <w:rPr>
                <w:sz w:val="20"/>
                <w:szCs w:val="20"/>
                <w:color w:val="auto"/>
              </w:rPr>
            </w:pPr>
            <w:r>
              <w:rPr>
                <w:rFonts w:ascii="Arial" w:cs="Arial" w:eastAsia="Arial" w:hAnsi="Arial"/>
                <w:sz w:val="17"/>
                <w:szCs w:val="17"/>
                <w:color w:val="auto"/>
              </w:rPr>
              <w:t>(a) Commitments relating to the vessels under construction (Note 5) as of June 30, 2019 payable to Samsung were as follows:</w:t>
            </w:r>
          </w:p>
        </w:tc>
        <w:tc>
          <w:tcPr>
            <w:tcW w:w="2280" w:type="dxa"/>
            <w:vAlign w:val="bottom"/>
          </w:tcPr>
          <w:p>
            <w:pPr>
              <w:spacing w:after="0"/>
              <w:rPr>
                <w:sz w:val="24"/>
                <w:szCs w:val="24"/>
                <w:color w:val="auto"/>
              </w:rPr>
            </w:pPr>
          </w:p>
        </w:tc>
      </w:tr>
      <w:tr>
        <w:trPr>
          <w:trHeight w:val="443"/>
        </w:trPr>
        <w:tc>
          <w:tcPr>
            <w:tcW w:w="9600" w:type="dxa"/>
            <w:vAlign w:val="bottom"/>
            <w:tcBorders>
              <w:bottom w:val="single" w:sz="8" w:color="E5FFFF"/>
            </w:tcBorders>
          </w:tcPr>
          <w:p>
            <w:pPr>
              <w:spacing w:after="0"/>
              <w:rPr>
                <w:sz w:val="24"/>
                <w:szCs w:val="24"/>
                <w:color w:val="auto"/>
              </w:rPr>
            </w:pPr>
          </w:p>
        </w:tc>
        <w:tc>
          <w:tcPr>
            <w:tcW w:w="22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June 30, 2019</w:t>
            </w:r>
          </w:p>
        </w:tc>
      </w:tr>
      <w:tr>
        <w:trPr>
          <w:trHeight w:val="200"/>
        </w:trPr>
        <w:tc>
          <w:tcPr>
            <w:tcW w:w="9600" w:type="dxa"/>
            <w:vAlign w:val="bottom"/>
            <w:shd w:val="clear" w:color="auto" w:fill="E5FFFF"/>
          </w:tcPr>
          <w:p>
            <w:pPr>
              <w:spacing w:after="0"/>
              <w:rPr>
                <w:sz w:val="20"/>
                <w:szCs w:val="20"/>
                <w:color w:val="auto"/>
              </w:rPr>
            </w:pPr>
            <w:r>
              <w:rPr>
                <w:rFonts w:ascii="Arial" w:cs="Arial" w:eastAsia="Arial" w:hAnsi="Arial"/>
                <w:sz w:val="17"/>
                <w:szCs w:val="17"/>
                <w:b w:val="1"/>
                <w:bCs w:val="1"/>
                <w:i w:val="1"/>
                <w:iCs w:val="1"/>
                <w:color w:val="auto"/>
              </w:rPr>
              <w:t>Period</w:t>
            </w:r>
          </w:p>
        </w:tc>
        <w:tc>
          <w:tcPr>
            <w:tcW w:w="2280" w:type="dxa"/>
            <w:vAlign w:val="bottom"/>
            <w:shd w:val="clear" w:color="auto" w:fill="E5FFFF"/>
          </w:tcPr>
          <w:p>
            <w:pPr>
              <w:spacing w:after="0"/>
              <w:rPr>
                <w:sz w:val="17"/>
                <w:szCs w:val="17"/>
                <w:color w:val="auto"/>
              </w:rPr>
            </w:pPr>
          </w:p>
        </w:tc>
      </w:tr>
      <w:tr>
        <w:trPr>
          <w:trHeight w:val="214"/>
        </w:trPr>
        <w:tc>
          <w:tcPr>
            <w:tcW w:w="9600" w:type="dxa"/>
            <w:vAlign w:val="bottom"/>
          </w:tcPr>
          <w:p>
            <w:pPr>
              <w:spacing w:after="0"/>
              <w:rPr>
                <w:sz w:val="20"/>
                <w:szCs w:val="20"/>
                <w:color w:val="auto"/>
              </w:rPr>
            </w:pPr>
            <w:r>
              <w:rPr>
                <w:rFonts w:ascii="Arial" w:cs="Arial" w:eastAsia="Arial" w:hAnsi="Arial"/>
                <w:sz w:val="17"/>
                <w:szCs w:val="17"/>
                <w:color w:val="auto"/>
              </w:rPr>
              <w:t>Not later than one year</w:t>
            </w:r>
          </w:p>
        </w:tc>
        <w:tc>
          <w:tcPr>
            <w:tcW w:w="2280" w:type="dxa"/>
            <w:vAlign w:val="bottom"/>
          </w:tcPr>
          <w:p>
            <w:pPr>
              <w:jc w:val="right"/>
              <w:spacing w:after="0"/>
              <w:rPr>
                <w:sz w:val="20"/>
                <w:szCs w:val="20"/>
                <w:color w:val="auto"/>
              </w:rPr>
            </w:pPr>
            <w:r>
              <w:rPr>
                <w:rFonts w:ascii="Arial" w:cs="Arial" w:eastAsia="Arial" w:hAnsi="Arial"/>
                <w:sz w:val="17"/>
                <w:szCs w:val="17"/>
                <w:color w:val="auto"/>
              </w:rPr>
              <w:t>546,905</w:t>
            </w:r>
          </w:p>
        </w:tc>
      </w:tr>
      <w:tr>
        <w:trPr>
          <w:trHeight w:val="214"/>
        </w:trPr>
        <w:tc>
          <w:tcPr>
            <w:tcW w:w="9600" w:type="dxa"/>
            <w:vAlign w:val="bottom"/>
            <w:shd w:val="clear" w:color="auto" w:fill="E5FFFF"/>
          </w:tcPr>
          <w:p>
            <w:pPr>
              <w:spacing w:after="0"/>
              <w:rPr>
                <w:sz w:val="20"/>
                <w:szCs w:val="20"/>
                <w:color w:val="auto"/>
              </w:rPr>
            </w:pPr>
            <w:r>
              <w:rPr>
                <w:rFonts w:ascii="Arial" w:cs="Arial" w:eastAsia="Arial" w:hAnsi="Arial"/>
                <w:sz w:val="17"/>
                <w:szCs w:val="17"/>
                <w:color w:val="auto"/>
              </w:rPr>
              <w:t>Later than one year and not later than three years</w:t>
            </w:r>
          </w:p>
        </w:tc>
        <w:tc>
          <w:tcPr>
            <w:tcW w:w="2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769,000</w:t>
            </w:r>
          </w:p>
        </w:tc>
      </w:tr>
      <w:tr>
        <w:trPr>
          <w:trHeight w:val="208"/>
        </w:trPr>
        <w:tc>
          <w:tcPr>
            <w:tcW w:w="96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1,315,905</w:t>
            </w:r>
          </w:p>
        </w:tc>
      </w:tr>
      <w:tr>
        <w:trPr>
          <w:trHeight w:val="20"/>
        </w:trPr>
        <w:tc>
          <w:tcPr>
            <w:tcW w:w="96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6" w:right="20" w:hanging="6"/>
        <w:spacing w:after="0" w:line="275" w:lineRule="auto"/>
        <w:tabs>
          <w:tab w:leader="none" w:pos="248"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Future gross minimum revenues receivable in relation to non-cancellable time charter agreements for vessels in operation, including a vessel under a lease (Note 6), as of June 30, 2019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200" w:lineRule="exact"/>
        <w:rPr>
          <w:sz w:val="20"/>
          <w:szCs w:val="20"/>
          <w:color w:val="auto"/>
        </w:rPr>
      </w:pPr>
    </w:p>
    <w:p>
      <w:pPr>
        <w:spacing w:after="0" w:line="206" w:lineRule="exact"/>
        <w:rPr>
          <w:sz w:val="20"/>
          <w:szCs w:val="20"/>
          <w:color w:val="auto"/>
        </w:rPr>
      </w:pPr>
    </w:p>
    <w:tbl>
      <w:tblPr>
        <w:tblLayout w:type="fixed"/>
        <w:tblInd w:w="6" w:type="dxa"/>
        <w:tblCellMar>
          <w:top w:w="0" w:type="dxa"/>
          <w:left w:w="0" w:type="dxa"/>
          <w:bottom w:w="0" w:type="dxa"/>
          <w:right w:w="0" w:type="dxa"/>
        </w:tblCellMar>
      </w:tblPr>
      <w:tr>
        <w:trPr>
          <w:trHeight w:val="224"/>
        </w:trPr>
        <w:tc>
          <w:tcPr>
            <w:tcW w:w="9600" w:type="dxa"/>
            <w:vAlign w:val="bottom"/>
            <w:tcBorders>
              <w:bottom w:val="single" w:sz="8" w:color="E5FFFF"/>
            </w:tcBorders>
          </w:tcPr>
          <w:p>
            <w:pPr>
              <w:spacing w:after="0"/>
              <w:rPr>
                <w:sz w:val="19"/>
                <w:szCs w:val="19"/>
                <w:color w:val="auto"/>
              </w:rPr>
            </w:pPr>
          </w:p>
        </w:tc>
        <w:tc>
          <w:tcPr>
            <w:tcW w:w="224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June 30, 2019</w:t>
            </w:r>
          </w:p>
        </w:tc>
      </w:tr>
      <w:tr>
        <w:trPr>
          <w:trHeight w:val="200"/>
        </w:trPr>
        <w:tc>
          <w:tcPr>
            <w:tcW w:w="9600" w:type="dxa"/>
            <w:vAlign w:val="bottom"/>
            <w:shd w:val="clear" w:color="auto" w:fill="E5FFFF"/>
          </w:tcPr>
          <w:p>
            <w:pPr>
              <w:spacing w:after="0"/>
              <w:rPr>
                <w:sz w:val="20"/>
                <w:szCs w:val="20"/>
                <w:color w:val="auto"/>
              </w:rPr>
            </w:pPr>
            <w:r>
              <w:rPr>
                <w:rFonts w:ascii="Arial" w:cs="Arial" w:eastAsia="Arial" w:hAnsi="Arial"/>
                <w:sz w:val="17"/>
                <w:szCs w:val="17"/>
                <w:b w:val="1"/>
                <w:bCs w:val="1"/>
                <w:i w:val="1"/>
                <w:iCs w:val="1"/>
                <w:color w:val="auto"/>
              </w:rPr>
              <w:t>Period</w:t>
            </w:r>
          </w:p>
        </w:tc>
        <w:tc>
          <w:tcPr>
            <w:tcW w:w="2240" w:type="dxa"/>
            <w:vAlign w:val="bottom"/>
            <w:shd w:val="clear" w:color="auto" w:fill="E5FFFF"/>
          </w:tcPr>
          <w:p>
            <w:pPr>
              <w:spacing w:after="0"/>
              <w:rPr>
                <w:sz w:val="17"/>
                <w:szCs w:val="17"/>
                <w:color w:val="auto"/>
              </w:rPr>
            </w:pPr>
          </w:p>
        </w:tc>
      </w:tr>
      <w:tr>
        <w:trPr>
          <w:trHeight w:val="214"/>
        </w:trPr>
        <w:tc>
          <w:tcPr>
            <w:tcW w:w="9600" w:type="dxa"/>
            <w:vAlign w:val="bottom"/>
          </w:tcPr>
          <w:p>
            <w:pPr>
              <w:spacing w:after="0"/>
              <w:rPr>
                <w:sz w:val="20"/>
                <w:szCs w:val="20"/>
                <w:color w:val="auto"/>
              </w:rPr>
            </w:pPr>
            <w:r>
              <w:rPr>
                <w:rFonts w:ascii="Arial" w:cs="Arial" w:eastAsia="Arial" w:hAnsi="Arial"/>
                <w:sz w:val="17"/>
                <w:szCs w:val="17"/>
                <w:color w:val="auto"/>
              </w:rPr>
              <w:t>Not later than one year</w:t>
            </w:r>
          </w:p>
        </w:tc>
        <w:tc>
          <w:tcPr>
            <w:tcW w:w="2240" w:type="dxa"/>
            <w:vAlign w:val="bottom"/>
          </w:tcPr>
          <w:p>
            <w:pPr>
              <w:jc w:val="right"/>
              <w:spacing w:after="0"/>
              <w:rPr>
                <w:sz w:val="20"/>
                <w:szCs w:val="20"/>
                <w:color w:val="auto"/>
              </w:rPr>
            </w:pPr>
            <w:r>
              <w:rPr>
                <w:rFonts w:ascii="Arial" w:cs="Arial" w:eastAsia="Arial" w:hAnsi="Arial"/>
                <w:sz w:val="17"/>
                <w:szCs w:val="17"/>
                <w:color w:val="auto"/>
              </w:rPr>
              <w:t>413,873</w:t>
            </w:r>
          </w:p>
        </w:tc>
      </w:tr>
      <w:tr>
        <w:trPr>
          <w:trHeight w:val="214"/>
        </w:trPr>
        <w:tc>
          <w:tcPr>
            <w:tcW w:w="9600" w:type="dxa"/>
            <w:vAlign w:val="bottom"/>
            <w:shd w:val="clear" w:color="auto" w:fill="E5FFFF"/>
          </w:tcPr>
          <w:p>
            <w:pPr>
              <w:spacing w:after="0"/>
              <w:rPr>
                <w:sz w:val="20"/>
                <w:szCs w:val="20"/>
                <w:color w:val="auto"/>
              </w:rPr>
            </w:pPr>
            <w:r>
              <w:rPr>
                <w:rFonts w:ascii="Arial" w:cs="Arial" w:eastAsia="Arial" w:hAnsi="Arial"/>
                <w:sz w:val="17"/>
                <w:szCs w:val="17"/>
                <w:color w:val="auto"/>
              </w:rPr>
              <w:t>Later than one year and not later than two years</w:t>
            </w:r>
          </w:p>
        </w:tc>
        <w:tc>
          <w:tcPr>
            <w:tcW w:w="22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308,127</w:t>
            </w:r>
          </w:p>
        </w:tc>
      </w:tr>
      <w:tr>
        <w:trPr>
          <w:trHeight w:val="214"/>
        </w:trPr>
        <w:tc>
          <w:tcPr>
            <w:tcW w:w="9600" w:type="dxa"/>
            <w:vAlign w:val="bottom"/>
          </w:tcPr>
          <w:p>
            <w:pPr>
              <w:spacing w:after="0"/>
              <w:rPr>
                <w:sz w:val="20"/>
                <w:szCs w:val="20"/>
                <w:color w:val="auto"/>
              </w:rPr>
            </w:pPr>
            <w:r>
              <w:rPr>
                <w:rFonts w:ascii="Arial" w:cs="Arial" w:eastAsia="Arial" w:hAnsi="Arial"/>
                <w:sz w:val="17"/>
                <w:szCs w:val="17"/>
                <w:color w:val="auto"/>
              </w:rPr>
              <w:t>Later than two years and not later than three years</w:t>
            </w:r>
          </w:p>
        </w:tc>
        <w:tc>
          <w:tcPr>
            <w:tcW w:w="2240" w:type="dxa"/>
            <w:vAlign w:val="bottom"/>
          </w:tcPr>
          <w:p>
            <w:pPr>
              <w:jc w:val="right"/>
              <w:spacing w:after="0"/>
              <w:rPr>
                <w:sz w:val="20"/>
                <w:szCs w:val="20"/>
                <w:color w:val="auto"/>
              </w:rPr>
            </w:pPr>
            <w:r>
              <w:rPr>
                <w:rFonts w:ascii="Arial" w:cs="Arial" w:eastAsia="Arial" w:hAnsi="Arial"/>
                <w:sz w:val="17"/>
                <w:szCs w:val="17"/>
                <w:color w:val="auto"/>
              </w:rPr>
              <w:t>246,247</w:t>
            </w:r>
          </w:p>
        </w:tc>
      </w:tr>
      <w:tr>
        <w:trPr>
          <w:trHeight w:val="214"/>
        </w:trPr>
        <w:tc>
          <w:tcPr>
            <w:tcW w:w="9600" w:type="dxa"/>
            <w:vAlign w:val="bottom"/>
            <w:shd w:val="clear" w:color="auto" w:fill="E5FFFF"/>
          </w:tcPr>
          <w:p>
            <w:pPr>
              <w:spacing w:after="0"/>
              <w:rPr>
                <w:sz w:val="20"/>
                <w:szCs w:val="20"/>
                <w:color w:val="auto"/>
              </w:rPr>
            </w:pPr>
            <w:r>
              <w:rPr>
                <w:rFonts w:ascii="Arial" w:cs="Arial" w:eastAsia="Arial" w:hAnsi="Arial"/>
                <w:sz w:val="17"/>
                <w:szCs w:val="17"/>
                <w:color w:val="auto"/>
              </w:rPr>
              <w:t>Later than three years and not later than four years</w:t>
            </w:r>
          </w:p>
        </w:tc>
        <w:tc>
          <w:tcPr>
            <w:tcW w:w="22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234,026</w:t>
            </w:r>
          </w:p>
        </w:tc>
      </w:tr>
      <w:tr>
        <w:trPr>
          <w:trHeight w:val="214"/>
        </w:trPr>
        <w:tc>
          <w:tcPr>
            <w:tcW w:w="9600" w:type="dxa"/>
            <w:vAlign w:val="bottom"/>
          </w:tcPr>
          <w:p>
            <w:pPr>
              <w:spacing w:after="0"/>
              <w:rPr>
                <w:sz w:val="20"/>
                <w:szCs w:val="20"/>
                <w:color w:val="auto"/>
              </w:rPr>
            </w:pPr>
            <w:r>
              <w:rPr>
                <w:rFonts w:ascii="Arial" w:cs="Arial" w:eastAsia="Arial" w:hAnsi="Arial"/>
                <w:sz w:val="17"/>
                <w:szCs w:val="17"/>
                <w:color w:val="auto"/>
              </w:rPr>
              <w:t>Later than four years and not later than five years</w:t>
            </w:r>
          </w:p>
        </w:tc>
        <w:tc>
          <w:tcPr>
            <w:tcW w:w="2240" w:type="dxa"/>
            <w:vAlign w:val="bottom"/>
          </w:tcPr>
          <w:p>
            <w:pPr>
              <w:jc w:val="right"/>
              <w:spacing w:after="0"/>
              <w:rPr>
                <w:sz w:val="20"/>
                <w:szCs w:val="20"/>
                <w:color w:val="auto"/>
              </w:rPr>
            </w:pPr>
            <w:r>
              <w:rPr>
                <w:rFonts w:ascii="Arial" w:cs="Arial" w:eastAsia="Arial" w:hAnsi="Arial"/>
                <w:sz w:val="17"/>
                <w:szCs w:val="17"/>
                <w:color w:val="auto"/>
              </w:rPr>
              <w:t>197,400</w:t>
            </w:r>
          </w:p>
        </w:tc>
      </w:tr>
      <w:tr>
        <w:trPr>
          <w:trHeight w:val="214"/>
        </w:trPr>
        <w:tc>
          <w:tcPr>
            <w:tcW w:w="9600" w:type="dxa"/>
            <w:vAlign w:val="bottom"/>
            <w:shd w:val="clear" w:color="auto" w:fill="E5FFFF"/>
          </w:tcPr>
          <w:p>
            <w:pPr>
              <w:spacing w:after="0"/>
              <w:rPr>
                <w:sz w:val="20"/>
                <w:szCs w:val="20"/>
                <w:color w:val="auto"/>
              </w:rPr>
            </w:pPr>
            <w:r>
              <w:rPr>
                <w:rFonts w:ascii="Arial" w:cs="Arial" w:eastAsia="Arial" w:hAnsi="Arial"/>
                <w:sz w:val="17"/>
                <w:szCs w:val="17"/>
                <w:color w:val="auto"/>
              </w:rPr>
              <w:t>More than five years</w:t>
            </w:r>
          </w:p>
        </w:tc>
        <w:tc>
          <w:tcPr>
            <w:tcW w:w="22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429,242</w:t>
            </w:r>
          </w:p>
        </w:tc>
      </w:tr>
      <w:tr>
        <w:trPr>
          <w:trHeight w:val="208"/>
        </w:trPr>
        <w:tc>
          <w:tcPr>
            <w:tcW w:w="96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1,828,915</w:t>
            </w:r>
          </w:p>
        </w:tc>
      </w:tr>
      <w:tr>
        <w:trPr>
          <w:trHeight w:val="20"/>
        </w:trPr>
        <w:tc>
          <w:tcPr>
            <w:tcW w:w="96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66"/>
        <w:spacing w:after="0"/>
        <w:rPr>
          <w:sz w:val="20"/>
          <w:szCs w:val="20"/>
          <w:color w:val="auto"/>
        </w:rPr>
      </w:pPr>
      <w:r>
        <w:rPr>
          <w:rFonts w:ascii="Arial" w:cs="Arial" w:eastAsia="Arial" w:hAnsi="Arial"/>
          <w:sz w:val="17"/>
          <w:szCs w:val="17"/>
          <w:color w:val="auto"/>
        </w:rPr>
        <w:t>Future gross minimum lease payments disclosed in the above table excludes the lease payments of the vessels that are under construction.</w:t>
      </w:r>
    </w:p>
    <w:p>
      <w:pPr>
        <w:spacing w:after="0" w:line="346" w:lineRule="exact"/>
        <w:rPr>
          <w:sz w:val="20"/>
          <w:szCs w:val="20"/>
          <w:color w:val="auto"/>
        </w:rPr>
      </w:pPr>
    </w:p>
    <w:p>
      <w:pPr>
        <w:ind w:left="246" w:right="80" w:hanging="246"/>
        <w:spacing w:after="0" w:line="275" w:lineRule="auto"/>
        <w:tabs>
          <w:tab w:leader="none" w:pos="247"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April and May 2017, GasLog LNG Services Ltd. entered into agreements in relation to some of the Group’s vessels, with the aim of enhancing their operational performance. Commitments relating to these agreements, without including additional estimated costs for which no agreement had been signed as of June 30, 2019, are as follows:</w:t>
      </w:r>
    </w:p>
    <w:p>
      <w:pPr>
        <w:sectPr>
          <w:pgSz w:w="12240" w:h="15840" w:orient="portrait"/>
          <w:cols w:equalWidth="0" w:num="1">
            <w:col w:w="11986"/>
          </w:cols>
          <w:pgMar w:left="114" w:top="212" w:right="1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6"/>
        <w:spacing w:after="0"/>
        <w:rPr>
          <w:sz w:val="20"/>
          <w:szCs w:val="20"/>
          <w:color w:val="auto"/>
        </w:rPr>
      </w:pPr>
      <w:r>
        <w:rPr>
          <w:rFonts w:ascii="Arial" w:cs="Arial" w:eastAsia="Arial" w:hAnsi="Arial"/>
          <w:sz w:val="17"/>
          <w:szCs w:val="17"/>
          <w:b w:val="1"/>
          <w:bCs w:val="1"/>
          <w:i w:val="1"/>
          <w:iCs w:val="1"/>
          <w:color w:val="auto"/>
        </w:rPr>
        <w:t>Period</w:t>
      </w:r>
    </w:p>
    <w:p>
      <w:pPr>
        <w:spacing w:after="0" w:line="21" w:lineRule="exact"/>
        <w:rPr>
          <w:sz w:val="20"/>
          <w:szCs w:val="20"/>
          <w:color w:val="auto"/>
        </w:rPr>
      </w:pPr>
    </w:p>
    <w:p>
      <w:pPr>
        <w:ind w:left="6"/>
        <w:spacing w:after="0"/>
        <w:rPr>
          <w:sz w:val="20"/>
          <w:szCs w:val="20"/>
          <w:color w:val="auto"/>
        </w:rPr>
      </w:pPr>
      <w:r>
        <w:rPr>
          <w:rFonts w:ascii="Arial" w:cs="Arial" w:eastAsia="Arial" w:hAnsi="Arial"/>
          <w:sz w:val="15"/>
          <w:szCs w:val="15"/>
          <w:color w:val="auto"/>
        </w:rPr>
        <w:t>Not later than one year</w:t>
      </w:r>
    </w:p>
    <w:p>
      <w:pPr>
        <w:spacing w:after="0" w:line="61"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Total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-6505575</wp:posOffset>
            </wp:positionH>
            <wp:positionV relativeFrom="paragraph">
              <wp:posOffset>21590</wp:posOffset>
            </wp:positionV>
            <wp:extent cx="7543165" cy="135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543165" cy="135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2,267</w:t>
      </w:r>
    </w:p>
    <w:p>
      <w:pPr>
        <w:spacing w:after="0" w:line="27" w:lineRule="exact"/>
        <w:rPr>
          <w:sz w:val="20"/>
          <w:szCs w:val="20"/>
          <w:color w:val="auto"/>
        </w:rPr>
      </w:pPr>
    </w:p>
    <w:p>
      <w:pPr>
        <w:jc w:val="right"/>
        <w:ind w:right="100"/>
        <w:spacing w:after="0"/>
        <w:rPr>
          <w:sz w:val="20"/>
          <w:szCs w:val="20"/>
          <w:color w:val="auto"/>
        </w:rPr>
      </w:pPr>
      <w:r>
        <w:rPr>
          <w:rFonts w:ascii="Arial" w:cs="Arial" w:eastAsia="Arial" w:hAnsi="Arial"/>
          <w:sz w:val="17"/>
          <w:szCs w:val="17"/>
          <w:b w:val="1"/>
          <w:bCs w:val="1"/>
          <w:color w:val="auto"/>
        </w:rPr>
        <w:t>2,267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-6505575</wp:posOffset>
            </wp:positionH>
            <wp:positionV relativeFrom="paragraph">
              <wp:posOffset>-122555</wp:posOffset>
            </wp:positionV>
            <wp:extent cx="7543165" cy="172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543165" cy="172085"/>
                    </a:xfrm>
                    <a:prstGeom prst="rect">
                      <a:avLst/>
                    </a:prstGeom>
                    <a:noFill/>
                  </pic:spPr>
                </pic:pic>
              </a:graphicData>
            </a:graphic>
          </wp:anchor>
        </w:drawing>
      </w:r>
    </w:p>
    <w:p>
      <w:pPr>
        <w:spacing w:after="0" w:line="214" w:lineRule="exact"/>
        <w:rPr>
          <w:sz w:val="20"/>
          <w:szCs w:val="20"/>
          <w:color w:val="auto"/>
        </w:rPr>
      </w:pPr>
    </w:p>
    <w:p>
      <w:pPr>
        <w:sectPr>
          <w:pgSz w:w="12240" w:h="15840" w:orient="portrait"/>
          <w:cols w:equalWidth="0" w:num="2">
            <w:col w:w="9526" w:space="720"/>
            <w:col w:w="1740"/>
          </w:cols>
          <w:pgMar w:left="114" w:top="212" w:right="140" w:bottom="0" w:gutter="0" w:footer="0" w:header="0"/>
          <w:type w:val="continuous"/>
        </w:sectPr>
      </w:pPr>
    </w:p>
    <w:p>
      <w:pPr>
        <w:spacing w:after="0" w:line="81" w:lineRule="exact"/>
        <w:rPr>
          <w:sz w:val="20"/>
          <w:szCs w:val="20"/>
          <w:color w:val="auto"/>
        </w:rPr>
      </w:pPr>
    </w:p>
    <w:p>
      <w:pPr>
        <w:jc w:val="both"/>
        <w:ind w:left="266" w:right="200" w:hanging="266"/>
        <w:spacing w:after="0" w:line="275" w:lineRule="auto"/>
        <w:tabs>
          <w:tab w:leader="none" w:pos="267"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Related to the acquisition of six vessels from a subsidiary of MSL in 2014 and another two vessels in 2015, the Group is committed to purchase depot spares from MSL with an aggregate value of $8,000 of which depot spares with value of $660 have been purchased and paid as of June 30, 2019 and are included in Tangible fixed assets (Note 5). The remaining spares are expected to be acquired before March 31, 2020.</w:t>
      </w:r>
    </w:p>
    <w:p>
      <w:pPr>
        <w:spacing w:after="0" w:line="197" w:lineRule="exact"/>
        <w:rPr>
          <w:rFonts w:ascii="Arial" w:cs="Arial" w:eastAsia="Arial" w:hAnsi="Arial"/>
          <w:sz w:val="17"/>
          <w:szCs w:val="17"/>
          <w:color w:val="auto"/>
        </w:rPr>
      </w:pPr>
    </w:p>
    <w:p>
      <w:pPr>
        <w:ind w:left="266" w:hanging="266"/>
        <w:spacing w:after="0" w:line="271" w:lineRule="auto"/>
        <w:tabs>
          <w:tab w:leader="none" w:pos="2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On October 11, 2016, GasLog LNG Services Ltd. entered into an arrangement whereby it has access to all long lead items (“LLIs”) necessary for the conversion of a GasLog LNG carrier vessel into an FSRU whereby such conversion work would be undertaken by Keppel. GasLog is only obligated to pay for such LLIs if utilized for a GasLog vessel conversion or, if the LLIs have not been utilized in a GasLog vessel conversion within three years from November 2016, the items may be put to GasLog at 85% of the original cost, or GasLog may call for the purchase of such LLIs at 115% of the original cost.</w:t>
      </w:r>
    </w:p>
    <w:p>
      <w:pPr>
        <w:spacing w:after="0" w:line="200" w:lineRule="exact"/>
        <w:rPr>
          <w:rFonts w:ascii="Arial" w:cs="Arial" w:eastAsia="Arial" w:hAnsi="Arial"/>
          <w:sz w:val="17"/>
          <w:szCs w:val="17"/>
          <w:color w:val="auto"/>
        </w:rPr>
      </w:pPr>
    </w:p>
    <w:p>
      <w:pPr>
        <w:ind w:left="266" w:right="120" w:hanging="266"/>
        <w:spacing w:after="0" w:line="271" w:lineRule="auto"/>
        <w:tabs>
          <w:tab w:leader="none" w:pos="267"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September 2017 (and in addition to the seven existing maintenance agreements signed in 2015 in relation to GasLog vessels), GasLog LNG Services Ltd. entered into further maintenance agreements with Wartsila Greece S.A.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200" w:lineRule="exact"/>
        <w:rPr>
          <w:rFonts w:ascii="Arial" w:cs="Arial" w:eastAsia="Arial" w:hAnsi="Arial"/>
          <w:sz w:val="17"/>
          <w:szCs w:val="17"/>
          <w:color w:val="auto"/>
        </w:rPr>
      </w:pPr>
    </w:p>
    <w:p>
      <w:pPr>
        <w:ind w:left="266" w:right="380" w:hanging="266"/>
        <w:spacing w:after="0" w:line="358" w:lineRule="auto"/>
        <w:tabs>
          <w:tab w:leader="none" w:pos="267"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 March 2019, GasLog LNG Services entered into an agreement with Samsung in respect of twenty of GasLog’s vessels. The agreement covers the supply of ballast water management systems on board the vessels by Samsung and associated field, commissioning and engineering services for a firm period of six years.</w:t>
      </w:r>
    </w:p>
    <w:p>
      <w:pPr>
        <w:spacing w:after="0" w:line="141" w:lineRule="exact"/>
        <w:rPr>
          <w:sz w:val="20"/>
          <w:szCs w:val="20"/>
          <w:color w:val="auto"/>
        </w:rPr>
      </w:pPr>
    </w:p>
    <w:p>
      <w:pPr>
        <w:ind w:left="6" w:right="220" w:firstLine="460"/>
        <w:spacing w:after="0" w:line="300" w:lineRule="auto"/>
        <w:rPr>
          <w:sz w:val="20"/>
          <w:szCs w:val="20"/>
          <w:color w:val="auto"/>
        </w:rPr>
      </w:pPr>
      <w:r>
        <w:rPr>
          <w:rFonts w:ascii="Arial" w:cs="Arial" w:eastAsia="Arial" w:hAnsi="Arial"/>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74" w:lineRule="exact"/>
        <w:rPr>
          <w:sz w:val="20"/>
          <w:szCs w:val="20"/>
          <w:color w:val="auto"/>
        </w:rPr>
      </w:pPr>
    </w:p>
    <w:tbl>
      <w:tblPr>
        <w:tblLayout w:type="fixed"/>
        <w:tblInd w:w="6" w:type="dxa"/>
        <w:tblCellMar>
          <w:top w:w="0" w:type="dxa"/>
          <w:left w:w="0" w:type="dxa"/>
          <w:bottom w:w="0" w:type="dxa"/>
          <w:right w:w="0" w:type="dxa"/>
        </w:tblCellMar>
      </w:tblPr>
      <w:tr>
        <w:trPr>
          <w:trHeight w:val="222"/>
        </w:trPr>
        <w:tc>
          <w:tcPr>
            <w:tcW w:w="8660" w:type="dxa"/>
            <w:vAlign w:val="bottom"/>
            <w:gridSpan w:val="2"/>
          </w:tcPr>
          <w:p>
            <w:pPr>
              <w:spacing w:after="0"/>
              <w:rPr>
                <w:sz w:val="20"/>
                <w:szCs w:val="20"/>
                <w:color w:val="auto"/>
              </w:rPr>
            </w:pPr>
            <w:r>
              <w:rPr>
                <w:rFonts w:ascii="Arial" w:cs="Arial" w:eastAsia="Arial" w:hAnsi="Arial"/>
                <w:sz w:val="17"/>
                <w:szCs w:val="17"/>
                <w:b w:val="1"/>
                <w:bCs w:val="1"/>
                <w:color w:val="auto"/>
              </w:rPr>
              <w:t>15. Derivative Financial Instruments</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36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7"/>
                <w:szCs w:val="17"/>
                <w:color w:val="auto"/>
              </w:rPr>
              <w:t>The fair value of the derivative assets is as follows:</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7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December 31,</w:t>
            </w:r>
          </w:p>
        </w:tc>
        <w:tc>
          <w:tcPr>
            <w:tcW w:w="1520" w:type="dxa"/>
            <w:vAlign w:val="bottom"/>
            <w:gridSpan w:val="2"/>
          </w:tcPr>
          <w:p>
            <w:pPr>
              <w:ind w:left="440"/>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300" w:type="dxa"/>
            <w:vAlign w:val="bottom"/>
            <w:tcBorders>
              <w:bottom w:val="single" w:sz="8" w:color="E5FF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2018</w:t>
            </w:r>
          </w:p>
        </w:tc>
        <w:tc>
          <w:tcPr>
            <w:tcW w:w="260" w:type="dxa"/>
            <w:vAlign w:val="bottom"/>
            <w:tcBorders>
              <w:bottom w:val="single" w:sz="8" w:color="E5FFFF"/>
            </w:tcBorders>
          </w:tcPr>
          <w:p>
            <w:pPr>
              <w:spacing w:after="0"/>
              <w:rPr>
                <w:sz w:val="19"/>
                <w:szCs w:val="19"/>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17"/>
                <w:szCs w:val="17"/>
                <w:color w:val="auto"/>
              </w:rPr>
            </w:pPr>
          </w:p>
        </w:tc>
        <w:tc>
          <w:tcPr>
            <w:tcW w:w="83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Derivative assets carried at fair value through profit or loss (FVTPL)</w:t>
            </w:r>
          </w:p>
        </w:tc>
        <w:tc>
          <w:tcPr>
            <w:tcW w:w="14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color w:val="auto"/>
              </w:rPr>
              <w:t>Interest rate swaps</w:t>
            </w:r>
          </w:p>
        </w:tc>
        <w:tc>
          <w:tcPr>
            <w:tcW w:w="1720" w:type="dxa"/>
            <w:vAlign w:val="bottom"/>
            <w:gridSpan w:val="2"/>
          </w:tcPr>
          <w:p>
            <w:pPr>
              <w:jc w:val="right"/>
              <w:ind w:right="260"/>
              <w:spacing w:after="0"/>
              <w:rPr>
                <w:sz w:val="20"/>
                <w:szCs w:val="20"/>
                <w:color w:val="auto"/>
              </w:rPr>
            </w:pPr>
            <w:r>
              <w:rPr>
                <w:rFonts w:ascii="Arial" w:cs="Arial" w:eastAsia="Arial" w:hAnsi="Arial"/>
                <w:sz w:val="17"/>
                <w:szCs w:val="17"/>
                <w:color w:val="auto"/>
              </w:rPr>
              <w:t>15,188</w:t>
            </w:r>
          </w:p>
        </w:tc>
        <w:tc>
          <w:tcPr>
            <w:tcW w:w="1500" w:type="dxa"/>
            <w:vAlign w:val="bottom"/>
          </w:tcPr>
          <w:p>
            <w:pPr>
              <w:jc w:val="right"/>
              <w:spacing w:after="0"/>
              <w:rPr>
                <w:sz w:val="20"/>
                <w:szCs w:val="20"/>
                <w:color w:val="auto"/>
              </w:rPr>
            </w:pPr>
            <w:r>
              <w:rPr>
                <w:rFonts w:ascii="Arial" w:cs="Arial" w:eastAsia="Arial" w:hAnsi="Arial"/>
                <w:sz w:val="17"/>
                <w:szCs w:val="17"/>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83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w:t>
            </w:r>
          </w:p>
        </w:tc>
        <w:tc>
          <w:tcPr>
            <w:tcW w:w="14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15,188</w:t>
            </w:r>
          </w:p>
        </w:tc>
        <w:tc>
          <w:tcPr>
            <w:tcW w:w="260" w:type="dxa"/>
            <w:vAlign w:val="bottom"/>
            <w:tcBorders>
              <w:top w:val="single" w:sz="8" w:color="E5FFFF"/>
              <w:bottom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300" w:type="dxa"/>
            <w:vAlign w:val="bottom"/>
            <w:vMerge w:val="restart"/>
          </w:tcPr>
          <w:p>
            <w:pPr>
              <w:spacing w:after="0"/>
              <w:rPr>
                <w:sz w:val="20"/>
                <w:szCs w:val="20"/>
                <w:color w:val="auto"/>
              </w:rPr>
            </w:pPr>
            <w:r>
              <w:rPr>
                <w:rFonts w:ascii="Arial" w:cs="Arial" w:eastAsia="Arial" w:hAnsi="Arial"/>
                <w:sz w:val="17"/>
                <w:szCs w:val="17"/>
                <w:color w:val="auto"/>
              </w:rPr>
              <w:t>Derivative financial instruments, current assets</w:t>
            </w:r>
          </w:p>
        </w:tc>
        <w:tc>
          <w:tcPr>
            <w:tcW w:w="17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0" w:type="dxa"/>
            <w:vAlign w:val="bottom"/>
          </w:tcPr>
          <w:p>
            <w:pPr>
              <w:spacing w:after="0"/>
              <w:rPr>
                <w:sz w:val="17"/>
                <w:szCs w:val="17"/>
                <w:color w:val="auto"/>
              </w:rPr>
            </w:pPr>
          </w:p>
        </w:tc>
        <w:tc>
          <w:tcPr>
            <w:tcW w:w="8300" w:type="dxa"/>
            <w:vAlign w:val="bottom"/>
            <w:vMerge w:val="continue"/>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6,222</w:t>
            </w:r>
          </w:p>
        </w:tc>
        <w:tc>
          <w:tcPr>
            <w:tcW w:w="26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8300" w:type="dxa"/>
            <w:vAlign w:val="bottom"/>
            <w:shd w:val="clear" w:color="auto" w:fill="E5FFFF"/>
          </w:tcPr>
          <w:p>
            <w:pPr>
              <w:spacing w:after="0"/>
              <w:rPr>
                <w:sz w:val="20"/>
                <w:szCs w:val="20"/>
                <w:color w:val="auto"/>
              </w:rPr>
            </w:pPr>
            <w:r>
              <w:rPr>
                <w:rFonts w:ascii="Arial" w:cs="Arial" w:eastAsia="Arial" w:hAnsi="Arial"/>
                <w:sz w:val="17"/>
                <w:szCs w:val="17"/>
                <w:color w:val="auto"/>
              </w:rPr>
              <w:t>Derivative financial instruments, non-current assets</w:t>
            </w:r>
          </w:p>
        </w:tc>
        <w:tc>
          <w:tcPr>
            <w:tcW w:w="172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8,966</w:t>
            </w: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7"/>
                <w:szCs w:val="17"/>
                <w:b w:val="1"/>
                <w:bCs w:val="1"/>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15,188</w:t>
            </w:r>
          </w:p>
        </w:tc>
        <w:tc>
          <w:tcPr>
            <w:tcW w:w="2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2240" w:h="15840" w:orient="portrait"/>
          <w:cols w:equalWidth="0" w:num="1">
            <w:col w:w="11986"/>
          </w:cols>
          <w:pgMar w:left="114" w:top="212" w:right="140" w:bottom="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97155</wp:posOffset>
            </wp:positionV>
            <wp:extent cx="7646670" cy="31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9360"/>
          </w:cols>
          <w:pgMar w:left="1440" w:top="0" w:right="1440" w:bottom="1440" w:gutter="0" w:footer="0" w:header="0"/>
        </w:sectPr>
      </w:pPr>
    </w:p>
    <w:bookmarkStart w:id="45" w:name="page46"/>
    <w:bookmarkEnd w:id="45"/>
    <w:tbl>
      <w:tblPr>
        <w:tblLayout w:type="fixed"/>
        <w:tblInd w:w="360" w:type="dxa"/>
        <w:tblCellMar>
          <w:top w:w="0" w:type="dxa"/>
          <w:left w:w="0" w:type="dxa"/>
          <w:bottom w:w="0" w:type="dxa"/>
          <w:right w:w="0" w:type="dxa"/>
        </w:tblCellMar>
      </w:tblPr>
      <w:tr>
        <w:trPr>
          <w:trHeight w:val="216"/>
        </w:trPr>
        <w:tc>
          <w:tcPr>
            <w:tcW w:w="7940" w:type="dxa"/>
            <w:vAlign w:val="bottom"/>
          </w:tcPr>
          <w:p>
            <w:pPr>
              <w:ind w:left="40"/>
              <w:spacing w:after="0"/>
              <w:rPr>
                <w:sz w:val="20"/>
                <w:szCs w:val="20"/>
                <w:color w:val="auto"/>
              </w:rPr>
            </w:pPr>
            <w:r>
              <w:rPr>
                <w:rFonts w:ascii="Arial" w:cs="Arial" w:eastAsia="Arial" w:hAnsi="Arial"/>
                <w:sz w:val="17"/>
                <w:szCs w:val="17"/>
                <w:color w:val="auto"/>
              </w:rPr>
              <w:t>The fair value of the derivative liabilities is as follows: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34"/>
        </w:trPr>
        <w:tc>
          <w:tcPr>
            <w:tcW w:w="7940" w:type="dxa"/>
            <w:vAlign w:val="bottom"/>
          </w:tcPr>
          <w:p>
            <w:pPr>
              <w:spacing w:after="0"/>
              <w:rPr>
                <w:sz w:val="24"/>
                <w:szCs w:val="24"/>
                <w:color w:val="auto"/>
              </w:rPr>
            </w:pPr>
          </w:p>
        </w:tc>
        <w:tc>
          <w:tcPr>
            <w:tcW w:w="1720" w:type="dxa"/>
            <w:vAlign w:val="bottom"/>
            <w:gridSpan w:val="2"/>
          </w:tcPr>
          <w:p>
            <w:pPr>
              <w:ind w:left="260"/>
              <w:spacing w:after="0"/>
              <w:rPr>
                <w:sz w:val="20"/>
                <w:szCs w:val="20"/>
                <w:color w:val="auto"/>
              </w:rPr>
            </w:pPr>
            <w:r>
              <w:rPr>
                <w:rFonts w:ascii="Arial" w:cs="Arial" w:eastAsia="Arial" w:hAnsi="Arial"/>
                <w:sz w:val="17"/>
                <w:szCs w:val="17"/>
                <w:b w:val="1"/>
                <w:bCs w:val="1"/>
                <w:color w:val="auto"/>
              </w:rPr>
              <w:t>December 31,</w:t>
            </w:r>
          </w:p>
        </w:tc>
        <w:tc>
          <w:tcPr>
            <w:tcW w:w="1500" w:type="dxa"/>
            <w:vAlign w:val="bottom"/>
          </w:tcPr>
          <w:p>
            <w:pPr>
              <w:jc w:val="right"/>
              <w:ind w:right="354"/>
              <w:spacing w:after="0"/>
              <w:rPr>
                <w:sz w:val="20"/>
                <w:szCs w:val="20"/>
                <w:color w:val="auto"/>
              </w:rPr>
            </w:pPr>
            <w:r>
              <w:rPr>
                <w:rFonts w:ascii="Arial" w:cs="Arial" w:eastAsia="Arial" w:hAnsi="Arial"/>
                <w:sz w:val="17"/>
                <w:szCs w:val="17"/>
                <w:b w:val="1"/>
                <w:bCs w:val="1"/>
                <w:color w:val="auto"/>
              </w:rPr>
              <w:t>June 30,</w:t>
            </w:r>
          </w:p>
        </w:tc>
      </w:tr>
      <w:tr>
        <w:trPr>
          <w:trHeight w:val="226"/>
        </w:trPr>
        <w:tc>
          <w:tcPr>
            <w:tcW w:w="7940" w:type="dxa"/>
            <w:vAlign w:val="bottom"/>
            <w:tcBorders>
              <w:bottom w:val="single" w:sz="8" w:color="E5FFFF"/>
            </w:tcBorders>
          </w:tcPr>
          <w:p>
            <w:pPr>
              <w:spacing w:after="0"/>
              <w:rPr>
                <w:sz w:val="19"/>
                <w:szCs w:val="19"/>
                <w:color w:val="auto"/>
              </w:rPr>
            </w:pPr>
          </w:p>
        </w:tc>
        <w:tc>
          <w:tcPr>
            <w:tcW w:w="15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2018</w:t>
            </w:r>
          </w:p>
        </w:tc>
        <w:tc>
          <w:tcPr>
            <w:tcW w:w="180" w:type="dxa"/>
            <w:vAlign w:val="bottom"/>
            <w:tcBorders>
              <w:bottom w:val="single" w:sz="8" w:color="E5FFFF"/>
            </w:tcBorders>
          </w:tcPr>
          <w:p>
            <w:pPr>
              <w:spacing w:after="0"/>
              <w:rPr>
                <w:sz w:val="19"/>
                <w:szCs w:val="19"/>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2019</w:t>
            </w:r>
          </w:p>
        </w:tc>
      </w:tr>
      <w:tr>
        <w:trPr>
          <w:trHeight w:val="197"/>
        </w:trPr>
        <w:tc>
          <w:tcPr>
            <w:tcW w:w="79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Derivative liabilities carried at fair value through profit or loss (FVTPL)</w:t>
            </w:r>
          </w:p>
        </w:tc>
        <w:tc>
          <w:tcPr>
            <w:tcW w:w="15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500" w:type="dxa"/>
            <w:vAlign w:val="bottom"/>
            <w:shd w:val="clear" w:color="auto" w:fill="E5FFFF"/>
          </w:tcPr>
          <w:p>
            <w:pPr>
              <w:spacing w:after="0"/>
              <w:rPr>
                <w:sz w:val="17"/>
                <w:szCs w:val="17"/>
                <w:color w:val="auto"/>
              </w:rPr>
            </w:pPr>
          </w:p>
        </w:tc>
      </w:tr>
      <w:tr>
        <w:trPr>
          <w:trHeight w:val="214"/>
        </w:trPr>
        <w:tc>
          <w:tcPr>
            <w:tcW w:w="7940" w:type="dxa"/>
            <w:vAlign w:val="bottom"/>
          </w:tcPr>
          <w:p>
            <w:pPr>
              <w:spacing w:after="0"/>
              <w:rPr>
                <w:sz w:val="20"/>
                <w:szCs w:val="20"/>
                <w:color w:val="auto"/>
              </w:rPr>
            </w:pPr>
            <w:r>
              <w:rPr>
                <w:rFonts w:ascii="Arial" w:cs="Arial" w:eastAsia="Arial" w:hAnsi="Arial"/>
                <w:sz w:val="17"/>
                <w:szCs w:val="17"/>
                <w:color w:val="auto"/>
              </w:rPr>
              <w:t>Interest rate swaps</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9,196</w:t>
            </w:r>
          </w:p>
        </w:tc>
        <w:tc>
          <w:tcPr>
            <w:tcW w:w="1500" w:type="dxa"/>
            <w:vAlign w:val="bottom"/>
          </w:tcPr>
          <w:p>
            <w:pPr>
              <w:jc w:val="right"/>
              <w:spacing w:after="0"/>
              <w:rPr>
                <w:sz w:val="20"/>
                <w:szCs w:val="20"/>
                <w:color w:val="auto"/>
              </w:rPr>
            </w:pPr>
            <w:r>
              <w:rPr>
                <w:rFonts w:ascii="Arial" w:cs="Arial" w:eastAsia="Arial" w:hAnsi="Arial"/>
                <w:sz w:val="17"/>
                <w:szCs w:val="17"/>
                <w:color w:val="auto"/>
              </w:rPr>
              <w:t>47,165</w:t>
            </w:r>
          </w:p>
        </w:tc>
      </w:tr>
      <w:tr>
        <w:trPr>
          <w:trHeight w:val="214"/>
        </w:trPr>
        <w:tc>
          <w:tcPr>
            <w:tcW w:w="7940" w:type="dxa"/>
            <w:vAlign w:val="bottom"/>
            <w:shd w:val="clear" w:color="auto" w:fill="E5FFFF"/>
          </w:tcPr>
          <w:p>
            <w:pPr>
              <w:spacing w:after="0"/>
              <w:rPr>
                <w:sz w:val="20"/>
                <w:szCs w:val="20"/>
                <w:color w:val="auto"/>
              </w:rPr>
            </w:pPr>
            <w:r>
              <w:rPr>
                <w:rFonts w:ascii="Arial" w:cs="Arial" w:eastAsia="Arial" w:hAnsi="Arial"/>
                <w:sz w:val="17"/>
                <w:szCs w:val="17"/>
                <w:color w:val="auto"/>
              </w:rPr>
              <w:t>Forward foreign exchange contracts</w:t>
            </w:r>
          </w:p>
        </w:tc>
        <w:tc>
          <w:tcPr>
            <w:tcW w:w="17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1,467</w:t>
            </w: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693</w:t>
            </w:r>
          </w:p>
        </w:tc>
      </w:tr>
      <w:tr>
        <w:trPr>
          <w:trHeight w:val="214"/>
        </w:trPr>
        <w:tc>
          <w:tcPr>
            <w:tcW w:w="7940" w:type="dxa"/>
            <w:vAlign w:val="bottom"/>
          </w:tcPr>
          <w:p>
            <w:pPr>
              <w:spacing w:after="0"/>
              <w:rPr>
                <w:sz w:val="20"/>
                <w:szCs w:val="20"/>
                <w:color w:val="auto"/>
              </w:rPr>
            </w:pPr>
            <w:r>
              <w:rPr>
                <w:rFonts w:ascii="Arial" w:cs="Arial" w:eastAsia="Arial" w:hAnsi="Arial"/>
                <w:sz w:val="17"/>
                <w:szCs w:val="17"/>
                <w:b w:val="1"/>
                <w:bCs w:val="1"/>
                <w:color w:val="auto"/>
              </w:rPr>
              <w:t>Derivative liabilities designated and effective as hedging instruments carried at fair value</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4"/>
        </w:trPr>
        <w:tc>
          <w:tcPr>
            <w:tcW w:w="7940" w:type="dxa"/>
            <w:vAlign w:val="bottom"/>
            <w:shd w:val="clear" w:color="auto" w:fill="E5FFFF"/>
          </w:tcPr>
          <w:p>
            <w:pPr>
              <w:spacing w:after="0"/>
              <w:rPr>
                <w:sz w:val="20"/>
                <w:szCs w:val="20"/>
                <w:color w:val="auto"/>
              </w:rPr>
            </w:pPr>
            <w:r>
              <w:rPr>
                <w:rFonts w:ascii="Arial" w:cs="Arial" w:eastAsia="Arial" w:hAnsi="Arial"/>
                <w:sz w:val="17"/>
                <w:szCs w:val="17"/>
                <w:color w:val="auto"/>
              </w:rPr>
              <w:t>Cross currency swaps</w:t>
            </w:r>
          </w:p>
        </w:tc>
        <w:tc>
          <w:tcPr>
            <w:tcW w:w="17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1,429</w:t>
            </w: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1,987</w:t>
            </w:r>
          </w:p>
        </w:tc>
      </w:tr>
      <w:tr>
        <w:trPr>
          <w:trHeight w:val="248"/>
        </w:trPr>
        <w:tc>
          <w:tcPr>
            <w:tcW w:w="7940" w:type="dxa"/>
            <w:vAlign w:val="bottom"/>
            <w:tcBorders>
              <w:bottom w:val="single" w:sz="8" w:color="E5FFFF"/>
            </w:tcBorders>
          </w:tcPr>
          <w:p>
            <w:pPr>
              <w:spacing w:after="0"/>
              <w:rPr>
                <w:sz w:val="20"/>
                <w:szCs w:val="20"/>
                <w:color w:val="auto"/>
              </w:rPr>
            </w:pPr>
            <w:r>
              <w:rPr>
                <w:rFonts w:ascii="Arial" w:cs="Arial" w:eastAsia="Arial" w:hAnsi="Arial"/>
                <w:sz w:val="17"/>
                <w:szCs w:val="17"/>
                <w:b w:val="1"/>
                <w:bCs w:val="1"/>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12,092</w:t>
            </w:r>
          </w:p>
        </w:tc>
        <w:tc>
          <w:tcPr>
            <w:tcW w:w="180" w:type="dxa"/>
            <w:vAlign w:val="bottom"/>
            <w:tcBorders>
              <w:bottom w:val="single" w:sz="8" w:color="E5FFFF"/>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49,845</w:t>
            </w:r>
          </w:p>
        </w:tc>
      </w:tr>
      <w:tr>
        <w:trPr>
          <w:trHeight w:val="197"/>
        </w:trPr>
        <w:tc>
          <w:tcPr>
            <w:tcW w:w="7940" w:type="dxa"/>
            <w:vAlign w:val="bottom"/>
            <w:shd w:val="clear" w:color="auto" w:fill="E5FFFF"/>
          </w:tcPr>
          <w:p>
            <w:pPr>
              <w:spacing w:after="0" w:line="189" w:lineRule="exact"/>
              <w:rPr>
                <w:sz w:val="20"/>
                <w:szCs w:val="20"/>
                <w:color w:val="auto"/>
              </w:rPr>
            </w:pPr>
            <w:r>
              <w:rPr>
                <w:rFonts w:ascii="Arial" w:cs="Arial" w:eastAsia="Arial" w:hAnsi="Arial"/>
                <w:sz w:val="17"/>
                <w:szCs w:val="17"/>
                <w:color w:val="auto"/>
              </w:rPr>
              <w:t>Derivative financial instruments, current liability</w:t>
            </w:r>
          </w:p>
        </w:tc>
        <w:tc>
          <w:tcPr>
            <w:tcW w:w="15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2,091</w:t>
            </w:r>
          </w:p>
        </w:tc>
        <w:tc>
          <w:tcPr>
            <w:tcW w:w="180" w:type="dxa"/>
            <w:vAlign w:val="bottom"/>
            <w:shd w:val="clear" w:color="auto" w:fill="E5FFFF"/>
          </w:tcPr>
          <w:p>
            <w:pPr>
              <w:spacing w:after="0"/>
              <w:rPr>
                <w:sz w:val="17"/>
                <w:szCs w:val="17"/>
                <w:color w:val="auto"/>
              </w:rPr>
            </w:pPr>
          </w:p>
        </w:tc>
        <w:tc>
          <w:tcPr>
            <w:tcW w:w="15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3,783</w:t>
            </w:r>
          </w:p>
        </w:tc>
      </w:tr>
      <w:tr>
        <w:trPr>
          <w:trHeight w:val="214"/>
        </w:trPr>
        <w:tc>
          <w:tcPr>
            <w:tcW w:w="7940" w:type="dxa"/>
            <w:vAlign w:val="bottom"/>
          </w:tcPr>
          <w:p>
            <w:pPr>
              <w:spacing w:after="0"/>
              <w:rPr>
                <w:sz w:val="20"/>
                <w:szCs w:val="20"/>
                <w:color w:val="auto"/>
              </w:rPr>
            </w:pPr>
            <w:r>
              <w:rPr>
                <w:rFonts w:ascii="Arial" w:cs="Arial" w:eastAsia="Arial" w:hAnsi="Arial"/>
                <w:sz w:val="17"/>
                <w:szCs w:val="17"/>
                <w:color w:val="auto"/>
              </w:rPr>
              <w:t>Derivative financial instruments, non-current liability</w:t>
            </w: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10,001</w:t>
            </w:r>
          </w:p>
        </w:tc>
        <w:tc>
          <w:tcPr>
            <w:tcW w:w="1500" w:type="dxa"/>
            <w:vAlign w:val="bottom"/>
          </w:tcPr>
          <w:p>
            <w:pPr>
              <w:jc w:val="right"/>
              <w:spacing w:after="0"/>
              <w:rPr>
                <w:sz w:val="20"/>
                <w:szCs w:val="20"/>
                <w:color w:val="auto"/>
              </w:rPr>
            </w:pPr>
            <w:r>
              <w:rPr>
                <w:rFonts w:ascii="Arial" w:cs="Arial" w:eastAsia="Arial" w:hAnsi="Arial"/>
                <w:sz w:val="17"/>
                <w:szCs w:val="17"/>
                <w:color w:val="auto"/>
              </w:rPr>
              <w:t>46,062</w:t>
            </w:r>
          </w:p>
        </w:tc>
      </w:tr>
      <w:tr>
        <w:trPr>
          <w:trHeight w:val="208"/>
        </w:trPr>
        <w:tc>
          <w:tcPr>
            <w:tcW w:w="79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w:t>
            </w:r>
          </w:p>
        </w:tc>
        <w:tc>
          <w:tcPr>
            <w:tcW w:w="15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12,092</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49,845</w:t>
            </w:r>
          </w:p>
        </w:tc>
      </w:tr>
      <w:tr>
        <w:trPr>
          <w:trHeight w:val="20"/>
        </w:trPr>
        <w:tc>
          <w:tcPr>
            <w:tcW w:w="7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swap agreements</w:t>
      </w:r>
    </w:p>
    <w:p>
      <w:pPr>
        <w:spacing w:after="0" w:line="253" w:lineRule="exact"/>
        <w:rPr>
          <w:sz w:val="20"/>
          <w:szCs w:val="20"/>
          <w:color w:val="auto"/>
        </w:rPr>
      </w:pPr>
    </w:p>
    <w:p>
      <w:pPr>
        <w:jc w:val="both"/>
        <w:ind w:right="180" w:firstLine="376"/>
        <w:spacing w:after="0" w:line="328" w:lineRule="auto"/>
        <w:rPr>
          <w:sz w:val="20"/>
          <w:szCs w:val="20"/>
          <w:color w:val="auto"/>
        </w:rPr>
      </w:pPr>
      <w:r>
        <w:rPr>
          <w:rFonts w:ascii="Arial" w:cs="Arial" w:eastAsia="Arial" w:hAnsi="Arial"/>
          <w:sz w:val="15"/>
          <w:szCs w:val="15"/>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 dollar LIBOR, and the Group effects quarterly payments to the bank on the notional amounts at the respective fixed rates.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swaps held for trading</w:t>
      </w:r>
    </w:p>
    <w:p>
      <w:pPr>
        <w:spacing w:after="0" w:line="2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principal terms of the interest rate swaps held for trading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4"/>
          </w:tcPr>
          <w:p>
            <w:pPr>
              <w:ind w:left="840"/>
              <w:spacing w:after="0"/>
              <w:rPr>
                <w:sz w:val="20"/>
                <w:szCs w:val="20"/>
                <w:color w:val="auto"/>
              </w:rPr>
            </w:pPr>
            <w:r>
              <w:rPr>
                <w:rFonts w:ascii="Arial" w:cs="Arial" w:eastAsia="Arial" w:hAnsi="Arial"/>
                <w:sz w:val="17"/>
                <w:szCs w:val="17"/>
                <w:b w:val="1"/>
                <w:bCs w:val="1"/>
                <w:color w:val="auto"/>
              </w:rPr>
              <w:t>Notional Amount</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Trade</w:t>
            </w:r>
          </w:p>
        </w:tc>
        <w:tc>
          <w:tcPr>
            <w:tcW w:w="1000" w:type="dxa"/>
            <w:vAlign w:val="bottom"/>
          </w:tcPr>
          <w:p>
            <w:pPr>
              <w:jc w:val="center"/>
              <w:ind w:left="34"/>
              <w:spacing w:after="0"/>
              <w:rPr>
                <w:sz w:val="20"/>
                <w:szCs w:val="20"/>
                <w:color w:val="auto"/>
              </w:rPr>
            </w:pPr>
            <w:r>
              <w:rPr>
                <w:rFonts w:ascii="Arial" w:cs="Arial" w:eastAsia="Arial" w:hAnsi="Arial"/>
                <w:sz w:val="17"/>
                <w:szCs w:val="17"/>
                <w:b w:val="1"/>
                <w:bCs w:val="1"/>
                <w:color w:val="auto"/>
                <w:w w:val="90"/>
              </w:rPr>
              <w:t>Effective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Termination</w:t>
            </w: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Fixed Interest</w:t>
            </w:r>
          </w:p>
        </w:tc>
        <w:tc>
          <w:tcPr>
            <w:tcW w:w="156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December 31,</w:t>
            </w:r>
          </w:p>
        </w:tc>
        <w:tc>
          <w:tcPr>
            <w:tcW w:w="1400" w:type="dxa"/>
            <w:vAlign w:val="bottom"/>
            <w:tcBorders>
              <w:top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40" w:type="dxa"/>
            <w:vAlign w:val="bottom"/>
            <w:gridSpan w:val="2"/>
          </w:tcPr>
          <w:p>
            <w:pPr>
              <w:spacing w:after="0"/>
              <w:rPr>
                <w:sz w:val="20"/>
                <w:szCs w:val="20"/>
                <w:color w:val="auto"/>
              </w:rPr>
            </w:pPr>
            <w:r>
              <w:rPr>
                <w:rFonts w:ascii="Arial" w:cs="Arial" w:eastAsia="Arial" w:hAnsi="Arial"/>
                <w:sz w:val="17"/>
                <w:szCs w:val="17"/>
                <w:b w:val="1"/>
                <w:bCs w:val="1"/>
                <w:color w:val="auto"/>
              </w:rPr>
              <w:t>Company</w:t>
            </w:r>
          </w:p>
        </w:tc>
        <w:tc>
          <w:tcPr>
            <w:tcW w:w="1940" w:type="dxa"/>
            <w:vAlign w:val="bottom"/>
            <w:gridSpan w:val="2"/>
          </w:tcPr>
          <w:p>
            <w:pPr>
              <w:ind w:left="340"/>
              <w:spacing w:after="0"/>
              <w:rPr>
                <w:sz w:val="20"/>
                <w:szCs w:val="20"/>
                <w:color w:val="auto"/>
              </w:rPr>
            </w:pPr>
            <w:r>
              <w:rPr>
                <w:rFonts w:ascii="Arial" w:cs="Arial" w:eastAsia="Arial" w:hAnsi="Arial"/>
                <w:sz w:val="17"/>
                <w:szCs w:val="17"/>
                <w:b w:val="1"/>
                <w:bCs w:val="1"/>
                <w:color w:val="auto"/>
              </w:rPr>
              <w:t>Counterparty</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Date</w:t>
            </w:r>
          </w:p>
        </w:tc>
        <w:tc>
          <w:tcPr>
            <w:tcW w:w="1000" w:type="dxa"/>
            <w:vAlign w:val="bottom"/>
          </w:tcPr>
          <w:p>
            <w:pPr>
              <w:jc w:val="center"/>
              <w:ind w:left="14"/>
              <w:spacing w:after="0"/>
              <w:rPr>
                <w:sz w:val="20"/>
                <w:szCs w:val="20"/>
                <w:color w:val="auto"/>
              </w:rPr>
            </w:pPr>
            <w:r>
              <w:rPr>
                <w:rFonts w:ascii="Arial" w:cs="Arial" w:eastAsia="Arial" w:hAnsi="Arial"/>
                <w:sz w:val="17"/>
                <w:szCs w:val="17"/>
                <w:b w:val="1"/>
                <w:bCs w:val="1"/>
                <w:color w:val="auto"/>
                <w:w w:val="92"/>
              </w:rPr>
              <w:t>Date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Date</w:t>
            </w: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Rate</w:t>
            </w:r>
          </w:p>
        </w:tc>
        <w:tc>
          <w:tcPr>
            <w:tcW w:w="1340" w:type="dxa"/>
            <w:vAlign w:val="bottom"/>
          </w:tcPr>
          <w:p>
            <w:pPr>
              <w:jc w:val="right"/>
              <w:ind w:right="414"/>
              <w:spacing w:after="0"/>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9"/>
                <w:szCs w:val="19"/>
                <w:color w:val="auto"/>
              </w:rPr>
            </w:pPr>
          </w:p>
        </w:tc>
        <w:tc>
          <w:tcPr>
            <w:tcW w:w="1400" w:type="dxa"/>
            <w:vAlign w:val="bottom"/>
          </w:tcPr>
          <w:p>
            <w:pPr>
              <w:jc w:val="right"/>
              <w:ind w:right="454"/>
              <w:spacing w:after="0"/>
              <w:rPr>
                <w:sz w:val="20"/>
                <w:szCs w:val="20"/>
                <w:color w:val="auto"/>
              </w:rPr>
            </w:pPr>
            <w:r>
              <w:rPr>
                <w:rFonts w:ascii="Arial" w:cs="Arial" w:eastAsia="Arial" w:hAnsi="Arial"/>
                <w:sz w:val="17"/>
                <w:szCs w:val="17"/>
                <w:b w:val="1"/>
                <w:bCs w:val="1"/>
                <w:color w:val="auto"/>
              </w:rPr>
              <w:t>2019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GasLog</w:t>
            </w:r>
          </w:p>
        </w:tc>
        <w:tc>
          <w:tcPr>
            <w:tcW w:w="24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Deutsche Bank AG</w:t>
            </w:r>
          </w:p>
        </w:tc>
        <w:tc>
          <w:tcPr>
            <w:tcW w:w="240" w:type="dxa"/>
            <w:vAlign w:val="bottom"/>
            <w:tcBorders>
              <w:top w:val="single" w:sz="8" w:color="E5FFFF"/>
            </w:tcBorders>
            <w:shd w:val="clear" w:color="auto" w:fill="E5FFFF"/>
          </w:tcPr>
          <w:p>
            <w:pPr>
              <w:spacing w:after="0"/>
              <w:rPr>
                <w:sz w:val="18"/>
                <w:szCs w:val="18"/>
                <w:color w:val="auto"/>
              </w:rPr>
            </w:pPr>
          </w:p>
        </w:tc>
        <w:tc>
          <w:tcPr>
            <w:tcW w:w="9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3"/>
              </w:rPr>
              <w:t>July 2016</w:t>
            </w:r>
          </w:p>
        </w:tc>
        <w:tc>
          <w:tcPr>
            <w:tcW w:w="260" w:type="dxa"/>
            <w:vAlign w:val="bottom"/>
            <w:tcBorders>
              <w:top w:val="single" w:sz="8" w:color="E5FFFF"/>
            </w:tcBorders>
            <w:shd w:val="clear" w:color="auto" w:fill="E5FFFF"/>
          </w:tcPr>
          <w:p>
            <w:pPr>
              <w:spacing w:after="0"/>
              <w:rPr>
                <w:sz w:val="18"/>
                <w:szCs w:val="18"/>
                <w:color w:val="auto"/>
              </w:rPr>
            </w:pPr>
          </w:p>
        </w:tc>
        <w:tc>
          <w:tcPr>
            <w:tcW w:w="1000" w:type="dxa"/>
            <w:vAlign w:val="bottom"/>
            <w:tcBorders>
              <w:top w:val="single" w:sz="8" w:color="auto"/>
            </w:tcBorders>
            <w:shd w:val="clear" w:color="auto" w:fill="E5FFFF"/>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3"/>
              </w:rPr>
              <w:t>July 2020</w:t>
            </w:r>
          </w:p>
        </w:tc>
        <w:tc>
          <w:tcPr>
            <w:tcW w:w="200" w:type="dxa"/>
            <w:vAlign w:val="bottom"/>
            <w:tcBorders>
              <w:top w:val="single" w:sz="8" w:color="E5FFFF"/>
            </w:tcBorders>
            <w:shd w:val="clear" w:color="auto" w:fill="E5FFFF"/>
          </w:tcPr>
          <w:p>
            <w:pPr>
              <w:spacing w:after="0"/>
              <w:rPr>
                <w:sz w:val="18"/>
                <w:szCs w:val="18"/>
                <w:color w:val="auto"/>
              </w:rPr>
            </w:pPr>
          </w:p>
        </w:tc>
        <w:tc>
          <w:tcPr>
            <w:tcW w:w="12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1.98%</w:t>
            </w:r>
          </w:p>
        </w:tc>
        <w:tc>
          <w:tcPr>
            <w:tcW w:w="26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66,667</w:t>
            </w:r>
          </w:p>
        </w:tc>
        <w:tc>
          <w:tcPr>
            <w:tcW w:w="220" w:type="dxa"/>
            <w:vAlign w:val="bottom"/>
            <w:tcBorders>
              <w:top w:val="single" w:sz="8" w:color="E5FFFF"/>
            </w:tcBorders>
            <w:shd w:val="clear" w:color="auto" w:fill="E5FFFF"/>
          </w:tcPr>
          <w:p>
            <w:pPr>
              <w:spacing w:after="0"/>
              <w:rPr>
                <w:sz w:val="18"/>
                <w:szCs w:val="18"/>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66,667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Deutsche Bank AG</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July 2016</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2021</w:t>
            </w: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1.98%</w:t>
            </w:r>
          </w:p>
        </w:tc>
        <w:tc>
          <w:tcPr>
            <w:tcW w:w="2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66,667</w:t>
            </w:r>
          </w:p>
        </w:tc>
        <w:tc>
          <w:tcPr>
            <w:tcW w:w="1400" w:type="dxa"/>
            <w:vAlign w:val="bottom"/>
          </w:tcPr>
          <w:p>
            <w:pPr>
              <w:jc w:val="right"/>
              <w:spacing w:after="0"/>
              <w:rPr>
                <w:sz w:val="20"/>
                <w:szCs w:val="20"/>
                <w:color w:val="auto"/>
              </w:rPr>
            </w:pPr>
            <w:r>
              <w:rPr>
                <w:rFonts w:ascii="Arial" w:cs="Arial" w:eastAsia="Arial" w:hAnsi="Arial"/>
                <w:sz w:val="17"/>
                <w:szCs w:val="17"/>
                <w:color w:val="auto"/>
              </w:rPr>
              <w:t>66,667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Deutsche Bank AG</w:t>
            </w:r>
          </w:p>
        </w:tc>
        <w:tc>
          <w:tcPr>
            <w:tcW w:w="1180" w:type="dxa"/>
            <w:vAlign w:val="bottom"/>
            <w:gridSpan w:val="2"/>
            <w:shd w:val="clear" w:color="auto" w:fill="E5FFFF"/>
          </w:tcPr>
          <w:p>
            <w:pPr>
              <w:jc w:val="center"/>
              <w:ind w:right="260"/>
              <w:spacing w:after="0"/>
              <w:rPr>
                <w:sz w:val="20"/>
                <w:szCs w:val="20"/>
                <w:color w:val="auto"/>
              </w:rPr>
            </w:pPr>
            <w:r>
              <w:rPr>
                <w:rFonts w:ascii="Arial" w:cs="Arial" w:eastAsia="Arial" w:hAnsi="Arial"/>
                <w:sz w:val="17"/>
                <w:szCs w:val="17"/>
                <w:color w:val="auto"/>
                <w:w w:val="93"/>
              </w:rPr>
              <w:t>July 2016</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1"/>
              </w:rPr>
              <w:t>1.98%</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66,667</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66,667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DNB Bank ASA</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(“DNB”)</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July 2016</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Jan 2019</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1.784%</w:t>
            </w:r>
          </w:p>
        </w:tc>
        <w:tc>
          <w:tcPr>
            <w:tcW w:w="2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73,333</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1"/>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DNB</w:t>
            </w:r>
          </w:p>
        </w:tc>
        <w:tc>
          <w:tcPr>
            <w:tcW w:w="1180" w:type="dxa"/>
            <w:vAlign w:val="bottom"/>
            <w:gridSpan w:val="2"/>
            <w:shd w:val="clear" w:color="auto" w:fill="E5FFFF"/>
          </w:tcPr>
          <w:p>
            <w:pPr>
              <w:jc w:val="center"/>
              <w:ind w:right="260"/>
              <w:spacing w:after="0"/>
              <w:rPr>
                <w:sz w:val="20"/>
                <w:szCs w:val="20"/>
                <w:color w:val="auto"/>
              </w:rPr>
            </w:pPr>
            <w:r>
              <w:rPr>
                <w:rFonts w:ascii="Arial" w:cs="Arial" w:eastAsia="Arial" w:hAnsi="Arial"/>
                <w:sz w:val="17"/>
                <w:szCs w:val="17"/>
                <w:color w:val="auto"/>
                <w:w w:val="93"/>
              </w:rPr>
              <w:t>July 2016</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1.719%</w:t>
            </w:r>
          </w:p>
        </w:tc>
        <w:tc>
          <w:tcPr>
            <w:tcW w:w="26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73,333</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73,333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HSBC Bank plc</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33,333</w:t>
            </w:r>
          </w:p>
        </w:tc>
        <w:tc>
          <w:tcPr>
            <w:tcW w:w="1400" w:type="dxa"/>
            <w:vAlign w:val="bottom"/>
          </w:tcPr>
          <w:p>
            <w:pPr>
              <w:jc w:val="right"/>
              <w:spacing w:after="0"/>
              <w:rPr>
                <w:sz w:val="20"/>
                <w:szCs w:val="20"/>
                <w:color w:val="auto"/>
              </w:rPr>
            </w:pPr>
            <w:r>
              <w:rPr>
                <w:rFonts w:ascii="Arial" w:cs="Arial" w:eastAsia="Arial" w:hAnsi="Arial"/>
                <w:sz w:val="17"/>
                <w:szCs w:val="17"/>
                <w:color w:val="auto"/>
              </w:rPr>
              <w:t>33,333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(“HSBC”</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July 2016</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2022</w:t>
            </w: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1.79%</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Nordea Bank Finland</w:t>
            </w:r>
          </w:p>
        </w:tc>
        <w:tc>
          <w:tcPr>
            <w:tcW w:w="1180" w:type="dxa"/>
            <w:vAlign w:val="bottom"/>
            <w:gridSpan w:val="2"/>
            <w:shd w:val="clear" w:color="auto" w:fill="E5FFFF"/>
          </w:tcPr>
          <w:p>
            <w:pPr>
              <w:jc w:val="center"/>
              <w:ind w:right="260"/>
              <w:spacing w:after="0"/>
              <w:rPr>
                <w:sz w:val="20"/>
                <w:szCs w:val="20"/>
                <w:color w:val="auto"/>
              </w:rPr>
            </w:pPr>
            <w:r>
              <w:rPr>
                <w:rFonts w:ascii="Arial" w:cs="Arial" w:eastAsia="Arial" w:hAnsi="Arial"/>
                <w:sz w:val="17"/>
                <w:szCs w:val="17"/>
                <w:color w:val="auto"/>
                <w:w w:val="93"/>
              </w:rPr>
              <w:t>July 2016</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1.815%</w:t>
            </w:r>
          </w:p>
        </w:tc>
        <w:tc>
          <w:tcPr>
            <w:tcW w:w="26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66,667</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66,667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Skandinavinska</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50,000</w:t>
            </w:r>
          </w:p>
        </w:tc>
        <w:tc>
          <w:tcPr>
            <w:tcW w:w="1400" w:type="dxa"/>
            <w:vAlign w:val="bottom"/>
          </w:tcPr>
          <w:p>
            <w:pPr>
              <w:jc w:val="right"/>
              <w:spacing w:after="0"/>
              <w:rPr>
                <w:sz w:val="20"/>
                <w:szCs w:val="20"/>
                <w:color w:val="auto"/>
              </w:rPr>
            </w:pPr>
            <w:r>
              <w:rPr>
                <w:rFonts w:ascii="Arial" w:cs="Arial" w:eastAsia="Arial" w:hAnsi="Arial"/>
                <w:sz w:val="17"/>
                <w:szCs w:val="17"/>
                <w:color w:val="auto"/>
              </w:rPr>
              <w:t>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Enskilda Banken AB</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(“SEB”)</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July 2016</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2021</w:t>
            </w:r>
          </w:p>
        </w:tc>
        <w:tc>
          <w:tcPr>
            <w:tcW w:w="1280" w:type="dxa"/>
            <w:vAlign w:val="bottom"/>
          </w:tcPr>
          <w:p>
            <w:pPr>
              <w:jc w:val="center"/>
              <w:spacing w:after="0"/>
              <w:rPr>
                <w:sz w:val="20"/>
                <w:szCs w:val="20"/>
                <w:color w:val="auto"/>
              </w:rPr>
            </w:pPr>
            <w:r>
              <w:rPr>
                <w:rFonts w:ascii="Arial" w:cs="Arial" w:eastAsia="Arial" w:hAnsi="Arial"/>
                <w:sz w:val="17"/>
                <w:szCs w:val="17"/>
                <w:color w:val="auto"/>
                <w:w w:val="89"/>
              </w:rPr>
              <w:t>1.8405%</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HSBC</w:t>
            </w:r>
          </w:p>
        </w:tc>
        <w:tc>
          <w:tcPr>
            <w:tcW w:w="1180" w:type="dxa"/>
            <w:vAlign w:val="bottom"/>
            <w:gridSpan w:val="2"/>
            <w:shd w:val="clear" w:color="auto" w:fill="E5FFFF"/>
          </w:tcPr>
          <w:p>
            <w:pPr>
              <w:jc w:val="center"/>
              <w:ind w:right="260"/>
              <w:spacing w:after="0"/>
              <w:rPr>
                <w:sz w:val="20"/>
                <w:szCs w:val="20"/>
                <w:color w:val="auto"/>
              </w:rPr>
            </w:pPr>
            <w:r>
              <w:rPr>
                <w:rFonts w:ascii="Arial" w:cs="Arial" w:eastAsia="Arial" w:hAnsi="Arial"/>
                <w:sz w:val="17"/>
                <w:szCs w:val="17"/>
                <w:color w:val="auto"/>
                <w:w w:val="89"/>
              </w:rPr>
              <w:t>Feb 2017</w:t>
            </w:r>
          </w:p>
        </w:tc>
        <w:tc>
          <w:tcPr>
            <w:tcW w:w="1000" w:type="dxa"/>
            <w:vAlign w:val="bottom"/>
            <w:shd w:val="clear" w:color="auto" w:fill="E5FFFF"/>
          </w:tcPr>
          <w:p>
            <w:pPr>
              <w:jc w:val="center"/>
              <w:ind w:left="34"/>
              <w:spacing w:after="0"/>
              <w:rPr>
                <w:sz w:val="20"/>
                <w:szCs w:val="20"/>
                <w:color w:val="auto"/>
              </w:rPr>
            </w:pPr>
            <w:r>
              <w:rPr>
                <w:rFonts w:ascii="Arial" w:cs="Arial" w:eastAsia="Arial" w:hAnsi="Arial"/>
                <w:sz w:val="17"/>
                <w:szCs w:val="17"/>
                <w:color w:val="auto"/>
                <w:w w:val="89"/>
              </w:rPr>
              <w:t>Feb 2017</w:t>
            </w:r>
          </w:p>
        </w:tc>
        <w:tc>
          <w:tcPr>
            <w:tcW w:w="1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89"/>
              </w:rPr>
              <w:t>Feb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2.005%</w:t>
            </w:r>
          </w:p>
        </w:tc>
        <w:tc>
          <w:tcPr>
            <w:tcW w:w="26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100,000</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Nordea Bank Finland</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Feb 2017</w:t>
            </w:r>
          </w:p>
        </w:tc>
        <w:tc>
          <w:tcPr>
            <w:tcW w:w="1000" w:type="dxa"/>
            <w:vAlign w:val="bottom"/>
          </w:tcPr>
          <w:p>
            <w:pPr>
              <w:jc w:val="center"/>
              <w:ind w:left="34"/>
              <w:spacing w:after="0"/>
              <w:rPr>
                <w:sz w:val="20"/>
                <w:szCs w:val="20"/>
                <w:color w:val="auto"/>
              </w:rPr>
            </w:pPr>
            <w:r>
              <w:rPr>
                <w:rFonts w:ascii="Arial" w:cs="Arial" w:eastAsia="Arial" w:hAnsi="Arial"/>
                <w:sz w:val="17"/>
                <w:szCs w:val="17"/>
                <w:color w:val="auto"/>
                <w:w w:val="89"/>
              </w:rPr>
              <w:t>Feb 2017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4"/>
              </w:rPr>
              <w:t>Mar 2022</w:t>
            </w:r>
          </w:p>
        </w:tc>
        <w:tc>
          <w:tcPr>
            <w:tcW w:w="1280" w:type="dxa"/>
            <w:vAlign w:val="bottom"/>
          </w:tcPr>
          <w:p>
            <w:pPr>
              <w:jc w:val="center"/>
              <w:spacing w:after="0"/>
              <w:rPr>
                <w:sz w:val="20"/>
                <w:szCs w:val="20"/>
                <w:color w:val="auto"/>
              </w:rPr>
            </w:pPr>
            <w:r>
              <w:rPr>
                <w:rFonts w:ascii="Arial" w:cs="Arial" w:eastAsia="Arial" w:hAnsi="Arial"/>
                <w:sz w:val="17"/>
                <w:szCs w:val="17"/>
                <w:color w:val="auto"/>
                <w:w w:val="89"/>
              </w:rPr>
              <w:t>2.0145%</w:t>
            </w:r>
          </w:p>
        </w:tc>
        <w:tc>
          <w:tcPr>
            <w:tcW w:w="2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100,000</w:t>
            </w:r>
          </w:p>
        </w:tc>
        <w:tc>
          <w:tcPr>
            <w:tcW w:w="1400" w:type="dxa"/>
            <w:vAlign w:val="bottom"/>
          </w:tcPr>
          <w:p>
            <w:pPr>
              <w:jc w:val="right"/>
              <w:spacing w:after="0"/>
              <w:rPr>
                <w:sz w:val="20"/>
                <w:szCs w:val="20"/>
                <w:color w:val="auto"/>
              </w:rPr>
            </w:pPr>
            <w:r>
              <w:rPr>
                <w:rFonts w:ascii="Arial" w:cs="Arial" w:eastAsia="Arial" w:hAnsi="Arial"/>
                <w:sz w:val="17"/>
                <w:szCs w:val="17"/>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ABN Amro Bank NV</w:t>
            </w:r>
          </w:p>
        </w:tc>
        <w:tc>
          <w:tcPr>
            <w:tcW w:w="9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(“ABN”)</w:t>
            </w:r>
          </w:p>
        </w:tc>
        <w:tc>
          <w:tcPr>
            <w:tcW w:w="1180" w:type="dxa"/>
            <w:vAlign w:val="bottom"/>
            <w:gridSpan w:val="2"/>
            <w:shd w:val="clear" w:color="auto" w:fill="E5FFFF"/>
          </w:tcPr>
          <w:p>
            <w:pPr>
              <w:jc w:val="center"/>
              <w:ind w:right="260"/>
              <w:spacing w:after="0"/>
              <w:rPr>
                <w:sz w:val="20"/>
                <w:szCs w:val="20"/>
                <w:color w:val="auto"/>
              </w:rPr>
            </w:pPr>
            <w:r>
              <w:rPr>
                <w:rFonts w:ascii="Arial" w:cs="Arial" w:eastAsia="Arial" w:hAnsi="Arial"/>
                <w:sz w:val="17"/>
                <w:szCs w:val="17"/>
                <w:color w:val="auto"/>
                <w:w w:val="89"/>
              </w:rPr>
              <w:t>Feb 2017</w:t>
            </w:r>
          </w:p>
        </w:tc>
        <w:tc>
          <w:tcPr>
            <w:tcW w:w="1000" w:type="dxa"/>
            <w:vAlign w:val="bottom"/>
            <w:shd w:val="clear" w:color="auto" w:fill="E5FFFF"/>
          </w:tcPr>
          <w:p>
            <w:pPr>
              <w:jc w:val="center"/>
              <w:ind w:left="34"/>
              <w:spacing w:after="0"/>
              <w:rPr>
                <w:sz w:val="20"/>
                <w:szCs w:val="20"/>
                <w:color w:val="auto"/>
              </w:rPr>
            </w:pPr>
            <w:r>
              <w:rPr>
                <w:rFonts w:ascii="Arial" w:cs="Arial" w:eastAsia="Arial" w:hAnsi="Arial"/>
                <w:sz w:val="17"/>
                <w:szCs w:val="17"/>
                <w:color w:val="auto"/>
                <w:w w:val="89"/>
              </w:rPr>
              <w:t>Feb 2017</w:t>
            </w:r>
          </w:p>
        </w:tc>
        <w:tc>
          <w:tcPr>
            <w:tcW w:w="10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4"/>
              </w:rPr>
              <w:t>Mar 2022</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2.003%</w:t>
            </w:r>
          </w:p>
        </w:tc>
        <w:tc>
          <w:tcPr>
            <w:tcW w:w="26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100,000</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line="213" w:lineRule="exact"/>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(1)</w:t>
            </w:r>
          </w:p>
        </w:tc>
        <w:tc>
          <w:tcPr>
            <w:tcW w:w="1940" w:type="dxa"/>
            <w:vAlign w:val="bottom"/>
            <w:gridSpan w:val="2"/>
          </w:tcPr>
          <w:p>
            <w:pPr>
              <w:spacing w:after="0"/>
              <w:rPr>
                <w:sz w:val="20"/>
                <w:szCs w:val="20"/>
                <w:color w:val="auto"/>
              </w:rPr>
            </w:pPr>
            <w:r>
              <w:rPr>
                <w:rFonts w:ascii="Arial" w:cs="Arial" w:eastAsia="Arial" w:hAnsi="Arial"/>
                <w:sz w:val="17"/>
                <w:szCs w:val="17"/>
                <w:color w:val="auto"/>
              </w:rPr>
              <w:t>Nordea Bank Finland</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2026</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3.070%</w:t>
            </w:r>
          </w:p>
        </w:tc>
        <w:tc>
          <w:tcPr>
            <w:tcW w:w="260" w:type="dxa"/>
            <w:vAlign w:val="bottom"/>
          </w:tcPr>
          <w:p>
            <w:pPr>
              <w:spacing w:after="0"/>
              <w:rPr>
                <w:sz w:val="18"/>
                <w:szCs w:val="18"/>
                <w:color w:val="auto"/>
              </w:rPr>
            </w:pPr>
          </w:p>
        </w:tc>
        <w:tc>
          <w:tcPr>
            <w:tcW w:w="1560" w:type="dxa"/>
            <w:vAlign w:val="bottom"/>
            <w:gridSpan w:val="2"/>
          </w:tcPr>
          <w:p>
            <w:pPr>
              <w:ind w:left="1040"/>
              <w:spacing w:after="0"/>
              <w:rPr>
                <w:sz w:val="20"/>
                <w:szCs w:val="20"/>
                <w:color w:val="auto"/>
              </w:rPr>
            </w:pPr>
            <w:r>
              <w:rPr>
                <w:rFonts w:ascii="Arial" w:cs="Arial" w:eastAsia="Arial" w:hAnsi="Arial"/>
                <w:sz w:val="17"/>
                <w:szCs w:val="17"/>
                <w:color w:val="auto"/>
              </w:rPr>
              <w:t>N/A</w:t>
            </w:r>
          </w:p>
        </w:tc>
        <w:tc>
          <w:tcPr>
            <w:tcW w:w="1400" w:type="dxa"/>
            <w:vAlign w:val="bottom"/>
          </w:tcPr>
          <w:p>
            <w:pPr>
              <w:ind w:left="110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Nordea Bank Finland</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3"/>
              </w:rPr>
              <w:t>May 2018</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2026</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2.562%</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66,667</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66,667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line="213" w:lineRule="exact"/>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(1)</w:t>
            </w:r>
          </w:p>
        </w:tc>
        <w:tc>
          <w:tcPr>
            <w:tcW w:w="1940" w:type="dxa"/>
            <w:vAlign w:val="bottom"/>
            <w:gridSpan w:val="2"/>
          </w:tcPr>
          <w:p>
            <w:pPr>
              <w:spacing w:after="0"/>
              <w:rPr>
                <w:sz w:val="20"/>
                <w:szCs w:val="20"/>
                <w:color w:val="auto"/>
              </w:rPr>
            </w:pPr>
            <w:r>
              <w:rPr>
                <w:rFonts w:ascii="Arial" w:cs="Arial" w:eastAsia="Arial" w:hAnsi="Arial"/>
                <w:sz w:val="17"/>
                <w:szCs w:val="17"/>
                <w:color w:val="auto"/>
              </w:rPr>
              <w:t>SEB</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2024</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3.025%</w:t>
            </w:r>
          </w:p>
        </w:tc>
        <w:tc>
          <w:tcPr>
            <w:tcW w:w="260" w:type="dxa"/>
            <w:vAlign w:val="bottom"/>
          </w:tcPr>
          <w:p>
            <w:pPr>
              <w:spacing w:after="0"/>
              <w:rPr>
                <w:sz w:val="18"/>
                <w:szCs w:val="18"/>
                <w:color w:val="auto"/>
              </w:rPr>
            </w:pPr>
          </w:p>
        </w:tc>
        <w:tc>
          <w:tcPr>
            <w:tcW w:w="1560" w:type="dxa"/>
            <w:vAlign w:val="bottom"/>
            <w:gridSpan w:val="2"/>
          </w:tcPr>
          <w:p>
            <w:pPr>
              <w:ind w:left="1040"/>
              <w:spacing w:after="0"/>
              <w:rPr>
                <w:sz w:val="20"/>
                <w:szCs w:val="20"/>
                <w:color w:val="auto"/>
              </w:rPr>
            </w:pPr>
            <w:r>
              <w:rPr>
                <w:rFonts w:ascii="Arial" w:cs="Arial" w:eastAsia="Arial" w:hAnsi="Arial"/>
                <w:sz w:val="17"/>
                <w:szCs w:val="17"/>
                <w:color w:val="auto"/>
              </w:rPr>
              <w:t>N/A</w:t>
            </w:r>
          </w:p>
        </w:tc>
        <w:tc>
          <w:tcPr>
            <w:tcW w:w="1400" w:type="dxa"/>
            <w:vAlign w:val="bottom"/>
          </w:tcPr>
          <w:p>
            <w:pPr>
              <w:ind w:left="110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SEB</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6"/>
              </w:rPr>
              <w:t>April 2018</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2.300%</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50,000</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line="213" w:lineRule="exact"/>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(1)</w:t>
            </w:r>
          </w:p>
        </w:tc>
        <w:tc>
          <w:tcPr>
            <w:tcW w:w="1940" w:type="dxa"/>
            <w:vAlign w:val="bottom"/>
            <w:gridSpan w:val="2"/>
          </w:tcPr>
          <w:p>
            <w:pPr>
              <w:spacing w:after="0"/>
              <w:rPr>
                <w:sz w:val="20"/>
                <w:szCs w:val="20"/>
                <w:color w:val="auto"/>
              </w:rPr>
            </w:pPr>
            <w:r>
              <w:rPr>
                <w:rFonts w:ascii="Arial" w:cs="Arial" w:eastAsia="Arial" w:hAnsi="Arial"/>
                <w:sz w:val="17"/>
                <w:szCs w:val="17"/>
                <w:color w:val="auto"/>
              </w:rPr>
              <w:t>DNB</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2024</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3.056%</w:t>
            </w:r>
          </w:p>
        </w:tc>
        <w:tc>
          <w:tcPr>
            <w:tcW w:w="260" w:type="dxa"/>
            <w:vAlign w:val="bottom"/>
          </w:tcPr>
          <w:p>
            <w:pPr>
              <w:spacing w:after="0"/>
              <w:rPr>
                <w:sz w:val="18"/>
                <w:szCs w:val="18"/>
                <w:color w:val="auto"/>
              </w:rPr>
            </w:pPr>
          </w:p>
        </w:tc>
        <w:tc>
          <w:tcPr>
            <w:tcW w:w="1560" w:type="dxa"/>
            <w:vAlign w:val="bottom"/>
            <w:gridSpan w:val="2"/>
          </w:tcPr>
          <w:p>
            <w:pPr>
              <w:ind w:left="1040"/>
              <w:spacing w:after="0"/>
              <w:rPr>
                <w:sz w:val="20"/>
                <w:szCs w:val="20"/>
                <w:color w:val="auto"/>
              </w:rPr>
            </w:pPr>
            <w:r>
              <w:rPr>
                <w:rFonts w:ascii="Arial" w:cs="Arial" w:eastAsia="Arial" w:hAnsi="Arial"/>
                <w:sz w:val="17"/>
                <w:szCs w:val="17"/>
                <w:color w:val="auto"/>
              </w:rPr>
              <w:t>N/A</w:t>
            </w:r>
          </w:p>
        </w:tc>
        <w:tc>
          <w:tcPr>
            <w:tcW w:w="1400" w:type="dxa"/>
            <w:vAlign w:val="bottom"/>
          </w:tcPr>
          <w:p>
            <w:pPr>
              <w:ind w:left="110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DNB</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0"/>
              </w:rPr>
              <w:t>July 2018</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2.472%</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73,333</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HSBC</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6"/>
              </w:rPr>
              <w:t>April 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2024</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2.475%</w:t>
            </w:r>
          </w:p>
        </w:tc>
        <w:tc>
          <w:tcPr>
            <w:tcW w:w="2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33,333</w:t>
            </w:r>
          </w:p>
        </w:tc>
        <w:tc>
          <w:tcPr>
            <w:tcW w:w="1400" w:type="dxa"/>
            <w:vAlign w:val="bottom"/>
          </w:tcPr>
          <w:p>
            <w:pPr>
              <w:jc w:val="right"/>
              <w:spacing w:after="0"/>
              <w:rPr>
                <w:sz w:val="20"/>
                <w:szCs w:val="20"/>
                <w:color w:val="auto"/>
              </w:rPr>
            </w:pPr>
            <w:r>
              <w:rPr>
                <w:rFonts w:ascii="Arial" w:cs="Arial" w:eastAsia="Arial" w:hAnsi="Arial"/>
                <w:sz w:val="17"/>
                <w:szCs w:val="17"/>
                <w:color w:val="auto"/>
              </w:rPr>
              <w:t>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HSBC</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6"/>
              </w:rPr>
              <w:t>April 2018</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2.550%</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33,333</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40" w:type="dxa"/>
            <w:vAlign w:val="bottom"/>
            <w:gridSpan w:val="2"/>
            <w:vMerge w:val="restart"/>
          </w:tcPr>
          <w:p>
            <w:pPr>
              <w:spacing w:after="0"/>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(1)</w:t>
            </w:r>
          </w:p>
        </w:tc>
        <w:tc>
          <w:tcPr>
            <w:tcW w:w="1940" w:type="dxa"/>
            <w:vAlign w:val="bottom"/>
            <w:gridSpan w:val="2"/>
          </w:tcPr>
          <w:p>
            <w:pPr>
              <w:spacing w:after="0"/>
              <w:rPr>
                <w:sz w:val="20"/>
                <w:szCs w:val="20"/>
                <w:color w:val="auto"/>
              </w:rPr>
            </w:pPr>
            <w:r>
              <w:rPr>
                <w:rFonts w:ascii="Arial" w:cs="Arial" w:eastAsia="Arial" w:hAnsi="Arial"/>
                <w:sz w:val="17"/>
                <w:szCs w:val="17"/>
                <w:color w:val="auto"/>
              </w:rPr>
              <w:t>Citibank Europe Plc.</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40" w:type="dxa"/>
            <w:vAlign w:val="bottom"/>
            <w:gridSpan w:val="2"/>
            <w:vMerge w:val="continue"/>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7"/>
                <w:szCs w:val="17"/>
                <w:color w:val="auto"/>
              </w:rPr>
              <w:t>(“Citibank”)</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2024</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3.082%</w:t>
            </w:r>
          </w:p>
        </w:tc>
        <w:tc>
          <w:tcPr>
            <w:tcW w:w="260" w:type="dxa"/>
            <w:vAlign w:val="bottom"/>
          </w:tcPr>
          <w:p>
            <w:pPr>
              <w:spacing w:after="0"/>
              <w:rPr>
                <w:sz w:val="19"/>
                <w:szCs w:val="19"/>
                <w:color w:val="auto"/>
              </w:rPr>
            </w:pPr>
          </w:p>
        </w:tc>
        <w:tc>
          <w:tcPr>
            <w:tcW w:w="1560" w:type="dxa"/>
            <w:vAlign w:val="bottom"/>
            <w:gridSpan w:val="2"/>
          </w:tcPr>
          <w:p>
            <w:pPr>
              <w:ind w:left="1040"/>
              <w:spacing w:after="0"/>
              <w:rPr>
                <w:sz w:val="20"/>
                <w:szCs w:val="20"/>
                <w:color w:val="auto"/>
              </w:rPr>
            </w:pPr>
            <w:r>
              <w:rPr>
                <w:rFonts w:ascii="Arial" w:cs="Arial" w:eastAsia="Arial" w:hAnsi="Arial"/>
                <w:sz w:val="17"/>
                <w:szCs w:val="17"/>
                <w:color w:val="auto"/>
              </w:rPr>
              <w:t>N/A</w:t>
            </w:r>
          </w:p>
        </w:tc>
        <w:tc>
          <w:tcPr>
            <w:tcW w:w="1440" w:type="dxa"/>
            <w:vAlign w:val="bottom"/>
            <w:gridSpan w:val="2"/>
          </w:tcPr>
          <w:p>
            <w:pPr>
              <w:ind w:left="1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line="213" w:lineRule="exact"/>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(1)</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Citibank</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3"/>
              </w:rPr>
              <w:t>May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0"/>
              </w:rPr>
              <w:t>July 2021</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3.095%</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ind w:left="1040"/>
              <w:spacing w:after="0"/>
              <w:rPr>
                <w:sz w:val="20"/>
                <w:szCs w:val="20"/>
                <w:color w:val="auto"/>
              </w:rPr>
            </w:pPr>
            <w:r>
              <w:rPr>
                <w:rFonts w:ascii="Arial" w:cs="Arial" w:eastAsia="Arial" w:hAnsi="Arial"/>
                <w:sz w:val="17"/>
                <w:szCs w:val="17"/>
                <w:color w:val="auto"/>
              </w:rPr>
              <w:t>N/A</w:t>
            </w:r>
          </w:p>
        </w:tc>
        <w:tc>
          <w:tcPr>
            <w:tcW w:w="1400" w:type="dxa"/>
            <w:vAlign w:val="bottom"/>
            <w:shd w:val="clear" w:color="auto" w:fill="E5FFFF"/>
          </w:tcPr>
          <w:p>
            <w:pPr>
              <w:ind w:left="110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SEB</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Dec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89"/>
              </w:rPr>
              <w:t>Oct 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2026</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2.745%</w:t>
            </w:r>
          </w:p>
        </w:tc>
        <w:tc>
          <w:tcPr>
            <w:tcW w:w="2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50,000</w:t>
            </w:r>
          </w:p>
        </w:tc>
        <w:tc>
          <w:tcPr>
            <w:tcW w:w="1400" w:type="dxa"/>
            <w:vAlign w:val="bottom"/>
          </w:tcPr>
          <w:p>
            <w:pPr>
              <w:jc w:val="right"/>
              <w:spacing w:after="0"/>
              <w:rPr>
                <w:sz w:val="20"/>
                <w:szCs w:val="20"/>
                <w:color w:val="auto"/>
              </w:rPr>
            </w:pPr>
            <w:r>
              <w:rPr>
                <w:rFonts w:ascii="Arial" w:cs="Arial" w:eastAsia="Arial" w:hAnsi="Arial"/>
                <w:sz w:val="17"/>
                <w:szCs w:val="17"/>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Nordea</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0"/>
              </w:rPr>
              <w:t>Dec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89"/>
              </w:rPr>
              <w:t>Oct 2018</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2028</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2.793%</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66,667</w:t>
            </w: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66,667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940" w:type="dxa"/>
            <w:vAlign w:val="bottom"/>
            <w:gridSpan w:val="2"/>
          </w:tcPr>
          <w:p>
            <w:pPr>
              <w:spacing w:after="0"/>
              <w:rPr>
                <w:sz w:val="20"/>
                <w:szCs w:val="20"/>
                <w:color w:val="auto"/>
              </w:rPr>
            </w:pPr>
            <w:r>
              <w:rPr>
                <w:rFonts w:ascii="Arial" w:cs="Arial" w:eastAsia="Arial" w:hAnsi="Arial"/>
                <w:sz w:val="17"/>
                <w:szCs w:val="17"/>
                <w:color w:val="auto"/>
              </w:rPr>
              <w:t>DNB</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Dec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88"/>
              </w:rPr>
              <w:t>Jan 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2025</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2.685%</w:t>
            </w:r>
          </w:p>
        </w:tc>
        <w:tc>
          <w:tcPr>
            <w:tcW w:w="260" w:type="dxa"/>
            <w:vAlign w:val="bottom"/>
          </w:tcPr>
          <w:p>
            <w:pPr>
              <w:spacing w:after="0"/>
              <w:rPr>
                <w:sz w:val="18"/>
                <w:szCs w:val="18"/>
                <w:color w:val="auto"/>
              </w:rPr>
            </w:pPr>
          </w:p>
        </w:tc>
        <w:tc>
          <w:tcPr>
            <w:tcW w:w="1560" w:type="dxa"/>
            <w:vAlign w:val="bottom"/>
            <w:gridSpan w:val="2"/>
          </w:tcPr>
          <w:p>
            <w:pPr>
              <w:ind w:left="1040"/>
              <w:spacing w:after="0"/>
              <w:rPr>
                <w:sz w:val="20"/>
                <w:szCs w:val="20"/>
                <w:color w:val="auto"/>
              </w:rPr>
            </w:pPr>
            <w:r>
              <w:rPr>
                <w:rFonts w:ascii="Arial" w:cs="Arial" w:eastAsia="Arial" w:hAnsi="Arial"/>
                <w:sz w:val="17"/>
                <w:szCs w:val="17"/>
                <w:color w:val="auto"/>
              </w:rPr>
              <w:t>N/A</w:t>
            </w:r>
          </w:p>
        </w:tc>
        <w:tc>
          <w:tcPr>
            <w:tcW w:w="1400" w:type="dxa"/>
            <w:vAlign w:val="bottom"/>
          </w:tcPr>
          <w:p>
            <w:pPr>
              <w:jc w:val="right"/>
              <w:spacing w:after="0"/>
              <w:rPr>
                <w:sz w:val="20"/>
                <w:szCs w:val="20"/>
                <w:color w:val="auto"/>
              </w:rPr>
            </w:pPr>
            <w:r>
              <w:rPr>
                <w:rFonts w:ascii="Arial" w:cs="Arial" w:eastAsia="Arial" w:hAnsi="Arial"/>
                <w:sz w:val="17"/>
                <w:szCs w:val="17"/>
                <w:color w:val="auto"/>
              </w:rPr>
              <w:t>73,333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line="213" w:lineRule="exact"/>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(2)</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SEB</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0"/>
              </w:rPr>
              <w:t>Dec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0"/>
              </w:rPr>
              <w:t>July 2020</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July 2024</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2.958%</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ind w:left="1040"/>
              <w:spacing w:after="0"/>
              <w:rPr>
                <w:sz w:val="20"/>
                <w:szCs w:val="20"/>
                <w:color w:val="auto"/>
              </w:rPr>
            </w:pPr>
            <w:r>
              <w:rPr>
                <w:rFonts w:ascii="Arial" w:cs="Arial" w:eastAsia="Arial" w:hAnsi="Arial"/>
                <w:sz w:val="17"/>
                <w:szCs w:val="17"/>
                <w:color w:val="auto"/>
              </w:rPr>
              <w:t>N/A</w:t>
            </w:r>
          </w:p>
        </w:tc>
        <w:tc>
          <w:tcPr>
            <w:tcW w:w="1400" w:type="dxa"/>
            <w:vAlign w:val="bottom"/>
            <w:shd w:val="clear" w:color="auto" w:fill="E5FFFF"/>
          </w:tcPr>
          <w:p>
            <w:pPr>
              <w:ind w:left="110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tcPr>
          <w:p>
            <w:pPr>
              <w:spacing w:after="0" w:line="213" w:lineRule="exact"/>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(2)</w:t>
            </w:r>
          </w:p>
        </w:tc>
        <w:tc>
          <w:tcPr>
            <w:tcW w:w="1940" w:type="dxa"/>
            <w:vAlign w:val="bottom"/>
            <w:gridSpan w:val="2"/>
          </w:tcPr>
          <w:p>
            <w:pPr>
              <w:spacing w:after="0"/>
              <w:rPr>
                <w:sz w:val="20"/>
                <w:szCs w:val="20"/>
                <w:color w:val="auto"/>
              </w:rPr>
            </w:pPr>
            <w:r>
              <w:rPr>
                <w:rFonts w:ascii="Arial" w:cs="Arial" w:eastAsia="Arial" w:hAnsi="Arial"/>
                <w:sz w:val="17"/>
                <w:szCs w:val="17"/>
                <w:color w:val="auto"/>
              </w:rPr>
              <w:t>Nordea</w:t>
            </w: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Dec 2018</w:t>
            </w:r>
          </w:p>
        </w:tc>
        <w:tc>
          <w:tcPr>
            <w:tcW w:w="1000" w:type="dxa"/>
            <w:vAlign w:val="bottom"/>
          </w:tcPr>
          <w:p>
            <w:pPr>
              <w:jc w:val="center"/>
              <w:ind w:left="14"/>
              <w:spacing w:after="0"/>
              <w:rPr>
                <w:sz w:val="20"/>
                <w:szCs w:val="20"/>
                <w:color w:val="auto"/>
              </w:rPr>
            </w:pPr>
            <w:r>
              <w:rPr>
                <w:rFonts w:ascii="Arial" w:cs="Arial" w:eastAsia="Arial" w:hAnsi="Arial"/>
                <w:sz w:val="17"/>
                <w:szCs w:val="17"/>
                <w:color w:val="auto"/>
                <w:w w:val="90"/>
              </w:rPr>
              <w:t>July 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July 2024</w:t>
            </w:r>
          </w:p>
        </w:tc>
        <w:tc>
          <w:tcPr>
            <w:tcW w:w="1280" w:type="dxa"/>
            <w:vAlign w:val="bottom"/>
          </w:tcPr>
          <w:p>
            <w:pPr>
              <w:jc w:val="center"/>
              <w:spacing w:after="0"/>
              <w:rPr>
                <w:sz w:val="20"/>
                <w:szCs w:val="20"/>
                <w:color w:val="auto"/>
              </w:rPr>
            </w:pPr>
            <w:r>
              <w:rPr>
                <w:rFonts w:ascii="Arial" w:cs="Arial" w:eastAsia="Arial" w:hAnsi="Arial"/>
                <w:sz w:val="17"/>
                <w:szCs w:val="17"/>
                <w:color w:val="auto"/>
                <w:w w:val="90"/>
              </w:rPr>
              <w:t>2.937%</w:t>
            </w:r>
          </w:p>
        </w:tc>
        <w:tc>
          <w:tcPr>
            <w:tcW w:w="260" w:type="dxa"/>
            <w:vAlign w:val="bottom"/>
          </w:tcPr>
          <w:p>
            <w:pPr>
              <w:spacing w:after="0"/>
              <w:rPr>
                <w:sz w:val="18"/>
                <w:szCs w:val="18"/>
                <w:color w:val="auto"/>
              </w:rPr>
            </w:pPr>
          </w:p>
        </w:tc>
        <w:tc>
          <w:tcPr>
            <w:tcW w:w="1560" w:type="dxa"/>
            <w:vAlign w:val="bottom"/>
            <w:gridSpan w:val="2"/>
          </w:tcPr>
          <w:p>
            <w:pPr>
              <w:ind w:left="1040"/>
              <w:spacing w:after="0"/>
              <w:rPr>
                <w:sz w:val="20"/>
                <w:szCs w:val="20"/>
                <w:color w:val="auto"/>
              </w:rPr>
            </w:pPr>
            <w:r>
              <w:rPr>
                <w:rFonts w:ascii="Arial" w:cs="Arial" w:eastAsia="Arial" w:hAnsi="Arial"/>
                <w:sz w:val="17"/>
                <w:szCs w:val="17"/>
                <w:color w:val="auto"/>
              </w:rPr>
              <w:t>N/A</w:t>
            </w:r>
          </w:p>
        </w:tc>
        <w:tc>
          <w:tcPr>
            <w:tcW w:w="1400" w:type="dxa"/>
            <w:vAlign w:val="bottom"/>
          </w:tcPr>
          <w:p>
            <w:pPr>
              <w:ind w:left="110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40" w:type="dxa"/>
            <w:vAlign w:val="bottom"/>
            <w:gridSpan w:val="2"/>
            <w:shd w:val="clear" w:color="auto" w:fill="E5FFFF"/>
          </w:tcPr>
          <w:p>
            <w:pPr>
              <w:spacing w:after="0" w:line="213" w:lineRule="exact"/>
              <w:rPr>
                <w:sz w:val="20"/>
                <w:szCs w:val="20"/>
                <w:color w:val="auto"/>
              </w:rPr>
            </w:pPr>
            <w:r>
              <w:rPr>
                <w:rFonts w:ascii="Arial" w:cs="Arial" w:eastAsia="Arial" w:hAnsi="Arial"/>
                <w:sz w:val="17"/>
                <w:szCs w:val="17"/>
                <w:color w:val="auto"/>
              </w:rPr>
              <w:t>GasLog</w:t>
            </w:r>
            <w:r>
              <w:rPr>
                <w:rFonts w:ascii="Arial" w:cs="Arial" w:eastAsia="Arial" w:hAnsi="Arial"/>
                <w:sz w:val="22"/>
                <w:szCs w:val="22"/>
                <w:color w:val="auto"/>
                <w:vertAlign w:val="superscript"/>
              </w:rPr>
              <w:t>(2)</w:t>
            </w:r>
          </w:p>
        </w:tc>
        <w:tc>
          <w:tcPr>
            <w:tcW w:w="194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DNB</w:t>
            </w:r>
          </w:p>
        </w:tc>
        <w:tc>
          <w:tcPr>
            <w:tcW w:w="11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90"/>
              </w:rPr>
              <w:t>Dec 2018</w:t>
            </w:r>
          </w:p>
        </w:tc>
        <w:tc>
          <w:tcPr>
            <w:tcW w:w="1000" w:type="dxa"/>
            <w:vAlign w:val="bottom"/>
            <w:shd w:val="clear" w:color="auto" w:fill="E5FFFF"/>
          </w:tcPr>
          <w:p>
            <w:pPr>
              <w:jc w:val="center"/>
              <w:ind w:left="14"/>
              <w:spacing w:after="0"/>
              <w:rPr>
                <w:sz w:val="20"/>
                <w:szCs w:val="20"/>
                <w:color w:val="auto"/>
              </w:rPr>
            </w:pPr>
            <w:r>
              <w:rPr>
                <w:rFonts w:ascii="Arial" w:cs="Arial" w:eastAsia="Arial" w:hAnsi="Arial"/>
                <w:sz w:val="17"/>
                <w:szCs w:val="17"/>
                <w:color w:val="auto"/>
                <w:w w:val="96"/>
              </w:rPr>
              <w:t>April 2020</w:t>
            </w:r>
          </w:p>
        </w:tc>
        <w:tc>
          <w:tcPr>
            <w:tcW w:w="10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0" w:type="dxa"/>
            <w:vAlign w:val="bottom"/>
            <w:gridSpan w:val="2"/>
            <w:shd w:val="clear" w:color="auto" w:fill="E5FFFF"/>
          </w:tcPr>
          <w:p>
            <w:pPr>
              <w:jc w:val="center"/>
              <w:ind w:right="220"/>
              <w:spacing w:after="0"/>
              <w:rPr>
                <w:sz w:val="20"/>
                <w:szCs w:val="20"/>
                <w:color w:val="auto"/>
              </w:rPr>
            </w:pPr>
            <w:r>
              <w:rPr>
                <w:rFonts w:ascii="Arial" w:cs="Arial" w:eastAsia="Arial" w:hAnsi="Arial"/>
                <w:sz w:val="17"/>
                <w:szCs w:val="17"/>
                <w:color w:val="auto"/>
                <w:w w:val="96"/>
              </w:rPr>
              <w:t>April 2025</w:t>
            </w:r>
          </w:p>
        </w:tc>
        <w:tc>
          <w:tcPr>
            <w:tcW w:w="128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0"/>
              </w:rPr>
              <w:t>2.979%</w:t>
            </w:r>
          </w:p>
        </w:tc>
        <w:tc>
          <w:tcPr>
            <w:tcW w:w="26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ind w:left="1040"/>
              <w:spacing w:after="0"/>
              <w:rPr>
                <w:sz w:val="20"/>
                <w:szCs w:val="20"/>
                <w:color w:val="auto"/>
              </w:rPr>
            </w:pPr>
            <w:r>
              <w:rPr>
                <w:rFonts w:ascii="Arial" w:cs="Arial" w:eastAsia="Arial" w:hAnsi="Arial"/>
                <w:sz w:val="17"/>
                <w:szCs w:val="17"/>
                <w:color w:val="auto"/>
              </w:rPr>
              <w:t>N/A</w:t>
            </w:r>
          </w:p>
        </w:tc>
        <w:tc>
          <w:tcPr>
            <w:tcW w:w="1400" w:type="dxa"/>
            <w:vAlign w:val="bottom"/>
            <w:shd w:val="clear" w:color="auto" w:fill="E5FFFF"/>
          </w:tcPr>
          <w:p>
            <w:pPr>
              <w:ind w:left="110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Total</w:t>
            </w:r>
          </w:p>
        </w:tc>
        <w:tc>
          <w:tcPr>
            <w:tcW w:w="2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1,170,000</w:t>
            </w:r>
          </w:p>
        </w:tc>
        <w:tc>
          <w:tcPr>
            <w:tcW w:w="22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7"/>
                <w:szCs w:val="17"/>
                <w:color w:val="auto"/>
              </w:rPr>
              <w:t>F-17</w:t>
            </w: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40" w:type="dxa"/>
            <w:vAlign w:val="bottom"/>
            <w:gridSpan w:val="4"/>
            <w:vMerge w:val="continue"/>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4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7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3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8" w:right="80" w:bottom="1012" w:gutter="0" w:footer="0" w:header="0"/>
        </w:sectPr>
      </w:pPr>
    </w:p>
    <w:bookmarkStart w:id="46" w:name="page47"/>
    <w:bookmarkEnd w:id="46"/>
    <w:p>
      <w:pPr>
        <w:ind w:left="260" w:right="620" w:hanging="131"/>
        <w:spacing w:after="0" w:line="251" w:lineRule="auto"/>
        <w:tabs>
          <w:tab w:leader="none" w:pos="259" w:val="left"/>
        </w:tabs>
        <w:numPr>
          <w:ilvl w:val="0"/>
          <w:numId w:val="22"/>
        </w:numPr>
        <w:rPr>
          <w:rFonts w:ascii="Arial" w:cs="Arial" w:eastAsia="Arial" w:hAnsi="Arial"/>
          <w:sz w:val="15"/>
          <w:szCs w:val="15"/>
          <w:color w:val="auto"/>
          <w:vertAlign w:val="superscript"/>
        </w:rPr>
      </w:pPr>
      <w:r>
        <w:rPr>
          <w:rFonts w:ascii="Arial" w:cs="Arial" w:eastAsia="Arial" w:hAnsi="Arial"/>
          <w:sz w:val="12"/>
          <w:szCs w:val="12"/>
          <w:color w:val="auto"/>
        </w:rPr>
        <w:t>In May 2018, the Group entered into new interest rate swap agreements with various counterparties with an aggregate notional value of $250,000, with effective dates in July 2020 and July 2021, maturing between 2024 and 2026.</w:t>
      </w:r>
    </w:p>
    <w:p>
      <w:pPr>
        <w:spacing w:after="0" w:line="1" w:lineRule="exact"/>
        <w:rPr>
          <w:rFonts w:ascii="Arial" w:cs="Arial" w:eastAsia="Arial" w:hAnsi="Arial"/>
          <w:sz w:val="15"/>
          <w:szCs w:val="15"/>
          <w:color w:val="auto"/>
          <w:vertAlign w:val="superscript"/>
        </w:rPr>
      </w:pPr>
    </w:p>
    <w:p>
      <w:pPr>
        <w:ind w:left="260" w:right="540" w:hanging="131"/>
        <w:spacing w:after="0" w:line="219" w:lineRule="auto"/>
        <w:tabs>
          <w:tab w:leader="none" w:pos="283"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In December 2018, the Group entered into new interest rate swap agreements with various counterparties with an aggregate notional value of $210,000, with effective dates in April and July 2020, maturing between 2024 and 2025.</w:t>
      </w:r>
    </w:p>
    <w:p>
      <w:pPr>
        <w:spacing w:after="0" w:line="303" w:lineRule="exact"/>
        <w:rPr>
          <w:sz w:val="20"/>
          <w:szCs w:val="20"/>
          <w:color w:val="auto"/>
        </w:rPr>
      </w:pPr>
    </w:p>
    <w:p>
      <w:pPr>
        <w:ind w:right="140" w:firstLine="405"/>
        <w:spacing w:after="0" w:line="269" w:lineRule="auto"/>
        <w:rPr>
          <w:sz w:val="20"/>
          <w:szCs w:val="20"/>
          <w:color w:val="auto"/>
        </w:rPr>
      </w:pPr>
      <w:r>
        <w:rPr>
          <w:rFonts w:ascii="Arial" w:cs="Arial" w:eastAsia="Arial" w:hAnsi="Arial"/>
          <w:sz w:val="17"/>
          <w:szCs w:val="17"/>
          <w:color w:val="auto"/>
        </w:rPr>
        <w:t>The derivative instruments listed above were not designated as cash flow hedging instruments. The change in the fair value of these contracts for the three and six months ended June 30, 2019 amounted to a net loss of $31,951 and a net loss of $52,705, respectively (for the three and six months ended June 30, 2018: a net gain of $3,838 and a net gain of $20,151, respectively), which was recognized against profit or loss in the period incurred and is included in Gain/(loss) on derivatives. During the three and six months ended June 30, 2019, the net loss of $31,951 and $52,705, respectively derived from changes in the LIBOR curve as well as modifications of the Group’s interest swap portfolio that includes interest rate swap agreements with maturities out to 2028.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Cross currency swap agreements</w:t>
      </w:r>
    </w:p>
    <w:p>
      <w:pPr>
        <w:spacing w:after="0" w:line="253" w:lineRule="exact"/>
        <w:rPr>
          <w:sz w:val="20"/>
          <w:szCs w:val="20"/>
          <w:color w:val="auto"/>
        </w:rPr>
      </w:pPr>
    </w:p>
    <w:p>
      <w:pPr>
        <w:ind w:right="380" w:firstLine="376"/>
        <w:spacing w:after="0" w:line="321" w:lineRule="auto"/>
        <w:rPr>
          <w:sz w:val="20"/>
          <w:szCs w:val="20"/>
          <w:color w:val="auto"/>
        </w:rPr>
      </w:pPr>
      <w:r>
        <w:rPr>
          <w:rFonts w:ascii="Arial" w:cs="Arial" w:eastAsia="Arial" w:hAnsi="Arial"/>
          <w:sz w:val="16"/>
          <w:szCs w:val="16"/>
          <w:color w:val="auto"/>
        </w:rPr>
        <w:t>The Group enters into cross currency swaps (“CCSs”) which convert the floating interest rate exposure and the variability of the USD functional currency equivalent cash flows into a fixed interest rate and principal on maturity, in order to hedge the Group’s exposure to fluctuations deriving from its NOK 2021 Bonds.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CCSs qualified as cash flow hedging instruments for accounting purposes.</w:t>
      </w:r>
    </w:p>
    <w:p>
      <w:pPr>
        <w:spacing w:after="0" w:line="247"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principal terms of the CCSs designated as cash flow hedging instruments are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4"/>
          </w:tcPr>
          <w:p>
            <w:pPr>
              <w:ind w:left="760"/>
              <w:spacing w:after="0"/>
              <w:rPr>
                <w:sz w:val="20"/>
                <w:szCs w:val="20"/>
                <w:color w:val="auto"/>
              </w:rPr>
            </w:pPr>
            <w:r>
              <w:rPr>
                <w:rFonts w:ascii="Arial" w:cs="Arial" w:eastAsia="Arial" w:hAnsi="Arial"/>
                <w:sz w:val="17"/>
                <w:szCs w:val="17"/>
                <w:b w:val="1"/>
                <w:bCs w:val="1"/>
                <w:color w:val="auto"/>
              </w:rPr>
              <w:t>Notional Amount</w:t>
            </w:r>
          </w:p>
        </w:tc>
      </w:tr>
      <w:tr>
        <w:trPr>
          <w:trHeight w:val="198"/>
        </w:trPr>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Effective</w:t>
            </w:r>
          </w:p>
        </w:tc>
        <w:tc>
          <w:tcPr>
            <w:tcW w:w="14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Termination</w:t>
            </w: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Fixed Interest</w:t>
            </w:r>
          </w:p>
        </w:tc>
        <w:tc>
          <w:tcPr>
            <w:tcW w:w="16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7"/>
                <w:szCs w:val="17"/>
                <w:b w:val="1"/>
                <w:bCs w:val="1"/>
                <w:color w:val="auto"/>
              </w:rPr>
              <w:t>December 31,</w:t>
            </w:r>
          </w:p>
        </w:tc>
        <w:tc>
          <w:tcPr>
            <w:tcW w:w="118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June 30,</w:t>
            </w:r>
          </w:p>
        </w:tc>
        <w:tc>
          <w:tcPr>
            <w:tcW w:w="20" w:type="dxa"/>
            <w:vAlign w:val="bottom"/>
          </w:tcPr>
          <w:p>
            <w:pPr>
              <w:spacing w:after="0"/>
              <w:rPr>
                <w:sz w:val="17"/>
                <w:szCs w:val="17"/>
                <w:color w:val="auto"/>
              </w:rPr>
            </w:pPr>
          </w:p>
        </w:tc>
      </w:tr>
      <w:tr>
        <w:trPr>
          <w:trHeight w:val="187"/>
        </w:trPr>
        <w:tc>
          <w:tcPr>
            <w:tcW w:w="112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Company</w:t>
            </w:r>
          </w:p>
        </w:tc>
        <w:tc>
          <w:tcPr>
            <w:tcW w:w="400" w:type="dxa"/>
            <w:vAlign w:val="bottom"/>
          </w:tcPr>
          <w:p>
            <w:pPr>
              <w:spacing w:after="0"/>
              <w:rPr>
                <w:sz w:val="16"/>
                <w:szCs w:val="16"/>
                <w:color w:val="auto"/>
              </w:rPr>
            </w:pPr>
          </w:p>
        </w:tc>
        <w:tc>
          <w:tcPr>
            <w:tcW w:w="2020" w:type="dxa"/>
            <w:vAlign w:val="bottom"/>
            <w:gridSpan w:val="2"/>
          </w:tcPr>
          <w:p>
            <w:pPr>
              <w:ind w:left="400"/>
              <w:spacing w:after="0" w:line="187" w:lineRule="exact"/>
              <w:rPr>
                <w:sz w:val="20"/>
                <w:szCs w:val="20"/>
                <w:color w:val="auto"/>
              </w:rPr>
            </w:pPr>
            <w:r>
              <w:rPr>
                <w:rFonts w:ascii="Arial" w:cs="Arial" w:eastAsia="Arial" w:hAnsi="Arial"/>
                <w:sz w:val="17"/>
                <w:szCs w:val="17"/>
                <w:b w:val="1"/>
                <w:bCs w:val="1"/>
                <w:color w:val="auto"/>
              </w:rPr>
              <w:t>Counterparty</w:t>
            </w:r>
          </w:p>
        </w:tc>
        <w:tc>
          <w:tcPr>
            <w:tcW w:w="1380" w:type="dxa"/>
            <w:vAlign w:val="bottom"/>
            <w:gridSpan w:val="2"/>
          </w:tcPr>
          <w:p>
            <w:pPr>
              <w:jc w:val="center"/>
              <w:ind w:right="240"/>
              <w:spacing w:after="0" w:line="187" w:lineRule="exact"/>
              <w:rPr>
                <w:sz w:val="20"/>
                <w:szCs w:val="20"/>
                <w:color w:val="auto"/>
              </w:rPr>
            </w:pPr>
            <w:r>
              <w:rPr>
                <w:rFonts w:ascii="Arial" w:cs="Arial" w:eastAsia="Arial" w:hAnsi="Arial"/>
                <w:sz w:val="17"/>
                <w:szCs w:val="17"/>
                <w:b w:val="1"/>
                <w:bCs w:val="1"/>
                <w:color w:val="auto"/>
                <w:w w:val="93"/>
              </w:rPr>
              <w:t>Trade Date</w:t>
            </w:r>
          </w:p>
        </w:tc>
        <w:tc>
          <w:tcPr>
            <w:tcW w:w="1300" w:type="dxa"/>
            <w:vAlign w:val="bottom"/>
            <w:gridSpan w:val="2"/>
          </w:tcPr>
          <w:p>
            <w:pPr>
              <w:jc w:val="center"/>
              <w:ind w:right="240"/>
              <w:spacing w:after="0" w:line="187" w:lineRule="exact"/>
              <w:rPr>
                <w:sz w:val="20"/>
                <w:szCs w:val="20"/>
                <w:color w:val="auto"/>
              </w:rPr>
            </w:pPr>
            <w:r>
              <w:rPr>
                <w:rFonts w:ascii="Arial" w:cs="Arial" w:eastAsia="Arial" w:hAnsi="Arial"/>
                <w:sz w:val="17"/>
                <w:szCs w:val="17"/>
                <w:b w:val="1"/>
                <w:bCs w:val="1"/>
                <w:color w:val="auto"/>
                <w:w w:val="92"/>
              </w:rPr>
              <w:t>Date</w:t>
            </w:r>
          </w:p>
        </w:tc>
        <w:tc>
          <w:tcPr>
            <w:tcW w:w="1460" w:type="dxa"/>
            <w:vAlign w:val="bottom"/>
            <w:gridSpan w:val="2"/>
          </w:tcPr>
          <w:p>
            <w:pPr>
              <w:jc w:val="center"/>
              <w:ind w:right="200"/>
              <w:spacing w:after="0" w:line="187" w:lineRule="exact"/>
              <w:rPr>
                <w:sz w:val="20"/>
                <w:szCs w:val="20"/>
                <w:color w:val="auto"/>
              </w:rPr>
            </w:pPr>
            <w:r>
              <w:rPr>
                <w:rFonts w:ascii="Arial" w:cs="Arial" w:eastAsia="Arial" w:hAnsi="Arial"/>
                <w:sz w:val="17"/>
                <w:szCs w:val="17"/>
                <w:b w:val="1"/>
                <w:bCs w:val="1"/>
                <w:color w:val="auto"/>
                <w:w w:val="92"/>
              </w:rPr>
              <w:t>Date</w:t>
            </w:r>
          </w:p>
        </w:tc>
        <w:tc>
          <w:tcPr>
            <w:tcW w:w="1520" w:type="dxa"/>
            <w:vAlign w:val="bottom"/>
            <w:gridSpan w:val="2"/>
          </w:tcPr>
          <w:p>
            <w:pPr>
              <w:jc w:val="center"/>
              <w:ind w:right="220"/>
              <w:spacing w:after="0" w:line="187" w:lineRule="exact"/>
              <w:rPr>
                <w:sz w:val="20"/>
                <w:szCs w:val="20"/>
                <w:color w:val="auto"/>
              </w:rPr>
            </w:pPr>
            <w:r>
              <w:rPr>
                <w:rFonts w:ascii="Arial" w:cs="Arial" w:eastAsia="Arial" w:hAnsi="Arial"/>
                <w:sz w:val="17"/>
                <w:szCs w:val="17"/>
                <w:b w:val="1"/>
                <w:bCs w:val="1"/>
                <w:color w:val="auto"/>
                <w:w w:val="92"/>
              </w:rPr>
              <w:t>Rate</w:t>
            </w:r>
          </w:p>
        </w:tc>
        <w:tc>
          <w:tcPr>
            <w:tcW w:w="1400" w:type="dxa"/>
            <w:vAlign w:val="bottom"/>
          </w:tcPr>
          <w:p>
            <w:pPr>
              <w:jc w:val="right"/>
              <w:ind w:right="454"/>
              <w:spacing w:after="0" w:line="187" w:lineRule="exact"/>
              <w:rPr>
                <w:sz w:val="20"/>
                <w:szCs w:val="20"/>
                <w:color w:val="auto"/>
              </w:rPr>
            </w:pPr>
            <w:r>
              <w:rPr>
                <w:rFonts w:ascii="Arial" w:cs="Arial" w:eastAsia="Arial" w:hAnsi="Arial"/>
                <w:sz w:val="17"/>
                <w:szCs w:val="17"/>
                <w:b w:val="1"/>
                <w:bCs w:val="1"/>
                <w:color w:val="auto"/>
              </w:rPr>
              <w:t>2018</w:t>
            </w:r>
          </w:p>
        </w:tc>
        <w:tc>
          <w:tcPr>
            <w:tcW w:w="220" w:type="dxa"/>
            <w:vAlign w:val="bottom"/>
          </w:tcPr>
          <w:p>
            <w:pPr>
              <w:spacing w:after="0"/>
              <w:rPr>
                <w:sz w:val="16"/>
                <w:szCs w:val="16"/>
                <w:color w:val="auto"/>
              </w:rPr>
            </w:pPr>
          </w:p>
        </w:tc>
        <w:tc>
          <w:tcPr>
            <w:tcW w:w="1180" w:type="dxa"/>
            <w:vAlign w:val="bottom"/>
          </w:tcPr>
          <w:p>
            <w:pPr>
              <w:jc w:val="right"/>
              <w:ind w:right="334"/>
              <w:spacing w:after="0" w:line="187" w:lineRule="exact"/>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6"/>
                <w:szCs w:val="16"/>
                <w:color w:val="auto"/>
              </w:rPr>
            </w:pPr>
          </w:p>
        </w:tc>
      </w:tr>
      <w:tr>
        <w:trPr>
          <w:trHeight w:val="23"/>
        </w:trPr>
        <w:tc>
          <w:tcPr>
            <w:tcW w:w="700" w:type="dxa"/>
            <w:vAlign w:val="bottom"/>
            <w:tcBorders>
              <w:top w:val="single" w:sz="8" w:color="auto"/>
              <w:bottom w:val="single" w:sz="8" w:color="E5FFFF"/>
            </w:tcBorders>
          </w:tcPr>
          <w:p>
            <w:pPr>
              <w:spacing w:after="0" w:line="20" w:lineRule="exact"/>
              <w:rPr>
                <w:sz w:val="1"/>
                <w:szCs w:val="1"/>
                <w:color w:val="auto"/>
              </w:rPr>
            </w:pPr>
          </w:p>
        </w:tc>
        <w:tc>
          <w:tcPr>
            <w:tcW w:w="420" w:type="dxa"/>
            <w:vAlign w:val="bottom"/>
            <w:tcBorders>
              <w:bottom w:val="single" w:sz="8" w:color="E5FFFF"/>
            </w:tcBorders>
          </w:tcPr>
          <w:p>
            <w:pPr>
              <w:spacing w:after="0" w:line="20" w:lineRule="exact"/>
              <w:rPr>
                <w:sz w:val="1"/>
                <w:szCs w:val="1"/>
                <w:color w:val="auto"/>
              </w:rPr>
            </w:pPr>
          </w:p>
        </w:tc>
        <w:tc>
          <w:tcPr>
            <w:tcW w:w="400" w:type="dxa"/>
            <w:vAlign w:val="bottom"/>
            <w:tcBorders>
              <w:bottom w:val="single" w:sz="8" w:color="E5FF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E5FF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E5FF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11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400" w:type="dxa"/>
            <w:vAlign w:val="bottom"/>
            <w:shd w:val="clear" w:color="auto" w:fill="E5FFFF"/>
          </w:tcPr>
          <w:p>
            <w:pPr>
              <w:spacing w:after="0"/>
              <w:rPr>
                <w:sz w:val="18"/>
                <w:szCs w:val="18"/>
                <w:color w:val="auto"/>
              </w:rPr>
            </w:pPr>
          </w:p>
        </w:tc>
        <w:tc>
          <w:tcPr>
            <w:tcW w:w="1820" w:type="dxa"/>
            <w:vAlign w:val="bottom"/>
            <w:shd w:val="clear" w:color="auto" w:fill="E5FFFF"/>
          </w:tcPr>
          <w:p>
            <w:pPr>
              <w:spacing w:after="0"/>
              <w:rPr>
                <w:sz w:val="20"/>
                <w:szCs w:val="20"/>
                <w:color w:val="auto"/>
              </w:rPr>
            </w:pPr>
            <w:r>
              <w:rPr>
                <w:rFonts w:ascii="Arial" w:cs="Arial" w:eastAsia="Arial" w:hAnsi="Arial"/>
                <w:sz w:val="17"/>
                <w:szCs w:val="17"/>
                <w:color w:val="auto"/>
              </w:rPr>
              <w:t>DNB</w:t>
            </w:r>
          </w:p>
        </w:tc>
        <w:tc>
          <w:tcPr>
            <w:tcW w:w="200" w:type="dxa"/>
            <w:vAlign w:val="bottom"/>
            <w:shd w:val="clear" w:color="auto" w:fill="E5FFFF"/>
          </w:tcPr>
          <w:p>
            <w:pPr>
              <w:spacing w:after="0"/>
              <w:rPr>
                <w:sz w:val="18"/>
                <w:szCs w:val="18"/>
                <w:color w:val="auto"/>
              </w:rPr>
            </w:pPr>
          </w:p>
        </w:tc>
        <w:tc>
          <w:tcPr>
            <w:tcW w:w="11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8"/>
              </w:rPr>
              <w:t>June 2016</w:t>
            </w:r>
          </w:p>
        </w:tc>
        <w:tc>
          <w:tcPr>
            <w:tcW w:w="240" w:type="dxa"/>
            <w:vAlign w:val="bottom"/>
            <w:shd w:val="clear" w:color="auto" w:fill="E5FFFF"/>
          </w:tcPr>
          <w:p>
            <w:pPr>
              <w:spacing w:after="0"/>
              <w:rPr>
                <w:sz w:val="18"/>
                <w:szCs w:val="18"/>
                <w:color w:val="auto"/>
              </w:rPr>
            </w:pPr>
          </w:p>
        </w:tc>
        <w:tc>
          <w:tcPr>
            <w:tcW w:w="104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8"/>
              </w:rPr>
              <w:t>June 2016</w:t>
            </w:r>
          </w:p>
        </w:tc>
        <w:tc>
          <w:tcPr>
            <w:tcW w:w="260" w:type="dxa"/>
            <w:vAlign w:val="bottom"/>
            <w:shd w:val="clear" w:color="auto" w:fill="E5FFFF"/>
          </w:tcPr>
          <w:p>
            <w:pPr>
              <w:spacing w:after="0"/>
              <w:rPr>
                <w:sz w:val="18"/>
                <w:szCs w:val="18"/>
                <w:color w:val="auto"/>
              </w:rPr>
            </w:pPr>
          </w:p>
        </w:tc>
        <w:tc>
          <w:tcPr>
            <w:tcW w:w="126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3"/>
              </w:rPr>
              <w:t>May 2021</w:t>
            </w:r>
          </w:p>
        </w:tc>
        <w:tc>
          <w:tcPr>
            <w:tcW w:w="200" w:type="dxa"/>
            <w:vAlign w:val="bottom"/>
            <w:shd w:val="clear" w:color="auto" w:fill="E5FFFF"/>
          </w:tcPr>
          <w:p>
            <w:pPr>
              <w:spacing w:after="0"/>
              <w:rPr>
                <w:sz w:val="18"/>
                <w:szCs w:val="18"/>
                <w:color w:val="auto"/>
              </w:rPr>
            </w:pPr>
          </w:p>
        </w:tc>
        <w:tc>
          <w:tcPr>
            <w:tcW w:w="13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5"/>
              </w:rPr>
              <w:t>8.59%</w:t>
            </w:r>
          </w:p>
        </w:tc>
        <w:tc>
          <w:tcPr>
            <w:tcW w:w="220" w:type="dxa"/>
            <w:vAlign w:val="bottom"/>
            <w:shd w:val="clear" w:color="auto" w:fill="E5FFFF"/>
          </w:tcPr>
          <w:p>
            <w:pPr>
              <w:spacing w:after="0"/>
              <w:rPr>
                <w:sz w:val="18"/>
                <w:szCs w:val="18"/>
                <w:color w:val="auto"/>
              </w:rPr>
            </w:pPr>
          </w:p>
        </w:tc>
        <w:tc>
          <w:tcPr>
            <w:tcW w:w="14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30,050</w:t>
            </w:r>
          </w:p>
        </w:tc>
        <w:tc>
          <w:tcPr>
            <w:tcW w:w="220" w:type="dxa"/>
            <w:vAlign w:val="bottom"/>
            <w:shd w:val="clear" w:color="auto" w:fill="E5FFFF"/>
          </w:tcPr>
          <w:p>
            <w:pPr>
              <w:spacing w:after="0"/>
              <w:rPr>
                <w:sz w:val="18"/>
                <w:szCs w:val="18"/>
                <w:color w:val="auto"/>
              </w:rPr>
            </w:pPr>
          </w:p>
        </w:tc>
        <w:tc>
          <w:tcPr>
            <w:tcW w:w="11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30,050</w:t>
            </w:r>
          </w:p>
        </w:tc>
        <w:tc>
          <w:tcPr>
            <w:tcW w:w="20" w:type="dxa"/>
            <w:vAlign w:val="bottom"/>
          </w:tcPr>
          <w:p>
            <w:pPr>
              <w:spacing w:after="0"/>
              <w:rPr>
                <w:sz w:val="18"/>
                <w:szCs w:val="18"/>
                <w:color w:val="auto"/>
              </w:rPr>
            </w:pPr>
          </w:p>
        </w:tc>
      </w:tr>
      <w:tr>
        <w:trPr>
          <w:trHeight w:val="214"/>
        </w:trPr>
        <w:tc>
          <w:tcPr>
            <w:tcW w:w="1120" w:type="dxa"/>
            <w:vAlign w:val="bottom"/>
            <w:gridSpan w:val="2"/>
          </w:tcPr>
          <w:p>
            <w:pPr>
              <w:spacing w:after="0"/>
              <w:rPr>
                <w:sz w:val="20"/>
                <w:szCs w:val="20"/>
                <w:color w:val="auto"/>
              </w:rPr>
            </w:pPr>
            <w:r>
              <w:rPr>
                <w:rFonts w:ascii="Arial" w:cs="Arial" w:eastAsia="Arial" w:hAnsi="Arial"/>
                <w:sz w:val="17"/>
                <w:szCs w:val="17"/>
                <w:color w:val="auto"/>
              </w:rPr>
              <w:t>GasLog</w:t>
            </w:r>
          </w:p>
        </w:tc>
        <w:tc>
          <w:tcPr>
            <w:tcW w:w="2420" w:type="dxa"/>
            <w:vAlign w:val="bottom"/>
            <w:gridSpan w:val="3"/>
          </w:tcPr>
          <w:p>
            <w:pPr>
              <w:ind w:left="400"/>
              <w:spacing w:after="0"/>
              <w:rPr>
                <w:sz w:val="20"/>
                <w:szCs w:val="20"/>
                <w:color w:val="auto"/>
              </w:rPr>
            </w:pPr>
            <w:r>
              <w:rPr>
                <w:rFonts w:ascii="Arial" w:cs="Arial" w:eastAsia="Arial" w:hAnsi="Arial"/>
                <w:sz w:val="17"/>
                <w:szCs w:val="17"/>
                <w:color w:val="auto"/>
              </w:rPr>
              <w:t>SEB</w:t>
            </w:r>
          </w:p>
        </w:tc>
        <w:tc>
          <w:tcPr>
            <w:tcW w:w="138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June 2016</w:t>
            </w: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June 2016</w:t>
            </w:r>
          </w:p>
        </w:tc>
        <w:tc>
          <w:tcPr>
            <w:tcW w:w="146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May 2021</w:t>
            </w:r>
          </w:p>
        </w:tc>
        <w:tc>
          <w:tcPr>
            <w:tcW w:w="1300" w:type="dxa"/>
            <w:vAlign w:val="bottom"/>
          </w:tcPr>
          <w:p>
            <w:pPr>
              <w:jc w:val="center"/>
              <w:spacing w:after="0"/>
              <w:rPr>
                <w:sz w:val="20"/>
                <w:szCs w:val="20"/>
                <w:color w:val="auto"/>
              </w:rPr>
            </w:pPr>
            <w:r>
              <w:rPr>
                <w:rFonts w:ascii="Arial" w:cs="Arial" w:eastAsia="Arial" w:hAnsi="Arial"/>
                <w:sz w:val="17"/>
                <w:szCs w:val="17"/>
                <w:color w:val="auto"/>
                <w:w w:val="95"/>
              </w:rPr>
              <w:t>8.59%</w:t>
            </w:r>
          </w:p>
        </w:tc>
        <w:tc>
          <w:tcPr>
            <w:tcW w:w="2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30,050</w:t>
            </w:r>
          </w:p>
        </w:tc>
        <w:tc>
          <w:tcPr>
            <w:tcW w:w="1180" w:type="dxa"/>
            <w:vAlign w:val="bottom"/>
          </w:tcPr>
          <w:p>
            <w:pPr>
              <w:jc w:val="right"/>
              <w:spacing w:after="0"/>
              <w:rPr>
                <w:sz w:val="20"/>
                <w:szCs w:val="20"/>
                <w:color w:val="auto"/>
              </w:rPr>
            </w:pPr>
            <w:r>
              <w:rPr>
                <w:rFonts w:ascii="Arial" w:cs="Arial" w:eastAsia="Arial" w:hAnsi="Arial"/>
                <w:sz w:val="17"/>
                <w:szCs w:val="17"/>
                <w:color w:val="auto"/>
              </w:rPr>
              <w:t>30,050</w:t>
            </w:r>
          </w:p>
        </w:tc>
        <w:tc>
          <w:tcPr>
            <w:tcW w:w="20" w:type="dxa"/>
            <w:vAlign w:val="bottom"/>
          </w:tcPr>
          <w:p>
            <w:pPr>
              <w:spacing w:after="0"/>
              <w:rPr>
                <w:sz w:val="18"/>
                <w:szCs w:val="18"/>
                <w:color w:val="auto"/>
              </w:rPr>
            </w:pPr>
          </w:p>
        </w:tc>
      </w:tr>
      <w:tr>
        <w:trPr>
          <w:trHeight w:val="214"/>
        </w:trPr>
        <w:tc>
          <w:tcPr>
            <w:tcW w:w="11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2420" w:type="dxa"/>
            <w:vAlign w:val="bottom"/>
            <w:gridSpan w:val="3"/>
            <w:shd w:val="clear" w:color="auto" w:fill="E5FFFF"/>
          </w:tcPr>
          <w:p>
            <w:pPr>
              <w:ind w:left="400"/>
              <w:spacing w:after="0"/>
              <w:rPr>
                <w:sz w:val="20"/>
                <w:szCs w:val="20"/>
                <w:color w:val="auto"/>
              </w:rPr>
            </w:pPr>
            <w:r>
              <w:rPr>
                <w:rFonts w:ascii="Arial" w:cs="Arial" w:eastAsia="Arial" w:hAnsi="Arial"/>
                <w:sz w:val="17"/>
                <w:szCs w:val="17"/>
                <w:color w:val="auto"/>
              </w:rPr>
              <w:t>Nordea Bank Finland</w:t>
            </w:r>
          </w:p>
        </w:tc>
        <w:tc>
          <w:tcPr>
            <w:tcW w:w="138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88"/>
              </w:rPr>
              <w:t>June 2016</w:t>
            </w:r>
          </w:p>
        </w:tc>
        <w:tc>
          <w:tcPr>
            <w:tcW w:w="1300" w:type="dxa"/>
            <w:vAlign w:val="bottom"/>
            <w:gridSpan w:val="2"/>
            <w:shd w:val="clear" w:color="auto" w:fill="E5FFFF"/>
          </w:tcPr>
          <w:p>
            <w:pPr>
              <w:jc w:val="center"/>
              <w:ind w:right="240"/>
              <w:spacing w:after="0"/>
              <w:rPr>
                <w:sz w:val="20"/>
                <w:szCs w:val="20"/>
                <w:color w:val="auto"/>
              </w:rPr>
            </w:pPr>
            <w:r>
              <w:rPr>
                <w:rFonts w:ascii="Arial" w:cs="Arial" w:eastAsia="Arial" w:hAnsi="Arial"/>
                <w:sz w:val="17"/>
                <w:szCs w:val="17"/>
                <w:color w:val="auto"/>
                <w:w w:val="88"/>
              </w:rPr>
              <w:t>June 2016</w:t>
            </w:r>
          </w:p>
        </w:tc>
        <w:tc>
          <w:tcPr>
            <w:tcW w:w="1460" w:type="dxa"/>
            <w:vAlign w:val="bottom"/>
            <w:gridSpan w:val="2"/>
            <w:shd w:val="clear" w:color="auto" w:fill="E5FFFF"/>
          </w:tcPr>
          <w:p>
            <w:pPr>
              <w:jc w:val="center"/>
              <w:ind w:right="200"/>
              <w:spacing w:after="0"/>
              <w:rPr>
                <w:sz w:val="20"/>
                <w:szCs w:val="20"/>
                <w:color w:val="auto"/>
              </w:rPr>
            </w:pPr>
            <w:r>
              <w:rPr>
                <w:rFonts w:ascii="Arial" w:cs="Arial" w:eastAsia="Arial" w:hAnsi="Arial"/>
                <w:sz w:val="17"/>
                <w:szCs w:val="17"/>
                <w:color w:val="auto"/>
                <w:w w:val="93"/>
              </w:rPr>
              <w:t>May 2021</w:t>
            </w:r>
          </w:p>
        </w:tc>
        <w:tc>
          <w:tcPr>
            <w:tcW w:w="130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95"/>
              </w:rPr>
              <w:t>8.59%</w:t>
            </w:r>
          </w:p>
        </w:tc>
        <w:tc>
          <w:tcPr>
            <w:tcW w:w="220" w:type="dxa"/>
            <w:vAlign w:val="bottom"/>
            <w:shd w:val="clear" w:color="auto" w:fill="E5FFFF"/>
          </w:tcPr>
          <w:p>
            <w:pPr>
              <w:spacing w:after="0"/>
              <w:rPr>
                <w:sz w:val="18"/>
                <w:szCs w:val="18"/>
                <w:color w:val="auto"/>
              </w:rPr>
            </w:pPr>
          </w:p>
        </w:tc>
        <w:tc>
          <w:tcPr>
            <w:tcW w:w="1620" w:type="dxa"/>
            <w:vAlign w:val="bottom"/>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30,050</w:t>
            </w:r>
          </w:p>
        </w:tc>
        <w:tc>
          <w:tcPr>
            <w:tcW w:w="11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30,050</w:t>
            </w:r>
          </w:p>
        </w:tc>
        <w:tc>
          <w:tcPr>
            <w:tcW w:w="20" w:type="dxa"/>
            <w:vAlign w:val="bottom"/>
          </w:tcPr>
          <w:p>
            <w:pPr>
              <w:spacing w:after="0"/>
              <w:rPr>
                <w:sz w:val="18"/>
                <w:szCs w:val="18"/>
                <w:color w:val="auto"/>
              </w:rPr>
            </w:pPr>
          </w:p>
        </w:tc>
      </w:tr>
      <w:tr>
        <w:trPr>
          <w:trHeight w:val="208"/>
        </w:trPr>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Total</w:t>
            </w:r>
          </w:p>
        </w:tc>
        <w:tc>
          <w:tcPr>
            <w:tcW w:w="22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90,150</w:t>
            </w:r>
          </w:p>
        </w:tc>
        <w:tc>
          <w:tcPr>
            <w:tcW w:w="2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90,150</w:t>
            </w:r>
          </w:p>
        </w:tc>
        <w:tc>
          <w:tcPr>
            <w:tcW w:w="20" w:type="dxa"/>
            <w:vAlign w:val="bottom"/>
            <w:tcBorders>
              <w:bottom w:val="single" w:sz="8" w:color="auto"/>
            </w:tcBorders>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00" w:firstLine="376"/>
        <w:spacing w:after="0" w:line="309" w:lineRule="auto"/>
        <w:rPr>
          <w:sz w:val="20"/>
          <w:szCs w:val="20"/>
          <w:color w:val="auto"/>
        </w:rPr>
      </w:pPr>
      <w:r>
        <w:rPr>
          <w:rFonts w:ascii="Arial" w:cs="Arial" w:eastAsia="Arial" w:hAnsi="Arial"/>
          <w:sz w:val="15"/>
          <w:szCs w:val="15"/>
          <w:color w:val="auto"/>
        </w:rPr>
        <w:t>For the three and six months ended June 30, 2019, the effective portion of changes in the fair value of CCSs amounting to a loss of $219 and a loss of $916, respectively, has been recognized in Other comprehensive income (for the three and six months ended June 30, 2018: a loss of $4,062 and a gain of $2,128, respectively). For the three and six months ended June 30, 2019, a loss of $147 and $309, respectively, was recycled to profit or loss representing the realized loss on CCSs in relation to the interest expenses component of the hedge (for the three and six months ended June 30, 2018: a loss of $90 and $159, respectively). Additionally, for the three and six months ended June 30, 2019, a loss of $1,153 and a loss of $1,857, respectively, was recognized in Other comprehensive income in relation to the retranslation of the NOK Bonds in U.S. dollars as of June 30, 2019 (for the three and six months ended June 30, 2018: a gain of $3,676 and a loss of $1,077,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 foreign exchange contracts</w:t>
      </w:r>
    </w:p>
    <w:p>
      <w:pPr>
        <w:spacing w:after="0" w:line="253" w:lineRule="exact"/>
        <w:rPr>
          <w:sz w:val="20"/>
          <w:szCs w:val="20"/>
          <w:color w:val="auto"/>
        </w:rPr>
      </w:pPr>
    </w:p>
    <w:p>
      <w:pPr>
        <w:jc w:val="both"/>
        <w:ind w:right="200" w:firstLine="405"/>
        <w:spacing w:after="0" w:line="271" w:lineRule="auto"/>
        <w:rPr>
          <w:sz w:val="20"/>
          <w:szCs w:val="20"/>
          <w:color w:val="auto"/>
        </w:rPr>
      </w:pPr>
      <w:r>
        <w:rPr>
          <w:rFonts w:ascii="Arial" w:cs="Arial" w:eastAsia="Arial" w:hAnsi="Arial"/>
          <w:sz w:val="17"/>
          <w:szCs w:val="17"/>
          <w:color w:val="auto"/>
        </w:rPr>
        <w:t>The Group uses forward foreign exchange contracts to mitigate foreign exchange transaction exposures in British Pounds Sterling (“GBP”) and Euros (“EUR”). Under these forward foreign exchange contracts, the bank counterparty will effect fixed payments in GBP or EUR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principal terms of the forward foreign exchange contracts held for trading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5"/>
                <w:szCs w:val="15"/>
                <w:b w:val="1"/>
                <w:bCs w:val="1"/>
                <w:color w:val="auto"/>
                <w:w w:val="91"/>
              </w:rPr>
              <w:t>Fixed</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0"/>
              </w:rPr>
              <w:t>Total Exchange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jc w:val="center"/>
              <w:ind w:right="300"/>
              <w:spacing w:after="0" w:line="157" w:lineRule="exact"/>
              <w:rPr>
                <w:sz w:val="20"/>
                <w:szCs w:val="20"/>
                <w:color w:val="auto"/>
              </w:rPr>
            </w:pPr>
            <w:r>
              <w:rPr>
                <w:rFonts w:ascii="Arial" w:cs="Arial" w:eastAsia="Arial" w:hAnsi="Arial"/>
                <w:sz w:val="15"/>
                <w:szCs w:val="15"/>
                <w:b w:val="1"/>
                <w:bCs w:val="1"/>
                <w:color w:val="auto"/>
                <w:w w:val="93"/>
              </w:rPr>
              <w:t>Number of</w:t>
            </w: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5"/>
          </w:tcPr>
          <w:p>
            <w:pPr>
              <w:jc w:val="center"/>
              <w:ind w:right="460"/>
              <w:spacing w:after="0" w:line="157" w:lineRule="exact"/>
              <w:rPr>
                <w:sz w:val="20"/>
                <w:szCs w:val="20"/>
                <w:color w:val="auto"/>
              </w:rPr>
            </w:pPr>
            <w:r>
              <w:rPr>
                <w:rFonts w:ascii="Arial" w:cs="Arial" w:eastAsia="Arial" w:hAnsi="Arial"/>
                <w:sz w:val="15"/>
                <w:szCs w:val="15"/>
                <w:b w:val="1"/>
                <w:bCs w:val="1"/>
                <w:color w:val="auto"/>
                <w:w w:val="89"/>
              </w:rPr>
              <w:t>Exchange Rate</w:t>
            </w:r>
          </w:p>
        </w:tc>
        <w:tc>
          <w:tcPr>
            <w:tcW w:w="12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1"/>
              </w:rPr>
              <w:t>Amount</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400"/>
              <w:spacing w:after="0"/>
              <w:rPr>
                <w:sz w:val="20"/>
                <w:szCs w:val="20"/>
                <w:color w:val="auto"/>
              </w:rPr>
            </w:pPr>
            <w:r>
              <w:rPr>
                <w:rFonts w:ascii="Arial" w:cs="Arial" w:eastAsia="Arial" w:hAnsi="Arial"/>
                <w:sz w:val="15"/>
                <w:szCs w:val="15"/>
                <w:b w:val="1"/>
                <w:bCs w:val="1"/>
                <w:color w:val="auto"/>
              </w:rPr>
              <w:t>Company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4"/>
          </w:tcPr>
          <w:p>
            <w:pPr>
              <w:ind w:left="400"/>
              <w:spacing w:after="0"/>
              <w:rPr>
                <w:sz w:val="20"/>
                <w:szCs w:val="20"/>
                <w:color w:val="auto"/>
              </w:rPr>
            </w:pPr>
            <w:r>
              <w:rPr>
                <w:rFonts w:ascii="Arial" w:cs="Arial" w:eastAsia="Arial" w:hAnsi="Arial"/>
                <w:sz w:val="15"/>
                <w:szCs w:val="15"/>
                <w:b w:val="1"/>
                <w:bCs w:val="1"/>
                <w:color w:val="auto"/>
              </w:rPr>
              <w:t>Counterparty</w:t>
            </w:r>
          </w:p>
        </w:tc>
        <w:tc>
          <w:tcPr>
            <w:tcW w:w="1720" w:type="dxa"/>
            <w:vAlign w:val="bottom"/>
            <w:gridSpan w:val="4"/>
          </w:tcPr>
          <w:p>
            <w:pPr>
              <w:jc w:val="center"/>
              <w:ind w:right="300"/>
              <w:spacing w:after="0"/>
              <w:rPr>
                <w:sz w:val="20"/>
                <w:szCs w:val="20"/>
                <w:color w:val="auto"/>
              </w:rPr>
            </w:pPr>
            <w:r>
              <w:rPr>
                <w:rFonts w:ascii="Arial" w:cs="Arial" w:eastAsia="Arial" w:hAnsi="Arial"/>
                <w:sz w:val="15"/>
                <w:szCs w:val="15"/>
                <w:b w:val="1"/>
                <w:bCs w:val="1"/>
                <w:color w:val="auto"/>
                <w:w w:val="95"/>
              </w:rPr>
              <w:t>Trade Date</w:t>
            </w:r>
          </w:p>
        </w:tc>
        <w:tc>
          <w:tcPr>
            <w:tcW w:w="1440" w:type="dxa"/>
            <w:vAlign w:val="bottom"/>
            <w:gridSpan w:val="4"/>
          </w:tcPr>
          <w:p>
            <w:pPr>
              <w:jc w:val="center"/>
              <w:ind w:right="280"/>
              <w:spacing w:after="0"/>
              <w:rPr>
                <w:sz w:val="20"/>
                <w:szCs w:val="20"/>
                <w:color w:val="auto"/>
              </w:rPr>
            </w:pPr>
            <w:r>
              <w:rPr>
                <w:rFonts w:ascii="Arial" w:cs="Arial" w:eastAsia="Arial" w:hAnsi="Arial"/>
                <w:sz w:val="15"/>
                <w:szCs w:val="15"/>
                <w:b w:val="1"/>
                <w:bCs w:val="1"/>
                <w:color w:val="auto"/>
                <w:w w:val="88"/>
              </w:rPr>
              <w:t>contracts</w:t>
            </w:r>
          </w:p>
        </w:tc>
        <w:tc>
          <w:tcPr>
            <w:tcW w:w="18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Settlement Dates</w:t>
            </w:r>
          </w:p>
        </w:tc>
        <w:tc>
          <w:tcPr>
            <w:tcW w:w="340" w:type="dxa"/>
            <w:vAlign w:val="bottom"/>
          </w:tcPr>
          <w:p>
            <w:pPr>
              <w:spacing w:after="0"/>
              <w:rPr>
                <w:sz w:val="15"/>
                <w:szCs w:val="15"/>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5"/>
                <w:szCs w:val="15"/>
                <w:b w:val="1"/>
                <w:bCs w:val="1"/>
                <w:color w:val="auto"/>
                <w:w w:val="96"/>
              </w:rPr>
              <w:t>(USD/GBP)</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88"/>
              </w:rPr>
              <w:t>(in thousands)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42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7"/>
                <w:szCs w:val="17"/>
                <w:color w:val="auto"/>
              </w:rPr>
              <w:t>SEB</w:t>
            </w:r>
          </w:p>
        </w:tc>
        <w:tc>
          <w:tcPr>
            <w:tcW w:w="220" w:type="dxa"/>
            <w:vAlign w:val="bottom"/>
            <w:tcBorders>
              <w:top w:val="single" w:sz="8" w:color="E5FFFF"/>
            </w:tcBorders>
            <w:shd w:val="clear" w:color="auto" w:fill="E5FFFF"/>
          </w:tcPr>
          <w:p>
            <w:pPr>
              <w:spacing w:after="0"/>
              <w:rPr>
                <w:sz w:val="18"/>
                <w:szCs w:val="18"/>
                <w:color w:val="auto"/>
              </w:rPr>
            </w:pPr>
          </w:p>
        </w:tc>
        <w:tc>
          <w:tcPr>
            <w:tcW w:w="40" w:type="dxa"/>
            <w:vAlign w:val="bottom"/>
            <w:tcBorders>
              <w:top w:val="single" w:sz="8" w:color="E5FFFF"/>
            </w:tcBorders>
            <w:shd w:val="clear" w:color="auto" w:fill="E5FFFF"/>
          </w:tcPr>
          <w:p>
            <w:pPr>
              <w:spacing w:after="0"/>
              <w:rPr>
                <w:sz w:val="18"/>
                <w:szCs w:val="18"/>
                <w:color w:val="auto"/>
              </w:rPr>
            </w:pPr>
          </w:p>
        </w:tc>
        <w:tc>
          <w:tcPr>
            <w:tcW w:w="1420" w:type="dxa"/>
            <w:vAlign w:val="bottom"/>
            <w:tcBorders>
              <w:top w:val="single" w:sz="8" w:color="auto"/>
            </w:tcBorders>
            <w:gridSpan w:val="2"/>
            <w:shd w:val="clear" w:color="auto" w:fill="E5FFFF"/>
          </w:tcPr>
          <w:p>
            <w:pPr>
              <w:jc w:val="center"/>
              <w:spacing w:after="0"/>
              <w:rPr>
                <w:sz w:val="20"/>
                <w:szCs w:val="20"/>
                <w:color w:val="auto"/>
              </w:rPr>
            </w:pPr>
            <w:r>
              <w:rPr>
                <w:rFonts w:ascii="Arial" w:cs="Arial" w:eastAsia="Arial" w:hAnsi="Arial"/>
                <w:sz w:val="17"/>
                <w:szCs w:val="17"/>
                <w:color w:val="auto"/>
                <w:w w:val="89"/>
              </w:rPr>
              <w:t>Oct 2018</w:t>
            </w:r>
          </w:p>
        </w:tc>
        <w:tc>
          <w:tcPr>
            <w:tcW w:w="28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rPr>
              <w:t>6</w:t>
            </w:r>
          </w:p>
        </w:tc>
        <w:tc>
          <w:tcPr>
            <w:tcW w:w="20" w:type="dxa"/>
            <w:vAlign w:val="bottom"/>
            <w:tcBorders>
              <w:top w:val="single" w:sz="8" w:color="auto"/>
            </w:tcBorders>
            <w:shd w:val="clear" w:color="auto" w:fill="E5FFFF"/>
          </w:tcPr>
          <w:p>
            <w:pPr>
              <w:spacing w:after="0"/>
              <w:rPr>
                <w:sz w:val="18"/>
                <w:szCs w:val="18"/>
                <w:color w:val="auto"/>
              </w:rPr>
            </w:pPr>
          </w:p>
        </w:tc>
        <w:tc>
          <w:tcPr>
            <w:tcW w:w="260" w:type="dxa"/>
            <w:vAlign w:val="bottom"/>
            <w:tcBorders>
              <w:top w:val="single" w:sz="8" w:color="E5FFFF"/>
            </w:tcBorders>
            <w:shd w:val="clear" w:color="auto" w:fill="E5FFFF"/>
          </w:tcPr>
          <w:p>
            <w:pPr>
              <w:spacing w:after="0"/>
              <w:rPr>
                <w:sz w:val="18"/>
                <w:szCs w:val="18"/>
                <w:color w:val="auto"/>
              </w:rPr>
            </w:pPr>
          </w:p>
        </w:tc>
        <w:tc>
          <w:tcPr>
            <w:tcW w:w="40" w:type="dxa"/>
            <w:vAlign w:val="bottom"/>
            <w:tcBorders>
              <w:top w:val="single" w:sz="8" w:color="E5FFFF"/>
            </w:tcBorders>
            <w:shd w:val="clear" w:color="auto" w:fill="E5FFFF"/>
          </w:tcPr>
          <w:p>
            <w:pPr>
              <w:spacing w:after="0"/>
              <w:rPr>
                <w:sz w:val="18"/>
                <w:szCs w:val="18"/>
                <w:color w:val="auto"/>
              </w:rPr>
            </w:pPr>
          </w:p>
        </w:tc>
        <w:tc>
          <w:tcPr>
            <w:tcW w:w="15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1"/>
              </w:rPr>
              <w:t>July-Dec 2019</w:t>
            </w:r>
          </w:p>
        </w:tc>
        <w:tc>
          <w:tcPr>
            <w:tcW w:w="36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gridSpan w:val="2"/>
            <w:shd w:val="clear" w:color="auto" w:fill="E5FFFF"/>
          </w:tcPr>
          <w:p>
            <w:pPr>
              <w:jc w:val="center"/>
              <w:ind w:left="256"/>
              <w:spacing w:after="0"/>
              <w:rPr>
                <w:sz w:val="20"/>
                <w:szCs w:val="20"/>
                <w:color w:val="auto"/>
              </w:rPr>
            </w:pPr>
            <w:r>
              <w:rPr>
                <w:rFonts w:ascii="Arial" w:cs="Arial" w:eastAsia="Arial" w:hAnsi="Arial"/>
                <w:sz w:val="17"/>
                <w:szCs w:val="17"/>
                <w:color w:val="auto"/>
                <w:w w:val="92"/>
              </w:rPr>
              <w:t>1.3228</w:t>
            </w:r>
          </w:p>
        </w:tc>
        <w:tc>
          <w:tcPr>
            <w:tcW w:w="14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£2,700</w:t>
            </w:r>
          </w:p>
        </w:tc>
        <w:tc>
          <w:tcPr>
            <w:tcW w:w="3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Total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5"/>
                <w:szCs w:val="15"/>
                <w:b w:val="1"/>
                <w:bCs w:val="1"/>
                <w:color w:val="auto"/>
                <w:w w:val="91"/>
              </w:rPr>
              <w:t>Fixed</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90"/>
              </w:rPr>
              <w:t>Total Exchange</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gridSpan w:val="4"/>
          </w:tcPr>
          <w:p>
            <w:pPr>
              <w:jc w:val="center"/>
              <w:ind w:right="320"/>
              <w:spacing w:after="0" w:line="157" w:lineRule="exact"/>
              <w:rPr>
                <w:sz w:val="20"/>
                <w:szCs w:val="20"/>
                <w:color w:val="auto"/>
              </w:rPr>
            </w:pPr>
            <w:r>
              <w:rPr>
                <w:rFonts w:ascii="Arial" w:cs="Arial" w:eastAsia="Arial" w:hAnsi="Arial"/>
                <w:sz w:val="15"/>
                <w:szCs w:val="15"/>
                <w:b w:val="1"/>
                <w:bCs w:val="1"/>
                <w:color w:val="auto"/>
                <w:w w:val="95"/>
              </w:rPr>
              <w:t>Number of</w:t>
            </w:r>
          </w:p>
        </w:tc>
        <w:tc>
          <w:tcPr>
            <w:tcW w:w="1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5"/>
          </w:tcPr>
          <w:p>
            <w:pPr>
              <w:jc w:val="center"/>
              <w:ind w:right="460"/>
              <w:spacing w:after="0" w:line="157" w:lineRule="exact"/>
              <w:rPr>
                <w:sz w:val="20"/>
                <w:szCs w:val="20"/>
                <w:color w:val="auto"/>
              </w:rPr>
            </w:pPr>
            <w:r>
              <w:rPr>
                <w:rFonts w:ascii="Arial" w:cs="Arial" w:eastAsia="Arial" w:hAnsi="Arial"/>
                <w:sz w:val="15"/>
                <w:szCs w:val="15"/>
                <w:b w:val="1"/>
                <w:bCs w:val="1"/>
                <w:color w:val="auto"/>
                <w:w w:val="89"/>
              </w:rPr>
              <w:t>Exchange Rate</w:t>
            </w:r>
          </w:p>
        </w:tc>
        <w:tc>
          <w:tcPr>
            <w:tcW w:w="12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1"/>
              </w:rPr>
              <w:t>Amount</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20" w:type="dxa"/>
            <w:vAlign w:val="bottom"/>
            <w:gridSpan w:val="2"/>
          </w:tcPr>
          <w:p>
            <w:pPr>
              <w:ind w:left="380"/>
              <w:spacing w:after="0"/>
              <w:rPr>
                <w:sz w:val="20"/>
                <w:szCs w:val="20"/>
                <w:color w:val="auto"/>
              </w:rPr>
            </w:pPr>
            <w:r>
              <w:rPr>
                <w:rFonts w:ascii="Arial" w:cs="Arial" w:eastAsia="Arial" w:hAnsi="Arial"/>
                <w:sz w:val="15"/>
                <w:szCs w:val="15"/>
                <w:b w:val="1"/>
                <w:bCs w:val="1"/>
                <w:color w:val="auto"/>
              </w:rPr>
              <w:t>Company</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gridSpan w:val="4"/>
          </w:tcPr>
          <w:p>
            <w:pPr>
              <w:ind w:left="380"/>
              <w:spacing w:after="0"/>
              <w:rPr>
                <w:sz w:val="20"/>
                <w:szCs w:val="20"/>
                <w:color w:val="auto"/>
              </w:rPr>
            </w:pPr>
            <w:r>
              <w:rPr>
                <w:rFonts w:ascii="Arial" w:cs="Arial" w:eastAsia="Arial" w:hAnsi="Arial"/>
                <w:sz w:val="15"/>
                <w:szCs w:val="15"/>
                <w:b w:val="1"/>
                <w:bCs w:val="1"/>
                <w:color w:val="auto"/>
              </w:rPr>
              <w:t>Counterparty</w:t>
            </w:r>
          </w:p>
        </w:tc>
        <w:tc>
          <w:tcPr>
            <w:tcW w:w="1720" w:type="dxa"/>
            <w:vAlign w:val="bottom"/>
            <w:gridSpan w:val="4"/>
          </w:tcPr>
          <w:p>
            <w:pPr>
              <w:jc w:val="center"/>
              <w:ind w:right="340"/>
              <w:spacing w:after="0"/>
              <w:rPr>
                <w:sz w:val="20"/>
                <w:szCs w:val="20"/>
                <w:color w:val="auto"/>
              </w:rPr>
            </w:pPr>
            <w:r>
              <w:rPr>
                <w:rFonts w:ascii="Arial" w:cs="Arial" w:eastAsia="Arial" w:hAnsi="Arial"/>
                <w:sz w:val="15"/>
                <w:szCs w:val="15"/>
                <w:b w:val="1"/>
                <w:bCs w:val="1"/>
                <w:color w:val="auto"/>
                <w:w w:val="95"/>
              </w:rPr>
              <w:t>Trade Date</w:t>
            </w:r>
          </w:p>
        </w:tc>
        <w:tc>
          <w:tcPr>
            <w:tcW w:w="1440" w:type="dxa"/>
            <w:vAlign w:val="bottom"/>
            <w:gridSpan w:val="4"/>
          </w:tcPr>
          <w:p>
            <w:pPr>
              <w:jc w:val="center"/>
              <w:ind w:right="320"/>
              <w:spacing w:after="0"/>
              <w:rPr>
                <w:sz w:val="20"/>
                <w:szCs w:val="20"/>
                <w:color w:val="auto"/>
              </w:rPr>
            </w:pPr>
            <w:r>
              <w:rPr>
                <w:rFonts w:ascii="Arial" w:cs="Arial" w:eastAsia="Arial" w:hAnsi="Arial"/>
                <w:sz w:val="15"/>
                <w:szCs w:val="15"/>
                <w:b w:val="1"/>
                <w:bCs w:val="1"/>
                <w:color w:val="auto"/>
                <w:w w:val="88"/>
              </w:rPr>
              <w:t>contracts</w:t>
            </w:r>
          </w:p>
        </w:tc>
        <w:tc>
          <w:tcPr>
            <w:tcW w:w="18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0"/>
              </w:rPr>
              <w:t>Settlement Dates</w:t>
            </w:r>
          </w:p>
        </w:tc>
        <w:tc>
          <w:tcPr>
            <w:tcW w:w="340" w:type="dxa"/>
            <w:vAlign w:val="bottom"/>
          </w:tcPr>
          <w:p>
            <w:pPr>
              <w:spacing w:after="0"/>
              <w:rPr>
                <w:sz w:val="15"/>
                <w:szCs w:val="15"/>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5"/>
                <w:szCs w:val="15"/>
                <w:b w:val="1"/>
                <w:bCs w:val="1"/>
                <w:color w:val="auto"/>
                <w:w w:val="98"/>
              </w:rPr>
              <w:t>(USD/EUR)</w:t>
            </w:r>
          </w:p>
        </w:tc>
        <w:tc>
          <w:tcPr>
            <w:tcW w:w="1240" w:type="dxa"/>
            <w:vAlign w:val="bottom"/>
          </w:tcPr>
          <w:p>
            <w:pPr>
              <w:jc w:val="center"/>
              <w:spacing w:after="0"/>
              <w:rPr>
                <w:sz w:val="20"/>
                <w:szCs w:val="20"/>
                <w:color w:val="auto"/>
              </w:rPr>
            </w:pPr>
            <w:r>
              <w:rPr>
                <w:rFonts w:ascii="Arial" w:cs="Arial" w:eastAsia="Arial" w:hAnsi="Arial"/>
                <w:sz w:val="15"/>
                <w:szCs w:val="15"/>
                <w:b w:val="1"/>
                <w:bCs w:val="1"/>
                <w:color w:val="auto"/>
                <w:w w:val="88"/>
              </w:rPr>
              <w:t>(in thousands)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40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GasLog</w:t>
            </w:r>
          </w:p>
        </w:tc>
        <w:tc>
          <w:tcPr>
            <w:tcW w:w="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gridSpan w:val="2"/>
            <w:shd w:val="clear" w:color="auto" w:fill="E5FFFF"/>
          </w:tcPr>
          <w:p>
            <w:pPr>
              <w:spacing w:after="0"/>
              <w:rPr>
                <w:sz w:val="20"/>
                <w:szCs w:val="20"/>
                <w:color w:val="auto"/>
              </w:rPr>
            </w:pPr>
            <w:r>
              <w:rPr>
                <w:rFonts w:ascii="Arial" w:cs="Arial" w:eastAsia="Arial" w:hAnsi="Arial"/>
                <w:sz w:val="17"/>
                <w:szCs w:val="17"/>
                <w:color w:val="auto"/>
              </w:rPr>
              <w:t>Nordea Bank Finland</w:t>
            </w:r>
          </w:p>
        </w:tc>
        <w:tc>
          <w:tcPr>
            <w:tcW w:w="240" w:type="dxa"/>
            <w:vAlign w:val="bottom"/>
            <w:tcBorders>
              <w:top w:val="single" w:sz="8" w:color="E5FFFF"/>
            </w:tcBorders>
            <w:gridSpan w:val="2"/>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40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2"/>
              </w:rPr>
              <w:t>August 2018</w:t>
            </w:r>
          </w:p>
        </w:tc>
        <w:tc>
          <w:tcPr>
            <w:tcW w:w="300" w:type="dxa"/>
            <w:vAlign w:val="bottom"/>
            <w:tcBorders>
              <w:top w:val="single" w:sz="8" w:color="E5FFFF"/>
            </w:tcBorders>
            <w:gridSpan w:val="2"/>
            <w:shd w:val="clear" w:color="auto" w:fill="E5FFFF"/>
          </w:tcPr>
          <w:p>
            <w:pPr>
              <w:spacing w:after="0"/>
              <w:rPr>
                <w:sz w:val="18"/>
                <w:szCs w:val="18"/>
                <w:color w:val="auto"/>
              </w:rPr>
            </w:pPr>
          </w:p>
        </w:tc>
        <w:tc>
          <w:tcPr>
            <w:tcW w:w="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Borders>
              <w:top w:val="single" w:sz="8" w:color="E5FFFF"/>
            </w:tcBorders>
            <w:shd w:val="clear" w:color="auto" w:fill="E5FFFF"/>
          </w:tcPr>
          <w:p>
            <w:pPr>
              <w:spacing w:after="0"/>
              <w:rPr>
                <w:sz w:val="18"/>
                <w:szCs w:val="18"/>
                <w:color w:val="auto"/>
              </w:rPr>
            </w:pPr>
          </w:p>
        </w:tc>
        <w:tc>
          <w:tcPr>
            <w:tcW w:w="260" w:type="dxa"/>
            <w:vAlign w:val="bottom"/>
            <w:tcBorders>
              <w:top w:val="single" w:sz="8" w:color="E5FFFF"/>
            </w:tcBorders>
            <w:shd w:val="clear" w:color="auto" w:fill="E5FFFF"/>
          </w:tcPr>
          <w:p>
            <w:pPr>
              <w:spacing w:after="0"/>
              <w:rPr>
                <w:sz w:val="18"/>
                <w:szCs w:val="18"/>
                <w:color w:val="auto"/>
              </w:rPr>
            </w:pPr>
          </w:p>
        </w:tc>
        <w:tc>
          <w:tcPr>
            <w:tcW w:w="40" w:type="dxa"/>
            <w:vAlign w:val="bottom"/>
            <w:tcBorders>
              <w:top w:val="single" w:sz="8" w:color="auto"/>
            </w:tcBorders>
            <w:shd w:val="clear" w:color="auto" w:fill="E5FFFF"/>
          </w:tcPr>
          <w:p>
            <w:pPr>
              <w:spacing w:after="0"/>
              <w:rPr>
                <w:sz w:val="18"/>
                <w:szCs w:val="18"/>
                <w:color w:val="auto"/>
              </w:rPr>
            </w:pPr>
          </w:p>
        </w:tc>
        <w:tc>
          <w:tcPr>
            <w:tcW w:w="152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3"/>
              </w:rPr>
              <w:t>July 2019</w:t>
            </w:r>
          </w:p>
        </w:tc>
        <w:tc>
          <w:tcPr>
            <w:tcW w:w="36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gridSpan w:val="2"/>
            <w:shd w:val="clear" w:color="auto" w:fill="E5FFFF"/>
          </w:tcPr>
          <w:p>
            <w:pPr>
              <w:jc w:val="center"/>
              <w:ind w:left="256"/>
              <w:spacing w:after="0"/>
              <w:rPr>
                <w:sz w:val="20"/>
                <w:szCs w:val="20"/>
                <w:color w:val="auto"/>
              </w:rPr>
            </w:pPr>
            <w:r>
              <w:rPr>
                <w:rFonts w:ascii="Arial" w:cs="Arial" w:eastAsia="Arial" w:hAnsi="Arial"/>
                <w:sz w:val="17"/>
                <w:szCs w:val="17"/>
                <w:color w:val="auto"/>
                <w:w w:val="92"/>
              </w:rPr>
              <w:t>1.1715</w:t>
            </w:r>
          </w:p>
        </w:tc>
        <w:tc>
          <w:tcPr>
            <w:tcW w:w="14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€2,500</w:t>
            </w:r>
          </w:p>
        </w:tc>
        <w:tc>
          <w:tcPr>
            <w:tcW w:w="3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2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2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7"/>
                <w:szCs w:val="17"/>
                <w:color w:val="auto"/>
              </w:rPr>
              <w:t>Nordea Bank Finland</w:t>
            </w:r>
          </w:p>
        </w:tc>
        <w:tc>
          <w:tcPr>
            <w:tcW w:w="1720" w:type="dxa"/>
            <w:vAlign w:val="bottom"/>
            <w:gridSpan w:val="4"/>
          </w:tcPr>
          <w:p>
            <w:pPr>
              <w:jc w:val="center"/>
              <w:ind w:right="360"/>
              <w:spacing w:after="0"/>
              <w:rPr>
                <w:sz w:val="20"/>
                <w:szCs w:val="20"/>
                <w:color w:val="auto"/>
              </w:rPr>
            </w:pPr>
            <w:r>
              <w:rPr>
                <w:rFonts w:ascii="Arial" w:cs="Arial" w:eastAsia="Arial" w:hAnsi="Arial"/>
                <w:sz w:val="17"/>
                <w:szCs w:val="17"/>
                <w:color w:val="auto"/>
                <w:w w:val="92"/>
              </w:rPr>
              <w:t>August 2018</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7"/>
                <w:szCs w:val="17"/>
                <w:color w:val="auto"/>
                <w:w w:val="89"/>
              </w:rPr>
              <w:t>September 2019</w:t>
            </w:r>
          </w:p>
        </w:tc>
        <w:tc>
          <w:tcPr>
            <w:tcW w:w="1300" w:type="dxa"/>
            <w:vAlign w:val="bottom"/>
            <w:gridSpan w:val="2"/>
          </w:tcPr>
          <w:p>
            <w:pPr>
              <w:jc w:val="center"/>
              <w:ind w:left="256"/>
              <w:spacing w:after="0"/>
              <w:rPr>
                <w:sz w:val="20"/>
                <w:szCs w:val="20"/>
                <w:color w:val="auto"/>
              </w:rPr>
            </w:pPr>
            <w:r>
              <w:rPr>
                <w:rFonts w:ascii="Arial" w:cs="Arial" w:eastAsia="Arial" w:hAnsi="Arial"/>
                <w:sz w:val="17"/>
                <w:szCs w:val="17"/>
                <w:color w:val="auto"/>
                <w:w w:val="92"/>
              </w:rPr>
              <w:t>1.1784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20" w:type="dxa"/>
            <w:vAlign w:val="bottom"/>
            <w:shd w:val="clear" w:color="auto" w:fill="E5FFFF"/>
          </w:tcPr>
          <w:p>
            <w:pPr>
              <w:spacing w:after="0"/>
              <w:rPr>
                <w:sz w:val="18"/>
                <w:szCs w:val="18"/>
                <w:color w:val="auto"/>
              </w:rPr>
            </w:pPr>
          </w:p>
        </w:tc>
        <w:tc>
          <w:tcPr>
            <w:tcW w:w="198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DNB</w:t>
            </w:r>
          </w:p>
        </w:tc>
        <w:tc>
          <w:tcPr>
            <w:tcW w:w="1720" w:type="dxa"/>
            <w:vAlign w:val="bottom"/>
            <w:gridSpan w:val="4"/>
            <w:shd w:val="clear" w:color="auto" w:fill="E5FFFF"/>
          </w:tcPr>
          <w:p>
            <w:pPr>
              <w:jc w:val="center"/>
              <w:ind w:right="360"/>
              <w:spacing w:after="0"/>
              <w:rPr>
                <w:sz w:val="20"/>
                <w:szCs w:val="20"/>
                <w:color w:val="auto"/>
              </w:rPr>
            </w:pPr>
            <w:r>
              <w:rPr>
                <w:rFonts w:ascii="Arial" w:cs="Arial" w:eastAsia="Arial" w:hAnsi="Arial"/>
                <w:sz w:val="17"/>
                <w:szCs w:val="17"/>
                <w:color w:val="auto"/>
                <w:w w:val="92"/>
              </w:rPr>
              <w:t>August 2018</w:t>
            </w:r>
          </w:p>
        </w:tc>
        <w:tc>
          <w:tcPr>
            <w:tcW w:w="11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880" w:type="dxa"/>
            <w:vAlign w:val="bottom"/>
            <w:gridSpan w:val="2"/>
            <w:shd w:val="clear" w:color="auto" w:fill="E5FFFF"/>
          </w:tcPr>
          <w:p>
            <w:pPr>
              <w:jc w:val="center"/>
              <w:ind w:right="400"/>
              <w:spacing w:after="0"/>
              <w:rPr>
                <w:sz w:val="20"/>
                <w:szCs w:val="20"/>
                <w:color w:val="auto"/>
              </w:rPr>
            </w:pPr>
            <w:r>
              <w:rPr>
                <w:rFonts w:ascii="Arial" w:cs="Arial" w:eastAsia="Arial" w:hAnsi="Arial"/>
                <w:sz w:val="17"/>
                <w:szCs w:val="17"/>
                <w:color w:val="auto"/>
                <w:w w:val="93"/>
              </w:rPr>
              <w:t>July 2019</w:t>
            </w:r>
          </w:p>
        </w:tc>
        <w:tc>
          <w:tcPr>
            <w:tcW w:w="1300" w:type="dxa"/>
            <w:vAlign w:val="bottom"/>
            <w:gridSpan w:val="2"/>
            <w:shd w:val="clear" w:color="auto" w:fill="E5FFFF"/>
          </w:tcPr>
          <w:p>
            <w:pPr>
              <w:jc w:val="center"/>
              <w:ind w:left="256"/>
              <w:spacing w:after="0"/>
              <w:rPr>
                <w:sz w:val="20"/>
                <w:szCs w:val="20"/>
                <w:color w:val="auto"/>
              </w:rPr>
            </w:pPr>
            <w:r>
              <w:rPr>
                <w:rFonts w:ascii="Arial" w:cs="Arial" w:eastAsia="Arial" w:hAnsi="Arial"/>
                <w:sz w:val="17"/>
                <w:szCs w:val="17"/>
                <w:color w:val="auto"/>
                <w:w w:val="92"/>
              </w:rPr>
              <w:t>1.1711</w:t>
            </w:r>
          </w:p>
        </w:tc>
        <w:tc>
          <w:tcPr>
            <w:tcW w:w="1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€2,500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2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20" w:type="dxa"/>
            <w:vAlign w:val="bottom"/>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7"/>
                <w:szCs w:val="17"/>
                <w:color w:val="auto"/>
              </w:rPr>
              <w:t>DNB</w:t>
            </w:r>
          </w:p>
        </w:tc>
        <w:tc>
          <w:tcPr>
            <w:tcW w:w="1720" w:type="dxa"/>
            <w:vAlign w:val="bottom"/>
            <w:gridSpan w:val="4"/>
          </w:tcPr>
          <w:p>
            <w:pPr>
              <w:jc w:val="center"/>
              <w:ind w:right="360"/>
              <w:spacing w:after="0"/>
              <w:rPr>
                <w:sz w:val="20"/>
                <w:szCs w:val="20"/>
                <w:color w:val="auto"/>
              </w:rPr>
            </w:pPr>
            <w:r>
              <w:rPr>
                <w:rFonts w:ascii="Arial" w:cs="Arial" w:eastAsia="Arial" w:hAnsi="Arial"/>
                <w:sz w:val="17"/>
                <w:szCs w:val="17"/>
                <w:color w:val="auto"/>
                <w:w w:val="92"/>
              </w:rPr>
              <w:t>August 2018</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7"/>
                <w:szCs w:val="17"/>
                <w:color w:val="auto"/>
                <w:w w:val="92"/>
              </w:rPr>
              <w:t>August 2019</w:t>
            </w:r>
          </w:p>
        </w:tc>
        <w:tc>
          <w:tcPr>
            <w:tcW w:w="1300" w:type="dxa"/>
            <w:vAlign w:val="bottom"/>
            <w:gridSpan w:val="2"/>
          </w:tcPr>
          <w:p>
            <w:pPr>
              <w:jc w:val="center"/>
              <w:ind w:left="256"/>
              <w:spacing w:after="0"/>
              <w:rPr>
                <w:sz w:val="20"/>
                <w:szCs w:val="20"/>
                <w:color w:val="auto"/>
              </w:rPr>
            </w:pPr>
            <w:r>
              <w:rPr>
                <w:rFonts w:ascii="Arial" w:cs="Arial" w:eastAsia="Arial" w:hAnsi="Arial"/>
                <w:sz w:val="17"/>
                <w:szCs w:val="17"/>
                <w:color w:val="auto"/>
                <w:w w:val="92"/>
              </w:rPr>
              <w:t>1.1747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€5,000</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2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7"/>
                <w:szCs w:val="17"/>
                <w:color w:val="auto"/>
              </w:rPr>
              <w:t>Citibank</w:t>
            </w:r>
          </w:p>
        </w:tc>
        <w:tc>
          <w:tcPr>
            <w:tcW w:w="1720" w:type="dxa"/>
            <w:vAlign w:val="bottom"/>
            <w:gridSpan w:val="4"/>
          </w:tcPr>
          <w:p>
            <w:pPr>
              <w:jc w:val="center"/>
              <w:ind w:right="340"/>
              <w:spacing w:after="0"/>
              <w:rPr>
                <w:sz w:val="20"/>
                <w:szCs w:val="20"/>
                <w:color w:val="auto"/>
              </w:rPr>
            </w:pPr>
            <w:r>
              <w:rPr>
                <w:rFonts w:ascii="Arial" w:cs="Arial" w:eastAsia="Arial" w:hAnsi="Arial"/>
                <w:sz w:val="17"/>
                <w:szCs w:val="17"/>
                <w:color w:val="auto"/>
                <w:w w:val="91"/>
              </w:rPr>
              <w:t>March 2019</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7"/>
                <w:szCs w:val="17"/>
                <w:color w:val="auto"/>
                <w:w w:val="93"/>
              </w:rPr>
              <w:t>July 2019</w:t>
            </w:r>
          </w:p>
        </w:tc>
        <w:tc>
          <w:tcPr>
            <w:tcW w:w="1300" w:type="dxa"/>
            <w:vAlign w:val="bottom"/>
            <w:gridSpan w:val="2"/>
          </w:tcPr>
          <w:p>
            <w:pPr>
              <w:jc w:val="center"/>
              <w:ind w:left="296"/>
              <w:spacing w:after="0"/>
              <w:rPr>
                <w:sz w:val="20"/>
                <w:szCs w:val="20"/>
                <w:color w:val="auto"/>
              </w:rPr>
            </w:pPr>
            <w:r>
              <w:rPr>
                <w:rFonts w:ascii="Arial" w:cs="Arial" w:eastAsia="Arial" w:hAnsi="Arial"/>
                <w:sz w:val="17"/>
                <w:szCs w:val="17"/>
                <w:color w:val="auto"/>
                <w:w w:val="92"/>
              </w:rPr>
              <w:t>1.1470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4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20" w:type="dxa"/>
            <w:vAlign w:val="bottom"/>
            <w:shd w:val="clear" w:color="auto" w:fill="E5FFFF"/>
          </w:tcPr>
          <w:p>
            <w:pPr>
              <w:spacing w:after="0"/>
              <w:rPr>
                <w:sz w:val="19"/>
                <w:szCs w:val="19"/>
                <w:color w:val="auto"/>
              </w:rPr>
            </w:pPr>
          </w:p>
        </w:tc>
        <w:tc>
          <w:tcPr>
            <w:tcW w:w="198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Citibank</w:t>
            </w:r>
          </w:p>
        </w:tc>
        <w:tc>
          <w:tcPr>
            <w:tcW w:w="1720" w:type="dxa"/>
            <w:vAlign w:val="bottom"/>
            <w:gridSpan w:val="4"/>
            <w:shd w:val="clear" w:color="auto" w:fill="E5FFFF"/>
          </w:tcPr>
          <w:p>
            <w:pPr>
              <w:jc w:val="center"/>
              <w:ind w:right="340"/>
              <w:spacing w:after="0"/>
              <w:rPr>
                <w:sz w:val="20"/>
                <w:szCs w:val="20"/>
                <w:color w:val="auto"/>
              </w:rPr>
            </w:pPr>
            <w:r>
              <w:rPr>
                <w:rFonts w:ascii="Arial" w:cs="Arial" w:eastAsia="Arial" w:hAnsi="Arial"/>
                <w:sz w:val="17"/>
                <w:szCs w:val="17"/>
                <w:color w:val="auto"/>
                <w:w w:val="91"/>
              </w:rPr>
              <w:t>March 2019</w:t>
            </w:r>
          </w:p>
        </w:tc>
        <w:tc>
          <w:tcPr>
            <w:tcW w:w="11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1880" w:type="dxa"/>
            <w:vAlign w:val="bottom"/>
            <w:gridSpan w:val="2"/>
            <w:shd w:val="clear" w:color="auto" w:fill="E5FFFF"/>
          </w:tcPr>
          <w:p>
            <w:pPr>
              <w:jc w:val="center"/>
              <w:ind w:right="400"/>
              <w:spacing w:after="0"/>
              <w:rPr>
                <w:sz w:val="20"/>
                <w:szCs w:val="20"/>
                <w:color w:val="auto"/>
              </w:rPr>
            </w:pPr>
            <w:r>
              <w:rPr>
                <w:rFonts w:ascii="Arial" w:cs="Arial" w:eastAsia="Arial" w:hAnsi="Arial"/>
                <w:sz w:val="17"/>
                <w:szCs w:val="17"/>
                <w:color w:val="auto"/>
                <w:w w:val="92"/>
              </w:rPr>
              <w:t>August 2019</w:t>
            </w:r>
          </w:p>
        </w:tc>
        <w:tc>
          <w:tcPr>
            <w:tcW w:w="1300" w:type="dxa"/>
            <w:vAlign w:val="bottom"/>
            <w:gridSpan w:val="2"/>
            <w:shd w:val="clear" w:color="auto" w:fill="E5FFFF"/>
          </w:tcPr>
          <w:p>
            <w:pPr>
              <w:jc w:val="center"/>
              <w:ind w:left="296"/>
              <w:spacing w:after="0"/>
              <w:rPr>
                <w:sz w:val="20"/>
                <w:szCs w:val="20"/>
                <w:color w:val="auto"/>
              </w:rPr>
            </w:pPr>
            <w:r>
              <w:rPr>
                <w:rFonts w:ascii="Arial" w:cs="Arial" w:eastAsia="Arial" w:hAnsi="Arial"/>
                <w:sz w:val="17"/>
                <w:szCs w:val="17"/>
                <w:color w:val="auto"/>
                <w:w w:val="92"/>
              </w:rPr>
              <w:t>1.1501</w:t>
            </w:r>
          </w:p>
        </w:tc>
        <w:tc>
          <w:tcPr>
            <w:tcW w:w="1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€1,000</w:t>
            </w:r>
          </w:p>
        </w:tc>
        <w:tc>
          <w:tcPr>
            <w:tcW w:w="300" w:type="dxa"/>
            <w:vAlign w:val="bottom"/>
            <w:shd w:val="clear" w:color="auto" w:fill="E5FF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20" w:type="dxa"/>
            <w:vAlign w:val="bottom"/>
            <w:gridSpan w:val="2"/>
          </w:tcPr>
          <w:p>
            <w:pPr>
              <w:spacing w:after="0"/>
              <w:rPr>
                <w:sz w:val="20"/>
                <w:szCs w:val="20"/>
                <w:color w:val="auto"/>
              </w:rPr>
            </w:pPr>
            <w:r>
              <w:rPr>
                <w:rFonts w:ascii="Arial" w:cs="Arial" w:eastAsia="Arial" w:hAnsi="Arial"/>
                <w:sz w:val="17"/>
                <w:szCs w:val="17"/>
                <w:color w:val="auto"/>
              </w:rPr>
              <w:t>GasLog</w:t>
            </w:r>
          </w:p>
        </w:tc>
        <w:tc>
          <w:tcPr>
            <w:tcW w:w="120" w:type="dxa"/>
            <w:vAlign w:val="bottom"/>
          </w:tcPr>
          <w:p>
            <w:pPr>
              <w:spacing w:after="0"/>
              <w:rPr>
                <w:sz w:val="18"/>
                <w:szCs w:val="18"/>
                <w:color w:val="auto"/>
              </w:rPr>
            </w:pPr>
          </w:p>
        </w:tc>
        <w:tc>
          <w:tcPr>
            <w:tcW w:w="1980" w:type="dxa"/>
            <w:vAlign w:val="bottom"/>
            <w:gridSpan w:val="5"/>
          </w:tcPr>
          <w:p>
            <w:pPr>
              <w:spacing w:after="0"/>
              <w:rPr>
                <w:sz w:val="20"/>
                <w:szCs w:val="20"/>
                <w:color w:val="auto"/>
              </w:rPr>
            </w:pPr>
            <w:r>
              <w:rPr>
                <w:rFonts w:ascii="Arial" w:cs="Arial" w:eastAsia="Arial" w:hAnsi="Arial"/>
                <w:sz w:val="17"/>
                <w:szCs w:val="17"/>
                <w:color w:val="auto"/>
              </w:rPr>
              <w:t>Citibank</w:t>
            </w:r>
          </w:p>
        </w:tc>
        <w:tc>
          <w:tcPr>
            <w:tcW w:w="1720" w:type="dxa"/>
            <w:vAlign w:val="bottom"/>
            <w:gridSpan w:val="4"/>
          </w:tcPr>
          <w:p>
            <w:pPr>
              <w:jc w:val="center"/>
              <w:ind w:right="340"/>
              <w:spacing w:after="0"/>
              <w:rPr>
                <w:sz w:val="20"/>
                <w:szCs w:val="20"/>
                <w:color w:val="auto"/>
              </w:rPr>
            </w:pPr>
            <w:r>
              <w:rPr>
                <w:rFonts w:ascii="Arial" w:cs="Arial" w:eastAsia="Arial" w:hAnsi="Arial"/>
                <w:sz w:val="17"/>
                <w:szCs w:val="17"/>
                <w:color w:val="auto"/>
                <w:w w:val="91"/>
              </w:rPr>
              <w:t>March 2019</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7"/>
                <w:szCs w:val="17"/>
                <w:color w:val="auto"/>
                <w:w w:val="89"/>
              </w:rPr>
              <w:t>September 2019</w:t>
            </w:r>
          </w:p>
        </w:tc>
        <w:tc>
          <w:tcPr>
            <w:tcW w:w="1300" w:type="dxa"/>
            <w:vAlign w:val="bottom"/>
            <w:gridSpan w:val="2"/>
          </w:tcPr>
          <w:p>
            <w:pPr>
              <w:jc w:val="center"/>
              <w:ind w:left="296"/>
              <w:spacing w:after="0"/>
              <w:rPr>
                <w:sz w:val="20"/>
                <w:szCs w:val="20"/>
                <w:color w:val="auto"/>
              </w:rPr>
            </w:pPr>
            <w:r>
              <w:rPr>
                <w:rFonts w:ascii="Arial" w:cs="Arial" w:eastAsia="Arial" w:hAnsi="Arial"/>
                <w:sz w:val="17"/>
                <w:szCs w:val="17"/>
                <w:color w:val="auto"/>
                <w:w w:val="92"/>
              </w:rPr>
              <w:t>1.1531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4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98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Oversea-Chinese</w:t>
            </w:r>
          </w:p>
        </w:tc>
        <w:tc>
          <w:tcPr>
            <w:tcW w:w="14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11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5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4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8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Banking Corporation</w:t>
            </w:r>
          </w:p>
        </w:tc>
        <w:tc>
          <w:tcPr>
            <w:tcW w:w="14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5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98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Limited (“OCBC</w:t>
            </w:r>
          </w:p>
        </w:tc>
        <w:tc>
          <w:tcPr>
            <w:tcW w:w="14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15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GasLog</w:t>
            </w:r>
          </w:p>
        </w:tc>
        <w:tc>
          <w:tcPr>
            <w:tcW w:w="120" w:type="dxa"/>
            <w:vAlign w:val="bottom"/>
            <w:shd w:val="clear" w:color="auto" w:fill="E5FFFF"/>
          </w:tcPr>
          <w:p>
            <w:pPr>
              <w:spacing w:after="0"/>
              <w:rPr>
                <w:sz w:val="19"/>
                <w:szCs w:val="19"/>
                <w:color w:val="auto"/>
              </w:rPr>
            </w:pPr>
          </w:p>
        </w:tc>
        <w:tc>
          <w:tcPr>
            <w:tcW w:w="1980" w:type="dxa"/>
            <w:vAlign w:val="bottom"/>
            <w:gridSpan w:val="5"/>
            <w:shd w:val="clear" w:color="auto" w:fill="E5FFFF"/>
          </w:tcPr>
          <w:p>
            <w:pPr>
              <w:spacing w:after="0"/>
              <w:rPr>
                <w:sz w:val="20"/>
                <w:szCs w:val="20"/>
                <w:color w:val="auto"/>
              </w:rPr>
            </w:pPr>
            <w:r>
              <w:rPr>
                <w:rFonts w:ascii="Arial" w:cs="Arial" w:eastAsia="Arial" w:hAnsi="Arial"/>
                <w:sz w:val="17"/>
                <w:szCs w:val="17"/>
                <w:color w:val="auto"/>
              </w:rPr>
              <w:t>Bank”)</w:t>
            </w:r>
          </w:p>
        </w:tc>
        <w:tc>
          <w:tcPr>
            <w:tcW w:w="1720" w:type="dxa"/>
            <w:vAlign w:val="bottom"/>
            <w:gridSpan w:val="4"/>
            <w:shd w:val="clear" w:color="auto" w:fill="E5FFFF"/>
          </w:tcPr>
          <w:p>
            <w:pPr>
              <w:jc w:val="center"/>
              <w:ind w:right="340"/>
              <w:spacing w:after="0"/>
              <w:rPr>
                <w:sz w:val="20"/>
                <w:szCs w:val="20"/>
                <w:color w:val="auto"/>
              </w:rPr>
            </w:pPr>
            <w:r>
              <w:rPr>
                <w:rFonts w:ascii="Arial" w:cs="Arial" w:eastAsia="Arial" w:hAnsi="Arial"/>
                <w:sz w:val="17"/>
                <w:szCs w:val="17"/>
                <w:color w:val="auto"/>
                <w:w w:val="91"/>
              </w:rPr>
              <w:t>March 2019</w:t>
            </w:r>
          </w:p>
        </w:tc>
        <w:tc>
          <w:tcPr>
            <w:tcW w:w="1120" w:type="dxa"/>
            <w:vAlign w:val="bottom"/>
            <w:shd w:val="clear" w:color="auto" w:fill="E5FFFF"/>
          </w:tcPr>
          <w:p>
            <w:pPr>
              <w:jc w:val="center"/>
              <w:spacing w:after="0"/>
              <w:rPr>
                <w:sz w:val="20"/>
                <w:szCs w:val="20"/>
                <w:color w:val="auto"/>
              </w:rPr>
            </w:pPr>
            <w:r>
              <w:rPr>
                <w:rFonts w:ascii="Arial" w:cs="Arial" w:eastAsia="Arial" w:hAnsi="Arial"/>
                <w:sz w:val="17"/>
                <w:szCs w:val="17"/>
                <w:color w:val="auto"/>
                <w:w w:val="84"/>
              </w:rPr>
              <w:t>3</w:t>
            </w:r>
          </w:p>
        </w:tc>
        <w:tc>
          <w:tcPr>
            <w:tcW w:w="20" w:type="dxa"/>
            <w:vAlign w:val="bottom"/>
            <w:shd w:val="clear" w:color="auto" w:fill="E5FFFF"/>
          </w:tcPr>
          <w:p>
            <w:pPr>
              <w:spacing w:after="0"/>
              <w:rPr>
                <w:sz w:val="19"/>
                <w:szCs w:val="19"/>
                <w:color w:val="auto"/>
              </w:rPr>
            </w:pPr>
          </w:p>
        </w:tc>
        <w:tc>
          <w:tcPr>
            <w:tcW w:w="260" w:type="dxa"/>
            <w:vAlign w:val="bottom"/>
            <w:shd w:val="clear" w:color="auto" w:fill="E5FFFF"/>
          </w:tcPr>
          <w:p>
            <w:pPr>
              <w:spacing w:after="0"/>
              <w:rPr>
                <w:sz w:val="19"/>
                <w:szCs w:val="19"/>
                <w:color w:val="auto"/>
              </w:rPr>
            </w:pPr>
          </w:p>
        </w:tc>
        <w:tc>
          <w:tcPr>
            <w:tcW w:w="40" w:type="dxa"/>
            <w:vAlign w:val="bottom"/>
            <w:shd w:val="clear" w:color="auto" w:fill="E5FFFF"/>
          </w:tcPr>
          <w:p>
            <w:pPr>
              <w:spacing w:after="0"/>
              <w:rPr>
                <w:sz w:val="19"/>
                <w:szCs w:val="19"/>
                <w:color w:val="auto"/>
              </w:rPr>
            </w:pPr>
          </w:p>
        </w:tc>
        <w:tc>
          <w:tcPr>
            <w:tcW w:w="1880" w:type="dxa"/>
            <w:vAlign w:val="bottom"/>
            <w:gridSpan w:val="2"/>
            <w:shd w:val="clear" w:color="auto" w:fill="E5FFFF"/>
          </w:tcPr>
          <w:p>
            <w:pPr>
              <w:jc w:val="center"/>
              <w:ind w:right="380"/>
              <w:spacing w:after="0"/>
              <w:rPr>
                <w:sz w:val="20"/>
                <w:szCs w:val="20"/>
                <w:color w:val="auto"/>
              </w:rPr>
            </w:pPr>
            <w:r>
              <w:rPr>
                <w:rFonts w:ascii="Arial" w:cs="Arial" w:eastAsia="Arial" w:hAnsi="Arial"/>
                <w:sz w:val="17"/>
                <w:szCs w:val="17"/>
                <w:color w:val="auto"/>
                <w:w w:val="90"/>
              </w:rPr>
              <w:t>July-September 2019</w:t>
            </w:r>
          </w:p>
        </w:tc>
        <w:tc>
          <w:tcPr>
            <w:tcW w:w="1300" w:type="dxa"/>
            <w:vAlign w:val="bottom"/>
            <w:gridSpan w:val="2"/>
            <w:shd w:val="clear" w:color="auto" w:fill="E5FFFF"/>
          </w:tcPr>
          <w:p>
            <w:pPr>
              <w:jc w:val="center"/>
              <w:ind w:left="256"/>
              <w:spacing w:after="0"/>
              <w:rPr>
                <w:sz w:val="20"/>
                <w:szCs w:val="20"/>
                <w:color w:val="auto"/>
              </w:rPr>
            </w:pPr>
            <w:r>
              <w:rPr>
                <w:rFonts w:ascii="Arial" w:cs="Arial" w:eastAsia="Arial" w:hAnsi="Arial"/>
                <w:sz w:val="17"/>
                <w:szCs w:val="17"/>
                <w:color w:val="auto"/>
                <w:w w:val="91"/>
              </w:rPr>
              <w:t>1.14395</w:t>
            </w:r>
          </w:p>
        </w:tc>
        <w:tc>
          <w:tcPr>
            <w:tcW w:w="1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€3,000</w:t>
            </w:r>
          </w:p>
        </w:tc>
        <w:tc>
          <w:tcPr>
            <w:tcW w:w="300" w:type="dxa"/>
            <w:vAlign w:val="bottom"/>
            <w:shd w:val="clear" w:color="auto" w:fill="E5FF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Total</w:t>
            </w:r>
          </w:p>
        </w:tc>
        <w:tc>
          <w:tcPr>
            <w:tcW w:w="600" w:type="dxa"/>
            <w:vAlign w:val="bottom"/>
            <w:gridSpan w:val="3"/>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€21,000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4"/>
            <w:vMerge w:val="restart"/>
          </w:tcPr>
          <w:p>
            <w:pPr>
              <w:ind w:left="600"/>
              <w:spacing w:after="0"/>
              <w:rPr>
                <w:sz w:val="20"/>
                <w:szCs w:val="20"/>
                <w:color w:val="auto"/>
              </w:rPr>
            </w:pPr>
            <w:r>
              <w:rPr>
                <w:rFonts w:ascii="Arial" w:cs="Arial" w:eastAsia="Arial" w:hAnsi="Arial"/>
                <w:sz w:val="17"/>
                <w:szCs w:val="17"/>
                <w:color w:val="auto"/>
              </w:rPr>
              <w:t>F-18</w:t>
            </w: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4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09" w:right="80" w:bottom="227" w:gutter="0" w:footer="0" w:header="0"/>
        </w:sectPr>
      </w:pPr>
    </w:p>
    <w:bookmarkStart w:id="47" w:name="page48"/>
    <w:bookmarkEnd w:id="47"/>
    <w:p>
      <w:pPr>
        <w:jc w:val="both"/>
        <w:ind w:right="120" w:firstLine="376"/>
        <w:spacing w:after="0" w:line="300" w:lineRule="auto"/>
        <w:rPr>
          <w:sz w:val="20"/>
          <w:szCs w:val="20"/>
          <w:color w:val="auto"/>
        </w:rPr>
      </w:pPr>
      <w:r>
        <w:rPr>
          <w:rFonts w:ascii="Arial" w:cs="Arial" w:eastAsia="Arial" w:hAnsi="Arial"/>
          <w:sz w:val="16"/>
          <w:szCs w:val="16"/>
          <w:color w:val="auto"/>
        </w:rPr>
        <w:t>The derivative instruments listed above were not designated as cash flow hedging instruments as of June 30, 2019. The change in the fair value of these contracts for the three and six months ended June 30, 2019 amounted to a net gain of $1,170 and a net gain of $774, respectively (for the three and six months ended June 30, 2018: a net loss of $3,764 and $2,916, respectively), which was recognized against profit or loss in the period incurred and is included in Gain on derivatives.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60" w:type="dxa"/>
            <w:vAlign w:val="bottom"/>
            <w:gridSpan w:val="2"/>
          </w:tcPr>
          <w:p>
            <w:pPr>
              <w:spacing w:after="0"/>
              <w:rPr>
                <w:sz w:val="20"/>
                <w:szCs w:val="20"/>
                <w:color w:val="auto"/>
              </w:rPr>
            </w:pPr>
            <w:r>
              <w:rPr>
                <w:rFonts w:ascii="Arial" w:cs="Arial" w:eastAsia="Arial" w:hAnsi="Arial"/>
                <w:sz w:val="17"/>
                <w:szCs w:val="17"/>
                <w:b w:val="1"/>
                <w:bCs w:val="1"/>
                <w:color w:val="auto"/>
              </w:rPr>
              <w:t>16. Financial Costs and (Gain)/Loss on Derivatives</w:t>
            </w: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42"/>
        </w:trPr>
        <w:tc>
          <w:tcPr>
            <w:tcW w:w="4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7"/>
                <w:szCs w:val="17"/>
                <w:color w:val="auto"/>
                <w:w w:val="94"/>
              </w:rPr>
              <w:t>An analysis of financial costs and (gain)/loss on derivatives is as follows:</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2"/>
        </w:trPr>
        <w:tc>
          <w:tcPr>
            <w:tcW w:w="4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gridSpan w:val="5"/>
          </w:tcPr>
          <w:p>
            <w:pPr>
              <w:jc w:val="right"/>
              <w:ind w:right="740"/>
              <w:spacing w:after="0"/>
              <w:rPr>
                <w:sz w:val="20"/>
                <w:szCs w:val="20"/>
                <w:color w:val="auto"/>
              </w:rPr>
            </w:pPr>
            <w:r>
              <w:rPr>
                <w:rFonts w:ascii="Arial" w:cs="Arial" w:eastAsia="Arial" w:hAnsi="Arial"/>
                <w:sz w:val="17"/>
                <w:szCs w:val="17"/>
                <w:b w:val="1"/>
                <w:bCs w:val="1"/>
                <w:color w:val="auto"/>
              </w:rPr>
              <w:t>For the three months ended</w:t>
            </w:r>
          </w:p>
        </w:tc>
        <w:tc>
          <w:tcPr>
            <w:tcW w:w="40" w:type="dxa"/>
            <w:vAlign w:val="bottom"/>
          </w:tcPr>
          <w:p>
            <w:pPr>
              <w:spacing w:after="0"/>
              <w:rPr>
                <w:sz w:val="24"/>
                <w:szCs w:val="24"/>
                <w:color w:val="auto"/>
              </w:rPr>
            </w:pPr>
          </w:p>
        </w:tc>
        <w:tc>
          <w:tcPr>
            <w:tcW w:w="2980" w:type="dxa"/>
            <w:vAlign w:val="bottom"/>
            <w:gridSpan w:val="5"/>
          </w:tcPr>
          <w:p>
            <w:pPr>
              <w:ind w:left="520"/>
              <w:spacing w:after="0"/>
              <w:rPr>
                <w:sz w:val="20"/>
                <w:szCs w:val="20"/>
                <w:color w:val="auto"/>
              </w:rPr>
            </w:pPr>
            <w:r>
              <w:rPr>
                <w:rFonts w:ascii="Arial" w:cs="Arial" w:eastAsia="Arial" w:hAnsi="Arial"/>
                <w:sz w:val="17"/>
                <w:szCs w:val="17"/>
                <w:b w:val="1"/>
                <w:bCs w:val="1"/>
                <w:color w:val="auto"/>
              </w:rPr>
              <w:t>For the six months ended</w:t>
            </w:r>
          </w:p>
        </w:tc>
      </w:tr>
      <w:tr>
        <w:trPr>
          <w:trHeight w:val="232"/>
        </w:trPr>
        <w:tc>
          <w:tcPr>
            <w:tcW w:w="4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w w:val="86"/>
              </w:rPr>
              <w:t>June 30, 2018</w:t>
            </w:r>
          </w:p>
        </w:tc>
        <w:tc>
          <w:tcPr>
            <w:tcW w:w="1600" w:type="dxa"/>
            <w:vAlign w:val="bottom"/>
            <w:gridSpan w:val="3"/>
          </w:tcPr>
          <w:p>
            <w:pPr>
              <w:jc w:val="right"/>
              <w:ind w:right="620"/>
              <w:spacing w:after="0"/>
              <w:rPr>
                <w:sz w:val="20"/>
                <w:szCs w:val="20"/>
                <w:color w:val="auto"/>
              </w:rPr>
            </w:pPr>
            <w:r>
              <w:rPr>
                <w:rFonts w:ascii="Arial" w:cs="Arial" w:eastAsia="Arial" w:hAnsi="Arial"/>
                <w:sz w:val="17"/>
                <w:szCs w:val="17"/>
                <w:b w:val="1"/>
                <w:bCs w:val="1"/>
                <w:color w:val="auto"/>
                <w:w w:val="86"/>
              </w:rPr>
              <w:t>June 30, 2019</w:t>
            </w:r>
          </w:p>
        </w:tc>
        <w:tc>
          <w:tcPr>
            <w:tcW w:w="1580" w:type="dxa"/>
            <w:vAlign w:val="bottom"/>
            <w:gridSpan w:val="3"/>
          </w:tcPr>
          <w:p>
            <w:pPr>
              <w:jc w:val="right"/>
              <w:ind w:right="520"/>
              <w:spacing w:after="0"/>
              <w:rPr>
                <w:sz w:val="20"/>
                <w:szCs w:val="20"/>
                <w:color w:val="auto"/>
              </w:rPr>
            </w:pPr>
            <w:r>
              <w:rPr>
                <w:rFonts w:ascii="Arial" w:cs="Arial" w:eastAsia="Arial" w:hAnsi="Arial"/>
                <w:sz w:val="17"/>
                <w:szCs w:val="17"/>
                <w:b w:val="1"/>
                <w:bCs w:val="1"/>
                <w:color w:val="auto"/>
                <w:w w:val="86"/>
              </w:rPr>
              <w:t>June 30, 2018</w:t>
            </w:r>
          </w:p>
        </w:tc>
        <w:tc>
          <w:tcPr>
            <w:tcW w:w="1440" w:type="dxa"/>
            <w:vAlign w:val="bottom"/>
            <w:gridSpan w:val="3"/>
          </w:tcPr>
          <w:p>
            <w:pPr>
              <w:spacing w:after="0"/>
              <w:rPr>
                <w:sz w:val="20"/>
                <w:szCs w:val="20"/>
                <w:color w:val="auto"/>
              </w:rPr>
            </w:pPr>
            <w:r>
              <w:rPr>
                <w:rFonts w:ascii="Arial" w:cs="Arial" w:eastAsia="Arial" w:hAnsi="Arial"/>
                <w:sz w:val="17"/>
                <w:szCs w:val="17"/>
                <w:b w:val="1"/>
                <w:bCs w:val="1"/>
                <w:color w:val="auto"/>
              </w:rPr>
              <w:t>June 30, 2019</w:t>
            </w:r>
          </w:p>
        </w:tc>
      </w:tr>
      <w:tr>
        <w:trPr>
          <w:trHeight w:val="212"/>
        </w:trPr>
        <w:tc>
          <w:tcPr>
            <w:tcW w:w="420" w:type="dxa"/>
            <w:vAlign w:val="bottom"/>
          </w:tcPr>
          <w:p>
            <w:pPr>
              <w:spacing w:after="0"/>
              <w:rPr>
                <w:sz w:val="18"/>
                <w:szCs w:val="18"/>
                <w:color w:val="auto"/>
              </w:rPr>
            </w:pPr>
          </w:p>
        </w:tc>
        <w:tc>
          <w:tcPr>
            <w:tcW w:w="51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w w:val="93"/>
              </w:rPr>
              <w:t>Amortization and write-off of deferred loan/bond issuance costs/premium</w:t>
            </w: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3,232</w:t>
            </w:r>
          </w:p>
        </w:tc>
        <w:tc>
          <w:tcPr>
            <w:tcW w:w="26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3,224</w:t>
            </w:r>
          </w:p>
        </w:tc>
        <w:tc>
          <w:tcPr>
            <w:tcW w:w="280" w:type="dxa"/>
            <w:vAlign w:val="bottom"/>
            <w:tcBorders>
              <w:top w:val="single" w:sz="8" w:color="E5FFFF"/>
            </w:tcBorders>
            <w:shd w:val="clear" w:color="auto" w:fill="E5FFFF"/>
          </w:tcPr>
          <w:p>
            <w:pPr>
              <w:spacing w:after="0"/>
              <w:rPr>
                <w:sz w:val="18"/>
                <w:szCs w:val="18"/>
                <w:color w:val="auto"/>
              </w:rPr>
            </w:pPr>
          </w:p>
        </w:tc>
        <w:tc>
          <w:tcPr>
            <w:tcW w:w="130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6,144</w:t>
            </w:r>
          </w:p>
        </w:tc>
        <w:tc>
          <w:tcPr>
            <w:tcW w:w="28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7,385</w:t>
            </w:r>
          </w:p>
        </w:tc>
        <w:tc>
          <w:tcPr>
            <w:tcW w:w="60" w:type="dxa"/>
            <w:vAlign w:val="bottom"/>
          </w:tcPr>
          <w:p>
            <w:pPr>
              <w:spacing w:after="0"/>
              <w:rPr>
                <w:sz w:val="18"/>
                <w:szCs w:val="18"/>
                <w:color w:val="auto"/>
              </w:rPr>
            </w:pPr>
          </w:p>
        </w:tc>
      </w:tr>
      <w:tr>
        <w:trPr>
          <w:trHeight w:val="214"/>
        </w:trPr>
        <w:tc>
          <w:tcPr>
            <w:tcW w:w="4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Interest expense on loans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28,066</w:t>
            </w: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32,383</w:t>
            </w: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51,263</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62,974</w:t>
            </w:r>
          </w:p>
        </w:tc>
        <w:tc>
          <w:tcPr>
            <w:tcW w:w="60" w:type="dxa"/>
            <w:vAlign w:val="bottom"/>
          </w:tcPr>
          <w:p>
            <w:pPr>
              <w:spacing w:after="0"/>
              <w:rPr>
                <w:sz w:val="18"/>
                <w:szCs w:val="18"/>
                <w:color w:val="auto"/>
              </w:rPr>
            </w:pPr>
          </w:p>
        </w:tc>
      </w:tr>
      <w:tr>
        <w:trPr>
          <w:trHeight w:val="214"/>
        </w:trPr>
        <w:tc>
          <w:tcPr>
            <w:tcW w:w="420" w:type="dxa"/>
            <w:vAlign w:val="bottom"/>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7"/>
                <w:szCs w:val="17"/>
                <w:color w:val="auto"/>
              </w:rPr>
              <w:t>Interest expense on bonds and realized loss on CCS</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7,442</w:t>
            </w:r>
          </w:p>
        </w:tc>
        <w:tc>
          <w:tcPr>
            <w:tcW w:w="2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8,256</w:t>
            </w:r>
          </w:p>
        </w:tc>
        <w:tc>
          <w:tcPr>
            <w:tcW w:w="28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14,915</w:t>
            </w:r>
          </w:p>
        </w:tc>
        <w:tc>
          <w:tcPr>
            <w:tcW w:w="28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15,739</w:t>
            </w:r>
          </w:p>
        </w:tc>
        <w:tc>
          <w:tcPr>
            <w:tcW w:w="60" w:type="dxa"/>
            <w:vAlign w:val="bottom"/>
          </w:tcPr>
          <w:p>
            <w:pPr>
              <w:spacing w:after="0"/>
              <w:rPr>
                <w:sz w:val="18"/>
                <w:szCs w:val="18"/>
                <w:color w:val="auto"/>
              </w:rPr>
            </w:pPr>
          </w:p>
        </w:tc>
      </w:tr>
      <w:tr>
        <w:trPr>
          <w:trHeight w:val="214"/>
        </w:trPr>
        <w:tc>
          <w:tcPr>
            <w:tcW w:w="4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Lease charge</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2,634</w:t>
            </w: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2,635</w:t>
            </w: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5,262</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5,264</w:t>
            </w:r>
          </w:p>
        </w:tc>
        <w:tc>
          <w:tcPr>
            <w:tcW w:w="60" w:type="dxa"/>
            <w:vAlign w:val="bottom"/>
          </w:tcPr>
          <w:p>
            <w:pPr>
              <w:spacing w:after="0"/>
              <w:rPr>
                <w:sz w:val="18"/>
                <w:szCs w:val="18"/>
                <w:color w:val="auto"/>
              </w:rPr>
            </w:pPr>
          </w:p>
        </w:tc>
      </w:tr>
      <w:tr>
        <w:trPr>
          <w:trHeight w:val="214"/>
        </w:trPr>
        <w:tc>
          <w:tcPr>
            <w:tcW w:w="420" w:type="dxa"/>
            <w:vAlign w:val="bottom"/>
          </w:tcPr>
          <w:p>
            <w:pPr>
              <w:spacing w:after="0"/>
              <w:rPr>
                <w:sz w:val="18"/>
                <w:szCs w:val="18"/>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7"/>
                <w:szCs w:val="17"/>
                <w:color w:val="auto"/>
              </w:rPr>
              <w:t>Other financial costs</w:t>
            </w:r>
          </w:p>
        </w:tc>
        <w:tc>
          <w:tcPr>
            <w:tcW w:w="134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626</w:t>
            </w:r>
          </w:p>
        </w:tc>
        <w:tc>
          <w:tcPr>
            <w:tcW w:w="260" w:type="dxa"/>
            <w:vAlign w:val="bottom"/>
            <w:shd w:val="clear" w:color="auto" w:fill="E5FFFF"/>
          </w:tcPr>
          <w:p>
            <w:pPr>
              <w:spacing w:after="0"/>
              <w:rPr>
                <w:sz w:val="18"/>
                <w:szCs w:val="18"/>
                <w:color w:val="auto"/>
              </w:rPr>
            </w:pP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399</w:t>
            </w:r>
          </w:p>
        </w:tc>
        <w:tc>
          <w:tcPr>
            <w:tcW w:w="280" w:type="dxa"/>
            <w:vAlign w:val="bottom"/>
            <w:shd w:val="clear" w:color="auto" w:fill="E5FFFF"/>
          </w:tcPr>
          <w:p>
            <w:pPr>
              <w:spacing w:after="0"/>
              <w:rPr>
                <w:sz w:val="18"/>
                <w:szCs w:val="18"/>
                <w:color w:val="auto"/>
              </w:rPr>
            </w:pPr>
          </w:p>
        </w:tc>
        <w:tc>
          <w:tcPr>
            <w:tcW w:w="130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1,013</w:t>
            </w:r>
          </w:p>
        </w:tc>
        <w:tc>
          <w:tcPr>
            <w:tcW w:w="28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1,042</w:t>
            </w:r>
          </w:p>
        </w:tc>
        <w:tc>
          <w:tcPr>
            <w:tcW w:w="60" w:type="dxa"/>
            <w:vAlign w:val="bottom"/>
          </w:tcPr>
          <w:p>
            <w:pPr>
              <w:spacing w:after="0"/>
              <w:rPr>
                <w:sz w:val="18"/>
                <w:szCs w:val="18"/>
                <w:color w:val="auto"/>
              </w:rPr>
            </w:pPr>
          </w:p>
        </w:tc>
      </w:tr>
      <w:tr>
        <w:trPr>
          <w:trHeight w:val="208"/>
        </w:trPr>
        <w:tc>
          <w:tcPr>
            <w:tcW w:w="4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b w:val="1"/>
                <w:bCs w:val="1"/>
                <w:color w:val="auto"/>
              </w:rPr>
              <w:t>Total financial costs</w:t>
            </w:r>
          </w:p>
        </w:tc>
        <w:tc>
          <w:tcPr>
            <w:tcW w:w="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42,000</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46,897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78,597</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92,404</w:t>
            </w:r>
          </w:p>
        </w:tc>
        <w:tc>
          <w:tcPr>
            <w:tcW w:w="6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4"/>
        </w:trPr>
        <w:tc>
          <w:tcPr>
            <w:tcW w:w="420" w:type="dxa"/>
            <w:vAlign w:val="bottom"/>
          </w:tcPr>
          <w:p>
            <w:pPr>
              <w:spacing w:after="0"/>
              <w:rPr>
                <w:sz w:val="17"/>
                <w:szCs w:val="17"/>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7"/>
                <w:szCs w:val="17"/>
                <w:color w:val="auto"/>
                <w:w w:val="94"/>
              </w:rPr>
              <w:t>Unrealized (gain)/loss on derivative financial instruments held for trading</w:t>
            </w:r>
          </w:p>
        </w:tc>
        <w:tc>
          <w:tcPr>
            <w:tcW w:w="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420" w:type="dxa"/>
            <w:vAlign w:val="bottom"/>
          </w:tcPr>
          <w:p>
            <w:pPr>
              <w:spacing w:after="0"/>
              <w:rPr>
                <w:sz w:val="19"/>
                <w:szCs w:val="19"/>
                <w:color w:val="auto"/>
              </w:rPr>
            </w:pPr>
          </w:p>
        </w:tc>
        <w:tc>
          <w:tcPr>
            <w:tcW w:w="5140" w:type="dxa"/>
            <w:vAlign w:val="bottom"/>
            <w:shd w:val="clear" w:color="auto" w:fill="E5FFFF"/>
          </w:tcPr>
          <w:p>
            <w:pPr>
              <w:ind w:left="160"/>
              <w:spacing w:after="0"/>
              <w:rPr>
                <w:sz w:val="20"/>
                <w:szCs w:val="20"/>
                <w:color w:val="auto"/>
              </w:rPr>
            </w:pPr>
            <w:r>
              <w:rPr>
                <w:rFonts w:ascii="Arial" w:cs="Arial" w:eastAsia="Arial" w:hAnsi="Arial"/>
                <w:sz w:val="17"/>
                <w:szCs w:val="17"/>
                <w:color w:val="auto"/>
              </w:rPr>
              <w:t>(Note 15)</w:t>
            </w:r>
          </w:p>
        </w:tc>
        <w:tc>
          <w:tcPr>
            <w:tcW w:w="16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(74)</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30,781</w:t>
            </w:r>
          </w:p>
        </w:tc>
        <w:tc>
          <w:tcPr>
            <w:tcW w:w="280" w:type="dxa"/>
            <w:vAlign w:val="bottom"/>
            <w:shd w:val="clear" w:color="auto" w:fill="E5FFFF"/>
          </w:tcPr>
          <w:p>
            <w:pPr>
              <w:spacing w:after="0"/>
              <w:rPr>
                <w:sz w:val="19"/>
                <w:szCs w:val="19"/>
                <w:color w:val="auto"/>
              </w:rPr>
            </w:pPr>
          </w:p>
        </w:tc>
        <w:tc>
          <w:tcPr>
            <w:tcW w:w="1580" w:type="dxa"/>
            <w:vAlign w:val="bottom"/>
            <w:gridSpan w:val="3"/>
            <w:shd w:val="clear" w:color="auto" w:fill="E5FFFF"/>
          </w:tcPr>
          <w:p>
            <w:pPr>
              <w:jc w:val="right"/>
              <w:ind w:right="140"/>
              <w:spacing w:after="0"/>
              <w:rPr>
                <w:sz w:val="20"/>
                <w:szCs w:val="20"/>
                <w:color w:val="auto"/>
              </w:rPr>
            </w:pPr>
            <w:r>
              <w:rPr>
                <w:rFonts w:ascii="Arial" w:cs="Arial" w:eastAsia="Arial" w:hAnsi="Arial"/>
                <w:sz w:val="17"/>
                <w:szCs w:val="17"/>
                <w:color w:val="auto"/>
              </w:rPr>
              <w:t>(17,235)</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51,931</w:t>
            </w:r>
          </w:p>
        </w:tc>
        <w:tc>
          <w:tcPr>
            <w:tcW w:w="60" w:type="dxa"/>
            <w:vAlign w:val="bottom"/>
          </w:tcPr>
          <w:p>
            <w:pPr>
              <w:spacing w:after="0"/>
              <w:rPr>
                <w:sz w:val="19"/>
                <w:szCs w:val="19"/>
                <w:color w:val="auto"/>
              </w:rPr>
            </w:pPr>
          </w:p>
        </w:tc>
      </w:tr>
      <w:tr>
        <w:trPr>
          <w:trHeight w:val="214"/>
        </w:trPr>
        <w:tc>
          <w:tcPr>
            <w:tcW w:w="4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Realized gain on interest rate swaps held for trading</w:t>
            </w:r>
          </w:p>
        </w:tc>
        <w:tc>
          <w:tcPr>
            <w:tcW w:w="1600" w:type="dxa"/>
            <w:vAlign w:val="bottom"/>
            <w:gridSpan w:val="3"/>
          </w:tcPr>
          <w:p>
            <w:pPr>
              <w:jc w:val="right"/>
              <w:ind w:right="120"/>
              <w:spacing w:after="0"/>
              <w:rPr>
                <w:sz w:val="20"/>
                <w:szCs w:val="20"/>
                <w:color w:val="auto"/>
              </w:rPr>
            </w:pPr>
            <w:r>
              <w:rPr>
                <w:rFonts w:ascii="Arial" w:cs="Arial" w:eastAsia="Arial" w:hAnsi="Arial"/>
                <w:sz w:val="17"/>
                <w:szCs w:val="17"/>
                <w:color w:val="auto"/>
              </w:rPr>
              <w:t>(1,003)</w:t>
            </w:r>
          </w:p>
        </w:tc>
        <w:tc>
          <w:tcPr>
            <w:tcW w:w="1600" w:type="dxa"/>
            <w:vAlign w:val="bottom"/>
            <w:gridSpan w:val="3"/>
          </w:tcPr>
          <w:p>
            <w:pPr>
              <w:jc w:val="right"/>
              <w:ind w:right="220"/>
              <w:spacing w:after="0"/>
              <w:rPr>
                <w:sz w:val="20"/>
                <w:szCs w:val="20"/>
                <w:color w:val="auto"/>
              </w:rPr>
            </w:pPr>
            <w:r>
              <w:rPr>
                <w:rFonts w:ascii="Arial" w:cs="Arial" w:eastAsia="Arial" w:hAnsi="Arial"/>
                <w:sz w:val="17"/>
                <w:szCs w:val="17"/>
                <w:color w:val="auto"/>
              </w:rPr>
              <w:t>(1,226)</w:t>
            </w:r>
          </w:p>
        </w:tc>
        <w:tc>
          <w:tcPr>
            <w:tcW w:w="1580" w:type="dxa"/>
            <w:vAlign w:val="bottom"/>
            <w:gridSpan w:val="3"/>
          </w:tcPr>
          <w:p>
            <w:pPr>
              <w:jc w:val="right"/>
              <w:ind w:right="140"/>
              <w:spacing w:after="0"/>
              <w:rPr>
                <w:sz w:val="20"/>
                <w:szCs w:val="20"/>
                <w:color w:val="auto"/>
              </w:rPr>
            </w:pPr>
            <w:r>
              <w:rPr>
                <w:rFonts w:ascii="Arial" w:cs="Arial" w:eastAsia="Arial" w:hAnsi="Arial"/>
                <w:sz w:val="17"/>
                <w:szCs w:val="17"/>
                <w:color w:val="auto"/>
              </w:rPr>
              <w:t>(390)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(2,961)</w:t>
            </w:r>
          </w:p>
        </w:tc>
        <w:tc>
          <w:tcPr>
            <w:tcW w:w="60" w:type="dxa"/>
            <w:vAlign w:val="bottom"/>
          </w:tcPr>
          <w:p>
            <w:pPr>
              <w:spacing w:after="0"/>
              <w:rPr>
                <w:sz w:val="18"/>
                <w:szCs w:val="18"/>
                <w:color w:val="auto"/>
              </w:rPr>
            </w:pPr>
          </w:p>
        </w:tc>
      </w:tr>
      <w:tr>
        <w:trPr>
          <w:trHeight w:val="204"/>
        </w:trPr>
        <w:tc>
          <w:tcPr>
            <w:tcW w:w="420" w:type="dxa"/>
            <w:vAlign w:val="bottom"/>
          </w:tcPr>
          <w:p>
            <w:pPr>
              <w:spacing w:after="0"/>
              <w:rPr>
                <w:sz w:val="17"/>
                <w:szCs w:val="17"/>
                <w:color w:val="auto"/>
              </w:rPr>
            </w:pPr>
          </w:p>
        </w:tc>
        <w:tc>
          <w:tcPr>
            <w:tcW w:w="5140" w:type="dxa"/>
            <w:vAlign w:val="bottom"/>
            <w:shd w:val="clear" w:color="auto" w:fill="E5FFFF"/>
          </w:tcPr>
          <w:p>
            <w:pPr>
              <w:spacing w:after="0"/>
              <w:rPr>
                <w:sz w:val="20"/>
                <w:szCs w:val="20"/>
                <w:color w:val="auto"/>
              </w:rPr>
            </w:pPr>
            <w:r>
              <w:rPr>
                <w:rFonts w:ascii="Arial" w:cs="Arial" w:eastAsia="Arial" w:hAnsi="Arial"/>
                <w:sz w:val="17"/>
                <w:szCs w:val="17"/>
                <w:color w:val="auto"/>
              </w:rPr>
              <w:t>Realized (gain)/loss on forward foreign exchange contracts held for</w:t>
            </w:r>
          </w:p>
        </w:tc>
        <w:tc>
          <w:tcPr>
            <w:tcW w:w="40" w:type="dxa"/>
            <w:vAlign w:val="bottom"/>
            <w:shd w:val="clear" w:color="auto" w:fill="E5FFFF"/>
          </w:tcPr>
          <w:p>
            <w:pPr>
              <w:spacing w:after="0"/>
              <w:rPr>
                <w:sz w:val="17"/>
                <w:szCs w:val="17"/>
                <w:color w:val="auto"/>
              </w:rPr>
            </w:pPr>
          </w:p>
        </w:tc>
        <w:tc>
          <w:tcPr>
            <w:tcW w:w="130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2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420" w:type="dxa"/>
            <w:vAlign w:val="bottom"/>
          </w:tcPr>
          <w:p>
            <w:pPr>
              <w:spacing w:after="0"/>
              <w:rPr>
                <w:sz w:val="19"/>
                <w:szCs w:val="19"/>
                <w:color w:val="auto"/>
              </w:rPr>
            </w:pPr>
          </w:p>
        </w:tc>
        <w:tc>
          <w:tcPr>
            <w:tcW w:w="5140" w:type="dxa"/>
            <w:vAlign w:val="bottom"/>
            <w:shd w:val="clear" w:color="auto" w:fill="E5FFFF"/>
          </w:tcPr>
          <w:p>
            <w:pPr>
              <w:ind w:left="160"/>
              <w:spacing w:after="0"/>
              <w:rPr>
                <w:sz w:val="20"/>
                <w:szCs w:val="20"/>
                <w:color w:val="auto"/>
              </w:rPr>
            </w:pPr>
            <w:r>
              <w:rPr>
                <w:rFonts w:ascii="Arial" w:cs="Arial" w:eastAsia="Arial" w:hAnsi="Arial"/>
                <w:sz w:val="17"/>
                <w:szCs w:val="17"/>
                <w:color w:val="auto"/>
              </w:rPr>
              <w:t>trading</w:t>
            </w:r>
          </w:p>
        </w:tc>
        <w:tc>
          <w:tcPr>
            <w:tcW w:w="1600" w:type="dxa"/>
            <w:vAlign w:val="bottom"/>
            <w:gridSpan w:val="3"/>
            <w:shd w:val="clear" w:color="auto" w:fill="E5FFFF"/>
          </w:tcPr>
          <w:p>
            <w:pPr>
              <w:jc w:val="right"/>
              <w:ind w:right="120"/>
              <w:spacing w:after="0"/>
              <w:rPr>
                <w:sz w:val="20"/>
                <w:szCs w:val="20"/>
                <w:color w:val="auto"/>
              </w:rPr>
            </w:pPr>
            <w:r>
              <w:rPr>
                <w:rFonts w:ascii="Arial" w:cs="Arial" w:eastAsia="Arial" w:hAnsi="Arial"/>
                <w:sz w:val="17"/>
                <w:szCs w:val="17"/>
                <w:color w:val="auto"/>
              </w:rPr>
              <w:t>(357)</w:t>
            </w:r>
          </w:p>
        </w:tc>
        <w:tc>
          <w:tcPr>
            <w:tcW w:w="13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1,246</w:t>
            </w:r>
          </w:p>
        </w:tc>
        <w:tc>
          <w:tcPr>
            <w:tcW w:w="280" w:type="dxa"/>
            <w:vAlign w:val="bottom"/>
            <w:shd w:val="clear" w:color="auto" w:fill="E5FFFF"/>
          </w:tcPr>
          <w:p>
            <w:pPr>
              <w:spacing w:after="0"/>
              <w:rPr>
                <w:sz w:val="19"/>
                <w:szCs w:val="19"/>
                <w:color w:val="auto"/>
              </w:rPr>
            </w:pPr>
          </w:p>
        </w:tc>
        <w:tc>
          <w:tcPr>
            <w:tcW w:w="1580" w:type="dxa"/>
            <w:vAlign w:val="bottom"/>
            <w:gridSpan w:val="3"/>
            <w:shd w:val="clear" w:color="auto" w:fill="E5FFFF"/>
          </w:tcPr>
          <w:p>
            <w:pPr>
              <w:jc w:val="right"/>
              <w:ind w:right="140"/>
              <w:spacing w:after="0"/>
              <w:rPr>
                <w:sz w:val="20"/>
                <w:szCs w:val="20"/>
                <w:color w:val="auto"/>
              </w:rPr>
            </w:pPr>
            <w:r>
              <w:rPr>
                <w:rFonts w:ascii="Arial" w:cs="Arial" w:eastAsia="Arial" w:hAnsi="Arial"/>
                <w:sz w:val="17"/>
                <w:szCs w:val="17"/>
                <w:color w:val="auto"/>
              </w:rPr>
              <w:t>(1,843)</w:t>
            </w:r>
          </w:p>
        </w:tc>
        <w:tc>
          <w:tcPr>
            <w:tcW w:w="138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2,122</w:t>
            </w:r>
          </w:p>
        </w:tc>
        <w:tc>
          <w:tcPr>
            <w:tcW w:w="60" w:type="dxa"/>
            <w:vAlign w:val="bottom"/>
          </w:tcPr>
          <w:p>
            <w:pPr>
              <w:spacing w:after="0"/>
              <w:rPr>
                <w:sz w:val="19"/>
                <w:szCs w:val="19"/>
                <w:color w:val="auto"/>
              </w:rPr>
            </w:pPr>
          </w:p>
        </w:tc>
      </w:tr>
      <w:tr>
        <w:trPr>
          <w:trHeight w:val="214"/>
        </w:trPr>
        <w:tc>
          <w:tcPr>
            <w:tcW w:w="4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Ineffective portion of cash flow hedges</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267</w:t>
            </w:r>
          </w:p>
        </w:tc>
        <w:tc>
          <w:tcPr>
            <w:tcW w:w="26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7"/>
                <w:szCs w:val="17"/>
                <w:color w:val="auto"/>
              </w:rPr>
              <w:t>(2)</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530</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6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51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Total (gain)/loss on derivatives</w:t>
            </w: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13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(1,167</w:t>
            </w:r>
          </w:p>
        </w:tc>
        <w:tc>
          <w:tcPr>
            <w:tcW w:w="260" w:type="dxa"/>
            <w:vAlign w:val="bottom"/>
            <w:tcBorders>
              <w:top w:val="single" w:sz="8" w:color="E5FFFF"/>
              <w:bottom w:val="single" w:sz="8" w:color="E5FFFF"/>
            </w:tcBorders>
            <w:shd w:val="clear" w:color="auto" w:fill="E5FFFF"/>
          </w:tcPr>
          <w:p>
            <w:pPr>
              <w:jc w:val="right"/>
              <w:ind w:right="120"/>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30,799</w:t>
            </w:r>
          </w:p>
        </w:tc>
        <w:tc>
          <w:tcPr>
            <w:tcW w:w="280" w:type="dxa"/>
            <w:vAlign w:val="bottom"/>
            <w:tcBorders>
              <w:top w:val="single" w:sz="8" w:color="E5FFFF"/>
              <w:bottom w:val="single" w:sz="8" w:color="E5FFFF"/>
            </w:tcBorders>
            <w:shd w:val="clear" w:color="auto" w:fill="E5FFFF"/>
          </w:tcPr>
          <w:p>
            <w:pPr>
              <w:spacing w:after="0"/>
              <w:rPr>
                <w:sz w:val="19"/>
                <w:szCs w:val="19"/>
                <w:color w:val="auto"/>
              </w:rPr>
            </w:pP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(18,938</w:t>
            </w:r>
          </w:p>
        </w:tc>
        <w:tc>
          <w:tcPr>
            <w:tcW w:w="280" w:type="dxa"/>
            <w:vAlign w:val="bottom"/>
            <w:tcBorders>
              <w:top w:val="single" w:sz="8" w:color="E5FFFF"/>
              <w:bottom w:val="single" w:sz="8" w:color="E5FFFF"/>
            </w:tcBorders>
            <w:shd w:val="clear" w:color="auto" w:fill="E5FF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51,043</w:t>
            </w:r>
          </w:p>
        </w:tc>
        <w:tc>
          <w:tcPr>
            <w:tcW w:w="60" w:type="dxa"/>
            <w:vAlign w:val="bottom"/>
          </w:tcPr>
          <w:p>
            <w:pPr>
              <w:spacing w:after="0"/>
              <w:rPr>
                <w:sz w:val="19"/>
                <w:szCs w:val="19"/>
                <w:color w:val="auto"/>
              </w:rPr>
            </w:pPr>
          </w:p>
        </w:tc>
      </w:tr>
      <w:tr>
        <w:trPr>
          <w:trHeight w:val="20"/>
        </w:trPr>
        <w:tc>
          <w:tcPr>
            <w:tcW w:w="4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Cash Flow Reconciliations</w:t>
      </w:r>
    </w:p>
    <w:p>
      <w:pPr>
        <w:spacing w:after="0" w:line="25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reconciliation of the Group’s non-cash investing and financing activities for the periods ended June 30, 2018 and June 30, 2019 are presented in the tables below:</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reconciliation of borrowings arising from financing activities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Deferred</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comprehensive</w:t>
            </w:r>
          </w:p>
        </w:tc>
        <w:tc>
          <w:tcPr>
            <w:tcW w:w="12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Non-cash</w:t>
            </w:r>
          </w:p>
        </w:tc>
        <w:tc>
          <w:tcPr>
            <w:tcW w:w="15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6"/>
              </w:rPr>
              <w:t>financing costs,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720" w:type="dxa"/>
            <w:vAlign w:val="bottom"/>
            <w:gridSpan w:val="2"/>
          </w:tcPr>
          <w:p>
            <w:pPr>
              <w:ind w:left="120"/>
              <w:spacing w:after="0"/>
              <w:rPr>
                <w:sz w:val="20"/>
                <w:szCs w:val="20"/>
                <w:color w:val="auto"/>
              </w:rPr>
            </w:pPr>
            <w:r>
              <w:rPr>
                <w:rFonts w:ascii="Arial" w:cs="Arial" w:eastAsia="Arial" w:hAnsi="Arial"/>
                <w:sz w:val="17"/>
                <w:szCs w:val="17"/>
                <w:b w:val="1"/>
                <w:bCs w:val="1"/>
                <w:color w:val="auto"/>
              </w:rPr>
              <w:t>Opening balance</w:t>
            </w:r>
          </w:p>
        </w:tc>
        <w:tc>
          <w:tcPr>
            <w:tcW w:w="14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Cash flows</w:t>
            </w:r>
          </w:p>
        </w:tc>
        <w:tc>
          <w:tcPr>
            <w:tcW w:w="16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income</w:t>
            </w:r>
          </w:p>
        </w:tc>
        <w:tc>
          <w:tcPr>
            <w:tcW w:w="124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items</w:t>
            </w:r>
          </w:p>
        </w:tc>
        <w:tc>
          <w:tcPr>
            <w:tcW w:w="15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79"/>
              </w:rPr>
              <w:t>assets</w:t>
            </w:r>
          </w:p>
        </w:tc>
        <w:tc>
          <w:tcPr>
            <w:tcW w:w="1320" w:type="dxa"/>
            <w:vAlign w:val="bottom"/>
            <w:gridSpan w:val="2"/>
          </w:tcPr>
          <w:p>
            <w:pPr>
              <w:ind w:left="2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8"/>
        </w:trPr>
        <w:tc>
          <w:tcPr>
            <w:tcW w:w="420" w:type="dxa"/>
            <w:vAlign w:val="bottom"/>
          </w:tcPr>
          <w:p>
            <w:pPr>
              <w:spacing w:after="0"/>
              <w:rPr>
                <w:sz w:val="16"/>
                <w:szCs w:val="16"/>
                <w:color w:val="auto"/>
              </w:rPr>
            </w:pPr>
          </w:p>
        </w:tc>
        <w:tc>
          <w:tcPr>
            <w:tcW w:w="2660" w:type="dxa"/>
            <w:vAlign w:val="bottom"/>
            <w:tcBorders>
              <w:top w:val="single" w:sz="8" w:color="E5FFFF"/>
            </w:tcBorders>
            <w:shd w:val="clear" w:color="auto" w:fill="E5FFFF"/>
          </w:tcPr>
          <w:p>
            <w:pPr>
              <w:spacing w:after="0" w:line="188" w:lineRule="exact"/>
              <w:rPr>
                <w:sz w:val="20"/>
                <w:szCs w:val="20"/>
                <w:color w:val="auto"/>
              </w:rPr>
            </w:pPr>
            <w:r>
              <w:rPr>
                <w:rFonts w:ascii="Arial" w:cs="Arial" w:eastAsia="Arial" w:hAnsi="Arial"/>
                <w:sz w:val="17"/>
                <w:szCs w:val="17"/>
                <w:color w:val="auto"/>
              </w:rPr>
              <w:t>Borrowings outstanding as of</w:t>
            </w:r>
          </w:p>
        </w:tc>
        <w:tc>
          <w:tcPr>
            <w:tcW w:w="1440" w:type="dxa"/>
            <w:vAlign w:val="bottom"/>
            <w:tcBorders>
              <w:top w:val="single" w:sz="8" w:color="auto"/>
              <w:left w:val="single" w:sz="8" w:color="E5FFFF"/>
              <w:right w:val="single" w:sz="8" w:color="E5FFFF"/>
            </w:tcBorders>
            <w:shd w:val="clear" w:color="auto" w:fill="E5FFFF"/>
          </w:tcPr>
          <w:p>
            <w:pPr>
              <w:spacing w:after="0"/>
              <w:rPr>
                <w:sz w:val="16"/>
                <w:szCs w:val="16"/>
                <w:color w:val="auto"/>
              </w:rPr>
            </w:pPr>
          </w:p>
        </w:tc>
        <w:tc>
          <w:tcPr>
            <w:tcW w:w="280" w:type="dxa"/>
            <w:vAlign w:val="bottom"/>
            <w:tcBorders>
              <w:top w:val="single" w:sz="8" w:color="E5FFFF"/>
              <w:right w:val="single" w:sz="8" w:color="E5FFFF"/>
            </w:tcBorders>
            <w:shd w:val="clear" w:color="auto" w:fill="E5FFFF"/>
          </w:tcPr>
          <w:p>
            <w:pPr>
              <w:spacing w:after="0"/>
              <w:rPr>
                <w:sz w:val="16"/>
                <w:szCs w:val="16"/>
                <w:color w:val="auto"/>
              </w:rPr>
            </w:pPr>
          </w:p>
        </w:tc>
        <w:tc>
          <w:tcPr>
            <w:tcW w:w="1200" w:type="dxa"/>
            <w:vAlign w:val="bottom"/>
            <w:tcBorders>
              <w:top w:val="single" w:sz="8" w:color="auto"/>
              <w:right w:val="single" w:sz="8" w:color="E5FFFF"/>
            </w:tcBorders>
            <w:shd w:val="clear" w:color="auto" w:fill="E5FFFF"/>
          </w:tcPr>
          <w:p>
            <w:pPr>
              <w:spacing w:after="0"/>
              <w:rPr>
                <w:sz w:val="16"/>
                <w:szCs w:val="16"/>
                <w:color w:val="auto"/>
              </w:rPr>
            </w:pPr>
          </w:p>
        </w:tc>
        <w:tc>
          <w:tcPr>
            <w:tcW w:w="260" w:type="dxa"/>
            <w:vAlign w:val="bottom"/>
            <w:tcBorders>
              <w:top w:val="single" w:sz="8" w:color="E5FFFF"/>
              <w:right w:val="single" w:sz="8" w:color="E5FFFF"/>
            </w:tcBorders>
            <w:shd w:val="clear" w:color="auto" w:fill="E5FFFF"/>
          </w:tcPr>
          <w:p>
            <w:pPr>
              <w:spacing w:after="0"/>
              <w:rPr>
                <w:sz w:val="16"/>
                <w:szCs w:val="16"/>
                <w:color w:val="auto"/>
              </w:rPr>
            </w:pPr>
          </w:p>
        </w:tc>
        <w:tc>
          <w:tcPr>
            <w:tcW w:w="1420" w:type="dxa"/>
            <w:vAlign w:val="bottom"/>
            <w:tcBorders>
              <w:top w:val="single" w:sz="8" w:color="auto"/>
              <w:right w:val="single" w:sz="8" w:color="E5FFFF"/>
            </w:tcBorders>
            <w:shd w:val="clear" w:color="auto" w:fill="E5FFFF"/>
          </w:tcPr>
          <w:p>
            <w:pPr>
              <w:spacing w:after="0"/>
              <w:rPr>
                <w:sz w:val="16"/>
                <w:szCs w:val="16"/>
                <w:color w:val="auto"/>
              </w:rPr>
            </w:pPr>
          </w:p>
        </w:tc>
        <w:tc>
          <w:tcPr>
            <w:tcW w:w="220" w:type="dxa"/>
            <w:vAlign w:val="bottom"/>
            <w:tcBorders>
              <w:top w:val="single" w:sz="8" w:color="E5FFFF"/>
              <w:right w:val="single" w:sz="8" w:color="E5FFFF"/>
            </w:tcBorders>
            <w:shd w:val="clear" w:color="auto" w:fill="E5FFFF"/>
          </w:tcPr>
          <w:p>
            <w:pPr>
              <w:spacing w:after="0"/>
              <w:rPr>
                <w:sz w:val="16"/>
                <w:szCs w:val="16"/>
                <w:color w:val="auto"/>
              </w:rPr>
            </w:pPr>
          </w:p>
        </w:tc>
        <w:tc>
          <w:tcPr>
            <w:tcW w:w="1020" w:type="dxa"/>
            <w:vAlign w:val="bottom"/>
            <w:tcBorders>
              <w:top w:val="single" w:sz="8" w:color="auto"/>
              <w:right w:val="single" w:sz="8" w:color="E5FFFF"/>
            </w:tcBorders>
            <w:shd w:val="clear" w:color="auto" w:fill="E5FFFF"/>
          </w:tcPr>
          <w:p>
            <w:pPr>
              <w:spacing w:after="0"/>
              <w:rPr>
                <w:sz w:val="16"/>
                <w:szCs w:val="16"/>
                <w:color w:val="auto"/>
              </w:rPr>
            </w:pPr>
          </w:p>
        </w:tc>
        <w:tc>
          <w:tcPr>
            <w:tcW w:w="220" w:type="dxa"/>
            <w:vAlign w:val="bottom"/>
            <w:tcBorders>
              <w:top w:val="single" w:sz="8" w:color="E5FFFF"/>
              <w:right w:val="single" w:sz="8" w:color="E5FFFF"/>
            </w:tcBorders>
            <w:shd w:val="clear" w:color="auto" w:fill="E5FFFF"/>
          </w:tcPr>
          <w:p>
            <w:pPr>
              <w:spacing w:after="0"/>
              <w:rPr>
                <w:sz w:val="16"/>
                <w:szCs w:val="16"/>
                <w:color w:val="auto"/>
              </w:rPr>
            </w:pPr>
          </w:p>
        </w:tc>
        <w:tc>
          <w:tcPr>
            <w:tcW w:w="1400" w:type="dxa"/>
            <w:vAlign w:val="bottom"/>
            <w:tcBorders>
              <w:top w:val="single" w:sz="8" w:color="auto"/>
              <w:right w:val="single" w:sz="8" w:color="E5FFFF"/>
            </w:tcBorders>
            <w:shd w:val="clear" w:color="auto" w:fill="E5FFFF"/>
          </w:tcPr>
          <w:p>
            <w:pPr>
              <w:spacing w:after="0"/>
              <w:rPr>
                <w:sz w:val="16"/>
                <w:szCs w:val="16"/>
                <w:color w:val="auto"/>
              </w:rPr>
            </w:pPr>
          </w:p>
        </w:tc>
        <w:tc>
          <w:tcPr>
            <w:tcW w:w="180" w:type="dxa"/>
            <w:vAlign w:val="bottom"/>
            <w:tcBorders>
              <w:top w:val="single" w:sz="8" w:color="E5FFFF"/>
              <w:right w:val="single" w:sz="8" w:color="E5FFFF"/>
            </w:tcBorders>
            <w:shd w:val="clear" w:color="auto" w:fill="E5FFFF"/>
          </w:tcPr>
          <w:p>
            <w:pPr>
              <w:spacing w:after="0"/>
              <w:rPr>
                <w:sz w:val="16"/>
                <w:szCs w:val="16"/>
                <w:color w:val="auto"/>
              </w:rPr>
            </w:pPr>
          </w:p>
        </w:tc>
        <w:tc>
          <w:tcPr>
            <w:tcW w:w="860" w:type="dxa"/>
            <w:vAlign w:val="bottom"/>
            <w:tcBorders>
              <w:top w:val="single" w:sz="8" w:color="auto"/>
            </w:tcBorders>
            <w:shd w:val="clear" w:color="auto" w:fill="E5FFFF"/>
          </w:tcPr>
          <w:p>
            <w:pPr>
              <w:spacing w:after="0"/>
              <w:rPr>
                <w:sz w:val="16"/>
                <w:szCs w:val="16"/>
                <w:color w:val="auto"/>
              </w:rPr>
            </w:pPr>
          </w:p>
        </w:tc>
        <w:tc>
          <w:tcPr>
            <w:tcW w:w="460" w:type="dxa"/>
            <w:vAlign w:val="bottom"/>
            <w:tcBorders>
              <w:left w:val="single" w:sz="8" w:color="E5FFFF"/>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color w:val="auto"/>
              </w:rPr>
              <w:t>January 1, 2018</w:t>
            </w:r>
          </w:p>
        </w:tc>
        <w:tc>
          <w:tcPr>
            <w:tcW w:w="1440" w:type="dxa"/>
            <w:vAlign w:val="bottom"/>
            <w:tcBorders>
              <w:left w:val="single" w:sz="8" w:color="E5FFFF"/>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2,547,556</w:t>
            </w:r>
          </w:p>
        </w:tc>
        <w:tc>
          <w:tcPr>
            <w:tcW w:w="280" w:type="dxa"/>
            <w:vAlign w:val="bottom"/>
            <w:tcBorders>
              <w:right w:val="single" w:sz="8" w:color="E5FFFF"/>
            </w:tcBorders>
            <w:shd w:val="clear" w:color="auto" w:fill="E5FFFF"/>
          </w:tcPr>
          <w:p>
            <w:pPr>
              <w:spacing w:after="0"/>
              <w:rPr>
                <w:sz w:val="19"/>
                <w:szCs w:val="19"/>
                <w:color w:val="auto"/>
              </w:rPr>
            </w:pPr>
          </w:p>
        </w:tc>
        <w:tc>
          <w:tcPr>
            <w:tcW w:w="1460" w:type="dxa"/>
            <w:vAlign w:val="bottom"/>
            <w:tcBorders>
              <w:right w:val="single" w:sz="8" w:color="E5FFFF"/>
            </w:tcBorders>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tcBorders>
              <w:right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E5FFFF"/>
            </w:tcBorders>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2,547,556</w:t>
            </w:r>
          </w:p>
        </w:tc>
        <w:tc>
          <w:tcPr>
            <w:tcW w:w="460" w:type="dxa"/>
            <w:vAlign w:val="bottom"/>
            <w:tcBorders>
              <w:left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Proceeds from bank loans and</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bonds</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7"/>
                <w:szCs w:val="17"/>
                <w:color w:val="auto"/>
              </w:rPr>
              <w:t>498,225</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498,225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 w:type="dxa"/>
            <w:vAlign w:val="bottom"/>
          </w:tcPr>
          <w:p>
            <w:pPr>
              <w:spacing w:after="0"/>
              <w:rPr>
                <w:sz w:val="19"/>
                <w:szCs w:val="19"/>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color w:val="auto"/>
              </w:rPr>
              <w:t>Bank loan repayments</w:t>
            </w:r>
          </w:p>
        </w:tc>
        <w:tc>
          <w:tcPr>
            <w:tcW w:w="1720" w:type="dxa"/>
            <w:vAlign w:val="bottom"/>
            <w:tcBorders>
              <w:left w:val="single" w:sz="8" w:color="E5FFFF"/>
              <w:right w:val="single" w:sz="8" w:color="E5FFFF"/>
            </w:tcBorders>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tcBorders>
              <w:right w:val="single" w:sz="8" w:color="E5FFFF"/>
            </w:tcBorders>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(108,958)</w:t>
            </w:r>
          </w:p>
        </w:tc>
        <w:tc>
          <w:tcPr>
            <w:tcW w:w="1640" w:type="dxa"/>
            <w:vAlign w:val="bottom"/>
            <w:tcBorders>
              <w:right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E5FFFF"/>
            </w:tcBorders>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(108,958)</w:t>
            </w:r>
          </w:p>
        </w:tc>
        <w:tc>
          <w:tcPr>
            <w:tcW w:w="460" w:type="dxa"/>
            <w:vAlign w:val="bottom"/>
            <w:tcBorders>
              <w:left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Additions in deferred loan fees</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7"/>
                <w:szCs w:val="17"/>
                <w:color w:val="auto"/>
              </w:rPr>
              <w:t>(7,295)</w:t>
            </w:r>
          </w:p>
        </w:tc>
        <w:tc>
          <w:tcPr>
            <w:tcW w:w="16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1,447</w:t>
            </w:r>
          </w:p>
        </w:tc>
        <w:tc>
          <w:tcPr>
            <w:tcW w:w="1580" w:type="dxa"/>
            <w:vAlign w:val="bottom"/>
            <w:gridSpan w:val="2"/>
          </w:tcPr>
          <w:p>
            <w:pPr>
              <w:jc w:val="right"/>
              <w:ind w:right="120"/>
              <w:spacing w:after="0"/>
              <w:rPr>
                <w:sz w:val="20"/>
                <w:szCs w:val="20"/>
                <w:color w:val="auto"/>
              </w:rPr>
            </w:pPr>
            <w:r>
              <w:rPr>
                <w:rFonts w:ascii="Arial" w:cs="Arial" w:eastAsia="Arial" w:hAnsi="Arial"/>
                <w:sz w:val="17"/>
                <w:szCs w:val="17"/>
                <w:color w:val="auto"/>
              </w:rPr>
              <w:t>(13,385)</w:t>
            </w:r>
          </w:p>
        </w:tc>
        <w:tc>
          <w:tcPr>
            <w:tcW w:w="860" w:type="dxa"/>
            <w:vAlign w:val="bottom"/>
          </w:tcPr>
          <w:p>
            <w:pPr>
              <w:jc w:val="right"/>
              <w:spacing w:after="0"/>
              <w:rPr>
                <w:sz w:val="20"/>
                <w:szCs w:val="20"/>
                <w:color w:val="auto"/>
              </w:rPr>
            </w:pPr>
            <w:r>
              <w:rPr>
                <w:rFonts w:ascii="Arial" w:cs="Arial" w:eastAsia="Arial" w:hAnsi="Arial"/>
                <w:sz w:val="17"/>
                <w:szCs w:val="17"/>
                <w:color w:val="auto"/>
              </w:rPr>
              <w:t>(19,233)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color w:val="auto"/>
              </w:rPr>
              <w:t>Amortization of deferred loan</w:t>
            </w:r>
          </w:p>
        </w:tc>
        <w:tc>
          <w:tcPr>
            <w:tcW w:w="1440" w:type="dxa"/>
            <w:vAlign w:val="bottom"/>
            <w:tcBorders>
              <w:left w:val="single" w:sz="8" w:color="E5FFFF"/>
              <w:right w:val="single" w:sz="8" w:color="E5FFFF"/>
            </w:tcBorders>
            <w:shd w:val="clear" w:color="auto" w:fill="E5FFFF"/>
          </w:tcPr>
          <w:p>
            <w:pPr>
              <w:spacing w:after="0"/>
              <w:rPr>
                <w:sz w:val="17"/>
                <w:szCs w:val="17"/>
                <w:color w:val="auto"/>
              </w:rPr>
            </w:pPr>
          </w:p>
        </w:tc>
        <w:tc>
          <w:tcPr>
            <w:tcW w:w="280" w:type="dxa"/>
            <w:vAlign w:val="bottom"/>
            <w:tcBorders>
              <w:right w:val="single" w:sz="8" w:color="E5FFFF"/>
            </w:tcBorders>
            <w:shd w:val="clear" w:color="auto" w:fill="E5FFFF"/>
          </w:tcPr>
          <w:p>
            <w:pPr>
              <w:spacing w:after="0"/>
              <w:rPr>
                <w:sz w:val="17"/>
                <w:szCs w:val="17"/>
                <w:color w:val="auto"/>
              </w:rPr>
            </w:pPr>
          </w:p>
        </w:tc>
        <w:tc>
          <w:tcPr>
            <w:tcW w:w="1200" w:type="dxa"/>
            <w:vAlign w:val="bottom"/>
            <w:tcBorders>
              <w:right w:val="single" w:sz="8" w:color="E5FFFF"/>
            </w:tcBorders>
            <w:shd w:val="clear" w:color="auto" w:fill="E5FFFF"/>
          </w:tcPr>
          <w:p>
            <w:pPr>
              <w:spacing w:after="0"/>
              <w:rPr>
                <w:sz w:val="17"/>
                <w:szCs w:val="17"/>
                <w:color w:val="auto"/>
              </w:rPr>
            </w:pPr>
          </w:p>
        </w:tc>
        <w:tc>
          <w:tcPr>
            <w:tcW w:w="260" w:type="dxa"/>
            <w:vAlign w:val="bottom"/>
            <w:tcBorders>
              <w:right w:val="single" w:sz="8" w:color="E5FFFF"/>
            </w:tcBorders>
            <w:shd w:val="clear" w:color="auto" w:fill="E5FFFF"/>
          </w:tcPr>
          <w:p>
            <w:pPr>
              <w:spacing w:after="0"/>
              <w:rPr>
                <w:sz w:val="17"/>
                <w:szCs w:val="17"/>
                <w:color w:val="auto"/>
              </w:rPr>
            </w:pPr>
          </w:p>
        </w:tc>
        <w:tc>
          <w:tcPr>
            <w:tcW w:w="1420" w:type="dxa"/>
            <w:vAlign w:val="bottom"/>
            <w:tcBorders>
              <w:right w:val="single" w:sz="8" w:color="E5FFFF"/>
            </w:tcBorders>
            <w:shd w:val="clear" w:color="auto" w:fill="E5FFFF"/>
          </w:tcPr>
          <w:p>
            <w:pPr>
              <w:spacing w:after="0"/>
              <w:rPr>
                <w:sz w:val="17"/>
                <w:szCs w:val="17"/>
                <w:color w:val="auto"/>
              </w:rPr>
            </w:pPr>
          </w:p>
        </w:tc>
        <w:tc>
          <w:tcPr>
            <w:tcW w:w="220" w:type="dxa"/>
            <w:vAlign w:val="bottom"/>
            <w:tcBorders>
              <w:right w:val="single" w:sz="8" w:color="E5FFFF"/>
            </w:tcBorders>
            <w:shd w:val="clear" w:color="auto" w:fill="E5FFFF"/>
          </w:tcPr>
          <w:p>
            <w:pPr>
              <w:spacing w:after="0"/>
              <w:rPr>
                <w:sz w:val="17"/>
                <w:szCs w:val="17"/>
                <w:color w:val="auto"/>
              </w:rPr>
            </w:pPr>
          </w:p>
        </w:tc>
        <w:tc>
          <w:tcPr>
            <w:tcW w:w="1020" w:type="dxa"/>
            <w:vAlign w:val="bottom"/>
            <w:tcBorders>
              <w:right w:val="single" w:sz="8" w:color="E5FFFF"/>
            </w:tcBorders>
            <w:shd w:val="clear" w:color="auto" w:fill="E5FFFF"/>
          </w:tcPr>
          <w:p>
            <w:pPr>
              <w:spacing w:after="0"/>
              <w:rPr>
                <w:sz w:val="17"/>
                <w:szCs w:val="17"/>
                <w:color w:val="auto"/>
              </w:rPr>
            </w:pPr>
          </w:p>
        </w:tc>
        <w:tc>
          <w:tcPr>
            <w:tcW w:w="220" w:type="dxa"/>
            <w:vAlign w:val="bottom"/>
            <w:tcBorders>
              <w:right w:val="single" w:sz="8" w:color="E5FFFF"/>
            </w:tcBorders>
            <w:shd w:val="clear" w:color="auto" w:fill="E5FFFF"/>
          </w:tcPr>
          <w:p>
            <w:pPr>
              <w:spacing w:after="0"/>
              <w:rPr>
                <w:sz w:val="17"/>
                <w:szCs w:val="17"/>
                <w:color w:val="auto"/>
              </w:rPr>
            </w:pPr>
          </w:p>
        </w:tc>
        <w:tc>
          <w:tcPr>
            <w:tcW w:w="1400" w:type="dxa"/>
            <w:vAlign w:val="bottom"/>
            <w:tcBorders>
              <w:right w:val="single" w:sz="8" w:color="E5FFFF"/>
            </w:tcBorders>
            <w:shd w:val="clear" w:color="auto" w:fill="E5FFFF"/>
          </w:tcPr>
          <w:p>
            <w:pPr>
              <w:spacing w:after="0"/>
              <w:rPr>
                <w:sz w:val="17"/>
                <w:szCs w:val="17"/>
                <w:color w:val="auto"/>
              </w:rPr>
            </w:pPr>
          </w:p>
        </w:tc>
        <w:tc>
          <w:tcPr>
            <w:tcW w:w="180" w:type="dxa"/>
            <w:vAlign w:val="bottom"/>
            <w:tcBorders>
              <w:right w:val="single" w:sz="8" w:color="E5FFFF"/>
            </w:tcBorders>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460" w:type="dxa"/>
            <w:vAlign w:val="bottom"/>
            <w:tcBorders>
              <w:left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 w:type="dxa"/>
            <w:vAlign w:val="bottom"/>
          </w:tcPr>
          <w:p>
            <w:pPr>
              <w:spacing w:after="0"/>
              <w:rPr>
                <w:sz w:val="19"/>
                <w:szCs w:val="19"/>
                <w:color w:val="auto"/>
              </w:rPr>
            </w:pPr>
          </w:p>
        </w:tc>
        <w:tc>
          <w:tcPr>
            <w:tcW w:w="2660" w:type="dxa"/>
            <w:vAlign w:val="bottom"/>
            <w:shd w:val="clear" w:color="auto" w:fill="E5FFFF"/>
          </w:tcPr>
          <w:p>
            <w:pPr>
              <w:ind w:left="200"/>
              <w:spacing w:after="0"/>
              <w:rPr>
                <w:sz w:val="20"/>
                <w:szCs w:val="20"/>
                <w:color w:val="auto"/>
              </w:rPr>
            </w:pPr>
            <w:r>
              <w:rPr>
                <w:rFonts w:ascii="Arial" w:cs="Arial" w:eastAsia="Arial" w:hAnsi="Arial"/>
                <w:sz w:val="17"/>
                <w:szCs w:val="17"/>
                <w:color w:val="auto"/>
              </w:rPr>
              <w:t>issuance costs and premium</w:t>
            </w:r>
          </w:p>
        </w:tc>
        <w:tc>
          <w:tcPr>
            <w:tcW w:w="1720" w:type="dxa"/>
            <w:vAlign w:val="bottom"/>
            <w:tcBorders>
              <w:left w:val="single" w:sz="8" w:color="E5FFFF"/>
              <w:right w:val="single" w:sz="8" w:color="E5FFFF"/>
            </w:tcBorders>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w:t>
            </w:r>
          </w:p>
        </w:tc>
        <w:tc>
          <w:tcPr>
            <w:tcW w:w="1460" w:type="dxa"/>
            <w:vAlign w:val="bottom"/>
            <w:tcBorders>
              <w:right w:val="single" w:sz="8" w:color="E5FFFF"/>
            </w:tcBorders>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w:t>
            </w:r>
          </w:p>
        </w:tc>
        <w:tc>
          <w:tcPr>
            <w:tcW w:w="1640" w:type="dxa"/>
            <w:vAlign w:val="bottom"/>
            <w:tcBorders>
              <w:right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E5FFFF"/>
            </w:tcBorders>
            <w:gridSpan w:val="2"/>
            <w:shd w:val="clear" w:color="auto" w:fill="E5FFFF"/>
          </w:tcPr>
          <w:p>
            <w:pPr>
              <w:jc w:val="right"/>
              <w:ind w:right="220"/>
              <w:spacing w:after="0"/>
              <w:rPr>
                <w:sz w:val="20"/>
                <w:szCs w:val="20"/>
                <w:color w:val="auto"/>
              </w:rPr>
            </w:pPr>
            <w:r>
              <w:rPr>
                <w:rFonts w:ascii="Arial" w:cs="Arial" w:eastAsia="Arial" w:hAnsi="Arial"/>
                <w:sz w:val="17"/>
                <w:szCs w:val="17"/>
                <w:color w:val="auto"/>
              </w:rPr>
              <w:t>6,144</w:t>
            </w:r>
          </w:p>
        </w:tc>
        <w:tc>
          <w:tcPr>
            <w:tcW w:w="1580" w:type="dxa"/>
            <w:vAlign w:val="bottom"/>
            <w:tcBorders>
              <w:right w:val="single" w:sz="8" w:color="E5FFFF"/>
            </w:tcBorders>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6,144</w:t>
            </w:r>
          </w:p>
        </w:tc>
        <w:tc>
          <w:tcPr>
            <w:tcW w:w="460" w:type="dxa"/>
            <w:vAlign w:val="bottom"/>
            <w:tcBorders>
              <w:left w:val="single" w:sz="8" w:color="E5FFFF"/>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Retranslation of the 2021 NOK</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Bonds in USD</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1,077</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1,077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60" w:type="dxa"/>
            <w:vAlign w:val="bottom"/>
            <w:vMerge w:val="restart"/>
            <w:shd w:val="clear" w:color="auto" w:fill="E5FFFF"/>
          </w:tcPr>
          <w:p>
            <w:pPr>
              <w:spacing w:after="0"/>
              <w:rPr>
                <w:sz w:val="20"/>
                <w:szCs w:val="20"/>
                <w:color w:val="auto"/>
              </w:rPr>
            </w:pPr>
            <w:r>
              <w:rPr>
                <w:rFonts w:ascii="Arial" w:cs="Arial" w:eastAsia="Arial" w:hAnsi="Arial"/>
                <w:sz w:val="17"/>
                <w:szCs w:val="17"/>
                <w:b w:val="1"/>
                <w:bCs w:val="1"/>
                <w:color w:val="auto"/>
              </w:rPr>
              <w:t>Borrowings outstanding as of</w:t>
            </w:r>
          </w:p>
        </w:tc>
        <w:tc>
          <w:tcPr>
            <w:tcW w:w="1440" w:type="dxa"/>
            <w:vAlign w:val="bottom"/>
            <w:tcBorders>
              <w:left w:val="single" w:sz="8" w:color="E5FFFF"/>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E5FFFF"/>
            </w:tcBorders>
            <w:shd w:val="clear" w:color="auto" w:fill="E5FFFF"/>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E5FFFF"/>
            </w:tcBorders>
            <w:shd w:val="clear" w:color="auto" w:fill="E5FFFF"/>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E5FFFF"/>
            </w:tcBorders>
            <w:shd w:val="clear" w:color="auto" w:fill="E5FF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E5FFFF"/>
            </w:tcBorders>
            <w:shd w:val="clear" w:color="auto" w:fill="E5FFFF"/>
          </w:tcPr>
          <w:p>
            <w:pPr>
              <w:spacing w:after="0" w:line="20" w:lineRule="exact"/>
              <w:rPr>
                <w:sz w:val="1"/>
                <w:szCs w:val="1"/>
                <w:color w:val="auto"/>
              </w:rPr>
            </w:pPr>
          </w:p>
        </w:tc>
        <w:tc>
          <w:tcPr>
            <w:tcW w:w="1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E5FFFF"/>
            </w:tcBorders>
            <w:shd w:val="clear" w:color="auto" w:fill="E5FF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2660" w:type="dxa"/>
            <w:vAlign w:val="bottom"/>
            <w:vMerge w:val="continue"/>
            <w:shd w:val="clear" w:color="auto" w:fill="E5FFFF"/>
          </w:tcPr>
          <w:p>
            <w:pPr>
              <w:spacing w:after="0"/>
              <w:rPr>
                <w:sz w:val="15"/>
                <w:szCs w:val="15"/>
                <w:color w:val="auto"/>
              </w:rPr>
            </w:pPr>
          </w:p>
        </w:tc>
        <w:tc>
          <w:tcPr>
            <w:tcW w:w="1440" w:type="dxa"/>
            <w:vAlign w:val="bottom"/>
            <w:tcBorders>
              <w:left w:val="single" w:sz="8" w:color="E5FFFF"/>
              <w:right w:val="single" w:sz="8" w:color="E5FFFF"/>
            </w:tcBorders>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2,547,556</w:t>
            </w:r>
          </w:p>
        </w:tc>
        <w:tc>
          <w:tcPr>
            <w:tcW w:w="280" w:type="dxa"/>
            <w:vAlign w:val="bottom"/>
            <w:tcBorders>
              <w:right w:val="single" w:sz="8" w:color="E5FFFF"/>
            </w:tcBorders>
            <w:shd w:val="clear" w:color="auto" w:fill="E5FFFF"/>
          </w:tcPr>
          <w:p>
            <w:pPr>
              <w:spacing w:after="0"/>
              <w:rPr>
                <w:sz w:val="15"/>
                <w:szCs w:val="15"/>
                <w:color w:val="auto"/>
              </w:rPr>
            </w:pPr>
          </w:p>
        </w:tc>
        <w:tc>
          <w:tcPr>
            <w:tcW w:w="120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381,972</w:t>
            </w:r>
          </w:p>
        </w:tc>
        <w:tc>
          <w:tcPr>
            <w:tcW w:w="260" w:type="dxa"/>
            <w:vAlign w:val="bottom"/>
            <w:tcBorders>
              <w:right w:val="single" w:sz="8" w:color="E5FFFF"/>
            </w:tcBorders>
            <w:vMerge w:val="restart"/>
            <w:shd w:val="clear" w:color="auto" w:fill="E5FFFF"/>
          </w:tcPr>
          <w:p>
            <w:pPr>
              <w:spacing w:after="0"/>
              <w:rPr>
                <w:sz w:val="15"/>
                <w:szCs w:val="15"/>
                <w:color w:val="auto"/>
              </w:rPr>
            </w:pPr>
          </w:p>
        </w:tc>
        <w:tc>
          <w:tcPr>
            <w:tcW w:w="142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1,077</w:t>
            </w:r>
          </w:p>
        </w:tc>
        <w:tc>
          <w:tcPr>
            <w:tcW w:w="220" w:type="dxa"/>
            <w:vAlign w:val="bottom"/>
            <w:tcBorders>
              <w:right w:val="single" w:sz="8" w:color="E5FFFF"/>
            </w:tcBorders>
            <w:shd w:val="clear" w:color="auto" w:fill="E5FFFF"/>
          </w:tcPr>
          <w:p>
            <w:pPr>
              <w:spacing w:after="0"/>
              <w:rPr>
                <w:sz w:val="15"/>
                <w:szCs w:val="15"/>
                <w:color w:val="auto"/>
              </w:rPr>
            </w:pPr>
          </w:p>
        </w:tc>
        <w:tc>
          <w:tcPr>
            <w:tcW w:w="1240" w:type="dxa"/>
            <w:vAlign w:val="bottom"/>
            <w:tcBorders>
              <w:right w:val="single" w:sz="8" w:color="E5FFFF"/>
            </w:tcBorders>
            <w:gridSpan w:val="2"/>
            <w:vMerge w:val="restart"/>
            <w:shd w:val="clear" w:color="auto" w:fill="E5FFFF"/>
          </w:tcPr>
          <w:p>
            <w:pPr>
              <w:jc w:val="right"/>
              <w:ind w:right="220"/>
              <w:spacing w:after="0"/>
              <w:rPr>
                <w:sz w:val="20"/>
                <w:szCs w:val="20"/>
                <w:color w:val="auto"/>
              </w:rPr>
            </w:pPr>
            <w:r>
              <w:rPr>
                <w:rFonts w:ascii="Arial" w:cs="Arial" w:eastAsia="Arial" w:hAnsi="Arial"/>
                <w:sz w:val="17"/>
                <w:szCs w:val="17"/>
                <w:b w:val="1"/>
                <w:bCs w:val="1"/>
                <w:color w:val="auto"/>
              </w:rPr>
              <w:t>7,591</w:t>
            </w:r>
          </w:p>
        </w:tc>
        <w:tc>
          <w:tcPr>
            <w:tcW w:w="1580" w:type="dxa"/>
            <w:vAlign w:val="bottom"/>
            <w:tcBorders>
              <w:right w:val="single" w:sz="8" w:color="E5FFFF"/>
            </w:tcBorders>
            <w:gridSpan w:val="2"/>
            <w:vMerge w:val="restart"/>
            <w:shd w:val="clear" w:color="auto" w:fill="E5FFFF"/>
          </w:tcPr>
          <w:p>
            <w:pPr>
              <w:jc w:val="right"/>
              <w:ind w:right="120"/>
              <w:spacing w:after="0"/>
              <w:rPr>
                <w:sz w:val="20"/>
                <w:szCs w:val="20"/>
                <w:color w:val="auto"/>
              </w:rPr>
            </w:pPr>
            <w:r>
              <w:rPr>
                <w:rFonts w:ascii="Arial" w:cs="Arial" w:eastAsia="Arial" w:hAnsi="Arial"/>
                <w:sz w:val="17"/>
                <w:szCs w:val="17"/>
                <w:b w:val="1"/>
                <w:bCs w:val="1"/>
                <w:color w:val="auto"/>
              </w:rPr>
              <w:t>(13,385)</w:t>
            </w:r>
          </w:p>
        </w:tc>
        <w:tc>
          <w:tcPr>
            <w:tcW w:w="860" w:type="dxa"/>
            <w:vAlign w:val="bottom"/>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2,924,811</w:t>
            </w:r>
          </w:p>
        </w:tc>
        <w:tc>
          <w:tcPr>
            <w:tcW w:w="460" w:type="dxa"/>
            <w:vAlign w:val="bottom"/>
            <w:tcBorders>
              <w:left w:val="single" w:sz="8" w:color="E5FFFF"/>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0" w:type="dxa"/>
            <w:vAlign w:val="bottom"/>
          </w:tcPr>
          <w:p>
            <w:pPr>
              <w:spacing w:after="0"/>
              <w:rPr>
                <w:sz w:val="18"/>
                <w:szCs w:val="18"/>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June 30, 2018</w:t>
            </w:r>
          </w:p>
        </w:tc>
        <w:tc>
          <w:tcPr>
            <w:tcW w:w="1440" w:type="dxa"/>
            <w:vAlign w:val="bottom"/>
            <w:tcBorders>
              <w:left w:val="single" w:sz="8" w:color="E5FFFF"/>
              <w:right w:val="single" w:sz="8" w:color="E5FFFF"/>
            </w:tcBorders>
            <w:vMerge w:val="continue"/>
            <w:shd w:val="clear" w:color="auto" w:fill="E5FFFF"/>
          </w:tcPr>
          <w:p>
            <w:pPr>
              <w:spacing w:after="0"/>
              <w:rPr>
                <w:sz w:val="18"/>
                <w:szCs w:val="18"/>
                <w:color w:val="auto"/>
              </w:rPr>
            </w:pPr>
          </w:p>
        </w:tc>
        <w:tc>
          <w:tcPr>
            <w:tcW w:w="280" w:type="dxa"/>
            <w:vAlign w:val="bottom"/>
            <w:tcBorders>
              <w:right w:val="single" w:sz="8" w:color="E5FFFF"/>
            </w:tcBorders>
            <w:shd w:val="clear" w:color="auto" w:fill="E5FFFF"/>
          </w:tcPr>
          <w:p>
            <w:pPr>
              <w:spacing w:after="0"/>
              <w:rPr>
                <w:sz w:val="18"/>
                <w:szCs w:val="18"/>
                <w:color w:val="auto"/>
              </w:rPr>
            </w:pPr>
          </w:p>
        </w:tc>
        <w:tc>
          <w:tcPr>
            <w:tcW w:w="1200" w:type="dxa"/>
            <w:vAlign w:val="bottom"/>
            <w:tcBorders>
              <w:right w:val="single" w:sz="8" w:color="E5FFFF"/>
            </w:tcBorders>
            <w:vMerge w:val="continue"/>
            <w:shd w:val="clear" w:color="auto" w:fill="E5FFFF"/>
          </w:tcPr>
          <w:p>
            <w:pPr>
              <w:spacing w:after="0"/>
              <w:rPr>
                <w:sz w:val="18"/>
                <w:szCs w:val="18"/>
                <w:color w:val="auto"/>
              </w:rPr>
            </w:pPr>
          </w:p>
        </w:tc>
        <w:tc>
          <w:tcPr>
            <w:tcW w:w="260" w:type="dxa"/>
            <w:vAlign w:val="bottom"/>
            <w:tcBorders>
              <w:right w:val="single" w:sz="8" w:color="E5FFFF"/>
            </w:tcBorders>
            <w:vMerge w:val="continue"/>
            <w:shd w:val="clear" w:color="auto" w:fill="E5FFFF"/>
          </w:tcPr>
          <w:p>
            <w:pPr>
              <w:spacing w:after="0"/>
              <w:rPr>
                <w:sz w:val="18"/>
                <w:szCs w:val="18"/>
                <w:color w:val="auto"/>
              </w:rPr>
            </w:pPr>
          </w:p>
        </w:tc>
        <w:tc>
          <w:tcPr>
            <w:tcW w:w="1420" w:type="dxa"/>
            <w:vAlign w:val="bottom"/>
            <w:tcBorders>
              <w:right w:val="single" w:sz="8" w:color="E5FFFF"/>
            </w:tcBorders>
            <w:vMerge w:val="continue"/>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1240" w:type="dxa"/>
            <w:vAlign w:val="bottom"/>
            <w:tcBorders>
              <w:right w:val="single" w:sz="8" w:color="E5FFFF"/>
            </w:tcBorders>
            <w:gridSpan w:val="2"/>
            <w:vMerge w:val="continue"/>
            <w:shd w:val="clear" w:color="auto" w:fill="E5FFFF"/>
          </w:tcPr>
          <w:p>
            <w:pPr>
              <w:spacing w:after="0"/>
              <w:rPr>
                <w:sz w:val="18"/>
                <w:szCs w:val="18"/>
                <w:color w:val="auto"/>
              </w:rPr>
            </w:pPr>
          </w:p>
        </w:tc>
        <w:tc>
          <w:tcPr>
            <w:tcW w:w="1580" w:type="dxa"/>
            <w:vAlign w:val="bottom"/>
            <w:tcBorders>
              <w:right w:val="single" w:sz="8" w:color="E5FFFF"/>
            </w:tcBorders>
            <w:gridSpan w:val="2"/>
            <w:vMerge w:val="continue"/>
            <w:shd w:val="clear" w:color="auto" w:fill="E5FFFF"/>
          </w:tcPr>
          <w:p>
            <w:pPr>
              <w:spacing w:after="0"/>
              <w:rPr>
                <w:sz w:val="18"/>
                <w:szCs w:val="18"/>
                <w:color w:val="auto"/>
              </w:rPr>
            </w:pPr>
          </w:p>
        </w:tc>
        <w:tc>
          <w:tcPr>
            <w:tcW w:w="860" w:type="dxa"/>
            <w:vAlign w:val="bottom"/>
            <w:vMerge w:val="continue"/>
            <w:shd w:val="clear" w:color="auto" w:fill="E5FFFF"/>
          </w:tcPr>
          <w:p>
            <w:pPr>
              <w:spacing w:after="0"/>
              <w:rPr>
                <w:sz w:val="18"/>
                <w:szCs w:val="18"/>
                <w:color w:val="auto"/>
              </w:rPr>
            </w:pPr>
          </w:p>
        </w:tc>
        <w:tc>
          <w:tcPr>
            <w:tcW w:w="460" w:type="dxa"/>
            <w:vAlign w:val="bottom"/>
            <w:tcBorders>
              <w:left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6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6"/>
              </w:rPr>
              <w:t>Other</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Deferred</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comprehensive</w:t>
            </w:r>
          </w:p>
        </w:tc>
        <w:tc>
          <w:tcPr>
            <w:tcW w:w="12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Non-cash</w:t>
            </w:r>
          </w:p>
        </w:tc>
        <w:tc>
          <w:tcPr>
            <w:tcW w:w="15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financing costs,</w:t>
            </w: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17"/>
                <w:szCs w:val="17"/>
                <w:b w:val="1"/>
                <w:bCs w:val="1"/>
                <w:color w:val="auto"/>
              </w:rPr>
              <w:t>Opening balance</w:t>
            </w:r>
          </w:p>
        </w:tc>
        <w:tc>
          <w:tcPr>
            <w:tcW w:w="14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Cash flows</w:t>
            </w:r>
          </w:p>
        </w:tc>
        <w:tc>
          <w:tcPr>
            <w:tcW w:w="16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income</w:t>
            </w:r>
          </w:p>
        </w:tc>
        <w:tc>
          <w:tcPr>
            <w:tcW w:w="12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items</w:t>
            </w:r>
          </w:p>
        </w:tc>
        <w:tc>
          <w:tcPr>
            <w:tcW w:w="15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79"/>
              </w:rPr>
              <w:t>assets</w:t>
            </w:r>
          </w:p>
        </w:tc>
        <w:tc>
          <w:tcPr>
            <w:tcW w:w="1320" w:type="dxa"/>
            <w:vAlign w:val="bottom"/>
            <w:gridSpan w:val="2"/>
          </w:tcPr>
          <w:p>
            <w:pPr>
              <w:ind w:left="2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8"/>
        </w:trPr>
        <w:tc>
          <w:tcPr>
            <w:tcW w:w="420" w:type="dxa"/>
            <w:vAlign w:val="bottom"/>
            <w:tcBorders>
              <w:right w:val="single" w:sz="8" w:color="E5FFFF"/>
            </w:tcBorders>
          </w:tcPr>
          <w:p>
            <w:pPr>
              <w:spacing w:after="0"/>
              <w:rPr>
                <w:sz w:val="16"/>
                <w:szCs w:val="16"/>
                <w:color w:val="auto"/>
              </w:rPr>
            </w:pPr>
          </w:p>
        </w:tc>
        <w:tc>
          <w:tcPr>
            <w:tcW w:w="2660" w:type="dxa"/>
            <w:vAlign w:val="bottom"/>
            <w:tcBorders>
              <w:top w:val="single" w:sz="8" w:color="E5FFFF"/>
            </w:tcBorders>
            <w:shd w:val="clear" w:color="auto" w:fill="E5FFFF"/>
          </w:tcPr>
          <w:p>
            <w:pPr>
              <w:spacing w:after="0" w:line="188" w:lineRule="exact"/>
              <w:rPr>
                <w:sz w:val="20"/>
                <w:szCs w:val="20"/>
                <w:color w:val="auto"/>
              </w:rPr>
            </w:pPr>
            <w:r>
              <w:rPr>
                <w:rFonts w:ascii="Arial" w:cs="Arial" w:eastAsia="Arial" w:hAnsi="Arial"/>
                <w:sz w:val="17"/>
                <w:szCs w:val="17"/>
                <w:color w:val="auto"/>
              </w:rPr>
              <w:t>Borrowings outstanding as of</w:t>
            </w:r>
          </w:p>
        </w:tc>
        <w:tc>
          <w:tcPr>
            <w:tcW w:w="1440" w:type="dxa"/>
            <w:vAlign w:val="bottom"/>
            <w:tcBorders>
              <w:top w:val="single" w:sz="8" w:color="auto"/>
              <w:left w:val="single" w:sz="8" w:color="E5FFFF"/>
              <w:right w:val="single" w:sz="8" w:color="E5FFFF"/>
            </w:tcBorders>
            <w:shd w:val="clear" w:color="auto" w:fill="E5FFFF"/>
          </w:tcPr>
          <w:p>
            <w:pPr>
              <w:spacing w:after="0"/>
              <w:rPr>
                <w:sz w:val="16"/>
                <w:szCs w:val="16"/>
                <w:color w:val="auto"/>
              </w:rPr>
            </w:pPr>
          </w:p>
        </w:tc>
        <w:tc>
          <w:tcPr>
            <w:tcW w:w="280" w:type="dxa"/>
            <w:vAlign w:val="bottom"/>
            <w:tcBorders>
              <w:top w:val="single" w:sz="8" w:color="E5FFFF"/>
              <w:right w:val="single" w:sz="8" w:color="E5FFFF"/>
            </w:tcBorders>
            <w:shd w:val="clear" w:color="auto" w:fill="E5FFFF"/>
          </w:tcPr>
          <w:p>
            <w:pPr>
              <w:spacing w:after="0"/>
              <w:rPr>
                <w:sz w:val="16"/>
                <w:szCs w:val="16"/>
                <w:color w:val="auto"/>
              </w:rPr>
            </w:pPr>
          </w:p>
        </w:tc>
        <w:tc>
          <w:tcPr>
            <w:tcW w:w="1200" w:type="dxa"/>
            <w:vAlign w:val="bottom"/>
            <w:tcBorders>
              <w:top w:val="single" w:sz="8" w:color="auto"/>
              <w:right w:val="single" w:sz="8" w:color="E5FFFF"/>
            </w:tcBorders>
            <w:shd w:val="clear" w:color="auto" w:fill="E5FFFF"/>
          </w:tcPr>
          <w:p>
            <w:pPr>
              <w:spacing w:after="0"/>
              <w:rPr>
                <w:sz w:val="16"/>
                <w:szCs w:val="16"/>
                <w:color w:val="auto"/>
              </w:rPr>
            </w:pPr>
          </w:p>
        </w:tc>
        <w:tc>
          <w:tcPr>
            <w:tcW w:w="260" w:type="dxa"/>
            <w:vAlign w:val="bottom"/>
            <w:tcBorders>
              <w:top w:val="single" w:sz="8" w:color="E5FFFF"/>
              <w:right w:val="single" w:sz="8" w:color="E5FFFF"/>
            </w:tcBorders>
            <w:shd w:val="clear" w:color="auto" w:fill="E5FFFF"/>
          </w:tcPr>
          <w:p>
            <w:pPr>
              <w:spacing w:after="0"/>
              <w:rPr>
                <w:sz w:val="16"/>
                <w:szCs w:val="16"/>
                <w:color w:val="auto"/>
              </w:rPr>
            </w:pPr>
          </w:p>
        </w:tc>
        <w:tc>
          <w:tcPr>
            <w:tcW w:w="1420" w:type="dxa"/>
            <w:vAlign w:val="bottom"/>
            <w:tcBorders>
              <w:top w:val="single" w:sz="8" w:color="auto"/>
              <w:right w:val="single" w:sz="8" w:color="E5FFFF"/>
            </w:tcBorders>
            <w:shd w:val="clear" w:color="auto" w:fill="E5FFFF"/>
          </w:tcPr>
          <w:p>
            <w:pPr>
              <w:spacing w:after="0"/>
              <w:rPr>
                <w:sz w:val="16"/>
                <w:szCs w:val="16"/>
                <w:color w:val="auto"/>
              </w:rPr>
            </w:pPr>
          </w:p>
        </w:tc>
        <w:tc>
          <w:tcPr>
            <w:tcW w:w="220" w:type="dxa"/>
            <w:vAlign w:val="bottom"/>
            <w:tcBorders>
              <w:top w:val="single" w:sz="8" w:color="E5FFFF"/>
              <w:right w:val="single" w:sz="8" w:color="E5FFFF"/>
            </w:tcBorders>
            <w:shd w:val="clear" w:color="auto" w:fill="E5FFFF"/>
          </w:tcPr>
          <w:p>
            <w:pPr>
              <w:spacing w:after="0"/>
              <w:rPr>
                <w:sz w:val="16"/>
                <w:szCs w:val="16"/>
                <w:color w:val="auto"/>
              </w:rPr>
            </w:pPr>
          </w:p>
        </w:tc>
        <w:tc>
          <w:tcPr>
            <w:tcW w:w="1020" w:type="dxa"/>
            <w:vAlign w:val="bottom"/>
            <w:tcBorders>
              <w:top w:val="single" w:sz="8" w:color="auto"/>
              <w:right w:val="single" w:sz="8" w:color="E5FFFF"/>
            </w:tcBorders>
            <w:shd w:val="clear" w:color="auto" w:fill="E5FFFF"/>
          </w:tcPr>
          <w:p>
            <w:pPr>
              <w:spacing w:after="0"/>
              <w:rPr>
                <w:sz w:val="16"/>
                <w:szCs w:val="16"/>
                <w:color w:val="auto"/>
              </w:rPr>
            </w:pPr>
          </w:p>
        </w:tc>
        <w:tc>
          <w:tcPr>
            <w:tcW w:w="220" w:type="dxa"/>
            <w:vAlign w:val="bottom"/>
            <w:tcBorders>
              <w:top w:val="single" w:sz="8" w:color="E5FFFF"/>
              <w:right w:val="single" w:sz="8" w:color="E5FFFF"/>
            </w:tcBorders>
            <w:shd w:val="clear" w:color="auto" w:fill="E5FFFF"/>
          </w:tcPr>
          <w:p>
            <w:pPr>
              <w:spacing w:after="0"/>
              <w:rPr>
                <w:sz w:val="16"/>
                <w:szCs w:val="16"/>
                <w:color w:val="auto"/>
              </w:rPr>
            </w:pPr>
          </w:p>
        </w:tc>
        <w:tc>
          <w:tcPr>
            <w:tcW w:w="1400" w:type="dxa"/>
            <w:vAlign w:val="bottom"/>
            <w:tcBorders>
              <w:top w:val="single" w:sz="8" w:color="auto"/>
              <w:right w:val="single" w:sz="8" w:color="E5FFFF"/>
            </w:tcBorders>
            <w:shd w:val="clear" w:color="auto" w:fill="E5FFFF"/>
          </w:tcPr>
          <w:p>
            <w:pPr>
              <w:spacing w:after="0"/>
              <w:rPr>
                <w:sz w:val="16"/>
                <w:szCs w:val="16"/>
                <w:color w:val="auto"/>
              </w:rPr>
            </w:pPr>
          </w:p>
        </w:tc>
        <w:tc>
          <w:tcPr>
            <w:tcW w:w="180" w:type="dxa"/>
            <w:vAlign w:val="bottom"/>
            <w:tcBorders>
              <w:top w:val="single" w:sz="8" w:color="E5FFFF"/>
              <w:right w:val="single" w:sz="8" w:color="E5FFFF"/>
            </w:tcBorders>
            <w:shd w:val="clear" w:color="auto" w:fill="E5FFFF"/>
          </w:tcPr>
          <w:p>
            <w:pPr>
              <w:spacing w:after="0"/>
              <w:rPr>
                <w:sz w:val="16"/>
                <w:szCs w:val="16"/>
                <w:color w:val="auto"/>
              </w:rPr>
            </w:pPr>
          </w:p>
        </w:tc>
        <w:tc>
          <w:tcPr>
            <w:tcW w:w="860" w:type="dxa"/>
            <w:vAlign w:val="bottom"/>
            <w:tcBorders>
              <w:top w:val="single" w:sz="8" w:color="auto"/>
            </w:tcBorders>
            <w:shd w:val="clear" w:color="auto" w:fill="E5FFFF"/>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E5FFFF"/>
            </w:tcBorders>
          </w:tcPr>
          <w:p>
            <w:pPr>
              <w:spacing w:after="0"/>
              <w:rPr>
                <w:sz w:val="19"/>
                <w:szCs w:val="19"/>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color w:val="auto"/>
              </w:rPr>
              <w:t>January 1, 2019</w:t>
            </w:r>
          </w:p>
        </w:tc>
        <w:tc>
          <w:tcPr>
            <w:tcW w:w="1440" w:type="dxa"/>
            <w:vAlign w:val="bottom"/>
            <w:tcBorders>
              <w:left w:val="single" w:sz="8" w:color="E5FFFF"/>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2,828,459</w:t>
            </w:r>
          </w:p>
        </w:tc>
        <w:tc>
          <w:tcPr>
            <w:tcW w:w="280" w:type="dxa"/>
            <w:vAlign w:val="bottom"/>
            <w:tcBorders>
              <w:right w:val="single" w:sz="8" w:color="E5FFFF"/>
            </w:tcBorders>
            <w:shd w:val="clear" w:color="auto" w:fill="E5FFFF"/>
          </w:tcPr>
          <w:p>
            <w:pPr>
              <w:spacing w:after="0"/>
              <w:rPr>
                <w:sz w:val="19"/>
                <w:szCs w:val="19"/>
                <w:color w:val="auto"/>
              </w:rPr>
            </w:pPr>
          </w:p>
        </w:tc>
        <w:tc>
          <w:tcPr>
            <w:tcW w:w="1460" w:type="dxa"/>
            <w:vAlign w:val="bottom"/>
            <w:tcBorders>
              <w:right w:val="single" w:sz="8" w:color="E5FFFF"/>
            </w:tcBorders>
            <w:gridSpan w:val="2"/>
            <w:shd w:val="clear" w:color="auto" w:fill="E5FFFF"/>
          </w:tcPr>
          <w:p>
            <w:pPr>
              <w:jc w:val="right"/>
              <w:ind w:right="320"/>
              <w:spacing w:after="0"/>
              <w:rPr>
                <w:sz w:val="20"/>
                <w:szCs w:val="20"/>
                <w:color w:val="auto"/>
              </w:rPr>
            </w:pPr>
            <w:r>
              <w:rPr>
                <w:rFonts w:ascii="Arial" w:cs="Arial" w:eastAsia="Arial" w:hAnsi="Arial"/>
                <w:sz w:val="17"/>
                <w:szCs w:val="17"/>
                <w:color w:val="auto"/>
              </w:rPr>
              <w:t>—</w:t>
            </w:r>
          </w:p>
        </w:tc>
        <w:tc>
          <w:tcPr>
            <w:tcW w:w="1640" w:type="dxa"/>
            <w:vAlign w:val="bottom"/>
            <w:tcBorders>
              <w:right w:val="single" w:sz="8" w:color="E5FFFF"/>
            </w:tcBorders>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E5FFFF"/>
            </w:tcBorders>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E5FFFF"/>
            </w:tcBorders>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2,828,459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w w:val="93"/>
              </w:rPr>
              <w:t>Proceeds from bank loans and bonds</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677,680</w:t>
            </w:r>
          </w:p>
        </w:tc>
        <w:tc>
          <w:tcPr>
            <w:tcW w:w="26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677,680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 w:type="dxa"/>
            <w:vAlign w:val="bottom"/>
            <w:tcBorders>
              <w:right w:val="single" w:sz="8" w:color="E5FFFF"/>
            </w:tcBorders>
          </w:tcPr>
          <w:p>
            <w:pPr>
              <w:spacing w:after="0"/>
              <w:rPr>
                <w:sz w:val="18"/>
                <w:szCs w:val="18"/>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color w:val="auto"/>
              </w:rPr>
              <w:t>Bank loan repayments</w:t>
            </w:r>
          </w:p>
        </w:tc>
        <w:tc>
          <w:tcPr>
            <w:tcW w:w="1720" w:type="dxa"/>
            <w:vAlign w:val="bottom"/>
            <w:tcBorders>
              <w:left w:val="single" w:sz="8" w:color="E5FFFF"/>
              <w:right w:val="single" w:sz="8" w:color="E5FFFF"/>
            </w:tcBorders>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tcBorders>
              <w:right w:val="single" w:sz="8" w:color="E5FFFF"/>
            </w:tcBorders>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(445,604)</w:t>
            </w:r>
          </w:p>
        </w:tc>
        <w:tc>
          <w:tcPr>
            <w:tcW w:w="1640" w:type="dxa"/>
            <w:vAlign w:val="bottom"/>
            <w:tcBorders>
              <w:right w:val="single" w:sz="8" w:color="E5FFFF"/>
            </w:tcBorders>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tcBorders>
              <w:right w:val="single" w:sz="8" w:color="E5FFFF"/>
            </w:tcBorders>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E5FFFF"/>
            </w:tcBorders>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(445,604)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Additions in deferred loan fees</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7"/>
                <w:szCs w:val="17"/>
                <w:color w:val="auto"/>
              </w:rPr>
              <w:t>(9,175)</w:t>
            </w:r>
          </w:p>
        </w:tc>
        <w:tc>
          <w:tcPr>
            <w:tcW w:w="16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(1,584)</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(3,056)</w:t>
            </w:r>
          </w:p>
        </w:tc>
        <w:tc>
          <w:tcPr>
            <w:tcW w:w="860" w:type="dxa"/>
            <w:vAlign w:val="bottom"/>
          </w:tcPr>
          <w:p>
            <w:pPr>
              <w:jc w:val="right"/>
              <w:spacing w:after="0"/>
              <w:rPr>
                <w:sz w:val="20"/>
                <w:szCs w:val="20"/>
                <w:color w:val="auto"/>
              </w:rPr>
            </w:pPr>
            <w:r>
              <w:rPr>
                <w:rFonts w:ascii="Arial" w:cs="Arial" w:eastAsia="Arial" w:hAnsi="Arial"/>
                <w:sz w:val="17"/>
                <w:szCs w:val="17"/>
                <w:color w:val="auto"/>
              </w:rPr>
              <w:t>(13,815)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0" w:type="dxa"/>
            <w:vAlign w:val="bottom"/>
            <w:tcBorders>
              <w:right w:val="single" w:sz="8" w:color="E5FFFF"/>
            </w:tcBorders>
          </w:tcPr>
          <w:p>
            <w:pPr>
              <w:spacing w:after="0"/>
              <w:rPr>
                <w:sz w:val="17"/>
                <w:szCs w:val="17"/>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color w:val="auto"/>
              </w:rPr>
              <w:t>Amortization and write-off of</w:t>
            </w:r>
          </w:p>
        </w:tc>
        <w:tc>
          <w:tcPr>
            <w:tcW w:w="1440" w:type="dxa"/>
            <w:vAlign w:val="bottom"/>
            <w:tcBorders>
              <w:left w:val="single" w:sz="8" w:color="E5FFFF"/>
              <w:right w:val="single" w:sz="8" w:color="E5FFFF"/>
            </w:tcBorders>
            <w:shd w:val="clear" w:color="auto" w:fill="E5FFFF"/>
          </w:tcPr>
          <w:p>
            <w:pPr>
              <w:spacing w:after="0"/>
              <w:rPr>
                <w:sz w:val="17"/>
                <w:szCs w:val="17"/>
                <w:color w:val="auto"/>
              </w:rPr>
            </w:pPr>
          </w:p>
        </w:tc>
        <w:tc>
          <w:tcPr>
            <w:tcW w:w="280" w:type="dxa"/>
            <w:vAlign w:val="bottom"/>
            <w:tcBorders>
              <w:right w:val="single" w:sz="8" w:color="E5FFFF"/>
            </w:tcBorders>
            <w:shd w:val="clear" w:color="auto" w:fill="E5FFFF"/>
          </w:tcPr>
          <w:p>
            <w:pPr>
              <w:spacing w:after="0"/>
              <w:rPr>
                <w:sz w:val="17"/>
                <w:szCs w:val="17"/>
                <w:color w:val="auto"/>
              </w:rPr>
            </w:pPr>
          </w:p>
        </w:tc>
        <w:tc>
          <w:tcPr>
            <w:tcW w:w="1200" w:type="dxa"/>
            <w:vAlign w:val="bottom"/>
            <w:tcBorders>
              <w:right w:val="single" w:sz="8" w:color="E5FFFF"/>
            </w:tcBorders>
            <w:shd w:val="clear" w:color="auto" w:fill="E5FFFF"/>
          </w:tcPr>
          <w:p>
            <w:pPr>
              <w:spacing w:after="0"/>
              <w:rPr>
                <w:sz w:val="17"/>
                <w:szCs w:val="17"/>
                <w:color w:val="auto"/>
              </w:rPr>
            </w:pPr>
          </w:p>
        </w:tc>
        <w:tc>
          <w:tcPr>
            <w:tcW w:w="260" w:type="dxa"/>
            <w:vAlign w:val="bottom"/>
            <w:tcBorders>
              <w:right w:val="single" w:sz="8" w:color="E5FFFF"/>
            </w:tcBorders>
            <w:shd w:val="clear" w:color="auto" w:fill="E5FFFF"/>
          </w:tcPr>
          <w:p>
            <w:pPr>
              <w:spacing w:after="0"/>
              <w:rPr>
                <w:sz w:val="17"/>
                <w:szCs w:val="17"/>
                <w:color w:val="auto"/>
              </w:rPr>
            </w:pPr>
          </w:p>
        </w:tc>
        <w:tc>
          <w:tcPr>
            <w:tcW w:w="1420" w:type="dxa"/>
            <w:vAlign w:val="bottom"/>
            <w:tcBorders>
              <w:right w:val="single" w:sz="8" w:color="E5FFFF"/>
            </w:tcBorders>
            <w:shd w:val="clear" w:color="auto" w:fill="E5FFFF"/>
          </w:tcPr>
          <w:p>
            <w:pPr>
              <w:spacing w:after="0"/>
              <w:rPr>
                <w:sz w:val="17"/>
                <w:szCs w:val="17"/>
                <w:color w:val="auto"/>
              </w:rPr>
            </w:pPr>
          </w:p>
        </w:tc>
        <w:tc>
          <w:tcPr>
            <w:tcW w:w="220" w:type="dxa"/>
            <w:vAlign w:val="bottom"/>
            <w:tcBorders>
              <w:right w:val="single" w:sz="8" w:color="E5FFFF"/>
            </w:tcBorders>
            <w:shd w:val="clear" w:color="auto" w:fill="E5FFFF"/>
          </w:tcPr>
          <w:p>
            <w:pPr>
              <w:spacing w:after="0"/>
              <w:rPr>
                <w:sz w:val="17"/>
                <w:szCs w:val="17"/>
                <w:color w:val="auto"/>
              </w:rPr>
            </w:pPr>
          </w:p>
        </w:tc>
        <w:tc>
          <w:tcPr>
            <w:tcW w:w="1020" w:type="dxa"/>
            <w:vAlign w:val="bottom"/>
            <w:tcBorders>
              <w:right w:val="single" w:sz="8" w:color="E5FFFF"/>
            </w:tcBorders>
            <w:shd w:val="clear" w:color="auto" w:fill="E5FFFF"/>
          </w:tcPr>
          <w:p>
            <w:pPr>
              <w:spacing w:after="0"/>
              <w:rPr>
                <w:sz w:val="17"/>
                <w:szCs w:val="17"/>
                <w:color w:val="auto"/>
              </w:rPr>
            </w:pPr>
          </w:p>
        </w:tc>
        <w:tc>
          <w:tcPr>
            <w:tcW w:w="220" w:type="dxa"/>
            <w:vAlign w:val="bottom"/>
            <w:tcBorders>
              <w:right w:val="single" w:sz="8" w:color="E5FFFF"/>
            </w:tcBorders>
            <w:shd w:val="clear" w:color="auto" w:fill="E5FFFF"/>
          </w:tcPr>
          <w:p>
            <w:pPr>
              <w:spacing w:after="0"/>
              <w:rPr>
                <w:sz w:val="17"/>
                <w:szCs w:val="17"/>
                <w:color w:val="auto"/>
              </w:rPr>
            </w:pPr>
          </w:p>
        </w:tc>
        <w:tc>
          <w:tcPr>
            <w:tcW w:w="1400" w:type="dxa"/>
            <w:vAlign w:val="bottom"/>
            <w:tcBorders>
              <w:right w:val="single" w:sz="8" w:color="E5FFFF"/>
            </w:tcBorders>
            <w:shd w:val="clear" w:color="auto" w:fill="E5FFFF"/>
          </w:tcPr>
          <w:p>
            <w:pPr>
              <w:spacing w:after="0"/>
              <w:rPr>
                <w:sz w:val="17"/>
                <w:szCs w:val="17"/>
                <w:color w:val="auto"/>
              </w:rPr>
            </w:pPr>
          </w:p>
        </w:tc>
        <w:tc>
          <w:tcPr>
            <w:tcW w:w="180" w:type="dxa"/>
            <w:vAlign w:val="bottom"/>
            <w:tcBorders>
              <w:right w:val="single" w:sz="8" w:color="E5FFFF"/>
            </w:tcBorders>
            <w:shd w:val="clear" w:color="auto" w:fill="E5FFFF"/>
          </w:tcPr>
          <w:p>
            <w:pPr>
              <w:spacing w:after="0"/>
              <w:rPr>
                <w:sz w:val="17"/>
                <w:szCs w:val="17"/>
                <w:color w:val="auto"/>
              </w:rPr>
            </w:pPr>
          </w:p>
        </w:tc>
        <w:tc>
          <w:tcPr>
            <w:tcW w:w="860" w:type="dxa"/>
            <w:vAlign w:val="bottom"/>
            <w:shd w:val="clear" w:color="auto" w:fill="E5FF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0" w:type="dxa"/>
            <w:vAlign w:val="bottom"/>
            <w:tcBorders>
              <w:right w:val="single" w:sz="8" w:color="E5FFFF"/>
            </w:tcBorders>
          </w:tcPr>
          <w:p>
            <w:pPr>
              <w:spacing w:after="0"/>
              <w:rPr>
                <w:sz w:val="18"/>
                <w:szCs w:val="18"/>
                <w:color w:val="auto"/>
              </w:rPr>
            </w:pPr>
          </w:p>
        </w:tc>
        <w:tc>
          <w:tcPr>
            <w:tcW w:w="2660" w:type="dxa"/>
            <w:vAlign w:val="bottom"/>
            <w:shd w:val="clear" w:color="auto" w:fill="E5FFFF"/>
          </w:tcPr>
          <w:p>
            <w:pPr>
              <w:ind w:left="180"/>
              <w:spacing w:after="0"/>
              <w:rPr>
                <w:sz w:val="20"/>
                <w:szCs w:val="20"/>
                <w:color w:val="auto"/>
              </w:rPr>
            </w:pPr>
            <w:r>
              <w:rPr>
                <w:rFonts w:ascii="Arial" w:cs="Arial" w:eastAsia="Arial" w:hAnsi="Arial"/>
                <w:sz w:val="17"/>
                <w:szCs w:val="17"/>
                <w:color w:val="auto"/>
                <w:w w:val="97"/>
              </w:rPr>
              <w:t>deferred loan issuance costs and</w:t>
            </w:r>
          </w:p>
        </w:tc>
        <w:tc>
          <w:tcPr>
            <w:tcW w:w="1440" w:type="dxa"/>
            <w:vAlign w:val="bottom"/>
            <w:tcBorders>
              <w:left w:val="single" w:sz="8" w:color="E5FFFF"/>
              <w:right w:val="single" w:sz="8" w:color="E5FFFF"/>
            </w:tcBorders>
            <w:shd w:val="clear" w:color="auto" w:fill="E5FFFF"/>
          </w:tcPr>
          <w:p>
            <w:pPr>
              <w:spacing w:after="0"/>
              <w:rPr>
                <w:sz w:val="18"/>
                <w:szCs w:val="18"/>
                <w:color w:val="auto"/>
              </w:rPr>
            </w:pPr>
          </w:p>
        </w:tc>
        <w:tc>
          <w:tcPr>
            <w:tcW w:w="280" w:type="dxa"/>
            <w:vAlign w:val="bottom"/>
            <w:tcBorders>
              <w:right w:val="single" w:sz="8" w:color="E5FFFF"/>
            </w:tcBorders>
            <w:shd w:val="clear" w:color="auto" w:fill="E5FFFF"/>
          </w:tcPr>
          <w:p>
            <w:pPr>
              <w:spacing w:after="0"/>
              <w:rPr>
                <w:sz w:val="18"/>
                <w:szCs w:val="18"/>
                <w:color w:val="auto"/>
              </w:rPr>
            </w:pPr>
          </w:p>
        </w:tc>
        <w:tc>
          <w:tcPr>
            <w:tcW w:w="1200" w:type="dxa"/>
            <w:vAlign w:val="bottom"/>
            <w:tcBorders>
              <w:right w:val="single" w:sz="8" w:color="E5FFFF"/>
            </w:tcBorders>
            <w:shd w:val="clear" w:color="auto" w:fill="E5FFFF"/>
          </w:tcPr>
          <w:p>
            <w:pPr>
              <w:spacing w:after="0"/>
              <w:rPr>
                <w:sz w:val="18"/>
                <w:szCs w:val="18"/>
                <w:color w:val="auto"/>
              </w:rPr>
            </w:pPr>
          </w:p>
        </w:tc>
        <w:tc>
          <w:tcPr>
            <w:tcW w:w="260" w:type="dxa"/>
            <w:vAlign w:val="bottom"/>
            <w:tcBorders>
              <w:right w:val="single" w:sz="8" w:color="E5FFFF"/>
            </w:tcBorders>
            <w:shd w:val="clear" w:color="auto" w:fill="E5FFFF"/>
          </w:tcPr>
          <w:p>
            <w:pPr>
              <w:spacing w:after="0"/>
              <w:rPr>
                <w:sz w:val="18"/>
                <w:szCs w:val="18"/>
                <w:color w:val="auto"/>
              </w:rPr>
            </w:pPr>
          </w:p>
        </w:tc>
        <w:tc>
          <w:tcPr>
            <w:tcW w:w="1420" w:type="dxa"/>
            <w:vAlign w:val="bottom"/>
            <w:tcBorders>
              <w:right w:val="single" w:sz="8" w:color="E5FFFF"/>
            </w:tcBorders>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1020" w:type="dxa"/>
            <w:vAlign w:val="bottom"/>
            <w:tcBorders>
              <w:right w:val="single" w:sz="8" w:color="E5FFFF"/>
            </w:tcBorders>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1400" w:type="dxa"/>
            <w:vAlign w:val="bottom"/>
            <w:tcBorders>
              <w:right w:val="single" w:sz="8" w:color="E5FFFF"/>
            </w:tcBorders>
            <w:shd w:val="clear" w:color="auto" w:fill="E5FFFF"/>
          </w:tcPr>
          <w:p>
            <w:pPr>
              <w:spacing w:after="0"/>
              <w:rPr>
                <w:sz w:val="18"/>
                <w:szCs w:val="18"/>
                <w:color w:val="auto"/>
              </w:rPr>
            </w:pPr>
          </w:p>
        </w:tc>
        <w:tc>
          <w:tcPr>
            <w:tcW w:w="180" w:type="dxa"/>
            <w:vAlign w:val="bottom"/>
            <w:tcBorders>
              <w:right w:val="single" w:sz="8" w:color="E5FFFF"/>
            </w:tcBorders>
            <w:shd w:val="clear" w:color="auto" w:fill="E5FFFF"/>
          </w:tcPr>
          <w:p>
            <w:pPr>
              <w:spacing w:after="0"/>
              <w:rPr>
                <w:sz w:val="18"/>
                <w:szCs w:val="18"/>
                <w:color w:val="auto"/>
              </w:rPr>
            </w:pPr>
          </w:p>
        </w:tc>
        <w:tc>
          <w:tcPr>
            <w:tcW w:w="860" w:type="dxa"/>
            <w:vAlign w:val="bottom"/>
            <w:shd w:val="clear" w:color="auto" w:fill="E5FF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E5FFFF"/>
            </w:tcBorders>
          </w:tcPr>
          <w:p>
            <w:pPr>
              <w:spacing w:after="0"/>
              <w:rPr>
                <w:sz w:val="19"/>
                <w:szCs w:val="19"/>
                <w:color w:val="auto"/>
              </w:rPr>
            </w:pPr>
          </w:p>
        </w:tc>
        <w:tc>
          <w:tcPr>
            <w:tcW w:w="2660" w:type="dxa"/>
            <w:vAlign w:val="bottom"/>
            <w:shd w:val="clear" w:color="auto" w:fill="E5FFFF"/>
          </w:tcPr>
          <w:p>
            <w:pPr>
              <w:ind w:left="180"/>
              <w:spacing w:after="0"/>
              <w:rPr>
                <w:sz w:val="20"/>
                <w:szCs w:val="20"/>
                <w:color w:val="auto"/>
              </w:rPr>
            </w:pPr>
            <w:r>
              <w:rPr>
                <w:rFonts w:ascii="Arial" w:cs="Arial" w:eastAsia="Arial" w:hAnsi="Arial"/>
                <w:sz w:val="17"/>
                <w:szCs w:val="17"/>
                <w:color w:val="auto"/>
              </w:rPr>
              <w:t>premium</w:t>
            </w:r>
          </w:p>
        </w:tc>
        <w:tc>
          <w:tcPr>
            <w:tcW w:w="1720" w:type="dxa"/>
            <w:vAlign w:val="bottom"/>
            <w:tcBorders>
              <w:left w:val="single" w:sz="8" w:color="E5FFFF"/>
              <w:right w:val="single" w:sz="8" w:color="E5FFFF"/>
            </w:tcBorders>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tcBorders>
              <w:right w:val="single" w:sz="8" w:color="E5FFFF"/>
            </w:tcBorders>
            <w:gridSpan w:val="2"/>
            <w:shd w:val="clear" w:color="auto" w:fill="E5FFFF"/>
          </w:tcPr>
          <w:p>
            <w:pPr>
              <w:jc w:val="right"/>
              <w:ind w:right="320"/>
              <w:spacing w:after="0"/>
              <w:rPr>
                <w:sz w:val="20"/>
                <w:szCs w:val="20"/>
                <w:color w:val="auto"/>
              </w:rPr>
            </w:pPr>
            <w:r>
              <w:rPr>
                <w:rFonts w:ascii="Arial" w:cs="Arial" w:eastAsia="Arial" w:hAnsi="Arial"/>
                <w:sz w:val="17"/>
                <w:szCs w:val="17"/>
                <w:color w:val="auto"/>
              </w:rPr>
              <w:t>—</w:t>
            </w:r>
          </w:p>
        </w:tc>
        <w:tc>
          <w:tcPr>
            <w:tcW w:w="1640" w:type="dxa"/>
            <w:vAlign w:val="bottom"/>
            <w:tcBorders>
              <w:right w:val="single" w:sz="8" w:color="E5FFFF"/>
            </w:tcBorders>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E5FFFF"/>
            </w:tcBorders>
            <w:shd w:val="clear" w:color="auto" w:fill="E5FFFF"/>
          </w:tcPr>
          <w:p>
            <w:pPr>
              <w:jc w:val="right"/>
              <w:spacing w:after="0"/>
              <w:rPr>
                <w:sz w:val="20"/>
                <w:szCs w:val="20"/>
                <w:color w:val="auto"/>
              </w:rPr>
            </w:pPr>
            <w:r>
              <w:rPr>
                <w:rFonts w:ascii="Arial" w:cs="Arial" w:eastAsia="Arial" w:hAnsi="Arial"/>
                <w:sz w:val="17"/>
                <w:szCs w:val="17"/>
                <w:color w:val="auto"/>
              </w:rPr>
              <w:t>7,385</w:t>
            </w:r>
          </w:p>
        </w:tc>
        <w:tc>
          <w:tcPr>
            <w:tcW w:w="220" w:type="dxa"/>
            <w:vAlign w:val="bottom"/>
            <w:tcBorders>
              <w:right w:val="single" w:sz="8" w:color="E5FFFF"/>
            </w:tcBorders>
            <w:shd w:val="clear" w:color="auto" w:fill="E5FFFF"/>
          </w:tcPr>
          <w:p>
            <w:pPr>
              <w:spacing w:after="0"/>
              <w:rPr>
                <w:sz w:val="19"/>
                <w:szCs w:val="19"/>
                <w:color w:val="auto"/>
              </w:rPr>
            </w:pPr>
          </w:p>
        </w:tc>
        <w:tc>
          <w:tcPr>
            <w:tcW w:w="1580" w:type="dxa"/>
            <w:vAlign w:val="bottom"/>
            <w:tcBorders>
              <w:right w:val="single" w:sz="8" w:color="E5FFFF"/>
            </w:tcBorders>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E5FFFF"/>
          </w:tcPr>
          <w:p>
            <w:pPr>
              <w:jc w:val="right"/>
              <w:spacing w:after="0"/>
              <w:rPr>
                <w:sz w:val="20"/>
                <w:szCs w:val="20"/>
                <w:color w:val="auto"/>
              </w:rPr>
            </w:pPr>
            <w:r>
              <w:rPr>
                <w:rFonts w:ascii="Arial" w:cs="Arial" w:eastAsia="Arial" w:hAnsi="Arial"/>
                <w:sz w:val="17"/>
                <w:szCs w:val="17"/>
                <w:color w:val="auto"/>
              </w:rPr>
              <w:t>7,385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Retranslation of the 2021 NOK</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7"/>
                <w:szCs w:val="17"/>
                <w:color w:val="auto"/>
              </w:rPr>
              <w:t>Bonds in USD</w:t>
            </w:r>
          </w:p>
        </w:tc>
        <w:tc>
          <w:tcPr>
            <w:tcW w:w="17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1,857</w:t>
            </w:r>
          </w:p>
        </w:tc>
        <w:tc>
          <w:tcPr>
            <w:tcW w:w="2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1,857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E5FFFF"/>
            </w:tcBorders>
          </w:tcPr>
          <w:p>
            <w:pPr>
              <w:spacing w:after="0" w:line="20" w:lineRule="exact"/>
              <w:rPr>
                <w:sz w:val="1"/>
                <w:szCs w:val="1"/>
                <w:color w:val="auto"/>
              </w:rPr>
            </w:pPr>
          </w:p>
        </w:tc>
        <w:tc>
          <w:tcPr>
            <w:tcW w:w="2660" w:type="dxa"/>
            <w:vAlign w:val="bottom"/>
            <w:vMerge w:val="restart"/>
            <w:shd w:val="clear" w:color="auto" w:fill="E5FFFF"/>
          </w:tcPr>
          <w:p>
            <w:pPr>
              <w:spacing w:after="0"/>
              <w:rPr>
                <w:sz w:val="20"/>
                <w:szCs w:val="20"/>
                <w:color w:val="auto"/>
              </w:rPr>
            </w:pPr>
            <w:r>
              <w:rPr>
                <w:rFonts w:ascii="Arial" w:cs="Arial" w:eastAsia="Arial" w:hAnsi="Arial"/>
                <w:sz w:val="17"/>
                <w:szCs w:val="17"/>
                <w:b w:val="1"/>
                <w:bCs w:val="1"/>
                <w:color w:val="auto"/>
              </w:rPr>
              <w:t>Borrowings outstanding as of</w:t>
            </w:r>
          </w:p>
        </w:tc>
        <w:tc>
          <w:tcPr>
            <w:tcW w:w="1440" w:type="dxa"/>
            <w:vAlign w:val="bottom"/>
            <w:tcBorders>
              <w:left w:val="single" w:sz="8" w:color="auto"/>
              <w:right w:val="single" w:sz="8" w:color="E5FF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E5FFFF"/>
          </w:tcPr>
          <w:p>
            <w:pPr>
              <w:spacing w:after="0" w:line="20" w:lineRule="exact"/>
              <w:rPr>
                <w:sz w:val="1"/>
                <w:szCs w:val="1"/>
                <w:color w:val="auto"/>
              </w:rPr>
            </w:pPr>
          </w:p>
        </w:tc>
        <w:tc>
          <w:tcPr>
            <w:tcW w:w="1200" w:type="dxa"/>
            <w:vAlign w:val="bottom"/>
            <w:tcBorders>
              <w:right w:val="single" w:sz="8" w:color="E5FFFF"/>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E5FFFF"/>
          </w:tcPr>
          <w:p>
            <w:pPr>
              <w:spacing w:after="0" w:line="20" w:lineRule="exact"/>
              <w:rPr>
                <w:sz w:val="1"/>
                <w:szCs w:val="1"/>
                <w:color w:val="auto"/>
              </w:rPr>
            </w:pPr>
          </w:p>
        </w:tc>
        <w:tc>
          <w:tcPr>
            <w:tcW w:w="1420" w:type="dxa"/>
            <w:vAlign w:val="bottom"/>
            <w:tcBorders>
              <w:right w:val="single" w:sz="8" w:color="E5FF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5FFFF"/>
          </w:tcPr>
          <w:p>
            <w:pPr>
              <w:spacing w:after="0" w:line="20" w:lineRule="exact"/>
              <w:rPr>
                <w:sz w:val="1"/>
                <w:szCs w:val="1"/>
                <w:color w:val="auto"/>
              </w:rPr>
            </w:pPr>
          </w:p>
        </w:tc>
        <w:tc>
          <w:tcPr>
            <w:tcW w:w="1020" w:type="dxa"/>
            <w:vAlign w:val="bottom"/>
            <w:tcBorders>
              <w:right w:val="single" w:sz="8" w:color="E5FF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E5FFFF"/>
          </w:tcPr>
          <w:p>
            <w:pPr>
              <w:spacing w:after="0" w:line="20" w:lineRule="exact"/>
              <w:rPr>
                <w:sz w:val="1"/>
                <w:szCs w:val="1"/>
                <w:color w:val="auto"/>
              </w:rPr>
            </w:pPr>
          </w:p>
        </w:tc>
        <w:tc>
          <w:tcPr>
            <w:tcW w:w="1400" w:type="dxa"/>
            <w:vAlign w:val="bottom"/>
            <w:tcBorders>
              <w:right w:val="single" w:sz="8" w:color="E5FF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E5FF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tcBorders>
              <w:right w:val="single" w:sz="8" w:color="E5FFFF"/>
            </w:tcBorders>
          </w:tcPr>
          <w:p>
            <w:pPr>
              <w:spacing w:after="0"/>
              <w:rPr>
                <w:sz w:val="15"/>
                <w:szCs w:val="15"/>
                <w:color w:val="auto"/>
              </w:rPr>
            </w:pPr>
          </w:p>
        </w:tc>
        <w:tc>
          <w:tcPr>
            <w:tcW w:w="2660" w:type="dxa"/>
            <w:vAlign w:val="bottom"/>
            <w:vMerge w:val="continue"/>
            <w:shd w:val="clear" w:color="auto" w:fill="E5FFFF"/>
          </w:tcPr>
          <w:p>
            <w:pPr>
              <w:spacing w:after="0"/>
              <w:rPr>
                <w:sz w:val="15"/>
                <w:szCs w:val="15"/>
                <w:color w:val="auto"/>
              </w:rPr>
            </w:pPr>
          </w:p>
        </w:tc>
        <w:tc>
          <w:tcPr>
            <w:tcW w:w="1440" w:type="dxa"/>
            <w:vAlign w:val="bottom"/>
            <w:tcBorders>
              <w:left w:val="single" w:sz="8" w:color="E5FFFF"/>
              <w:right w:val="single" w:sz="8" w:color="E5FFFF"/>
            </w:tcBorders>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2,828,459</w:t>
            </w:r>
          </w:p>
        </w:tc>
        <w:tc>
          <w:tcPr>
            <w:tcW w:w="280" w:type="dxa"/>
            <w:vAlign w:val="bottom"/>
            <w:tcBorders>
              <w:right w:val="single" w:sz="8" w:color="E5FFFF"/>
            </w:tcBorders>
            <w:shd w:val="clear" w:color="auto" w:fill="E5FFFF"/>
          </w:tcPr>
          <w:p>
            <w:pPr>
              <w:spacing w:after="0"/>
              <w:rPr>
                <w:sz w:val="15"/>
                <w:szCs w:val="15"/>
                <w:color w:val="auto"/>
              </w:rPr>
            </w:pPr>
          </w:p>
        </w:tc>
        <w:tc>
          <w:tcPr>
            <w:tcW w:w="120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222,901</w:t>
            </w:r>
          </w:p>
        </w:tc>
        <w:tc>
          <w:tcPr>
            <w:tcW w:w="260" w:type="dxa"/>
            <w:vAlign w:val="bottom"/>
            <w:tcBorders>
              <w:right w:val="single" w:sz="8" w:color="E5FFFF"/>
            </w:tcBorders>
            <w:shd w:val="clear" w:color="auto" w:fill="E5FFFF"/>
          </w:tcPr>
          <w:p>
            <w:pPr>
              <w:spacing w:after="0"/>
              <w:rPr>
                <w:sz w:val="15"/>
                <w:szCs w:val="15"/>
                <w:color w:val="auto"/>
              </w:rPr>
            </w:pPr>
          </w:p>
        </w:tc>
        <w:tc>
          <w:tcPr>
            <w:tcW w:w="142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1,857</w:t>
            </w:r>
          </w:p>
        </w:tc>
        <w:tc>
          <w:tcPr>
            <w:tcW w:w="220" w:type="dxa"/>
            <w:vAlign w:val="bottom"/>
            <w:tcBorders>
              <w:right w:val="single" w:sz="8" w:color="E5FFFF"/>
            </w:tcBorders>
            <w:shd w:val="clear" w:color="auto" w:fill="E5FFFF"/>
          </w:tcPr>
          <w:p>
            <w:pPr>
              <w:spacing w:after="0"/>
              <w:rPr>
                <w:sz w:val="15"/>
                <w:szCs w:val="15"/>
                <w:color w:val="auto"/>
              </w:rPr>
            </w:pPr>
          </w:p>
        </w:tc>
        <w:tc>
          <w:tcPr>
            <w:tcW w:w="1020" w:type="dxa"/>
            <w:vAlign w:val="bottom"/>
            <w:tcBorders>
              <w:right w:val="single" w:sz="8" w:color="E5FFFF"/>
            </w:tcBorders>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5,801</w:t>
            </w:r>
          </w:p>
        </w:tc>
        <w:tc>
          <w:tcPr>
            <w:tcW w:w="220" w:type="dxa"/>
            <w:vAlign w:val="bottom"/>
            <w:tcBorders>
              <w:right w:val="single" w:sz="8" w:color="E5FFFF"/>
            </w:tcBorders>
            <w:shd w:val="clear" w:color="auto" w:fill="E5FFFF"/>
          </w:tcPr>
          <w:p>
            <w:pPr>
              <w:spacing w:after="0"/>
              <w:rPr>
                <w:sz w:val="15"/>
                <w:szCs w:val="15"/>
                <w:color w:val="auto"/>
              </w:rPr>
            </w:pPr>
          </w:p>
        </w:tc>
        <w:tc>
          <w:tcPr>
            <w:tcW w:w="1580" w:type="dxa"/>
            <w:vAlign w:val="bottom"/>
            <w:tcBorders>
              <w:right w:val="single" w:sz="8" w:color="E5FFFF"/>
            </w:tcBorders>
            <w:gridSpan w:val="2"/>
            <w:vMerge w:val="restart"/>
            <w:shd w:val="clear" w:color="auto" w:fill="E5FFFF"/>
          </w:tcPr>
          <w:p>
            <w:pPr>
              <w:jc w:val="right"/>
              <w:ind w:right="160"/>
              <w:spacing w:after="0"/>
              <w:rPr>
                <w:sz w:val="20"/>
                <w:szCs w:val="20"/>
                <w:color w:val="auto"/>
              </w:rPr>
            </w:pPr>
            <w:r>
              <w:rPr>
                <w:rFonts w:ascii="Arial" w:cs="Arial" w:eastAsia="Arial" w:hAnsi="Arial"/>
                <w:sz w:val="17"/>
                <w:szCs w:val="17"/>
                <w:b w:val="1"/>
                <w:bCs w:val="1"/>
                <w:color w:val="auto"/>
              </w:rPr>
              <w:t>(3,056)</w:t>
            </w:r>
          </w:p>
        </w:tc>
        <w:tc>
          <w:tcPr>
            <w:tcW w:w="860" w:type="dxa"/>
            <w:vAlign w:val="bottom"/>
            <w:vMerge w:val="restart"/>
            <w:shd w:val="clear" w:color="auto" w:fill="E5FFFF"/>
          </w:tcPr>
          <w:p>
            <w:pPr>
              <w:jc w:val="right"/>
              <w:spacing w:after="0"/>
              <w:rPr>
                <w:sz w:val="20"/>
                <w:szCs w:val="20"/>
                <w:color w:val="auto"/>
              </w:rPr>
            </w:pPr>
            <w:r>
              <w:rPr>
                <w:rFonts w:ascii="Arial" w:cs="Arial" w:eastAsia="Arial" w:hAnsi="Arial"/>
                <w:sz w:val="17"/>
                <w:szCs w:val="17"/>
                <w:b w:val="1"/>
                <w:bCs w:val="1"/>
                <w:color w:val="auto"/>
              </w:rPr>
              <w:t>3,055,962</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20" w:type="dxa"/>
            <w:vAlign w:val="bottom"/>
            <w:tcBorders>
              <w:right w:val="single" w:sz="8" w:color="E5FFFF"/>
            </w:tcBorders>
          </w:tcPr>
          <w:p>
            <w:pPr>
              <w:spacing w:after="0"/>
              <w:rPr>
                <w:sz w:val="18"/>
                <w:szCs w:val="18"/>
                <w:color w:val="auto"/>
              </w:rPr>
            </w:pPr>
          </w:p>
        </w:tc>
        <w:tc>
          <w:tcPr>
            <w:tcW w:w="266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June 30, 2019</w:t>
            </w:r>
          </w:p>
        </w:tc>
        <w:tc>
          <w:tcPr>
            <w:tcW w:w="1440" w:type="dxa"/>
            <w:vAlign w:val="bottom"/>
            <w:tcBorders>
              <w:left w:val="single" w:sz="8" w:color="E5FFFF"/>
              <w:right w:val="single" w:sz="8" w:color="E5FFFF"/>
            </w:tcBorders>
            <w:vMerge w:val="continue"/>
            <w:shd w:val="clear" w:color="auto" w:fill="E5FFFF"/>
          </w:tcPr>
          <w:p>
            <w:pPr>
              <w:spacing w:after="0"/>
              <w:rPr>
                <w:sz w:val="18"/>
                <w:szCs w:val="18"/>
                <w:color w:val="auto"/>
              </w:rPr>
            </w:pPr>
          </w:p>
        </w:tc>
        <w:tc>
          <w:tcPr>
            <w:tcW w:w="280" w:type="dxa"/>
            <w:vAlign w:val="bottom"/>
            <w:tcBorders>
              <w:right w:val="single" w:sz="8" w:color="E5FFFF"/>
            </w:tcBorders>
            <w:shd w:val="clear" w:color="auto" w:fill="E5FFFF"/>
          </w:tcPr>
          <w:p>
            <w:pPr>
              <w:spacing w:after="0"/>
              <w:rPr>
                <w:sz w:val="18"/>
                <w:szCs w:val="18"/>
                <w:color w:val="auto"/>
              </w:rPr>
            </w:pPr>
          </w:p>
        </w:tc>
        <w:tc>
          <w:tcPr>
            <w:tcW w:w="1200" w:type="dxa"/>
            <w:vAlign w:val="bottom"/>
            <w:tcBorders>
              <w:right w:val="single" w:sz="8" w:color="E5FFFF"/>
            </w:tcBorders>
            <w:vMerge w:val="continue"/>
            <w:shd w:val="clear" w:color="auto" w:fill="E5FFFF"/>
          </w:tcPr>
          <w:p>
            <w:pPr>
              <w:spacing w:after="0"/>
              <w:rPr>
                <w:sz w:val="18"/>
                <w:szCs w:val="18"/>
                <w:color w:val="auto"/>
              </w:rPr>
            </w:pPr>
          </w:p>
        </w:tc>
        <w:tc>
          <w:tcPr>
            <w:tcW w:w="260" w:type="dxa"/>
            <w:vAlign w:val="bottom"/>
            <w:tcBorders>
              <w:right w:val="single" w:sz="8" w:color="E5FFFF"/>
            </w:tcBorders>
            <w:shd w:val="clear" w:color="auto" w:fill="E5FFFF"/>
          </w:tcPr>
          <w:p>
            <w:pPr>
              <w:spacing w:after="0"/>
              <w:rPr>
                <w:sz w:val="18"/>
                <w:szCs w:val="18"/>
                <w:color w:val="auto"/>
              </w:rPr>
            </w:pPr>
          </w:p>
        </w:tc>
        <w:tc>
          <w:tcPr>
            <w:tcW w:w="1420" w:type="dxa"/>
            <w:vAlign w:val="bottom"/>
            <w:tcBorders>
              <w:right w:val="single" w:sz="8" w:color="E5FFFF"/>
            </w:tcBorders>
            <w:vMerge w:val="continue"/>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1020" w:type="dxa"/>
            <w:vAlign w:val="bottom"/>
            <w:tcBorders>
              <w:right w:val="single" w:sz="8" w:color="E5FFFF"/>
            </w:tcBorders>
            <w:vMerge w:val="continue"/>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spacing w:after="0"/>
              <w:rPr>
                <w:sz w:val="18"/>
                <w:szCs w:val="18"/>
                <w:color w:val="auto"/>
              </w:rPr>
            </w:pPr>
          </w:p>
        </w:tc>
        <w:tc>
          <w:tcPr>
            <w:tcW w:w="1580" w:type="dxa"/>
            <w:vAlign w:val="bottom"/>
            <w:tcBorders>
              <w:right w:val="single" w:sz="8" w:color="E5FFFF"/>
            </w:tcBorders>
            <w:gridSpan w:val="2"/>
            <w:vMerge w:val="continue"/>
            <w:shd w:val="clear" w:color="auto" w:fill="E5FFFF"/>
          </w:tcPr>
          <w:p>
            <w:pPr>
              <w:spacing w:after="0"/>
              <w:rPr>
                <w:sz w:val="18"/>
                <w:szCs w:val="18"/>
                <w:color w:val="auto"/>
              </w:rPr>
            </w:pPr>
          </w:p>
        </w:tc>
        <w:tc>
          <w:tcPr>
            <w:tcW w:w="860" w:type="dxa"/>
            <w:vAlign w:val="bottom"/>
            <w:vMerge w:val="continue"/>
            <w:shd w:val="clear" w:color="auto" w:fill="E5FF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60" w:type="dxa"/>
            <w:vAlign w:val="bottom"/>
            <w:tcBorders>
              <w:top w:val="single" w:sz="8" w:color="E5FF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5FF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F-19</w:t>
            </w: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20" w:type="dxa"/>
            <w:vAlign w:val="bottom"/>
            <w:tcBorders>
              <w:bottom w:val="single" w:sz="8" w:color="808080"/>
            </w:tcBorders>
          </w:tcPr>
          <w:p>
            <w:pPr>
              <w:spacing w:after="0"/>
              <w:rPr>
                <w:sz w:val="12"/>
                <w:szCs w:val="12"/>
                <w:color w:val="auto"/>
              </w:rPr>
            </w:pPr>
          </w:p>
        </w:tc>
        <w:tc>
          <w:tcPr>
            <w:tcW w:w="266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4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8" w:right="80" w:bottom="755" w:gutter="0" w:footer="0" w:header="0"/>
        </w:sectPr>
      </w:pPr>
    </w:p>
    <w:bookmarkStart w:id="48" w:name="page49"/>
    <w:bookmarkEnd w:id="48"/>
    <w:p>
      <w:pPr>
        <w:ind w:left="20"/>
        <w:spacing w:after="0"/>
        <w:rPr>
          <w:sz w:val="20"/>
          <w:szCs w:val="20"/>
          <w:color w:val="auto"/>
        </w:rPr>
      </w:pPr>
      <w:r>
        <w:rPr>
          <w:rFonts w:ascii="Arial" w:cs="Arial" w:eastAsia="Arial" w:hAnsi="Arial"/>
          <w:sz w:val="17"/>
          <w:szCs w:val="17"/>
          <w:color w:val="auto"/>
        </w:rPr>
        <w:t>A reconciliation of derivatives arising from financing activities is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right"/>
              <w:ind w:right="440"/>
              <w:spacing w:after="0"/>
              <w:rPr>
                <w:sz w:val="20"/>
                <w:szCs w:val="20"/>
                <w:color w:val="auto"/>
              </w:rPr>
            </w:pPr>
            <w:r>
              <w:rPr>
                <w:rFonts w:ascii="Arial" w:cs="Arial" w:eastAsia="Arial" w:hAnsi="Arial"/>
                <w:sz w:val="17"/>
                <w:szCs w:val="17"/>
                <w:b w:val="1"/>
                <w:bCs w:val="1"/>
                <w:color w:val="auto"/>
                <w:w w:val="90"/>
              </w:rPr>
              <w:t>Other comprehensive</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rPr>
              <w:t>Opening balance</w:t>
            </w:r>
          </w:p>
        </w:tc>
        <w:tc>
          <w:tcPr>
            <w:tcW w:w="100" w:type="dxa"/>
            <w:vAlign w:val="bottom"/>
          </w:tcPr>
          <w:p>
            <w:pPr>
              <w:spacing w:after="0"/>
              <w:rPr>
                <w:sz w:val="19"/>
                <w:szCs w:val="19"/>
                <w:color w:val="auto"/>
              </w:rPr>
            </w:pPr>
          </w:p>
        </w:tc>
        <w:tc>
          <w:tcPr>
            <w:tcW w:w="2040" w:type="dxa"/>
            <w:vAlign w:val="bottom"/>
            <w:gridSpan w:val="3"/>
          </w:tcPr>
          <w:p>
            <w:pPr>
              <w:jc w:val="right"/>
              <w:ind w:right="960"/>
              <w:spacing w:after="0"/>
              <w:rPr>
                <w:sz w:val="20"/>
                <w:szCs w:val="20"/>
                <w:color w:val="auto"/>
              </w:rPr>
            </w:pPr>
            <w:r>
              <w:rPr>
                <w:rFonts w:ascii="Arial" w:cs="Arial" w:eastAsia="Arial" w:hAnsi="Arial"/>
                <w:sz w:val="17"/>
                <w:szCs w:val="17"/>
                <w:b w:val="1"/>
                <w:bCs w:val="1"/>
                <w:color w:val="auto"/>
              </w:rPr>
              <w:t>income</w:t>
            </w:r>
          </w:p>
        </w:tc>
        <w:tc>
          <w:tcPr>
            <w:tcW w:w="120" w:type="dxa"/>
            <w:vAlign w:val="bottom"/>
          </w:tcPr>
          <w:p>
            <w:pPr>
              <w:spacing w:after="0"/>
              <w:rPr>
                <w:sz w:val="19"/>
                <w:szCs w:val="19"/>
                <w:color w:val="auto"/>
              </w:rPr>
            </w:pPr>
          </w:p>
        </w:tc>
        <w:tc>
          <w:tcPr>
            <w:tcW w:w="1460" w:type="dxa"/>
            <w:vAlign w:val="bottom"/>
            <w:gridSpan w:val="5"/>
          </w:tcPr>
          <w:p>
            <w:pPr>
              <w:jc w:val="right"/>
              <w:ind w:right="320"/>
              <w:spacing w:after="0"/>
              <w:rPr>
                <w:sz w:val="20"/>
                <w:szCs w:val="20"/>
                <w:color w:val="auto"/>
              </w:rPr>
            </w:pPr>
            <w:r>
              <w:rPr>
                <w:rFonts w:ascii="Arial" w:cs="Arial" w:eastAsia="Arial" w:hAnsi="Arial"/>
                <w:sz w:val="17"/>
                <w:szCs w:val="17"/>
                <w:b w:val="1"/>
                <w:bCs w:val="1"/>
                <w:color w:val="auto"/>
                <w:w w:val="88"/>
              </w:rPr>
              <w:t>Non-cash items</w:t>
            </w:r>
          </w:p>
        </w:tc>
        <w:tc>
          <w:tcPr>
            <w:tcW w:w="0" w:type="dxa"/>
            <w:vAlign w:val="bottom"/>
          </w:tcPr>
          <w:p>
            <w:pPr>
              <w:spacing w:after="0"/>
              <w:rPr>
                <w:sz w:val="1"/>
                <w:szCs w:val="1"/>
                <w:color w:val="auto"/>
              </w:rPr>
            </w:pPr>
          </w:p>
        </w:tc>
      </w:tr>
      <w:tr>
        <w:trPr>
          <w:trHeight w:val="204"/>
        </w:trPr>
        <w:tc>
          <w:tcPr>
            <w:tcW w:w="4020" w:type="dxa"/>
            <w:vAlign w:val="bottom"/>
          </w:tcPr>
          <w:p>
            <w:pPr>
              <w:ind w:left="20"/>
              <w:spacing w:after="0"/>
              <w:rPr>
                <w:sz w:val="20"/>
                <w:szCs w:val="20"/>
                <w:color w:val="auto"/>
              </w:rPr>
            </w:pPr>
            <w:r>
              <w:rPr>
                <w:rFonts w:ascii="Arial" w:cs="Arial" w:eastAsia="Arial" w:hAnsi="Arial"/>
                <w:sz w:val="17"/>
                <w:szCs w:val="17"/>
                <w:color w:val="auto"/>
              </w:rPr>
              <w:t>Net derivative assets as of January 1, 2018</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16,396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Unrealized gain on derivative financial instruments</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held for trading (Note 16)</w:t>
            </w:r>
          </w:p>
        </w:tc>
        <w:tc>
          <w:tcPr>
            <w:tcW w:w="6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420" w:type="dxa"/>
            <w:vAlign w:val="bottom"/>
            <w:gridSpan w:val="3"/>
          </w:tcPr>
          <w:p>
            <w:pPr>
              <w:jc w:val="right"/>
              <w:ind w:right="20"/>
              <w:spacing w:after="0"/>
              <w:rPr>
                <w:sz w:val="20"/>
                <w:szCs w:val="20"/>
                <w:color w:val="auto"/>
              </w:rPr>
            </w:pPr>
            <w:r>
              <w:rPr>
                <w:rFonts w:ascii="Arial" w:cs="Arial" w:eastAsia="Arial" w:hAnsi="Arial"/>
                <w:sz w:val="17"/>
                <w:szCs w:val="17"/>
                <w:color w:val="auto"/>
              </w:rPr>
              <w:t>17,235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Ineffective portion of cash flow hedges (Note 16)</w:t>
            </w:r>
          </w:p>
        </w:tc>
        <w:tc>
          <w:tcPr>
            <w:tcW w:w="6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520" w:type="dxa"/>
            <w:vAlign w:val="bottom"/>
            <w:gridSpan w:val="4"/>
          </w:tcPr>
          <w:p>
            <w:pPr>
              <w:jc w:val="right"/>
              <w:ind w:right="60"/>
              <w:spacing w:after="0"/>
              <w:rPr>
                <w:sz w:val="20"/>
                <w:szCs w:val="20"/>
                <w:color w:val="auto"/>
              </w:rPr>
            </w:pPr>
            <w:r>
              <w:rPr>
                <w:rFonts w:ascii="Arial" w:cs="Arial" w:eastAsia="Arial" w:hAnsi="Arial"/>
                <w:sz w:val="17"/>
                <w:szCs w:val="17"/>
                <w:color w:val="auto"/>
              </w:rPr>
              <w:t>(530)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Effective portion of changes in the fair value of</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color w:val="auto"/>
              </w:rPr>
              <w:t>derivatives designated as cash flow hedging</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20"/>
              <w:spacing w:after="0"/>
              <w:rPr>
                <w:sz w:val="20"/>
                <w:szCs w:val="20"/>
                <w:color w:val="auto"/>
              </w:rPr>
            </w:pPr>
            <w:r>
              <w:rPr>
                <w:rFonts w:ascii="Arial" w:cs="Arial" w:eastAsia="Arial" w:hAnsi="Arial"/>
                <w:sz w:val="17"/>
                <w:szCs w:val="17"/>
                <w:color w:val="auto"/>
              </w:rPr>
              <w:t>instruments</w:t>
            </w:r>
          </w:p>
        </w:tc>
        <w:tc>
          <w:tcPr>
            <w:tcW w:w="60" w:type="dxa"/>
            <w:vAlign w:val="bottom"/>
          </w:tcPr>
          <w:p>
            <w:pPr>
              <w:spacing w:after="0"/>
              <w:rPr>
                <w:sz w:val="18"/>
                <w:szCs w:val="18"/>
                <w:color w:val="auto"/>
              </w:rPr>
            </w:pPr>
          </w:p>
        </w:tc>
        <w:tc>
          <w:tcPr>
            <w:tcW w:w="16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960" w:type="dxa"/>
            <w:vAlign w:val="bottom"/>
            <w:gridSpan w:val="3"/>
          </w:tcPr>
          <w:p>
            <w:pPr>
              <w:jc w:val="right"/>
              <w:ind w:right="120"/>
              <w:spacing w:after="0"/>
              <w:rPr>
                <w:sz w:val="20"/>
                <w:szCs w:val="20"/>
                <w:color w:val="auto"/>
              </w:rPr>
            </w:pPr>
            <w:r>
              <w:rPr>
                <w:rFonts w:ascii="Arial" w:cs="Arial" w:eastAsia="Arial" w:hAnsi="Arial"/>
                <w:sz w:val="17"/>
                <w:szCs w:val="17"/>
                <w:color w:val="auto"/>
              </w:rPr>
              <w:t>2,287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4020" w:type="dxa"/>
            <w:vAlign w:val="bottom"/>
          </w:tcPr>
          <w:p>
            <w:pPr>
              <w:ind w:left="20"/>
              <w:spacing w:after="0"/>
              <w:rPr>
                <w:sz w:val="20"/>
                <w:szCs w:val="20"/>
                <w:color w:val="auto"/>
              </w:rPr>
            </w:pPr>
            <w:r>
              <w:rPr>
                <w:rFonts w:ascii="Arial" w:cs="Arial" w:eastAsia="Arial" w:hAnsi="Arial"/>
                <w:sz w:val="17"/>
                <w:szCs w:val="17"/>
                <w:b w:val="1"/>
                <w:bCs w:val="1"/>
                <w:color w:val="auto"/>
              </w:rPr>
              <w:t>Net derivative assets as of June 30, 2018</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16,396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2,287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16,705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3"/>
        </w:trPr>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w w:val="97"/>
              </w:rPr>
              <w:t>Other comprehensive</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3"/>
          </w:tcPr>
          <w:p>
            <w:pPr>
              <w:ind w:left="120"/>
              <w:spacing w:after="0"/>
              <w:rPr>
                <w:sz w:val="20"/>
                <w:szCs w:val="20"/>
                <w:color w:val="auto"/>
              </w:rPr>
            </w:pPr>
            <w:r>
              <w:rPr>
                <w:rFonts w:ascii="Arial" w:cs="Arial" w:eastAsia="Arial" w:hAnsi="Arial"/>
                <w:sz w:val="17"/>
                <w:szCs w:val="17"/>
                <w:b w:val="1"/>
                <w:bCs w:val="1"/>
                <w:color w:val="auto"/>
              </w:rPr>
              <w:t>Opening balance</w:t>
            </w:r>
          </w:p>
        </w:tc>
        <w:tc>
          <w:tcPr>
            <w:tcW w:w="100" w:type="dxa"/>
            <w:vAlign w:val="bottom"/>
          </w:tcPr>
          <w:p>
            <w:pPr>
              <w:spacing w:after="0"/>
              <w:rPr>
                <w:sz w:val="19"/>
                <w:szCs w:val="19"/>
                <w:color w:val="auto"/>
              </w:rPr>
            </w:pPr>
          </w:p>
        </w:tc>
        <w:tc>
          <w:tcPr>
            <w:tcW w:w="2040" w:type="dxa"/>
            <w:vAlign w:val="bottom"/>
            <w:gridSpan w:val="3"/>
          </w:tcPr>
          <w:p>
            <w:pPr>
              <w:jc w:val="right"/>
              <w:ind w:right="980"/>
              <w:spacing w:after="0"/>
              <w:rPr>
                <w:sz w:val="20"/>
                <w:szCs w:val="20"/>
                <w:color w:val="auto"/>
              </w:rPr>
            </w:pPr>
            <w:r>
              <w:rPr>
                <w:rFonts w:ascii="Arial" w:cs="Arial" w:eastAsia="Arial" w:hAnsi="Arial"/>
                <w:sz w:val="17"/>
                <w:szCs w:val="17"/>
                <w:b w:val="1"/>
                <w:bCs w:val="1"/>
                <w:color w:val="auto"/>
              </w:rPr>
              <w:t>loss</w:t>
            </w:r>
          </w:p>
        </w:tc>
        <w:tc>
          <w:tcPr>
            <w:tcW w:w="120" w:type="dxa"/>
            <w:vAlign w:val="bottom"/>
          </w:tcPr>
          <w:p>
            <w:pPr>
              <w:spacing w:after="0"/>
              <w:rPr>
                <w:sz w:val="19"/>
                <w:szCs w:val="19"/>
                <w:color w:val="auto"/>
              </w:rPr>
            </w:pPr>
          </w:p>
        </w:tc>
        <w:tc>
          <w:tcPr>
            <w:tcW w:w="146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w w:val="97"/>
              </w:rPr>
              <w:t>Non-cash items</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20"/>
                <w:szCs w:val="20"/>
                <w:color w:val="auto"/>
              </w:rPr>
            </w:pPr>
            <w:r>
              <w:rPr>
                <w:rFonts w:ascii="Arial" w:cs="Arial" w:eastAsia="Arial" w:hAnsi="Arial"/>
                <w:sz w:val="17"/>
                <w:szCs w:val="17"/>
                <w:color w:val="auto"/>
              </w:rPr>
              <w:t>Net derivative assets as of January 1, 2019</w:t>
            </w:r>
          </w:p>
        </w:tc>
        <w:tc>
          <w:tcPr>
            <w:tcW w:w="60" w:type="dxa"/>
            <w:vAlign w:val="bottom"/>
          </w:tcPr>
          <w:p>
            <w:pPr>
              <w:spacing w:after="0"/>
              <w:rPr>
                <w:sz w:val="17"/>
                <w:szCs w:val="17"/>
                <w:color w:val="auto"/>
              </w:rPr>
            </w:pPr>
          </w:p>
        </w:tc>
        <w:tc>
          <w:tcPr>
            <w:tcW w:w="14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3,096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rPr>
              <w:t>Unrealized loss on derivative financial instruments</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rPr>
              <w:t>held for trading (Note 16)</w:t>
            </w:r>
          </w:p>
        </w:tc>
        <w:tc>
          <w:tcPr>
            <w:tcW w:w="6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gridSpan w:val="6"/>
          </w:tcPr>
          <w:p>
            <w:pPr>
              <w:jc w:val="right"/>
              <w:spacing w:after="0"/>
              <w:rPr>
                <w:sz w:val="20"/>
                <w:szCs w:val="20"/>
                <w:color w:val="auto"/>
              </w:rPr>
            </w:pPr>
            <w:r>
              <w:rPr>
                <w:rFonts w:ascii="Arial" w:cs="Arial" w:eastAsia="Arial" w:hAnsi="Arial"/>
                <w:sz w:val="17"/>
                <w:szCs w:val="17"/>
                <w:color w:val="auto"/>
              </w:rPr>
              <w:t>(51,931)</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rPr>
              <w:t>Ineffective portion of cash flow hedges (Note 16)</w:t>
            </w:r>
          </w:p>
        </w:tc>
        <w:tc>
          <w:tcPr>
            <w:tcW w:w="60" w:type="dxa"/>
            <w:vAlign w:val="bottom"/>
          </w:tcPr>
          <w:p>
            <w:pPr>
              <w:spacing w:after="0"/>
              <w:rPr>
                <w:sz w:val="18"/>
                <w:szCs w:val="18"/>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540" w:type="dxa"/>
            <w:vAlign w:val="bottom"/>
            <w:gridSpan w:val="5"/>
          </w:tcPr>
          <w:p>
            <w:pPr>
              <w:jc w:val="right"/>
              <w:ind w:right="20"/>
              <w:spacing w:after="0"/>
              <w:rPr>
                <w:sz w:val="20"/>
                <w:szCs w:val="20"/>
                <w:color w:val="auto"/>
              </w:rPr>
            </w:pPr>
            <w:r>
              <w:rPr>
                <w:rFonts w:ascii="Arial" w:cs="Arial" w:eastAsia="Arial" w:hAnsi="Arial"/>
                <w:sz w:val="17"/>
                <w:szCs w:val="17"/>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rPr>
              <w:t>Effective portion of changes in the fair value of</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rPr>
              <w:t>derivatives designated as cash flow hedging</w:t>
            </w: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7"/>
                <w:szCs w:val="17"/>
                <w:color w:val="auto"/>
              </w:rPr>
              <w:t>instruments</w:t>
            </w:r>
          </w:p>
        </w:tc>
        <w:tc>
          <w:tcPr>
            <w:tcW w:w="6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7"/>
                <w:szCs w:val="17"/>
                <w:color w:val="auto"/>
              </w:rPr>
              <w:t>(607)</w:t>
            </w:r>
          </w:p>
        </w:tc>
        <w:tc>
          <w:tcPr>
            <w:tcW w:w="120" w:type="dxa"/>
            <w:vAlign w:val="bottom"/>
          </w:tcPr>
          <w:p>
            <w:pPr>
              <w:spacing w:after="0"/>
              <w:rPr>
                <w:sz w:val="18"/>
                <w:szCs w:val="18"/>
                <w:color w:val="auto"/>
              </w:rPr>
            </w:pPr>
          </w:p>
        </w:tc>
        <w:tc>
          <w:tcPr>
            <w:tcW w:w="1460" w:type="dxa"/>
            <w:vAlign w:val="bottom"/>
            <w:gridSpan w:val="5"/>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
        </w:trPr>
        <w:tc>
          <w:tcPr>
            <w:tcW w:w="4020" w:type="dxa"/>
            <w:vAlign w:val="bottom"/>
            <w:vMerge w:val="restart"/>
          </w:tcPr>
          <w:p>
            <w:pPr>
              <w:spacing w:after="0"/>
              <w:rPr>
                <w:sz w:val="20"/>
                <w:szCs w:val="20"/>
                <w:color w:val="auto"/>
              </w:rPr>
            </w:pPr>
            <w:r>
              <w:rPr>
                <w:rFonts w:ascii="Arial" w:cs="Arial" w:eastAsia="Arial" w:hAnsi="Arial"/>
                <w:sz w:val="17"/>
                <w:szCs w:val="17"/>
                <w:b w:val="1"/>
                <w:bCs w:val="1"/>
                <w:color w:val="auto"/>
              </w:rPr>
              <w:t>Net derivative assets/(liabilities) as of June 30,</w:t>
            </w:r>
          </w:p>
        </w:tc>
        <w:tc>
          <w:tcPr>
            <w:tcW w:w="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20" w:type="dxa"/>
            <w:vAlign w:val="bottom"/>
            <w:vMerge w:val="continue"/>
          </w:tcPr>
          <w:p>
            <w:pPr>
              <w:spacing w:after="0"/>
              <w:rPr>
                <w:sz w:val="16"/>
                <w:szCs w:val="16"/>
                <w:color w:val="auto"/>
              </w:rPr>
            </w:pPr>
          </w:p>
        </w:tc>
        <w:tc>
          <w:tcPr>
            <w:tcW w:w="60" w:type="dxa"/>
            <w:vAlign w:val="bottom"/>
            <w:vMerge w:val="restart"/>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3,096</w:t>
            </w:r>
          </w:p>
        </w:tc>
        <w:tc>
          <w:tcPr>
            <w:tcW w:w="1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040" w:type="dxa"/>
            <w:vAlign w:val="bottom"/>
            <w:gridSpan w:val="3"/>
            <w:vMerge w:val="restart"/>
          </w:tcPr>
          <w:p>
            <w:pPr>
              <w:jc w:val="right"/>
              <w:ind w:right="120"/>
              <w:spacing w:after="0"/>
              <w:rPr>
                <w:sz w:val="20"/>
                <w:szCs w:val="20"/>
                <w:color w:val="auto"/>
              </w:rPr>
            </w:pPr>
            <w:r>
              <w:rPr>
                <w:rFonts w:ascii="Arial" w:cs="Arial" w:eastAsia="Arial" w:hAnsi="Arial"/>
                <w:sz w:val="17"/>
                <w:szCs w:val="17"/>
                <w:b w:val="1"/>
                <w:bCs w:val="1"/>
                <w:color w:val="auto"/>
              </w:rPr>
              <w:t>(607)</w:t>
            </w:r>
          </w:p>
        </w:tc>
        <w:tc>
          <w:tcPr>
            <w:tcW w:w="1580" w:type="dxa"/>
            <w:vAlign w:val="bottom"/>
            <w:gridSpan w:val="6"/>
            <w:vMerge w:val="restart"/>
          </w:tcPr>
          <w:p>
            <w:pPr>
              <w:jc w:val="right"/>
              <w:spacing w:after="0"/>
              <w:rPr>
                <w:sz w:val="20"/>
                <w:szCs w:val="20"/>
                <w:color w:val="auto"/>
              </w:rPr>
            </w:pPr>
            <w:r>
              <w:rPr>
                <w:rFonts w:ascii="Arial" w:cs="Arial" w:eastAsia="Arial" w:hAnsi="Arial"/>
                <w:sz w:val="17"/>
                <w:szCs w:val="17"/>
                <w:b w:val="1"/>
                <w:bCs w:val="1"/>
                <w:color w:val="auto"/>
              </w:rPr>
              <w:t>(51,882)</w:t>
            </w: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7"/>
                <w:szCs w:val="17"/>
                <w:b w:val="1"/>
                <w:bCs w:val="1"/>
                <w:color w:val="auto"/>
              </w:rPr>
              <w:t>2019</w:t>
            </w:r>
          </w:p>
        </w:tc>
        <w:tc>
          <w:tcPr>
            <w:tcW w:w="6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40" w:type="dxa"/>
            <w:vAlign w:val="bottom"/>
            <w:gridSpan w:val="3"/>
            <w:vMerge w:val="continue"/>
          </w:tcPr>
          <w:p>
            <w:pPr>
              <w:spacing w:after="0"/>
              <w:rPr>
                <w:sz w:val="18"/>
                <w:szCs w:val="18"/>
                <w:color w:val="auto"/>
              </w:rPr>
            </w:pPr>
          </w:p>
        </w:tc>
        <w:tc>
          <w:tcPr>
            <w:tcW w:w="15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-2517140</wp:posOffset>
            </wp:positionV>
            <wp:extent cx="7145020" cy="135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5020" cy="135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-1973580</wp:posOffset>
            </wp:positionV>
            <wp:extent cx="7145020" cy="1536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5020" cy="1536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-2933700</wp:posOffset>
            </wp:positionV>
            <wp:extent cx="7145020" cy="1447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45020" cy="1447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-832485</wp:posOffset>
            </wp:positionV>
            <wp:extent cx="7244715" cy="135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4715" cy="135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-288925</wp:posOffset>
            </wp:positionV>
            <wp:extent cx="7244715" cy="2717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4715" cy="2717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-1249045</wp:posOffset>
            </wp:positionV>
            <wp:extent cx="7244715" cy="14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4715" cy="144780"/>
                    </a:xfrm>
                    <a:prstGeom prst="rect">
                      <a:avLst/>
                    </a:prstGeom>
                    <a:noFill/>
                  </pic:spPr>
                </pic:pic>
              </a:graphicData>
            </a:graphic>
          </wp:anchor>
        </w:drawing>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 reconciliation of tangible fixed assets and vessels under construction arising from investing activities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vMerge w:val="restart"/>
          </w:tcPr>
          <w:p>
            <w:pPr>
              <w:spacing w:after="0"/>
              <w:rPr>
                <w:sz w:val="20"/>
                <w:szCs w:val="20"/>
                <w:color w:val="auto"/>
              </w:rPr>
            </w:pPr>
            <w:r>
              <w:rPr>
                <w:rFonts w:ascii="Arial" w:cs="Arial" w:eastAsia="Arial" w:hAnsi="Arial"/>
                <w:sz w:val="17"/>
                <w:szCs w:val="17"/>
                <w:color w:val="auto"/>
              </w:rPr>
              <w:t>Tangible fixed assets and vessels under</w:t>
            </w:r>
          </w:p>
        </w:tc>
        <w:tc>
          <w:tcPr>
            <w:tcW w:w="20" w:type="dxa"/>
            <w:vAlign w:val="bottom"/>
          </w:tcPr>
          <w:p>
            <w:pPr>
              <w:spacing w:after="0"/>
              <w:rPr>
                <w:sz w:val="19"/>
                <w:szCs w:val="19"/>
                <w:color w:val="auto"/>
              </w:rPr>
            </w:pPr>
          </w:p>
        </w:tc>
        <w:tc>
          <w:tcPr>
            <w:tcW w:w="1920" w:type="dxa"/>
            <w:vAlign w:val="bottom"/>
            <w:gridSpan w:val="3"/>
          </w:tcPr>
          <w:p>
            <w:pPr>
              <w:ind w:left="220"/>
              <w:spacing w:after="0"/>
              <w:rPr>
                <w:sz w:val="20"/>
                <w:szCs w:val="20"/>
                <w:color w:val="auto"/>
              </w:rPr>
            </w:pPr>
            <w:r>
              <w:rPr>
                <w:rFonts w:ascii="Arial" w:cs="Arial" w:eastAsia="Arial" w:hAnsi="Arial"/>
                <w:sz w:val="17"/>
                <w:szCs w:val="17"/>
                <w:b w:val="1"/>
                <w:bCs w:val="1"/>
                <w:color w:val="auto"/>
              </w:rPr>
              <w:t>Opening balance</w:t>
            </w:r>
          </w:p>
        </w:tc>
        <w:tc>
          <w:tcPr>
            <w:tcW w:w="1900" w:type="dxa"/>
            <w:vAlign w:val="bottom"/>
            <w:gridSpan w:val="4"/>
          </w:tcPr>
          <w:p>
            <w:pPr>
              <w:ind w:left="340"/>
              <w:spacing w:after="0"/>
              <w:rPr>
                <w:sz w:val="20"/>
                <w:szCs w:val="20"/>
                <w:color w:val="auto"/>
              </w:rPr>
            </w:pPr>
            <w:r>
              <w:rPr>
                <w:rFonts w:ascii="Arial" w:cs="Arial" w:eastAsia="Arial" w:hAnsi="Arial"/>
                <w:sz w:val="17"/>
                <w:szCs w:val="17"/>
                <w:b w:val="1"/>
                <w:bCs w:val="1"/>
                <w:color w:val="auto"/>
              </w:rPr>
              <w:t>Cash flows</w:t>
            </w:r>
          </w:p>
        </w:tc>
        <w:tc>
          <w:tcPr>
            <w:tcW w:w="1780" w:type="dxa"/>
            <w:vAlign w:val="bottom"/>
            <w:gridSpan w:val="4"/>
          </w:tcPr>
          <w:p>
            <w:pPr>
              <w:jc w:val="right"/>
              <w:ind w:right="380"/>
              <w:spacing w:after="0"/>
              <w:rPr>
                <w:sz w:val="20"/>
                <w:szCs w:val="20"/>
                <w:color w:val="auto"/>
              </w:rPr>
            </w:pPr>
            <w:r>
              <w:rPr>
                <w:rFonts w:ascii="Arial" w:cs="Arial" w:eastAsia="Arial" w:hAnsi="Arial"/>
                <w:sz w:val="17"/>
                <w:szCs w:val="17"/>
                <w:b w:val="1"/>
                <w:bCs w:val="1"/>
                <w:color w:val="auto"/>
              </w:rPr>
              <w:t>Non-cash items</w:t>
            </w:r>
          </w:p>
        </w:tc>
        <w:tc>
          <w:tcPr>
            <w:tcW w:w="0" w:type="dxa"/>
            <w:vAlign w:val="bottom"/>
          </w:tcPr>
          <w:p>
            <w:pPr>
              <w:spacing w:after="0"/>
              <w:rPr>
                <w:sz w:val="1"/>
                <w:szCs w:val="1"/>
                <w:color w:val="auto"/>
              </w:rPr>
            </w:pPr>
          </w:p>
        </w:tc>
      </w:tr>
      <w:tr>
        <w:trPr>
          <w:trHeight w:val="188"/>
        </w:trPr>
        <w:tc>
          <w:tcPr>
            <w:tcW w:w="3440" w:type="dxa"/>
            <w:vAlign w:val="bottom"/>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construction as of January 1, 2018</w:t>
            </w:r>
          </w:p>
        </w:tc>
        <w:tc>
          <w:tcPr>
            <w:tcW w:w="1740" w:type="dxa"/>
            <w:vAlign w:val="bottom"/>
            <w:gridSpan w:val="3"/>
          </w:tcPr>
          <w:p>
            <w:pPr>
              <w:jc w:val="right"/>
              <w:ind w:right="40"/>
              <w:spacing w:after="0"/>
              <w:rPr>
                <w:sz w:val="20"/>
                <w:szCs w:val="20"/>
                <w:color w:val="auto"/>
              </w:rPr>
            </w:pPr>
            <w:r>
              <w:rPr>
                <w:rFonts w:ascii="Arial" w:cs="Arial" w:eastAsia="Arial" w:hAnsi="Arial"/>
                <w:sz w:val="17"/>
                <w:szCs w:val="17"/>
                <w:color w:val="auto"/>
              </w:rPr>
              <w:t>3,939,221</w:t>
            </w:r>
          </w:p>
        </w:tc>
        <w:tc>
          <w:tcPr>
            <w:tcW w:w="200" w:type="dxa"/>
            <w:vAlign w:val="bottom"/>
          </w:tcPr>
          <w:p>
            <w:pPr>
              <w:spacing w:after="0"/>
              <w:rPr>
                <w:sz w:val="18"/>
                <w:szCs w:val="18"/>
                <w:color w:val="auto"/>
              </w:rPr>
            </w:pPr>
          </w:p>
        </w:tc>
        <w:tc>
          <w:tcPr>
            <w:tcW w:w="1900" w:type="dxa"/>
            <w:vAlign w:val="bottom"/>
            <w:gridSpan w:val="4"/>
          </w:tcPr>
          <w:p>
            <w:pPr>
              <w:jc w:val="right"/>
              <w:ind w:right="400"/>
              <w:spacing w:after="0"/>
              <w:rPr>
                <w:sz w:val="20"/>
                <w:szCs w:val="20"/>
                <w:color w:val="auto"/>
              </w:rPr>
            </w:pPr>
            <w:r>
              <w:rPr>
                <w:rFonts w:ascii="Arial" w:cs="Arial" w:eastAsia="Arial" w:hAnsi="Arial"/>
                <w:sz w:val="17"/>
                <w:szCs w:val="17"/>
                <w:color w:val="auto"/>
              </w:rPr>
              <w:t>—</w:t>
            </w:r>
          </w:p>
        </w:tc>
        <w:tc>
          <w:tcPr>
            <w:tcW w:w="1780" w:type="dxa"/>
            <w:vAlign w:val="bottom"/>
            <w:gridSpan w:val="4"/>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Additions (Note 5)</w:t>
            </w:r>
          </w:p>
        </w:tc>
        <w:tc>
          <w:tcPr>
            <w:tcW w:w="20" w:type="dxa"/>
            <w:vAlign w:val="bottom"/>
          </w:tcPr>
          <w:p>
            <w:pPr>
              <w:spacing w:after="0"/>
              <w:rPr>
                <w:sz w:val="18"/>
                <w:szCs w:val="18"/>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40"/>
              <w:spacing w:after="0"/>
              <w:rPr>
                <w:sz w:val="20"/>
                <w:szCs w:val="20"/>
                <w:color w:val="auto"/>
              </w:rPr>
            </w:pPr>
            <w:r>
              <w:rPr>
                <w:rFonts w:ascii="Arial" w:cs="Arial" w:eastAsia="Arial" w:hAnsi="Arial"/>
                <w:sz w:val="17"/>
                <w:szCs w:val="17"/>
                <w:color w:val="auto"/>
              </w:rPr>
              <w:t>588,899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7"/>
                <w:szCs w:val="17"/>
                <w:color w:val="auto"/>
              </w:rPr>
              <w:t>12,295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Transfer under “Other non-current assets”</w:t>
            </w:r>
          </w:p>
        </w:tc>
        <w:tc>
          <w:tcPr>
            <w:tcW w:w="20" w:type="dxa"/>
            <w:vAlign w:val="bottom"/>
          </w:tcPr>
          <w:p>
            <w:pPr>
              <w:spacing w:after="0"/>
              <w:rPr>
                <w:sz w:val="18"/>
                <w:szCs w:val="18"/>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900" w:type="dxa"/>
            <w:vAlign w:val="bottom"/>
            <w:gridSpan w:val="4"/>
          </w:tcPr>
          <w:p>
            <w:pPr>
              <w:jc w:val="right"/>
              <w:ind w:right="400"/>
              <w:spacing w:after="0"/>
              <w:rPr>
                <w:sz w:val="20"/>
                <w:szCs w:val="20"/>
                <w:color w:val="auto"/>
              </w:rPr>
            </w:pPr>
            <w:r>
              <w:rPr>
                <w:rFonts w:ascii="Arial" w:cs="Arial" w:eastAsia="Arial" w:hAnsi="Arial"/>
                <w:sz w:val="17"/>
                <w:szCs w:val="17"/>
                <w:color w:val="auto"/>
              </w:rPr>
              <w:t>—</w:t>
            </w:r>
          </w:p>
        </w:tc>
        <w:tc>
          <w:tcPr>
            <w:tcW w:w="1780" w:type="dxa"/>
            <w:vAlign w:val="bottom"/>
            <w:gridSpan w:val="4"/>
          </w:tcPr>
          <w:p>
            <w:pPr>
              <w:jc w:val="right"/>
              <w:ind w:right="20"/>
              <w:spacing w:after="0"/>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rPr>
              <w:t>Depreciation expense (Note 5)</w:t>
            </w:r>
          </w:p>
        </w:tc>
        <w:tc>
          <w:tcPr>
            <w:tcW w:w="20" w:type="dxa"/>
            <w:vAlign w:val="bottom"/>
          </w:tcPr>
          <w:p>
            <w:pPr>
              <w:spacing w:after="0"/>
              <w:rPr>
                <w:sz w:val="18"/>
                <w:szCs w:val="18"/>
                <w:color w:val="auto"/>
              </w:rPr>
            </w:pPr>
          </w:p>
        </w:tc>
        <w:tc>
          <w:tcPr>
            <w:tcW w:w="19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900" w:type="dxa"/>
            <w:vAlign w:val="bottom"/>
            <w:gridSpan w:val="4"/>
          </w:tcPr>
          <w:p>
            <w:pPr>
              <w:jc w:val="right"/>
              <w:ind w:right="400"/>
              <w:spacing w:after="0"/>
              <w:rPr>
                <w:sz w:val="20"/>
                <w:szCs w:val="20"/>
                <w:color w:val="auto"/>
              </w:rPr>
            </w:pPr>
            <w:r>
              <w:rPr>
                <w:rFonts w:ascii="Arial" w:cs="Arial" w:eastAsia="Arial" w:hAnsi="Arial"/>
                <w:sz w:val="17"/>
                <w:szCs w:val="17"/>
                <w:color w:val="auto"/>
              </w:rPr>
              <w:t>—</w:t>
            </w:r>
          </w:p>
        </w:tc>
        <w:tc>
          <w:tcPr>
            <w:tcW w:w="1780" w:type="dxa"/>
            <w:vAlign w:val="bottom"/>
            <w:gridSpan w:val="4"/>
          </w:tcPr>
          <w:p>
            <w:pPr>
              <w:jc w:val="right"/>
              <w:ind w:right="20"/>
              <w:spacing w:after="0"/>
              <w:rPr>
                <w:sz w:val="20"/>
                <w:szCs w:val="20"/>
                <w:color w:val="auto"/>
              </w:rPr>
            </w:pPr>
            <w:r>
              <w:rPr>
                <w:rFonts w:ascii="Arial" w:cs="Arial" w:eastAsia="Arial" w:hAnsi="Arial"/>
                <w:sz w:val="17"/>
                <w:szCs w:val="17"/>
                <w:color w:val="auto"/>
              </w:rPr>
              <w:t>(70,514)</w:t>
            </w:r>
          </w:p>
        </w:tc>
        <w:tc>
          <w:tcPr>
            <w:tcW w:w="0" w:type="dxa"/>
            <w:vAlign w:val="bottom"/>
          </w:tcPr>
          <w:p>
            <w:pPr>
              <w:spacing w:after="0"/>
              <w:rPr>
                <w:sz w:val="1"/>
                <w:szCs w:val="1"/>
                <w:color w:val="auto"/>
              </w:rPr>
            </w:pPr>
          </w:p>
        </w:tc>
      </w:tr>
      <w:tr>
        <w:trPr>
          <w:trHeight w:val="21"/>
        </w:trPr>
        <w:tc>
          <w:tcPr>
            <w:tcW w:w="3440" w:type="dxa"/>
            <w:vAlign w:val="bottom"/>
            <w:vMerge w:val="restart"/>
          </w:tcPr>
          <w:p>
            <w:pPr>
              <w:spacing w:after="0"/>
              <w:rPr>
                <w:sz w:val="20"/>
                <w:szCs w:val="20"/>
                <w:color w:val="auto"/>
              </w:rPr>
            </w:pPr>
            <w:r>
              <w:rPr>
                <w:rFonts w:ascii="Arial" w:cs="Arial" w:eastAsia="Arial" w:hAnsi="Arial"/>
                <w:sz w:val="17"/>
                <w:szCs w:val="17"/>
                <w:b w:val="1"/>
                <w:bCs w:val="1"/>
                <w:color w:val="auto"/>
              </w:rPr>
              <w:t>Tangible fixed assets and vessels under</w:t>
            </w:r>
          </w:p>
        </w:tc>
        <w:tc>
          <w:tcPr>
            <w:tcW w:w="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40" w:type="dxa"/>
            <w:vAlign w:val="bottom"/>
            <w:vMerge w:val="continue"/>
          </w:tcPr>
          <w:p>
            <w:pPr>
              <w:spacing w:after="0"/>
              <w:rPr>
                <w:sz w:val="16"/>
                <w:szCs w:val="16"/>
                <w:color w:val="auto"/>
              </w:rPr>
            </w:pPr>
          </w:p>
        </w:tc>
        <w:tc>
          <w:tcPr>
            <w:tcW w:w="1740" w:type="dxa"/>
            <w:vAlign w:val="bottom"/>
            <w:gridSpan w:val="3"/>
            <w:vMerge w:val="restart"/>
          </w:tcPr>
          <w:p>
            <w:pPr>
              <w:jc w:val="right"/>
              <w:ind w:right="40"/>
              <w:spacing w:after="0"/>
              <w:rPr>
                <w:sz w:val="20"/>
                <w:szCs w:val="20"/>
                <w:color w:val="auto"/>
              </w:rPr>
            </w:pPr>
            <w:r>
              <w:rPr>
                <w:rFonts w:ascii="Arial" w:cs="Arial" w:eastAsia="Arial" w:hAnsi="Arial"/>
                <w:sz w:val="17"/>
                <w:szCs w:val="17"/>
                <w:b w:val="1"/>
                <w:bCs w:val="1"/>
                <w:color w:val="auto"/>
              </w:rPr>
              <w:t>3,939,221</w:t>
            </w:r>
          </w:p>
        </w:tc>
        <w:tc>
          <w:tcPr>
            <w:tcW w:w="200" w:type="dxa"/>
            <w:vAlign w:val="bottom"/>
          </w:tcPr>
          <w:p>
            <w:pPr>
              <w:spacing w:after="0"/>
              <w:rPr>
                <w:sz w:val="16"/>
                <w:szCs w:val="16"/>
                <w:color w:val="auto"/>
              </w:rPr>
            </w:pPr>
          </w:p>
        </w:tc>
        <w:tc>
          <w:tcPr>
            <w:tcW w:w="154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rPr>
              <w:t>588,899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4"/>
            <w:vMerge w:val="restart"/>
          </w:tcPr>
          <w:p>
            <w:pPr>
              <w:jc w:val="right"/>
              <w:ind w:right="20"/>
              <w:spacing w:after="0"/>
              <w:rPr>
                <w:sz w:val="20"/>
                <w:szCs w:val="20"/>
                <w:color w:val="auto"/>
              </w:rPr>
            </w:pPr>
            <w:r>
              <w:rPr>
                <w:rFonts w:ascii="Arial" w:cs="Arial" w:eastAsia="Arial" w:hAnsi="Arial"/>
                <w:sz w:val="17"/>
                <w:szCs w:val="17"/>
                <w:b w:val="1"/>
                <w:bCs w:val="1"/>
                <w:color w:val="auto"/>
              </w:rPr>
              <w:t>(59,869)</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7"/>
                <w:szCs w:val="17"/>
                <w:b w:val="1"/>
                <w:bCs w:val="1"/>
                <w:color w:val="auto"/>
              </w:rPr>
              <w:t>construction as of June 30, 2018</w:t>
            </w:r>
          </w:p>
        </w:tc>
        <w:tc>
          <w:tcPr>
            <w:tcW w:w="17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40" w:type="dxa"/>
            <w:vAlign w:val="bottom"/>
            <w:vMerge w:val="restart"/>
          </w:tcPr>
          <w:p>
            <w:pPr>
              <w:spacing w:after="0"/>
              <w:rPr>
                <w:sz w:val="20"/>
                <w:szCs w:val="20"/>
                <w:color w:val="auto"/>
              </w:rPr>
            </w:pPr>
            <w:r>
              <w:rPr>
                <w:rFonts w:ascii="Arial" w:cs="Arial" w:eastAsia="Arial" w:hAnsi="Arial"/>
                <w:sz w:val="17"/>
                <w:szCs w:val="17"/>
                <w:color w:val="auto"/>
              </w:rPr>
              <w:t>Tangible fixed assets and vessels under</w:t>
            </w:r>
          </w:p>
        </w:tc>
        <w:tc>
          <w:tcPr>
            <w:tcW w:w="20" w:type="dxa"/>
            <w:vAlign w:val="bottom"/>
          </w:tcPr>
          <w:p>
            <w:pPr>
              <w:spacing w:after="0"/>
              <w:rPr>
                <w:sz w:val="24"/>
                <w:szCs w:val="24"/>
                <w:color w:val="auto"/>
              </w:rPr>
            </w:pPr>
          </w:p>
        </w:tc>
        <w:tc>
          <w:tcPr>
            <w:tcW w:w="1920" w:type="dxa"/>
            <w:vAlign w:val="bottom"/>
            <w:gridSpan w:val="3"/>
          </w:tcPr>
          <w:p>
            <w:pPr>
              <w:ind w:left="240"/>
              <w:spacing w:after="0"/>
              <w:rPr>
                <w:sz w:val="20"/>
                <w:szCs w:val="20"/>
                <w:color w:val="auto"/>
              </w:rPr>
            </w:pPr>
            <w:r>
              <w:rPr>
                <w:rFonts w:ascii="Arial" w:cs="Arial" w:eastAsia="Arial" w:hAnsi="Arial"/>
                <w:sz w:val="17"/>
                <w:szCs w:val="17"/>
                <w:b w:val="1"/>
                <w:bCs w:val="1"/>
                <w:color w:val="auto"/>
              </w:rPr>
              <w:t>Opening balance</w:t>
            </w:r>
          </w:p>
        </w:tc>
        <w:tc>
          <w:tcPr>
            <w:tcW w:w="1900" w:type="dxa"/>
            <w:vAlign w:val="bottom"/>
            <w:gridSpan w:val="4"/>
          </w:tcPr>
          <w:p>
            <w:pPr>
              <w:ind w:left="360"/>
              <w:spacing w:after="0"/>
              <w:rPr>
                <w:sz w:val="20"/>
                <w:szCs w:val="20"/>
                <w:color w:val="auto"/>
              </w:rPr>
            </w:pPr>
            <w:r>
              <w:rPr>
                <w:rFonts w:ascii="Arial" w:cs="Arial" w:eastAsia="Arial" w:hAnsi="Arial"/>
                <w:sz w:val="17"/>
                <w:szCs w:val="17"/>
                <w:b w:val="1"/>
                <w:bCs w:val="1"/>
                <w:color w:val="auto"/>
              </w:rPr>
              <w:t>Cash flows</w:t>
            </w:r>
          </w:p>
        </w:tc>
        <w:tc>
          <w:tcPr>
            <w:tcW w:w="1780" w:type="dxa"/>
            <w:vAlign w:val="bottom"/>
            <w:gridSpan w:val="4"/>
          </w:tcPr>
          <w:p>
            <w:pPr>
              <w:jc w:val="right"/>
              <w:ind w:right="360"/>
              <w:spacing w:after="0"/>
              <w:rPr>
                <w:sz w:val="20"/>
                <w:szCs w:val="20"/>
                <w:color w:val="auto"/>
              </w:rPr>
            </w:pPr>
            <w:r>
              <w:rPr>
                <w:rFonts w:ascii="Arial" w:cs="Arial" w:eastAsia="Arial" w:hAnsi="Arial"/>
                <w:sz w:val="17"/>
                <w:szCs w:val="17"/>
                <w:b w:val="1"/>
                <w:bCs w:val="1"/>
                <w:color w:val="auto"/>
              </w:rPr>
              <w:t>Non-cash items</w:t>
            </w:r>
          </w:p>
        </w:tc>
        <w:tc>
          <w:tcPr>
            <w:tcW w:w="0" w:type="dxa"/>
            <w:vAlign w:val="bottom"/>
          </w:tcPr>
          <w:p>
            <w:pPr>
              <w:spacing w:after="0"/>
              <w:rPr>
                <w:sz w:val="1"/>
                <w:szCs w:val="1"/>
                <w:color w:val="auto"/>
              </w:rPr>
            </w:pPr>
          </w:p>
        </w:tc>
      </w:tr>
      <w:tr>
        <w:trPr>
          <w:trHeight w:val="188"/>
        </w:trPr>
        <w:tc>
          <w:tcPr>
            <w:tcW w:w="34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construction as of January 1, 2019</w:t>
            </w:r>
          </w:p>
        </w:tc>
        <w:tc>
          <w:tcPr>
            <w:tcW w:w="1740" w:type="dxa"/>
            <w:vAlign w:val="bottom"/>
            <w:gridSpan w:val="3"/>
          </w:tcPr>
          <w:p>
            <w:pPr>
              <w:jc w:val="right"/>
              <w:ind w:right="20"/>
              <w:spacing w:after="0"/>
              <w:rPr>
                <w:sz w:val="20"/>
                <w:szCs w:val="20"/>
                <w:color w:val="auto"/>
              </w:rPr>
            </w:pPr>
            <w:r>
              <w:rPr>
                <w:rFonts w:ascii="Arial" w:cs="Arial" w:eastAsia="Arial" w:hAnsi="Arial"/>
                <w:sz w:val="17"/>
                <w:szCs w:val="17"/>
                <w:color w:val="auto"/>
              </w:rPr>
              <w:t>4,482,857</w:t>
            </w:r>
          </w:p>
        </w:tc>
        <w:tc>
          <w:tcPr>
            <w:tcW w:w="200" w:type="dxa"/>
            <w:vAlign w:val="bottom"/>
          </w:tcPr>
          <w:p>
            <w:pPr>
              <w:spacing w:after="0"/>
              <w:rPr>
                <w:sz w:val="18"/>
                <w:szCs w:val="18"/>
                <w:color w:val="auto"/>
              </w:rPr>
            </w:pPr>
          </w:p>
        </w:tc>
        <w:tc>
          <w:tcPr>
            <w:tcW w:w="1900" w:type="dxa"/>
            <w:vAlign w:val="bottom"/>
            <w:gridSpan w:val="4"/>
          </w:tcPr>
          <w:p>
            <w:pPr>
              <w:jc w:val="right"/>
              <w:ind w:right="380"/>
              <w:spacing w:after="0"/>
              <w:rPr>
                <w:sz w:val="20"/>
                <w:szCs w:val="20"/>
                <w:color w:val="auto"/>
              </w:rPr>
            </w:pPr>
            <w:r>
              <w:rPr>
                <w:rFonts w:ascii="Arial" w:cs="Arial" w:eastAsia="Arial" w:hAnsi="Arial"/>
                <w:sz w:val="17"/>
                <w:szCs w:val="17"/>
                <w:color w:val="auto"/>
              </w:rPr>
              <w:t>—</w:t>
            </w:r>
          </w:p>
        </w:tc>
        <w:tc>
          <w:tcPr>
            <w:tcW w:w="178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Additions (Note 5)</w:t>
            </w:r>
          </w:p>
        </w:tc>
        <w:tc>
          <w:tcPr>
            <w:tcW w:w="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256,888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7"/>
                <w:szCs w:val="17"/>
                <w:color w:val="auto"/>
              </w:rPr>
              <w:t>(7,245)</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Returns for capital expenditures (Note 5)</w:t>
            </w:r>
          </w:p>
        </w:tc>
        <w:tc>
          <w:tcPr>
            <w:tcW w:w="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760" w:type="dxa"/>
            <w:vAlign w:val="bottom"/>
            <w:gridSpan w:val="3"/>
          </w:tcPr>
          <w:p>
            <w:pPr>
              <w:jc w:val="right"/>
              <w:ind w:right="180"/>
              <w:spacing w:after="0"/>
              <w:rPr>
                <w:sz w:val="20"/>
                <w:szCs w:val="20"/>
                <w:color w:val="auto"/>
              </w:rPr>
            </w:pPr>
            <w:r>
              <w:rPr>
                <w:rFonts w:ascii="Arial" w:cs="Arial" w:eastAsia="Arial" w:hAnsi="Arial"/>
                <w:sz w:val="17"/>
                <w:szCs w:val="17"/>
                <w:color w:val="auto"/>
              </w:rPr>
              <w:t>(5,629)</w:t>
            </w:r>
          </w:p>
        </w:tc>
        <w:tc>
          <w:tcPr>
            <w:tcW w:w="140" w:type="dxa"/>
            <w:vAlign w:val="bottom"/>
          </w:tcPr>
          <w:p>
            <w:pPr>
              <w:spacing w:after="0"/>
              <w:rPr>
                <w:sz w:val="18"/>
                <w:szCs w:val="18"/>
                <w:color w:val="auto"/>
              </w:rPr>
            </w:pPr>
          </w:p>
        </w:tc>
        <w:tc>
          <w:tcPr>
            <w:tcW w:w="178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7"/>
                <w:szCs w:val="17"/>
                <w:color w:val="auto"/>
              </w:rPr>
              <w:t>Depreciation expense (Note 5)</w:t>
            </w:r>
          </w:p>
        </w:tc>
        <w:tc>
          <w:tcPr>
            <w:tcW w:w="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gridSpan w:val="2"/>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7"/>
                <w:szCs w:val="17"/>
                <w:color w:val="auto"/>
              </w:rPr>
              <w:t>(75,869)</w:t>
            </w:r>
          </w:p>
        </w:tc>
        <w:tc>
          <w:tcPr>
            <w:tcW w:w="0" w:type="dxa"/>
            <w:vAlign w:val="bottom"/>
          </w:tcPr>
          <w:p>
            <w:pPr>
              <w:spacing w:after="0"/>
              <w:rPr>
                <w:sz w:val="1"/>
                <w:szCs w:val="1"/>
                <w:color w:val="auto"/>
              </w:rPr>
            </w:pPr>
          </w:p>
        </w:tc>
      </w:tr>
      <w:tr>
        <w:trPr>
          <w:trHeight w:val="21"/>
        </w:trPr>
        <w:tc>
          <w:tcPr>
            <w:tcW w:w="3440" w:type="dxa"/>
            <w:vAlign w:val="bottom"/>
            <w:vMerge w:val="restart"/>
          </w:tcPr>
          <w:p>
            <w:pPr>
              <w:spacing w:after="0"/>
              <w:rPr>
                <w:sz w:val="20"/>
                <w:szCs w:val="20"/>
                <w:color w:val="auto"/>
              </w:rPr>
            </w:pPr>
            <w:r>
              <w:rPr>
                <w:rFonts w:ascii="Arial" w:cs="Arial" w:eastAsia="Arial" w:hAnsi="Arial"/>
                <w:sz w:val="17"/>
                <w:szCs w:val="17"/>
                <w:b w:val="1"/>
                <w:bCs w:val="1"/>
                <w:color w:val="auto"/>
              </w:rPr>
              <w:t>Tangible fixed assets and vessels under</w:t>
            </w:r>
          </w:p>
        </w:tc>
        <w:tc>
          <w:tcPr>
            <w:tcW w:w="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40" w:type="dxa"/>
            <w:vAlign w:val="bottom"/>
            <w:vMerge w:val="continue"/>
          </w:tcPr>
          <w:p>
            <w:pPr>
              <w:spacing w:after="0"/>
              <w:rPr>
                <w:sz w:val="16"/>
                <w:szCs w:val="16"/>
                <w:color w:val="auto"/>
              </w:rPr>
            </w:pPr>
          </w:p>
        </w:tc>
        <w:tc>
          <w:tcPr>
            <w:tcW w:w="20" w:type="dxa"/>
            <w:vAlign w:val="bottom"/>
            <w:vMerge w:val="restart"/>
          </w:tcPr>
          <w:p>
            <w:pPr>
              <w:spacing w:after="0"/>
              <w:rPr>
                <w:sz w:val="16"/>
                <w:szCs w:val="16"/>
                <w:color w:val="auto"/>
              </w:rPr>
            </w:pPr>
          </w:p>
        </w:tc>
        <w:tc>
          <w:tcPr>
            <w:tcW w:w="1720" w:type="dxa"/>
            <w:vAlign w:val="bottom"/>
            <w:gridSpan w:val="2"/>
            <w:vMerge w:val="restart"/>
          </w:tcPr>
          <w:p>
            <w:pPr>
              <w:jc w:val="right"/>
              <w:ind w:right="20"/>
              <w:spacing w:after="0"/>
              <w:rPr>
                <w:sz w:val="20"/>
                <w:szCs w:val="20"/>
                <w:color w:val="auto"/>
              </w:rPr>
            </w:pPr>
            <w:r>
              <w:rPr>
                <w:rFonts w:ascii="Arial" w:cs="Arial" w:eastAsia="Arial" w:hAnsi="Arial"/>
                <w:sz w:val="17"/>
                <w:szCs w:val="17"/>
                <w:b w:val="1"/>
                <w:bCs w:val="1"/>
                <w:color w:val="auto"/>
              </w:rPr>
              <w:t>4,482,857</w:t>
            </w:r>
          </w:p>
        </w:tc>
        <w:tc>
          <w:tcPr>
            <w:tcW w:w="200" w:type="dxa"/>
            <w:vAlign w:val="bottom"/>
          </w:tcPr>
          <w:p>
            <w:pPr>
              <w:spacing w:after="0"/>
              <w:rPr>
                <w:sz w:val="16"/>
                <w:szCs w:val="16"/>
                <w:color w:val="auto"/>
              </w:rPr>
            </w:pPr>
          </w:p>
        </w:tc>
        <w:tc>
          <w:tcPr>
            <w:tcW w:w="1540" w:type="dxa"/>
            <w:vAlign w:val="bottom"/>
            <w:gridSpan w:val="2"/>
            <w:vMerge w:val="restart"/>
          </w:tcPr>
          <w:p>
            <w:pPr>
              <w:jc w:val="right"/>
              <w:ind w:right="20"/>
              <w:spacing w:after="0"/>
              <w:rPr>
                <w:sz w:val="20"/>
                <w:szCs w:val="20"/>
                <w:color w:val="auto"/>
              </w:rPr>
            </w:pPr>
            <w:r>
              <w:rPr>
                <w:rFonts w:ascii="Arial" w:cs="Arial" w:eastAsia="Arial" w:hAnsi="Arial"/>
                <w:sz w:val="17"/>
                <w:szCs w:val="17"/>
                <w:b w:val="1"/>
                <w:bCs w:val="1"/>
                <w:color w:val="auto"/>
              </w:rPr>
              <w:t>251,259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(83,114)</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7"/>
                <w:szCs w:val="17"/>
                <w:b w:val="1"/>
                <w:bCs w:val="1"/>
                <w:color w:val="auto"/>
              </w:rPr>
              <w:t>construction as of June 30, 2019</w:t>
            </w:r>
          </w:p>
        </w:tc>
        <w:tc>
          <w:tcPr>
            <w:tcW w:w="2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280" w:type="dxa"/>
            <w:vAlign w:val="bottom"/>
            <w:gridSpan w:val="9"/>
          </w:tcPr>
          <w:p>
            <w:pPr>
              <w:ind w:left="20"/>
              <w:spacing w:after="0"/>
              <w:rPr>
                <w:sz w:val="20"/>
                <w:szCs w:val="20"/>
                <w:color w:val="auto"/>
              </w:rPr>
            </w:pPr>
            <w:r>
              <w:rPr>
                <w:rFonts w:ascii="Arial" w:cs="Arial" w:eastAsia="Arial" w:hAnsi="Arial"/>
                <w:sz w:val="17"/>
                <w:szCs w:val="17"/>
                <w:color w:val="auto"/>
              </w:rPr>
              <w:t>A reconciliation of lease liabilities arising from financing activities is as follows: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3"/>
          </w:tcPr>
          <w:p>
            <w:pPr>
              <w:ind w:left="180"/>
              <w:spacing w:after="0"/>
              <w:rPr>
                <w:sz w:val="20"/>
                <w:szCs w:val="20"/>
                <w:color w:val="auto"/>
              </w:rPr>
            </w:pPr>
            <w:r>
              <w:rPr>
                <w:rFonts w:ascii="Arial" w:cs="Arial" w:eastAsia="Arial" w:hAnsi="Arial"/>
                <w:sz w:val="17"/>
                <w:szCs w:val="17"/>
                <w:b w:val="1"/>
                <w:bCs w:val="1"/>
                <w:color w:val="auto"/>
              </w:rPr>
              <w:t>Opening balance</w:t>
            </w:r>
          </w:p>
        </w:tc>
        <w:tc>
          <w:tcPr>
            <w:tcW w:w="1900" w:type="dxa"/>
            <w:vAlign w:val="bottom"/>
            <w:gridSpan w:val="4"/>
          </w:tcPr>
          <w:p>
            <w:pPr>
              <w:ind w:left="320"/>
              <w:spacing w:after="0"/>
              <w:rPr>
                <w:sz w:val="20"/>
                <w:szCs w:val="20"/>
                <w:color w:val="auto"/>
              </w:rPr>
            </w:pPr>
            <w:r>
              <w:rPr>
                <w:rFonts w:ascii="Arial" w:cs="Arial" w:eastAsia="Arial" w:hAnsi="Arial"/>
                <w:sz w:val="17"/>
                <w:szCs w:val="17"/>
                <w:b w:val="1"/>
                <w:bCs w:val="1"/>
                <w:color w:val="auto"/>
              </w:rPr>
              <w:t>Cash flows</w:t>
            </w:r>
          </w:p>
        </w:tc>
        <w:tc>
          <w:tcPr>
            <w:tcW w:w="1780" w:type="dxa"/>
            <w:vAlign w:val="bottom"/>
            <w:gridSpan w:val="4"/>
          </w:tcPr>
          <w:p>
            <w:pPr>
              <w:jc w:val="right"/>
              <w:ind w:right="500"/>
              <w:spacing w:after="0"/>
              <w:rPr>
                <w:sz w:val="20"/>
                <w:szCs w:val="20"/>
                <w:color w:val="auto"/>
              </w:rPr>
            </w:pPr>
            <w:r>
              <w:rPr>
                <w:rFonts w:ascii="Arial" w:cs="Arial" w:eastAsia="Arial" w:hAnsi="Arial"/>
                <w:sz w:val="17"/>
                <w:szCs w:val="17"/>
                <w:b w:val="1"/>
                <w:bCs w:val="1"/>
                <w:color w:val="auto"/>
                <w:w w:val="99"/>
              </w:rPr>
              <w:t>Non-cash items</w:t>
            </w:r>
          </w:p>
        </w:tc>
        <w:tc>
          <w:tcPr>
            <w:tcW w:w="0" w:type="dxa"/>
            <w:vAlign w:val="bottom"/>
          </w:tcPr>
          <w:p>
            <w:pPr>
              <w:spacing w:after="0"/>
              <w:rPr>
                <w:sz w:val="1"/>
                <w:szCs w:val="1"/>
                <w:color w:val="auto"/>
              </w:rPr>
            </w:pPr>
          </w:p>
        </w:tc>
      </w:tr>
      <w:tr>
        <w:trPr>
          <w:trHeight w:val="202"/>
        </w:trPr>
        <w:tc>
          <w:tcPr>
            <w:tcW w:w="3440" w:type="dxa"/>
            <w:vAlign w:val="bottom"/>
          </w:tcPr>
          <w:p>
            <w:pPr>
              <w:ind w:left="20"/>
              <w:spacing w:after="0"/>
              <w:rPr>
                <w:sz w:val="20"/>
                <w:szCs w:val="20"/>
                <w:color w:val="auto"/>
              </w:rPr>
            </w:pPr>
            <w:r>
              <w:rPr>
                <w:rFonts w:ascii="Arial" w:cs="Arial" w:eastAsia="Arial" w:hAnsi="Arial"/>
                <w:sz w:val="17"/>
                <w:szCs w:val="17"/>
                <w:color w:val="auto"/>
              </w:rPr>
              <w:t>Lease liabilities as of January 1, 2018</w:t>
            </w:r>
          </w:p>
        </w:tc>
        <w:tc>
          <w:tcPr>
            <w:tcW w:w="16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213,428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40" w:type="dxa"/>
            <w:vAlign w:val="bottom"/>
          </w:tcPr>
          <w:p>
            <w:pPr>
              <w:ind w:left="20"/>
              <w:spacing w:after="0"/>
              <w:rPr>
                <w:sz w:val="20"/>
                <w:szCs w:val="20"/>
                <w:color w:val="auto"/>
              </w:rPr>
            </w:pPr>
            <w:r>
              <w:rPr>
                <w:rFonts w:ascii="Arial" w:cs="Arial" w:eastAsia="Arial" w:hAnsi="Arial"/>
                <w:sz w:val="17"/>
                <w:szCs w:val="17"/>
                <w:color w:val="auto"/>
              </w:rPr>
              <w:t>Lease charge (Note 16)</w:t>
            </w:r>
          </w:p>
        </w:tc>
        <w:tc>
          <w:tcPr>
            <w:tcW w:w="20" w:type="dxa"/>
            <w:vAlign w:val="bottom"/>
          </w:tcPr>
          <w:p>
            <w:pPr>
              <w:spacing w:after="0"/>
              <w:rPr>
                <w:sz w:val="18"/>
                <w:szCs w:val="18"/>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900" w:type="dxa"/>
            <w:vAlign w:val="bottom"/>
            <w:gridSpan w:val="4"/>
          </w:tcPr>
          <w:p>
            <w:pPr>
              <w:jc w:val="right"/>
              <w:ind w:right="44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5,262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ind w:left="20"/>
              <w:spacing w:after="0"/>
              <w:rPr>
                <w:sz w:val="20"/>
                <w:szCs w:val="20"/>
                <w:color w:val="auto"/>
              </w:rPr>
            </w:pPr>
            <w:r>
              <w:rPr>
                <w:rFonts w:ascii="Arial" w:cs="Arial" w:eastAsia="Arial" w:hAnsi="Arial"/>
                <w:sz w:val="17"/>
                <w:szCs w:val="17"/>
                <w:color w:val="auto"/>
              </w:rPr>
              <w:t>Payments for interest</w:t>
            </w:r>
          </w:p>
        </w:tc>
        <w:tc>
          <w:tcPr>
            <w:tcW w:w="20" w:type="dxa"/>
            <w:vAlign w:val="bottom"/>
          </w:tcPr>
          <w:p>
            <w:pPr>
              <w:spacing w:after="0"/>
              <w:rPr>
                <w:sz w:val="18"/>
                <w:szCs w:val="18"/>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(5,262)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440" w:type="dxa"/>
            <w:vAlign w:val="bottom"/>
          </w:tcPr>
          <w:p>
            <w:pPr>
              <w:ind w:left="20"/>
              <w:spacing w:after="0"/>
              <w:rPr>
                <w:sz w:val="20"/>
                <w:szCs w:val="20"/>
                <w:color w:val="auto"/>
              </w:rPr>
            </w:pPr>
            <w:r>
              <w:rPr>
                <w:rFonts w:ascii="Arial" w:cs="Arial" w:eastAsia="Arial" w:hAnsi="Arial"/>
                <w:sz w:val="17"/>
                <w:szCs w:val="17"/>
                <w:color w:val="auto"/>
              </w:rPr>
              <w:t>Payments for lease liability</w:t>
            </w:r>
          </w:p>
        </w:tc>
        <w:tc>
          <w:tcPr>
            <w:tcW w:w="20" w:type="dxa"/>
            <w:vAlign w:val="bottom"/>
          </w:tcPr>
          <w:p>
            <w:pPr>
              <w:spacing w:after="0"/>
              <w:rPr>
                <w:sz w:val="19"/>
                <w:szCs w:val="19"/>
                <w:color w:val="auto"/>
              </w:rPr>
            </w:pPr>
          </w:p>
        </w:tc>
        <w:tc>
          <w:tcPr>
            <w:tcW w:w="19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7"/>
                <w:szCs w:val="17"/>
                <w:color w:val="auto"/>
              </w:rPr>
              <w:t>(3,588)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440" w:type="dxa"/>
            <w:vAlign w:val="bottom"/>
            <w:tcBorders>
              <w:right w:val="single" w:sz="8" w:color="auto"/>
            </w:tcBorders>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440" w:type="dxa"/>
            <w:vAlign w:val="bottom"/>
          </w:tcPr>
          <w:p>
            <w:pPr>
              <w:ind w:left="20"/>
              <w:spacing w:after="0"/>
              <w:rPr>
                <w:sz w:val="20"/>
                <w:szCs w:val="20"/>
                <w:color w:val="auto"/>
              </w:rPr>
            </w:pPr>
            <w:r>
              <w:rPr>
                <w:rFonts w:ascii="Arial" w:cs="Arial" w:eastAsia="Arial" w:hAnsi="Arial"/>
                <w:sz w:val="17"/>
                <w:szCs w:val="17"/>
                <w:b w:val="1"/>
                <w:bCs w:val="1"/>
                <w:color w:val="auto"/>
              </w:rPr>
              <w:t>Lease liabilities as of June 30, 2018</w:t>
            </w:r>
          </w:p>
        </w:tc>
        <w:tc>
          <w:tcPr>
            <w:tcW w:w="1660" w:type="dxa"/>
            <w:vAlign w:val="bottom"/>
            <w:gridSpan w:val="2"/>
          </w:tcPr>
          <w:p>
            <w:pPr>
              <w:jc w:val="right"/>
              <w:spacing w:after="0"/>
              <w:rPr>
                <w:sz w:val="20"/>
                <w:szCs w:val="20"/>
                <w:color w:val="auto"/>
              </w:rPr>
            </w:pPr>
            <w:r>
              <w:rPr>
                <w:rFonts w:ascii="Arial" w:cs="Arial" w:eastAsia="Arial" w:hAnsi="Arial"/>
                <w:sz w:val="17"/>
                <w:szCs w:val="17"/>
                <w:b w:val="1"/>
                <w:bCs w:val="1"/>
                <w:color w:val="auto"/>
              </w:rPr>
              <w:t>213,428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(8,850)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b w:val="1"/>
                <w:bCs w:val="1"/>
                <w:color w:val="auto"/>
              </w:rPr>
              <w:t>5,262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ind w:left="60"/>
              <w:spacing w:after="0"/>
              <w:rPr>
                <w:sz w:val="20"/>
                <w:szCs w:val="20"/>
                <w:color w:val="auto"/>
              </w:rPr>
            </w:pPr>
            <w:r>
              <w:rPr>
                <w:rFonts w:ascii="Arial" w:cs="Arial" w:eastAsia="Arial" w:hAnsi="Arial"/>
                <w:sz w:val="17"/>
                <w:szCs w:val="17"/>
                <w:color w:val="auto"/>
              </w:rPr>
              <w:t>F-20</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-3535680</wp:posOffset>
            </wp:positionV>
            <wp:extent cx="7217410" cy="135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17410" cy="135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-3263900</wp:posOffset>
            </wp:positionV>
            <wp:extent cx="7217410" cy="271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17410" cy="2717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-3943350</wp:posOffset>
            </wp:positionV>
            <wp:extent cx="7217410" cy="2717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17410" cy="271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-2222500</wp:posOffset>
            </wp:positionV>
            <wp:extent cx="7226300" cy="135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26300" cy="135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-1950720</wp:posOffset>
            </wp:positionV>
            <wp:extent cx="7226300" cy="271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26300" cy="271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-2630170</wp:posOffset>
            </wp:positionV>
            <wp:extent cx="7226300" cy="2717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26300" cy="2717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-819150</wp:posOffset>
            </wp:positionV>
            <wp:extent cx="7145020" cy="135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45020" cy="135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-547370</wp:posOffset>
            </wp:positionV>
            <wp:extent cx="7145020" cy="2533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45020" cy="253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-1099820</wp:posOffset>
            </wp:positionV>
            <wp:extent cx="7145020" cy="1447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45020" cy="144780"/>
                    </a:xfrm>
                    <a:prstGeom prst="rect">
                      <a:avLst/>
                    </a:prstGeom>
                    <a:noFill/>
                  </pic:spPr>
                </pic:pic>
              </a:graphicData>
            </a:graphic>
          </wp:anchor>
        </w:drawing>
        <w:drawing>
          <wp:anchor simplePos="0" relativeHeight="251657728" behindDoc="1" locked="0" layoutInCell="0" allowOverlap="1">
            <wp:simplePos x="0" y="0"/>
            <wp:positionH relativeFrom="column">
              <wp:posOffset>-259080</wp:posOffset>
            </wp:positionH>
            <wp:positionV relativeFrom="paragraph">
              <wp:posOffset>74930</wp:posOffset>
            </wp:positionV>
            <wp:extent cx="7646670"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660"/>
        <w:spacing w:after="0"/>
        <w:rPr>
          <w:sz w:val="20"/>
          <w:szCs w:val="20"/>
          <w:color w:val="auto"/>
        </w:rPr>
      </w:pPr>
      <w:r>
        <w:rPr>
          <w:rFonts w:ascii="Arial" w:cs="Arial" w:eastAsia="Arial" w:hAnsi="Arial"/>
          <w:sz w:val="17"/>
          <w:szCs w:val="17"/>
          <w:b w:val="1"/>
          <w:bCs w:val="1"/>
          <w:color w:val="auto"/>
        </w:rPr>
        <w:t>Total</w:t>
      </w:r>
    </w:p>
    <w:p>
      <w:pPr>
        <w:spacing w:after="0" w:line="3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16,396</w:t>
      </w:r>
    </w:p>
    <w:p>
      <w:pPr>
        <w:spacing w:after="0" w:line="232"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17,235</w:t>
      </w:r>
    </w:p>
    <w:p>
      <w:pPr>
        <w:spacing w:after="0" w:line="21"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(530)</w:t>
      </w:r>
    </w:p>
    <w:p>
      <w:pPr>
        <w:spacing w:after="0" w:line="200" w:lineRule="exact"/>
        <w:rPr>
          <w:sz w:val="20"/>
          <w:szCs w:val="20"/>
          <w:color w:val="auto"/>
        </w:rPr>
      </w:pPr>
    </w:p>
    <w:p>
      <w:pPr>
        <w:spacing w:after="0" w:line="244"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2,287</w:t>
      </w:r>
    </w:p>
    <w:p>
      <w:pPr>
        <w:spacing w:after="0" w:line="27" w:lineRule="exact"/>
        <w:rPr>
          <w:sz w:val="20"/>
          <w:szCs w:val="20"/>
          <w:color w:val="auto"/>
        </w:rPr>
      </w:pPr>
    </w:p>
    <w:p>
      <w:pPr>
        <w:jc w:val="right"/>
        <w:ind w:right="200"/>
        <w:spacing w:after="0"/>
        <w:rPr>
          <w:sz w:val="20"/>
          <w:szCs w:val="20"/>
          <w:color w:val="auto"/>
        </w:rPr>
      </w:pPr>
      <w:r>
        <w:rPr>
          <w:rFonts w:ascii="Arial" w:cs="Arial" w:eastAsia="Arial" w:hAnsi="Arial"/>
          <w:sz w:val="17"/>
          <w:szCs w:val="17"/>
          <w:b w:val="1"/>
          <w:bCs w:val="1"/>
          <w:color w:val="auto"/>
        </w:rPr>
        <w:t>35,388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40005</wp:posOffset>
            </wp:positionV>
            <wp:extent cx="10775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Total</w:t>
      </w:r>
    </w:p>
    <w:p>
      <w:pPr>
        <w:spacing w:after="0" w:line="3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3,096</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(51,931)</w:t>
      </w:r>
    </w:p>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49</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(607)</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(49,393)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57785</wp:posOffset>
            </wp:positionV>
            <wp:extent cx="10864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Total</w:t>
      </w:r>
    </w:p>
    <w:p>
      <w:pPr>
        <w:spacing w:after="0" w:line="238"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3,939,221</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601,194</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(1,650)</w:t>
      </w:r>
    </w:p>
    <w:p>
      <w:pPr>
        <w:spacing w:after="0" w:line="18"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(70,514)</w:t>
      </w:r>
    </w:p>
    <w:p>
      <w:pPr>
        <w:spacing w:after="0" w:line="21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4,468,251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wp:posOffset>
            </wp:positionH>
            <wp:positionV relativeFrom="paragraph">
              <wp:posOffset>40005</wp:posOffset>
            </wp:positionV>
            <wp:extent cx="13309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Total</w:t>
      </w:r>
    </w:p>
    <w:p>
      <w:pPr>
        <w:spacing w:after="0" w:line="238"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4,482,857</w:t>
      </w:r>
    </w:p>
    <w:p>
      <w:pPr>
        <w:spacing w:after="0" w:line="21"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249,643</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(5,629)</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(75,869)</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4,651,002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54610</wp:posOffset>
            </wp:positionV>
            <wp:extent cx="13309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w:t>
      </w:r>
    </w:p>
    <w:p>
      <w:pPr>
        <w:spacing w:after="0" w:line="39"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213,428</w:t>
      </w:r>
    </w:p>
    <w:p>
      <w:pPr>
        <w:spacing w:after="0" w:line="21" w:lineRule="exact"/>
        <w:rPr>
          <w:sz w:val="20"/>
          <w:szCs w:val="20"/>
          <w:color w:val="auto"/>
        </w:rPr>
      </w:pPr>
    </w:p>
    <w:p>
      <w:pPr>
        <w:jc w:val="right"/>
        <w:ind w:right="200"/>
        <w:spacing w:after="0"/>
        <w:rPr>
          <w:sz w:val="20"/>
          <w:szCs w:val="20"/>
          <w:color w:val="auto"/>
        </w:rPr>
      </w:pPr>
      <w:r>
        <w:rPr>
          <w:rFonts w:ascii="Arial" w:cs="Arial" w:eastAsia="Arial" w:hAnsi="Arial"/>
          <w:sz w:val="17"/>
          <w:szCs w:val="17"/>
          <w:color w:val="auto"/>
        </w:rPr>
        <w:t>5,262</w:t>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(5,262)</w:t>
      </w:r>
    </w:p>
    <w:p>
      <w:pPr>
        <w:spacing w:after="0" w:line="18" w:lineRule="exact"/>
        <w:rPr>
          <w:sz w:val="20"/>
          <w:szCs w:val="20"/>
          <w:color w:val="auto"/>
        </w:rPr>
      </w:pPr>
    </w:p>
    <w:p>
      <w:pPr>
        <w:jc w:val="right"/>
        <w:ind w:right="140"/>
        <w:spacing w:after="0"/>
        <w:rPr>
          <w:sz w:val="20"/>
          <w:szCs w:val="20"/>
          <w:color w:val="auto"/>
        </w:rPr>
      </w:pPr>
      <w:r>
        <w:rPr>
          <w:rFonts w:ascii="Arial" w:cs="Arial" w:eastAsia="Arial" w:hAnsi="Arial"/>
          <w:sz w:val="17"/>
          <w:szCs w:val="17"/>
          <w:color w:val="auto"/>
        </w:rPr>
        <w:t>(3,588)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209,840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40005</wp:posOffset>
            </wp:positionV>
            <wp:extent cx="13309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ectPr>
          <w:pgSz w:w="12240" w:h="15840" w:orient="portrait"/>
          <w:cols w:equalWidth="0" w:num="2">
            <w:col w:w="9420" w:space="620"/>
            <w:col w:w="1420"/>
          </w:cols>
          <w:pgMar w:left="520" w:top="218" w:right="260" w:bottom="1440" w:gutter="0" w:footer="0" w:header="0"/>
        </w:sectPr>
      </w:pPr>
    </w:p>
    <w:bookmarkStart w:id="49" w:name="page50"/>
    <w:bookmarkEnd w:id="49"/>
    <w:tbl>
      <w:tblPr>
        <w:tblLayout w:type="fixed"/>
        <w:tblInd w:w="440" w:type="dxa"/>
        <w:tblCellMar>
          <w:top w:w="0" w:type="dxa"/>
          <w:left w:w="0" w:type="dxa"/>
          <w:bottom w:w="0" w:type="dxa"/>
          <w:right w:w="0" w:type="dxa"/>
        </w:tblCellMar>
      </w:tblPr>
      <w:tr>
        <w:trPr>
          <w:trHeight w:val="226"/>
        </w:trPr>
        <w:tc>
          <w:tcPr>
            <w:tcW w:w="3400" w:type="dxa"/>
            <w:vAlign w:val="bottom"/>
          </w:tcPr>
          <w:p>
            <w:pPr>
              <w:spacing w:after="0"/>
              <w:rPr>
                <w:sz w:val="19"/>
                <w:szCs w:val="19"/>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Opening balance</w:t>
            </w:r>
          </w:p>
        </w:tc>
        <w:tc>
          <w:tcPr>
            <w:tcW w:w="18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Cash flows</w:t>
            </w:r>
          </w:p>
        </w:tc>
        <w:tc>
          <w:tcPr>
            <w:tcW w:w="202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Non-cash items</w:t>
            </w:r>
          </w:p>
        </w:tc>
        <w:tc>
          <w:tcPr>
            <w:tcW w:w="2140" w:type="dxa"/>
            <w:vAlign w:val="bottom"/>
            <w:gridSpan w:val="2"/>
          </w:tcPr>
          <w:p>
            <w:pPr>
              <w:ind w:left="840"/>
              <w:spacing w:after="0"/>
              <w:rPr>
                <w:sz w:val="20"/>
                <w:szCs w:val="20"/>
                <w:color w:val="auto"/>
              </w:rPr>
            </w:pPr>
            <w:r>
              <w:rPr>
                <w:rFonts w:ascii="Arial" w:cs="Arial" w:eastAsia="Arial" w:hAnsi="Arial"/>
                <w:sz w:val="17"/>
                <w:szCs w:val="17"/>
                <w:b w:val="1"/>
                <w:bCs w:val="1"/>
                <w:color w:val="auto"/>
              </w:rPr>
              <w:t>Total</w:t>
            </w:r>
          </w:p>
        </w:tc>
      </w:tr>
      <w:tr>
        <w:trPr>
          <w:trHeight w:val="212"/>
        </w:trPr>
        <w:tc>
          <w:tcPr>
            <w:tcW w:w="34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Lease liabilities as of January 1, 2019</w:t>
            </w:r>
          </w:p>
        </w:tc>
        <w:tc>
          <w:tcPr>
            <w:tcW w:w="16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213,374</w:t>
            </w:r>
          </w:p>
        </w:tc>
        <w:tc>
          <w:tcPr>
            <w:tcW w:w="240" w:type="dxa"/>
            <w:vAlign w:val="bottom"/>
            <w:tcBorders>
              <w:top w:val="single" w:sz="8" w:color="E5FFFF"/>
            </w:tcBorders>
            <w:shd w:val="clear" w:color="auto" w:fill="E5FFFF"/>
          </w:tcPr>
          <w:p>
            <w:pPr>
              <w:spacing w:after="0"/>
              <w:rPr>
                <w:sz w:val="18"/>
                <w:szCs w:val="18"/>
                <w:color w:val="auto"/>
              </w:rPr>
            </w:pPr>
          </w:p>
        </w:tc>
        <w:tc>
          <w:tcPr>
            <w:tcW w:w="15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top w:val="single" w:sz="8" w:color="E5FFFF"/>
            </w:tcBorders>
            <w:shd w:val="clear" w:color="auto" w:fill="E5FFFF"/>
          </w:tcPr>
          <w:p>
            <w:pPr>
              <w:spacing w:after="0"/>
              <w:rPr>
                <w:sz w:val="18"/>
                <w:szCs w:val="18"/>
                <w:color w:val="auto"/>
              </w:rPr>
            </w:pPr>
          </w:p>
        </w:tc>
        <w:tc>
          <w:tcPr>
            <w:tcW w:w="2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213,374</w:t>
            </w:r>
          </w:p>
        </w:tc>
        <w:tc>
          <w:tcPr>
            <w:tcW w:w="60" w:type="dxa"/>
            <w:vAlign w:val="bottom"/>
          </w:tcPr>
          <w:p>
            <w:pPr>
              <w:spacing w:after="0"/>
              <w:rPr>
                <w:sz w:val="18"/>
                <w:szCs w:val="18"/>
                <w:color w:val="auto"/>
              </w:rPr>
            </w:pPr>
          </w:p>
        </w:tc>
      </w:tr>
      <w:tr>
        <w:trPr>
          <w:trHeight w:val="214"/>
        </w:trPr>
        <w:tc>
          <w:tcPr>
            <w:tcW w:w="3400" w:type="dxa"/>
            <w:vAlign w:val="bottom"/>
          </w:tcPr>
          <w:p>
            <w:pPr>
              <w:spacing w:after="0"/>
              <w:rPr>
                <w:sz w:val="20"/>
                <w:szCs w:val="20"/>
                <w:color w:val="auto"/>
              </w:rPr>
            </w:pPr>
            <w:r>
              <w:rPr>
                <w:rFonts w:ascii="Arial" w:cs="Arial" w:eastAsia="Arial" w:hAnsi="Arial"/>
                <w:sz w:val="17"/>
                <w:szCs w:val="17"/>
                <w:color w:val="auto"/>
              </w:rPr>
              <w:t>Lease charge (Note 16)</w:t>
            </w: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5,264</w:t>
            </w:r>
          </w:p>
        </w:tc>
        <w:tc>
          <w:tcPr>
            <w:tcW w:w="3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5,264</w:t>
            </w:r>
          </w:p>
        </w:tc>
        <w:tc>
          <w:tcPr>
            <w:tcW w:w="60" w:type="dxa"/>
            <w:vAlign w:val="bottom"/>
          </w:tcPr>
          <w:p>
            <w:pPr>
              <w:spacing w:after="0"/>
              <w:rPr>
                <w:sz w:val="18"/>
                <w:szCs w:val="18"/>
                <w:color w:val="auto"/>
              </w:rPr>
            </w:pPr>
          </w:p>
        </w:tc>
      </w:tr>
      <w:tr>
        <w:trPr>
          <w:trHeight w:val="214"/>
        </w:trPr>
        <w:tc>
          <w:tcPr>
            <w:tcW w:w="3400" w:type="dxa"/>
            <w:vAlign w:val="bottom"/>
            <w:shd w:val="clear" w:color="auto" w:fill="E5FFFF"/>
          </w:tcPr>
          <w:p>
            <w:pPr>
              <w:spacing w:after="0"/>
              <w:rPr>
                <w:sz w:val="20"/>
                <w:szCs w:val="20"/>
                <w:color w:val="auto"/>
              </w:rPr>
            </w:pPr>
            <w:r>
              <w:rPr>
                <w:rFonts w:ascii="Arial" w:cs="Arial" w:eastAsia="Arial" w:hAnsi="Arial"/>
                <w:sz w:val="17"/>
                <w:szCs w:val="17"/>
                <w:color w:val="auto"/>
              </w:rPr>
              <w:t>Additions</w:t>
            </w: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E5FFFF"/>
          </w:tcPr>
          <w:p>
            <w:pPr>
              <w:jc w:val="right"/>
              <w:ind w:right="300"/>
              <w:spacing w:after="0"/>
              <w:rPr>
                <w:sz w:val="20"/>
                <w:szCs w:val="20"/>
                <w:color w:val="auto"/>
              </w:rPr>
            </w:pPr>
            <w:r>
              <w:rPr>
                <w:rFonts w:ascii="Arial" w:cs="Arial" w:eastAsia="Arial" w:hAnsi="Arial"/>
                <w:sz w:val="17"/>
                <w:szCs w:val="17"/>
                <w:color w:val="auto"/>
              </w:rPr>
              <w:t>—</w:t>
            </w:r>
          </w:p>
        </w:tc>
        <w:tc>
          <w:tcPr>
            <w:tcW w:w="170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1,081</w:t>
            </w:r>
          </w:p>
        </w:tc>
        <w:tc>
          <w:tcPr>
            <w:tcW w:w="320" w:type="dxa"/>
            <w:vAlign w:val="bottom"/>
            <w:shd w:val="clear" w:color="auto" w:fill="E5FFFF"/>
          </w:tcPr>
          <w:p>
            <w:pPr>
              <w:spacing w:after="0"/>
              <w:rPr>
                <w:sz w:val="18"/>
                <w:szCs w:val="18"/>
                <w:color w:val="auto"/>
              </w:rPr>
            </w:pPr>
          </w:p>
        </w:tc>
        <w:tc>
          <w:tcPr>
            <w:tcW w:w="20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1,081</w:t>
            </w:r>
          </w:p>
        </w:tc>
        <w:tc>
          <w:tcPr>
            <w:tcW w:w="60" w:type="dxa"/>
            <w:vAlign w:val="bottom"/>
          </w:tcPr>
          <w:p>
            <w:pPr>
              <w:spacing w:after="0"/>
              <w:rPr>
                <w:sz w:val="18"/>
                <w:szCs w:val="18"/>
                <w:color w:val="auto"/>
              </w:rPr>
            </w:pPr>
          </w:p>
        </w:tc>
      </w:tr>
      <w:tr>
        <w:trPr>
          <w:trHeight w:val="214"/>
        </w:trPr>
        <w:tc>
          <w:tcPr>
            <w:tcW w:w="3400" w:type="dxa"/>
            <w:vAlign w:val="bottom"/>
          </w:tcPr>
          <w:p>
            <w:pPr>
              <w:spacing w:after="0"/>
              <w:rPr>
                <w:sz w:val="20"/>
                <w:szCs w:val="20"/>
                <w:color w:val="auto"/>
              </w:rPr>
            </w:pPr>
            <w:r>
              <w:rPr>
                <w:rFonts w:ascii="Arial" w:cs="Arial" w:eastAsia="Arial" w:hAnsi="Arial"/>
                <w:sz w:val="17"/>
                <w:szCs w:val="17"/>
                <w:color w:val="auto"/>
              </w:rPr>
              <w:t>Payments for interest</w:t>
            </w:r>
          </w:p>
        </w:tc>
        <w:tc>
          <w:tcPr>
            <w:tcW w:w="19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(5,266)</w:t>
            </w:r>
          </w:p>
        </w:tc>
        <w:tc>
          <w:tcPr>
            <w:tcW w:w="20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(5,266)</w:t>
            </w:r>
          </w:p>
        </w:tc>
        <w:tc>
          <w:tcPr>
            <w:tcW w:w="60" w:type="dxa"/>
            <w:vAlign w:val="bottom"/>
          </w:tcPr>
          <w:p>
            <w:pPr>
              <w:spacing w:after="0"/>
              <w:rPr>
                <w:sz w:val="18"/>
                <w:szCs w:val="18"/>
                <w:color w:val="auto"/>
              </w:rPr>
            </w:pPr>
          </w:p>
        </w:tc>
      </w:tr>
      <w:tr>
        <w:trPr>
          <w:trHeight w:val="214"/>
        </w:trPr>
        <w:tc>
          <w:tcPr>
            <w:tcW w:w="3400" w:type="dxa"/>
            <w:vAlign w:val="bottom"/>
            <w:shd w:val="clear" w:color="auto" w:fill="E5FFFF"/>
          </w:tcPr>
          <w:p>
            <w:pPr>
              <w:spacing w:after="0"/>
              <w:rPr>
                <w:sz w:val="20"/>
                <w:szCs w:val="20"/>
                <w:color w:val="auto"/>
              </w:rPr>
            </w:pPr>
            <w:r>
              <w:rPr>
                <w:rFonts w:ascii="Arial" w:cs="Arial" w:eastAsia="Arial" w:hAnsi="Arial"/>
                <w:sz w:val="17"/>
                <w:szCs w:val="17"/>
                <w:color w:val="auto"/>
              </w:rPr>
              <w:t>Payments for lease liability</w:t>
            </w:r>
          </w:p>
        </w:tc>
        <w:tc>
          <w:tcPr>
            <w:tcW w:w="19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(4,770)</w:t>
            </w:r>
          </w:p>
        </w:tc>
        <w:tc>
          <w:tcPr>
            <w:tcW w:w="2020" w:type="dxa"/>
            <w:vAlign w:val="bottom"/>
            <w:gridSpan w:val="2"/>
            <w:shd w:val="clear" w:color="auto" w:fill="E5FFFF"/>
          </w:tcPr>
          <w:p>
            <w:pPr>
              <w:jc w:val="right"/>
              <w:ind w:right="280"/>
              <w:spacing w:after="0"/>
              <w:rPr>
                <w:sz w:val="20"/>
                <w:szCs w:val="20"/>
                <w:color w:val="auto"/>
              </w:rPr>
            </w:pPr>
            <w:r>
              <w:rPr>
                <w:rFonts w:ascii="Arial" w:cs="Arial" w:eastAsia="Arial" w:hAnsi="Arial"/>
                <w:sz w:val="17"/>
                <w:szCs w:val="17"/>
                <w:color w:val="auto"/>
              </w:rPr>
              <w:t>(46</w:t>
            </w:r>
            <w:r>
              <w:rPr>
                <w:rFonts w:ascii="Arial" w:cs="Arial" w:eastAsia="Arial" w:hAnsi="Arial"/>
                <w:sz w:val="17"/>
                <w:szCs w:val="17"/>
                <w:b w:val="1"/>
                <w:bCs w:val="1"/>
                <w:color w:val="auto"/>
              </w:rPr>
              <w:t>)</w:t>
            </w:r>
          </w:p>
        </w:tc>
        <w:tc>
          <w:tcPr>
            <w:tcW w:w="20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(4,816)</w:t>
            </w:r>
          </w:p>
        </w:tc>
        <w:tc>
          <w:tcPr>
            <w:tcW w:w="60" w:type="dxa"/>
            <w:vAlign w:val="bottom"/>
          </w:tcPr>
          <w:p>
            <w:pPr>
              <w:spacing w:after="0"/>
              <w:rPr>
                <w:sz w:val="18"/>
                <w:szCs w:val="18"/>
                <w:color w:val="auto"/>
              </w:rPr>
            </w:pPr>
          </w:p>
        </w:tc>
      </w:tr>
      <w:tr>
        <w:trPr>
          <w:trHeight w:val="20"/>
        </w:trPr>
        <w:tc>
          <w:tcPr>
            <w:tcW w:w="34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5"/>
        </w:trPr>
        <w:tc>
          <w:tcPr>
            <w:tcW w:w="3400" w:type="dxa"/>
            <w:vAlign w:val="bottom"/>
          </w:tcPr>
          <w:p>
            <w:pPr>
              <w:spacing w:after="0"/>
              <w:rPr>
                <w:sz w:val="20"/>
                <w:szCs w:val="20"/>
                <w:color w:val="auto"/>
              </w:rPr>
            </w:pPr>
            <w:r>
              <w:rPr>
                <w:rFonts w:ascii="Arial" w:cs="Arial" w:eastAsia="Arial" w:hAnsi="Arial"/>
                <w:sz w:val="17"/>
                <w:szCs w:val="17"/>
                <w:b w:val="1"/>
                <w:bCs w:val="1"/>
                <w:color w:val="auto"/>
              </w:rPr>
              <w:t>Lease liabilities as of June 30, 2019</w:t>
            </w:r>
          </w:p>
        </w:tc>
        <w:tc>
          <w:tcPr>
            <w:tcW w:w="1680" w:type="dxa"/>
            <w:vAlign w:val="bottom"/>
          </w:tcPr>
          <w:p>
            <w:pPr>
              <w:jc w:val="right"/>
              <w:spacing w:after="0"/>
              <w:rPr>
                <w:sz w:val="20"/>
                <w:szCs w:val="20"/>
                <w:color w:val="auto"/>
              </w:rPr>
            </w:pPr>
            <w:r>
              <w:rPr>
                <w:rFonts w:ascii="Arial" w:cs="Arial" w:eastAsia="Arial" w:hAnsi="Arial"/>
                <w:sz w:val="17"/>
                <w:szCs w:val="17"/>
                <w:b w:val="1"/>
                <w:bCs w:val="1"/>
                <w:color w:val="auto"/>
              </w:rPr>
              <w:t>213,374</w:t>
            </w:r>
          </w:p>
        </w:tc>
        <w:tc>
          <w:tcPr>
            <w:tcW w:w="240" w:type="dxa"/>
            <w:vAlign w:val="bottom"/>
          </w:tcPr>
          <w:p>
            <w:pPr>
              <w:spacing w:after="0"/>
              <w:rPr>
                <w:sz w:val="24"/>
                <w:szCs w:val="24"/>
                <w:color w:val="auto"/>
              </w:rPr>
            </w:pPr>
          </w:p>
        </w:tc>
        <w:tc>
          <w:tcPr>
            <w:tcW w:w="18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(10,036)</w:t>
            </w:r>
          </w:p>
        </w:tc>
        <w:tc>
          <w:tcPr>
            <w:tcW w:w="1700" w:type="dxa"/>
            <w:vAlign w:val="bottom"/>
          </w:tcPr>
          <w:p>
            <w:pPr>
              <w:jc w:val="right"/>
              <w:spacing w:after="0"/>
              <w:rPr>
                <w:sz w:val="20"/>
                <w:szCs w:val="20"/>
                <w:color w:val="auto"/>
              </w:rPr>
            </w:pPr>
            <w:r>
              <w:rPr>
                <w:rFonts w:ascii="Arial" w:cs="Arial" w:eastAsia="Arial" w:hAnsi="Arial"/>
                <w:sz w:val="17"/>
                <w:szCs w:val="17"/>
                <w:b w:val="1"/>
                <w:bCs w:val="1"/>
                <w:color w:val="auto"/>
              </w:rPr>
              <w:t>6,299</w:t>
            </w:r>
          </w:p>
        </w:tc>
        <w:tc>
          <w:tcPr>
            <w:tcW w:w="3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7"/>
                <w:szCs w:val="17"/>
                <w:b w:val="1"/>
                <w:bCs w:val="1"/>
                <w:color w:val="auto"/>
              </w:rPr>
              <w:t>209,637</w:t>
            </w:r>
          </w:p>
        </w:tc>
        <w:tc>
          <w:tcPr>
            <w:tcW w:w="60" w:type="dxa"/>
            <w:vAlign w:val="bottom"/>
          </w:tcPr>
          <w:p>
            <w:pPr>
              <w:spacing w:after="0"/>
              <w:rPr>
                <w:sz w:val="24"/>
                <w:szCs w:val="24"/>
                <w:color w:val="auto"/>
              </w:rPr>
            </w:pPr>
          </w:p>
        </w:tc>
      </w:tr>
      <w:tr>
        <w:trPr>
          <w:trHeight w:val="20"/>
        </w:trPr>
        <w:tc>
          <w:tcPr>
            <w:tcW w:w="34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reconciliation of equity offerings arising from financing activities is as follows:</w:t>
      </w:r>
    </w:p>
    <w:p>
      <w:pPr>
        <w:spacing w:after="0" w:line="241" w:lineRule="exact"/>
        <w:rPr>
          <w:sz w:val="20"/>
          <w:szCs w:val="20"/>
          <w:color w:val="auto"/>
        </w:rPr>
      </w:pPr>
    </w:p>
    <w:tbl>
      <w:tblPr>
        <w:tblLayout w:type="fixed"/>
        <w:tblInd w:w="420" w:type="dxa"/>
        <w:tblCellMar>
          <w:top w:w="0" w:type="dxa"/>
          <w:left w:w="0" w:type="dxa"/>
          <w:bottom w:w="0" w:type="dxa"/>
          <w:right w:w="0" w:type="dxa"/>
        </w:tblCellMar>
      </w:tblPr>
      <w:tr>
        <w:trPr>
          <w:trHeight w:val="226"/>
        </w:trPr>
        <w:tc>
          <w:tcPr>
            <w:tcW w:w="5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Cash flows</w:t>
            </w:r>
          </w:p>
        </w:tc>
        <w:tc>
          <w:tcPr>
            <w:tcW w:w="20" w:type="dxa"/>
            <w:vAlign w:val="bottom"/>
          </w:tcPr>
          <w:p>
            <w:pPr>
              <w:spacing w:after="0"/>
              <w:rPr>
                <w:sz w:val="19"/>
                <w:szCs w:val="19"/>
                <w:color w:val="auto"/>
              </w:rPr>
            </w:pPr>
          </w:p>
        </w:tc>
        <w:tc>
          <w:tcPr>
            <w:tcW w:w="1980" w:type="dxa"/>
            <w:vAlign w:val="bottom"/>
            <w:gridSpan w:val="3"/>
          </w:tcPr>
          <w:p>
            <w:pPr>
              <w:ind w:left="260"/>
              <w:spacing w:after="0"/>
              <w:rPr>
                <w:sz w:val="20"/>
                <w:szCs w:val="20"/>
                <w:color w:val="auto"/>
              </w:rPr>
            </w:pPr>
            <w:r>
              <w:rPr>
                <w:rFonts w:ascii="Arial" w:cs="Arial" w:eastAsia="Arial" w:hAnsi="Arial"/>
                <w:sz w:val="17"/>
                <w:szCs w:val="17"/>
                <w:b w:val="1"/>
                <w:bCs w:val="1"/>
                <w:color w:val="auto"/>
              </w:rPr>
              <w:t>Non-cash items</w:t>
            </w:r>
          </w:p>
        </w:tc>
        <w:tc>
          <w:tcPr>
            <w:tcW w:w="20" w:type="dxa"/>
            <w:vAlign w:val="bottom"/>
          </w:tcPr>
          <w:p>
            <w:pPr>
              <w:spacing w:after="0"/>
              <w:rPr>
                <w:sz w:val="19"/>
                <w:szCs w:val="19"/>
                <w:color w:val="auto"/>
              </w:rPr>
            </w:pPr>
          </w:p>
        </w:tc>
        <w:tc>
          <w:tcPr>
            <w:tcW w:w="2160" w:type="dxa"/>
            <w:vAlign w:val="bottom"/>
            <w:gridSpan w:val="3"/>
          </w:tcPr>
          <w:p>
            <w:pPr>
              <w:ind w:left="8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8"/>
        </w:trPr>
        <w:tc>
          <w:tcPr>
            <w:tcW w:w="5320" w:type="dxa"/>
            <w:vAlign w:val="bottom"/>
            <w:tcBorders>
              <w:top w:val="single" w:sz="8" w:color="E5FFFF"/>
            </w:tcBorders>
            <w:gridSpan w:val="2"/>
            <w:shd w:val="clear" w:color="auto" w:fill="E5FFFF"/>
          </w:tcPr>
          <w:p>
            <w:pPr>
              <w:spacing w:after="0" w:line="188" w:lineRule="exact"/>
              <w:rPr>
                <w:sz w:val="20"/>
                <w:szCs w:val="20"/>
                <w:color w:val="auto"/>
              </w:rPr>
            </w:pPr>
            <w:r>
              <w:rPr>
                <w:rFonts w:ascii="Arial" w:cs="Arial" w:eastAsia="Arial" w:hAnsi="Arial"/>
                <w:sz w:val="17"/>
                <w:szCs w:val="17"/>
                <w:color w:val="auto"/>
              </w:rPr>
              <w:t>Proceeds from GasLog Partners’ preference unit offerings (net of</w:t>
            </w:r>
          </w:p>
        </w:tc>
        <w:tc>
          <w:tcPr>
            <w:tcW w:w="1500" w:type="dxa"/>
            <w:vAlign w:val="bottom"/>
            <w:tcBorders>
              <w:top w:val="single" w:sz="8" w:color="auto"/>
            </w:tcBorders>
            <w:shd w:val="clear" w:color="auto" w:fill="E5FFFF"/>
          </w:tcPr>
          <w:p>
            <w:pPr>
              <w:spacing w:after="0"/>
              <w:rPr>
                <w:sz w:val="16"/>
                <w:szCs w:val="16"/>
                <w:color w:val="auto"/>
              </w:rPr>
            </w:pPr>
          </w:p>
        </w:tc>
        <w:tc>
          <w:tcPr>
            <w:tcW w:w="32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1660" w:type="dxa"/>
            <w:vAlign w:val="bottom"/>
            <w:tcBorders>
              <w:top w:val="single" w:sz="8" w:color="auto"/>
            </w:tcBorders>
            <w:shd w:val="clear" w:color="auto" w:fill="E5FFFF"/>
          </w:tcPr>
          <w:p>
            <w:pPr>
              <w:spacing w:after="0"/>
              <w:rPr>
                <w:sz w:val="16"/>
                <w:szCs w:val="16"/>
                <w:color w:val="auto"/>
              </w:rPr>
            </w:pPr>
          </w:p>
        </w:tc>
        <w:tc>
          <w:tcPr>
            <w:tcW w:w="20" w:type="dxa"/>
            <w:vAlign w:val="bottom"/>
            <w:tcBorders>
              <w:top w:val="single" w:sz="8" w:color="E5FFFF"/>
            </w:tcBorders>
            <w:shd w:val="clear" w:color="auto" w:fill="E5FFFF"/>
          </w:tcPr>
          <w:p>
            <w:pPr>
              <w:spacing w:after="0"/>
              <w:rPr>
                <w:sz w:val="16"/>
                <w:szCs w:val="16"/>
                <w:color w:val="auto"/>
              </w:rPr>
            </w:pPr>
          </w:p>
        </w:tc>
        <w:tc>
          <w:tcPr>
            <w:tcW w:w="300" w:type="dxa"/>
            <w:vAlign w:val="bottom"/>
            <w:tcBorders>
              <w:top w:val="single" w:sz="8" w:color="E5FFFF"/>
            </w:tcBorders>
            <w:shd w:val="clear" w:color="auto" w:fill="E5FFFF"/>
          </w:tcPr>
          <w:p>
            <w:pPr>
              <w:spacing w:after="0"/>
              <w:rPr>
                <w:sz w:val="16"/>
                <w:szCs w:val="16"/>
                <w:color w:val="auto"/>
              </w:rPr>
            </w:pPr>
          </w:p>
        </w:tc>
        <w:tc>
          <w:tcPr>
            <w:tcW w:w="20" w:type="dxa"/>
            <w:vAlign w:val="bottom"/>
            <w:tcBorders>
              <w:top w:val="single" w:sz="8" w:color="auto"/>
            </w:tcBorders>
            <w:shd w:val="clear" w:color="auto" w:fill="E5FFFF"/>
          </w:tcPr>
          <w:p>
            <w:pPr>
              <w:spacing w:after="0"/>
              <w:rPr>
                <w:sz w:val="16"/>
                <w:szCs w:val="16"/>
                <w:color w:val="auto"/>
              </w:rPr>
            </w:pPr>
          </w:p>
        </w:tc>
        <w:tc>
          <w:tcPr>
            <w:tcW w:w="2100" w:type="dxa"/>
            <w:vAlign w:val="bottom"/>
            <w:tcBorders>
              <w:top w:val="single" w:sz="8" w:color="auto"/>
            </w:tcBorders>
            <w:shd w:val="clear" w:color="auto" w:fill="E5FFFF"/>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20" w:type="dxa"/>
            <w:vAlign w:val="bottom"/>
            <w:gridSpan w:val="2"/>
            <w:shd w:val="clear" w:color="auto" w:fill="E5FFFF"/>
          </w:tcPr>
          <w:p>
            <w:pPr>
              <w:ind w:left="200"/>
              <w:spacing w:after="0"/>
              <w:rPr>
                <w:sz w:val="20"/>
                <w:szCs w:val="20"/>
                <w:color w:val="auto"/>
              </w:rPr>
            </w:pPr>
            <w:r>
              <w:rPr>
                <w:rFonts w:ascii="Arial" w:cs="Arial" w:eastAsia="Arial" w:hAnsi="Arial"/>
                <w:sz w:val="17"/>
                <w:szCs w:val="17"/>
                <w:color w:val="auto"/>
              </w:rPr>
              <w:t>underwriting discounts and commissions)</w:t>
            </w:r>
          </w:p>
        </w:tc>
        <w:tc>
          <w:tcPr>
            <w:tcW w:w="18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111,544</w:t>
            </w:r>
          </w:p>
        </w:tc>
        <w:tc>
          <w:tcPr>
            <w:tcW w:w="20" w:type="dxa"/>
            <w:vAlign w:val="bottom"/>
            <w:shd w:val="clear" w:color="auto" w:fill="E5FFFF"/>
          </w:tcPr>
          <w:p>
            <w:pPr>
              <w:spacing w:after="0"/>
              <w:rPr>
                <w:sz w:val="19"/>
                <w:szCs w:val="19"/>
                <w:color w:val="auto"/>
              </w:rPr>
            </w:pPr>
          </w:p>
        </w:tc>
        <w:tc>
          <w:tcPr>
            <w:tcW w:w="1980" w:type="dxa"/>
            <w:vAlign w:val="bottom"/>
            <w:gridSpan w:val="3"/>
            <w:shd w:val="clear" w:color="auto" w:fill="E5FFFF"/>
          </w:tcPr>
          <w:p>
            <w:pPr>
              <w:jc w:val="right"/>
              <w:ind w:right="320"/>
              <w:spacing w:after="0"/>
              <w:rPr>
                <w:sz w:val="20"/>
                <w:szCs w:val="20"/>
                <w:color w:val="auto"/>
              </w:rPr>
            </w:pPr>
            <w:r>
              <w:rPr>
                <w:rFonts w:ascii="Arial" w:cs="Arial" w:eastAsia="Arial" w:hAnsi="Arial"/>
                <w:sz w:val="17"/>
                <w:szCs w:val="17"/>
                <w:color w:val="auto"/>
              </w:rPr>
              <w:t>—</w:t>
            </w:r>
          </w:p>
        </w:tc>
        <w:tc>
          <w:tcPr>
            <w:tcW w:w="21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111,544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20" w:type="dxa"/>
            <w:vAlign w:val="bottom"/>
            <w:gridSpan w:val="2"/>
          </w:tcPr>
          <w:p>
            <w:pPr>
              <w:spacing w:after="0"/>
              <w:rPr>
                <w:sz w:val="20"/>
                <w:szCs w:val="20"/>
                <w:color w:val="auto"/>
              </w:rPr>
            </w:pPr>
            <w:r>
              <w:rPr>
                <w:rFonts w:ascii="Arial" w:cs="Arial" w:eastAsia="Arial" w:hAnsi="Arial"/>
                <w:sz w:val="17"/>
                <w:szCs w:val="17"/>
                <w:color w:val="auto"/>
                <w:w w:val="96"/>
              </w:rPr>
              <w:t>Proceeds from public offerings and private placement (net of underwriting</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200"/>
              <w:spacing w:after="0"/>
              <w:rPr>
                <w:sz w:val="20"/>
                <w:szCs w:val="20"/>
                <w:color w:val="auto"/>
              </w:rPr>
            </w:pPr>
            <w:r>
              <w:rPr>
                <w:rFonts w:ascii="Arial" w:cs="Arial" w:eastAsia="Arial" w:hAnsi="Arial"/>
                <w:sz w:val="17"/>
                <w:szCs w:val="17"/>
                <w:color w:val="auto"/>
              </w:rPr>
              <w:t>discounts and commissions)</w:t>
            </w:r>
          </w:p>
        </w:tc>
        <w:tc>
          <w:tcPr>
            <w:tcW w:w="1820" w:type="dxa"/>
            <w:vAlign w:val="bottom"/>
            <w:gridSpan w:val="2"/>
          </w:tcPr>
          <w:p>
            <w:pPr>
              <w:jc w:val="right"/>
              <w:ind w:right="240"/>
              <w:spacing w:after="0"/>
              <w:rPr>
                <w:sz w:val="20"/>
                <w:szCs w:val="20"/>
                <w:color w:val="auto"/>
              </w:rPr>
            </w:pPr>
            <w:r>
              <w:rPr>
                <w:rFonts w:ascii="Arial" w:cs="Arial" w:eastAsia="Arial" w:hAnsi="Arial"/>
                <w:sz w:val="17"/>
                <w:szCs w:val="17"/>
                <w:color w:val="auto"/>
              </w:rPr>
              <w:t>24</w:t>
            </w:r>
          </w:p>
        </w:tc>
        <w:tc>
          <w:tcPr>
            <w:tcW w:w="20" w:type="dxa"/>
            <w:vAlign w:val="bottom"/>
          </w:tcPr>
          <w:p>
            <w:pPr>
              <w:spacing w:after="0"/>
              <w:rPr>
                <w:sz w:val="18"/>
                <w:szCs w:val="18"/>
                <w:color w:val="auto"/>
              </w:rPr>
            </w:pPr>
          </w:p>
        </w:tc>
        <w:tc>
          <w:tcPr>
            <w:tcW w:w="198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2140" w:type="dxa"/>
            <w:vAlign w:val="bottom"/>
            <w:gridSpan w:val="3"/>
          </w:tcPr>
          <w:p>
            <w:pPr>
              <w:jc w:val="right"/>
              <w:spacing w:after="0"/>
              <w:rPr>
                <w:sz w:val="20"/>
                <w:szCs w:val="20"/>
                <w:color w:val="auto"/>
              </w:rPr>
            </w:pPr>
            <w:r>
              <w:rPr>
                <w:rFonts w:ascii="Arial" w:cs="Arial" w:eastAsia="Arial" w:hAnsi="Arial"/>
                <w:sz w:val="17"/>
                <w:szCs w:val="17"/>
                <w:color w:val="auto"/>
              </w:rPr>
              <w:t>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20" w:type="dxa"/>
            <w:vAlign w:val="bottom"/>
            <w:gridSpan w:val="2"/>
            <w:shd w:val="clear" w:color="auto" w:fill="E5FFFF"/>
          </w:tcPr>
          <w:p>
            <w:pPr>
              <w:spacing w:after="0"/>
              <w:rPr>
                <w:sz w:val="20"/>
                <w:szCs w:val="20"/>
                <w:color w:val="auto"/>
              </w:rPr>
            </w:pPr>
            <w:r>
              <w:rPr>
                <w:rFonts w:ascii="Arial" w:cs="Arial" w:eastAsia="Arial" w:hAnsi="Arial"/>
                <w:sz w:val="17"/>
                <w:szCs w:val="17"/>
                <w:color w:val="auto"/>
              </w:rPr>
              <w:t>Equity related costs</w:t>
            </w:r>
          </w:p>
        </w:tc>
        <w:tc>
          <w:tcPr>
            <w:tcW w:w="1820" w:type="dxa"/>
            <w:vAlign w:val="bottom"/>
            <w:gridSpan w:val="2"/>
            <w:shd w:val="clear" w:color="auto" w:fill="E5FFFF"/>
          </w:tcPr>
          <w:p>
            <w:pPr>
              <w:jc w:val="right"/>
              <w:ind w:right="180"/>
              <w:spacing w:after="0"/>
              <w:rPr>
                <w:sz w:val="20"/>
                <w:szCs w:val="20"/>
                <w:color w:val="auto"/>
              </w:rPr>
            </w:pPr>
            <w:r>
              <w:rPr>
                <w:rFonts w:ascii="Arial" w:cs="Arial" w:eastAsia="Arial" w:hAnsi="Arial"/>
                <w:sz w:val="17"/>
                <w:szCs w:val="17"/>
                <w:color w:val="auto"/>
              </w:rPr>
              <w:t>(660)</w:t>
            </w:r>
          </w:p>
        </w:tc>
        <w:tc>
          <w:tcPr>
            <w:tcW w:w="1700" w:type="dxa"/>
            <w:vAlign w:val="bottom"/>
            <w:gridSpan w:val="3"/>
            <w:shd w:val="clear" w:color="auto" w:fill="E5FFFF"/>
          </w:tcPr>
          <w:p>
            <w:pPr>
              <w:jc w:val="right"/>
              <w:ind w:right="20"/>
              <w:spacing w:after="0"/>
              <w:rPr>
                <w:sz w:val="20"/>
                <w:szCs w:val="20"/>
                <w:color w:val="auto"/>
              </w:rPr>
            </w:pPr>
            <w:r>
              <w:rPr>
                <w:rFonts w:ascii="Arial" w:cs="Arial" w:eastAsia="Arial" w:hAnsi="Arial"/>
                <w:sz w:val="17"/>
                <w:szCs w:val="17"/>
                <w:color w:val="auto"/>
              </w:rPr>
              <w:t>276</w:t>
            </w:r>
          </w:p>
        </w:tc>
        <w:tc>
          <w:tcPr>
            <w:tcW w:w="300" w:type="dxa"/>
            <w:vAlign w:val="bottom"/>
            <w:shd w:val="clear" w:color="auto" w:fill="E5FFFF"/>
          </w:tcPr>
          <w:p>
            <w:pPr>
              <w:spacing w:after="0"/>
              <w:rPr>
                <w:sz w:val="19"/>
                <w:szCs w:val="19"/>
                <w:color w:val="auto"/>
              </w:rPr>
            </w:pPr>
          </w:p>
        </w:tc>
        <w:tc>
          <w:tcPr>
            <w:tcW w:w="2120" w:type="dxa"/>
            <w:vAlign w:val="bottom"/>
            <w:gridSpan w:val="2"/>
            <w:shd w:val="clear" w:color="auto" w:fill="E5FFFF"/>
          </w:tcPr>
          <w:p>
            <w:pPr>
              <w:jc w:val="right"/>
              <w:spacing w:after="0"/>
              <w:rPr>
                <w:sz w:val="20"/>
                <w:szCs w:val="20"/>
                <w:color w:val="auto"/>
              </w:rPr>
            </w:pPr>
            <w:r>
              <w:rPr>
                <w:rFonts w:ascii="Arial" w:cs="Arial" w:eastAsia="Arial" w:hAnsi="Arial"/>
                <w:sz w:val="17"/>
                <w:szCs w:val="17"/>
                <w:color w:val="auto"/>
              </w:rPr>
              <w:t>(384)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320" w:type="dxa"/>
            <w:vAlign w:val="bottom"/>
            <w:gridSpan w:val="2"/>
          </w:tcPr>
          <w:p>
            <w:pPr>
              <w:spacing w:after="0"/>
              <w:rPr>
                <w:sz w:val="20"/>
                <w:szCs w:val="20"/>
                <w:color w:val="auto"/>
              </w:rPr>
            </w:pPr>
            <w:r>
              <w:rPr>
                <w:rFonts w:ascii="Arial" w:cs="Arial" w:eastAsia="Arial" w:hAnsi="Arial"/>
                <w:sz w:val="17"/>
                <w:szCs w:val="17"/>
                <w:b w:val="1"/>
                <w:bCs w:val="1"/>
                <w:color w:val="auto"/>
                <w:w w:val="94"/>
              </w:rPr>
              <w:t>Net proceeds from equity offerings in the period ended June 30, 2018</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110,908</w:t>
            </w:r>
          </w:p>
        </w:tc>
        <w:tc>
          <w:tcPr>
            <w:tcW w:w="320" w:type="dxa"/>
            <w:vAlign w:val="bottom"/>
          </w:tcPr>
          <w:p>
            <w:pPr>
              <w:spacing w:after="0"/>
              <w:rPr>
                <w:sz w:val="18"/>
                <w:szCs w:val="18"/>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111,184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Cash flows</w:t>
            </w:r>
          </w:p>
        </w:tc>
        <w:tc>
          <w:tcPr>
            <w:tcW w:w="20" w:type="dxa"/>
            <w:vAlign w:val="bottom"/>
          </w:tcPr>
          <w:p>
            <w:pPr>
              <w:spacing w:after="0"/>
              <w:rPr>
                <w:sz w:val="24"/>
                <w:szCs w:val="24"/>
                <w:color w:val="auto"/>
              </w:rPr>
            </w:pPr>
          </w:p>
        </w:tc>
        <w:tc>
          <w:tcPr>
            <w:tcW w:w="1980" w:type="dxa"/>
            <w:vAlign w:val="bottom"/>
            <w:gridSpan w:val="3"/>
          </w:tcPr>
          <w:p>
            <w:pPr>
              <w:ind w:left="280"/>
              <w:spacing w:after="0"/>
              <w:rPr>
                <w:sz w:val="20"/>
                <w:szCs w:val="20"/>
                <w:color w:val="auto"/>
              </w:rPr>
            </w:pPr>
            <w:r>
              <w:rPr>
                <w:rFonts w:ascii="Arial" w:cs="Arial" w:eastAsia="Arial" w:hAnsi="Arial"/>
                <w:sz w:val="17"/>
                <w:szCs w:val="17"/>
                <w:b w:val="1"/>
                <w:bCs w:val="1"/>
                <w:color w:val="auto"/>
              </w:rPr>
              <w:t>Non-cash items</w:t>
            </w:r>
          </w:p>
        </w:tc>
        <w:tc>
          <w:tcPr>
            <w:tcW w:w="20" w:type="dxa"/>
            <w:vAlign w:val="bottom"/>
          </w:tcPr>
          <w:p>
            <w:pPr>
              <w:spacing w:after="0"/>
              <w:rPr>
                <w:sz w:val="24"/>
                <w:szCs w:val="24"/>
                <w:color w:val="auto"/>
              </w:rPr>
            </w:pPr>
          </w:p>
        </w:tc>
        <w:tc>
          <w:tcPr>
            <w:tcW w:w="2160" w:type="dxa"/>
            <w:vAlign w:val="bottom"/>
            <w:gridSpan w:val="3"/>
          </w:tcPr>
          <w:p>
            <w:pPr>
              <w:ind w:left="8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53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Equity related costs</w:t>
            </w:r>
          </w:p>
        </w:tc>
        <w:tc>
          <w:tcPr>
            <w:tcW w:w="20" w:type="dxa"/>
            <w:vAlign w:val="bottom"/>
            <w:tcBorders>
              <w:top w:val="single" w:sz="8" w:color="auto"/>
              <w:bottom w:val="single" w:sz="8" w:color="auto"/>
            </w:tcBorders>
            <w:shd w:val="clear" w:color="auto" w:fill="E5FFFF"/>
          </w:tcPr>
          <w:p>
            <w:pPr>
              <w:spacing w:after="0"/>
              <w:rPr>
                <w:sz w:val="18"/>
                <w:szCs w:val="18"/>
                <w:color w:val="auto"/>
              </w:rPr>
            </w:pPr>
          </w:p>
        </w:tc>
        <w:tc>
          <w:tcPr>
            <w:tcW w:w="15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(894)</w:t>
            </w:r>
          </w:p>
        </w:tc>
        <w:tc>
          <w:tcPr>
            <w:tcW w:w="3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Arial" w:cs="Arial" w:eastAsia="Arial" w:hAnsi="Arial"/>
                <w:sz w:val="17"/>
                <w:szCs w:val="17"/>
                <w:color w:val="auto"/>
              </w:rPr>
              <w:t>406</w:t>
            </w:r>
          </w:p>
        </w:tc>
        <w:tc>
          <w:tcPr>
            <w:tcW w:w="30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21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(488)</w:t>
            </w: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2"/>
        </w:trPr>
        <w:tc>
          <w:tcPr>
            <w:tcW w:w="5320" w:type="dxa"/>
            <w:vAlign w:val="bottom"/>
            <w:gridSpan w:val="2"/>
          </w:tcPr>
          <w:p>
            <w:pPr>
              <w:spacing w:after="0"/>
              <w:rPr>
                <w:sz w:val="20"/>
                <w:szCs w:val="20"/>
                <w:color w:val="auto"/>
              </w:rPr>
            </w:pPr>
            <w:r>
              <w:rPr>
                <w:rFonts w:ascii="Arial" w:cs="Arial" w:eastAsia="Arial" w:hAnsi="Arial"/>
                <w:sz w:val="17"/>
                <w:szCs w:val="17"/>
                <w:b w:val="1"/>
                <w:bCs w:val="1"/>
                <w:color w:val="auto"/>
                <w:w w:val="94"/>
              </w:rPr>
              <w:t>Net proceeds from equity offerings in the period ended June 30, 2019</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(894</w:t>
            </w:r>
          </w:p>
        </w:tc>
        <w:tc>
          <w:tcPr>
            <w:tcW w:w="320" w:type="dxa"/>
            <w:vAlign w:val="bottom"/>
          </w:tcPr>
          <w:p>
            <w:pPr>
              <w:jc w:val="right"/>
              <w:ind w:right="180"/>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7"/>
                <w:szCs w:val="17"/>
                <w:b w:val="1"/>
                <w:bCs w:val="1"/>
                <w:color w:val="auto"/>
              </w:rPr>
              <w:t>406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b w:val="1"/>
                <w:bCs w:val="1"/>
                <w:color w:val="auto"/>
              </w:rPr>
              <w:t>(488</w:t>
            </w:r>
          </w:p>
        </w:tc>
        <w:tc>
          <w:tcPr>
            <w:tcW w:w="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Share-Based Compensation</w:t>
      </w:r>
    </w:p>
    <w:p>
      <w:pPr>
        <w:spacing w:after="0" w:line="253" w:lineRule="exact"/>
        <w:rPr>
          <w:sz w:val="20"/>
          <w:szCs w:val="20"/>
          <w:color w:val="auto"/>
        </w:rPr>
      </w:pPr>
    </w:p>
    <w:p>
      <w:pPr>
        <w:ind w:right="100" w:firstLine="377"/>
        <w:spacing w:after="0" w:line="271" w:lineRule="auto"/>
        <w:rPr>
          <w:sz w:val="20"/>
          <w:szCs w:val="20"/>
          <w:color w:val="auto"/>
        </w:rPr>
      </w:pPr>
      <w:r>
        <w:rPr>
          <w:rFonts w:ascii="Arial" w:cs="Arial" w:eastAsia="Arial" w:hAnsi="Arial"/>
          <w:sz w:val="17"/>
          <w:szCs w:val="17"/>
          <w:color w:val="auto"/>
        </w:rPr>
        <w:t>The terms of the 2013 Omnibus Incentive Compensation Plan (the “Plan”) and the assumptions for the valuation of Restricted Stock Units (“RSUs”) and Stock Appreciation Rights or Stock Options (collectively, the “SARs”) and the terms of the GasLog Partners’ 2015 Long-Term Incentive Plan (the “GasLog Partners’ Plan”) and the assumptions for the valuation of Restricted Common Units (“RCUs”) and Performance Common Units (“PCUs”) have been disclosed in Note 22 “Share-Based Compensation” in the annual audited consolidated financial statements for the year ended December 31, 2018.</w:t>
      </w:r>
    </w:p>
    <w:p>
      <w:pPr>
        <w:spacing w:after="0" w:line="201" w:lineRule="exact"/>
        <w:rPr>
          <w:sz w:val="20"/>
          <w:szCs w:val="20"/>
          <w:color w:val="auto"/>
        </w:rPr>
      </w:pPr>
    </w:p>
    <w:p>
      <w:pPr>
        <w:jc w:val="both"/>
        <w:ind w:right="120" w:firstLine="377"/>
        <w:spacing w:after="0" w:line="275" w:lineRule="auto"/>
        <w:rPr>
          <w:sz w:val="20"/>
          <w:szCs w:val="20"/>
          <w:color w:val="auto"/>
        </w:rPr>
      </w:pPr>
      <w:r>
        <w:rPr>
          <w:rFonts w:ascii="Arial" w:cs="Arial" w:eastAsia="Arial" w:hAnsi="Arial"/>
          <w:sz w:val="17"/>
          <w:szCs w:val="17"/>
          <w:color w:val="auto"/>
        </w:rPr>
        <w:t>On April 1, 2019, GasLog granted to executives, managers and certain employees of the Group 98,613 RSUs and 299,322 SARs in accordance with the Plan. The RSUs will vest on April 1, 2022 while the SARs will vest incrementally with one-third of the SARs vesting on each of April 1, 2020, 2021 and 2022. The compensation cost for the SARs is recognized on an accelerated basis as though each separately vesting portion of the SARs is a separate award.</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ind w:right="194"/>
              <w:spacing w:after="0"/>
              <w:rPr>
                <w:sz w:val="20"/>
                <w:szCs w:val="20"/>
                <w:color w:val="auto"/>
              </w:rPr>
            </w:pPr>
            <w:r>
              <w:rPr>
                <w:rFonts w:ascii="Arial" w:cs="Arial" w:eastAsia="Arial" w:hAnsi="Arial"/>
                <w:sz w:val="17"/>
                <w:szCs w:val="17"/>
                <w:b w:val="1"/>
                <w:bCs w:val="1"/>
                <w:color w:val="auto"/>
              </w:rPr>
              <w:t>Fair value at</w:t>
            </w:r>
          </w:p>
        </w:tc>
      </w:tr>
      <w:tr>
        <w:trPr>
          <w:trHeight w:val="226"/>
        </w:trPr>
        <w:tc>
          <w:tcPr>
            <w:tcW w:w="1180" w:type="dxa"/>
            <w:vAlign w:val="bottom"/>
          </w:tcPr>
          <w:p>
            <w:pPr>
              <w:spacing w:after="0"/>
              <w:rPr>
                <w:sz w:val="20"/>
                <w:szCs w:val="20"/>
                <w:color w:val="auto"/>
              </w:rPr>
            </w:pPr>
            <w:r>
              <w:rPr>
                <w:rFonts w:ascii="Arial" w:cs="Arial" w:eastAsia="Arial" w:hAnsi="Arial"/>
                <w:sz w:val="17"/>
                <w:szCs w:val="17"/>
                <w:b w:val="1"/>
                <w:bCs w:val="1"/>
                <w:color w:val="auto"/>
              </w:rPr>
              <w:t>Awards</w:t>
            </w:r>
          </w:p>
        </w:tc>
        <w:tc>
          <w:tcPr>
            <w:tcW w:w="1400" w:type="dxa"/>
            <w:vAlign w:val="bottom"/>
            <w:gridSpan w:val="2"/>
          </w:tcPr>
          <w:p>
            <w:pPr>
              <w:jc w:val="right"/>
              <w:ind w:right="394"/>
              <w:spacing w:after="0"/>
              <w:rPr>
                <w:sz w:val="20"/>
                <w:szCs w:val="20"/>
                <w:color w:val="auto"/>
              </w:rPr>
            </w:pPr>
            <w:r>
              <w:rPr>
                <w:rFonts w:ascii="Arial" w:cs="Arial" w:eastAsia="Arial" w:hAnsi="Arial"/>
                <w:sz w:val="17"/>
                <w:szCs w:val="17"/>
                <w:b w:val="1"/>
                <w:bCs w:val="1"/>
                <w:color w:val="auto"/>
              </w:rPr>
              <w:t>Number</w:t>
            </w:r>
          </w:p>
        </w:tc>
        <w:tc>
          <w:tcPr>
            <w:tcW w:w="280" w:type="dxa"/>
            <w:vAlign w:val="bottom"/>
          </w:tcPr>
          <w:p>
            <w:pPr>
              <w:spacing w:after="0"/>
              <w:rPr>
                <w:sz w:val="19"/>
                <w:szCs w:val="19"/>
                <w:color w:val="auto"/>
              </w:rPr>
            </w:pPr>
          </w:p>
        </w:tc>
        <w:tc>
          <w:tcPr>
            <w:tcW w:w="1520" w:type="dxa"/>
            <w:vAlign w:val="bottom"/>
          </w:tcPr>
          <w:p>
            <w:pPr>
              <w:ind w:left="360"/>
              <w:spacing w:after="0"/>
              <w:rPr>
                <w:sz w:val="20"/>
                <w:szCs w:val="20"/>
                <w:color w:val="auto"/>
              </w:rPr>
            </w:pPr>
            <w:r>
              <w:rPr>
                <w:rFonts w:ascii="Arial" w:cs="Arial" w:eastAsia="Arial" w:hAnsi="Arial"/>
                <w:sz w:val="17"/>
                <w:szCs w:val="17"/>
                <w:b w:val="1"/>
                <w:bCs w:val="1"/>
                <w:color w:val="auto"/>
              </w:rPr>
              <w:t>Grant date</w:t>
            </w:r>
          </w:p>
        </w:tc>
        <w:tc>
          <w:tcPr>
            <w:tcW w:w="300" w:type="dxa"/>
            <w:vAlign w:val="bottom"/>
          </w:tcPr>
          <w:p>
            <w:pPr>
              <w:spacing w:after="0"/>
              <w:rPr>
                <w:sz w:val="19"/>
                <w:szCs w:val="19"/>
                <w:color w:val="auto"/>
              </w:rPr>
            </w:pPr>
          </w:p>
        </w:tc>
        <w:tc>
          <w:tcPr>
            <w:tcW w:w="1660" w:type="dxa"/>
            <w:vAlign w:val="bottom"/>
            <w:gridSpan w:val="2"/>
          </w:tcPr>
          <w:p>
            <w:pPr>
              <w:ind w:left="240"/>
              <w:spacing w:after="0"/>
              <w:rPr>
                <w:sz w:val="20"/>
                <w:szCs w:val="20"/>
                <w:color w:val="auto"/>
              </w:rPr>
            </w:pPr>
            <w:r>
              <w:rPr>
                <w:rFonts w:ascii="Arial" w:cs="Arial" w:eastAsia="Arial" w:hAnsi="Arial"/>
                <w:sz w:val="17"/>
                <w:szCs w:val="17"/>
                <w:b w:val="1"/>
                <w:bCs w:val="1"/>
                <w:color w:val="auto"/>
              </w:rPr>
              <w:t>Expiry date</w:t>
            </w:r>
          </w:p>
        </w:tc>
        <w:tc>
          <w:tcPr>
            <w:tcW w:w="1640" w:type="dxa"/>
            <w:vAlign w:val="bottom"/>
            <w:gridSpan w:val="2"/>
          </w:tcPr>
          <w:p>
            <w:pPr>
              <w:ind w:left="160"/>
              <w:spacing w:after="0"/>
              <w:rPr>
                <w:sz w:val="20"/>
                <w:szCs w:val="20"/>
                <w:color w:val="auto"/>
              </w:rPr>
            </w:pPr>
            <w:r>
              <w:rPr>
                <w:rFonts w:ascii="Arial" w:cs="Arial" w:eastAsia="Arial" w:hAnsi="Arial"/>
                <w:sz w:val="17"/>
                <w:szCs w:val="17"/>
                <w:b w:val="1"/>
                <w:bCs w:val="1"/>
                <w:color w:val="auto"/>
              </w:rPr>
              <w:t>Exercise price</w:t>
            </w:r>
          </w:p>
        </w:tc>
        <w:tc>
          <w:tcPr>
            <w:tcW w:w="1500" w:type="dxa"/>
            <w:vAlign w:val="bottom"/>
          </w:tcPr>
          <w:p>
            <w:pPr>
              <w:jc w:val="right"/>
              <w:ind w:right="294"/>
              <w:spacing w:after="0"/>
              <w:rPr>
                <w:sz w:val="20"/>
                <w:szCs w:val="20"/>
                <w:color w:val="auto"/>
              </w:rPr>
            </w:pPr>
            <w:r>
              <w:rPr>
                <w:rFonts w:ascii="Arial" w:cs="Arial" w:eastAsia="Arial" w:hAnsi="Arial"/>
                <w:sz w:val="17"/>
                <w:szCs w:val="17"/>
                <w:b w:val="1"/>
                <w:bCs w:val="1"/>
                <w:color w:val="auto"/>
              </w:rPr>
              <w:t>grant date</w:t>
            </w:r>
          </w:p>
        </w:tc>
      </w:tr>
      <w:tr>
        <w:trPr>
          <w:trHeight w:val="212"/>
        </w:trPr>
        <w:tc>
          <w:tcPr>
            <w:tcW w:w="11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RSUs</w:t>
            </w:r>
          </w:p>
        </w:tc>
        <w:tc>
          <w:tcPr>
            <w:tcW w:w="320" w:type="dxa"/>
            <w:vAlign w:val="bottom"/>
            <w:tcBorders>
              <w:top w:val="single" w:sz="8" w:color="E5FFFF"/>
            </w:tcBorders>
            <w:shd w:val="clear" w:color="auto" w:fill="E5FFFF"/>
          </w:tcPr>
          <w:p>
            <w:pPr>
              <w:spacing w:after="0"/>
              <w:rPr>
                <w:sz w:val="18"/>
                <w:szCs w:val="18"/>
                <w:color w:val="auto"/>
              </w:rPr>
            </w:pPr>
          </w:p>
        </w:tc>
        <w:tc>
          <w:tcPr>
            <w:tcW w:w="108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98,613</w:t>
            </w:r>
          </w:p>
        </w:tc>
        <w:tc>
          <w:tcPr>
            <w:tcW w:w="280" w:type="dxa"/>
            <w:vAlign w:val="bottom"/>
            <w:tcBorders>
              <w:top w:val="single" w:sz="8" w:color="E5FFFF"/>
            </w:tcBorders>
            <w:shd w:val="clear" w:color="auto" w:fill="E5FFFF"/>
          </w:tcPr>
          <w:p>
            <w:pPr>
              <w:spacing w:after="0"/>
              <w:rPr>
                <w:sz w:val="18"/>
                <w:szCs w:val="18"/>
                <w:color w:val="auto"/>
              </w:rPr>
            </w:pPr>
          </w:p>
        </w:tc>
        <w:tc>
          <w:tcPr>
            <w:tcW w:w="15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April 1, 2019</w:t>
            </w:r>
          </w:p>
        </w:tc>
        <w:tc>
          <w:tcPr>
            <w:tcW w:w="30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n/a</w:t>
            </w:r>
          </w:p>
        </w:tc>
        <w:tc>
          <w:tcPr>
            <w:tcW w:w="280" w:type="dxa"/>
            <w:vAlign w:val="bottom"/>
            <w:tcBorders>
              <w:top w:val="single" w:sz="8" w:color="E5FFFF"/>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n/a</w:t>
            </w:r>
          </w:p>
        </w:tc>
        <w:tc>
          <w:tcPr>
            <w:tcW w:w="280" w:type="dxa"/>
            <w:vAlign w:val="bottom"/>
            <w:tcBorders>
              <w:top w:val="single" w:sz="8" w:color="E5FFFF"/>
            </w:tcBorders>
            <w:shd w:val="clear" w:color="auto" w:fill="E5FFFF"/>
          </w:tcPr>
          <w:p>
            <w:pPr>
              <w:spacing w:after="0"/>
              <w:rPr>
                <w:sz w:val="18"/>
                <w:szCs w:val="18"/>
                <w:color w:val="auto"/>
              </w:rPr>
            </w:pPr>
          </w:p>
        </w:tc>
        <w:tc>
          <w:tcPr>
            <w:tcW w:w="15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$17.79</w:t>
            </w: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SARs</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299,322</w:t>
            </w:r>
          </w:p>
        </w:tc>
        <w:tc>
          <w:tcPr>
            <w:tcW w:w="1800" w:type="dxa"/>
            <w:vAlign w:val="bottom"/>
            <w:gridSpan w:val="2"/>
          </w:tcPr>
          <w:p>
            <w:pPr>
              <w:ind w:left="280"/>
              <w:spacing w:after="0"/>
              <w:rPr>
                <w:sz w:val="20"/>
                <w:szCs w:val="20"/>
                <w:color w:val="auto"/>
              </w:rPr>
            </w:pPr>
            <w:r>
              <w:rPr>
                <w:rFonts w:ascii="Arial" w:cs="Arial" w:eastAsia="Arial" w:hAnsi="Arial"/>
                <w:sz w:val="17"/>
                <w:szCs w:val="17"/>
                <w:color w:val="auto"/>
              </w:rPr>
              <w:t>April 1, 2019</w:t>
            </w:r>
          </w:p>
        </w:tc>
        <w:tc>
          <w:tcPr>
            <w:tcW w:w="1960" w:type="dxa"/>
            <w:vAlign w:val="bottom"/>
            <w:gridSpan w:val="3"/>
          </w:tcPr>
          <w:p>
            <w:pPr>
              <w:ind w:left="300"/>
              <w:spacing w:after="0"/>
              <w:rPr>
                <w:sz w:val="20"/>
                <w:szCs w:val="20"/>
                <w:color w:val="auto"/>
              </w:rPr>
            </w:pPr>
            <w:r>
              <w:rPr>
                <w:rFonts w:ascii="Arial" w:cs="Arial" w:eastAsia="Arial" w:hAnsi="Arial"/>
                <w:sz w:val="17"/>
                <w:szCs w:val="17"/>
                <w:color w:val="auto"/>
              </w:rPr>
              <w:t>April 1, 2029</w:t>
            </w:r>
          </w:p>
        </w:tc>
        <w:tc>
          <w:tcPr>
            <w:tcW w:w="1360" w:type="dxa"/>
            <w:vAlign w:val="bottom"/>
          </w:tcPr>
          <w:p>
            <w:pPr>
              <w:jc w:val="right"/>
              <w:spacing w:after="0"/>
              <w:rPr>
                <w:sz w:val="20"/>
                <w:szCs w:val="20"/>
                <w:color w:val="auto"/>
              </w:rPr>
            </w:pPr>
            <w:r>
              <w:rPr>
                <w:rFonts w:ascii="Arial" w:cs="Arial" w:eastAsia="Arial" w:hAnsi="Arial"/>
                <w:sz w:val="17"/>
                <w:szCs w:val="17"/>
                <w:color w:val="auto"/>
              </w:rPr>
              <w:t>$17.79</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$5.8612</w:t>
            </w:r>
          </w:p>
        </w:tc>
      </w:tr>
    </w:tbl>
    <w:p>
      <w:pPr>
        <w:spacing w:after="0" w:line="316" w:lineRule="exact"/>
        <w:rPr>
          <w:sz w:val="20"/>
          <w:szCs w:val="20"/>
          <w:color w:val="auto"/>
        </w:rPr>
      </w:pPr>
    </w:p>
    <w:p>
      <w:pPr>
        <w:ind w:right="100" w:firstLine="377"/>
        <w:spacing w:after="0" w:line="271" w:lineRule="auto"/>
        <w:rPr>
          <w:sz w:val="20"/>
          <w:szCs w:val="20"/>
          <w:color w:val="auto"/>
        </w:rPr>
      </w:pPr>
      <w:r>
        <w:rPr>
          <w:rFonts w:ascii="Arial" w:cs="Arial" w:eastAsia="Arial" w:hAnsi="Arial"/>
          <w:sz w:val="17"/>
          <w:szCs w:val="17"/>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 The amount to be settled for each SAR exercised is computed, in each case, as the excess, if any, of the fair market value (the closing price of shares) on the exercise date over the exercise price of the SAR.</w:t>
      </w:r>
    </w:p>
    <w:p>
      <w:pPr>
        <w:spacing w:after="0" w:line="201" w:lineRule="exact"/>
        <w:rPr>
          <w:sz w:val="20"/>
          <w:szCs w:val="20"/>
          <w:color w:val="auto"/>
        </w:rPr>
      </w:pPr>
    </w:p>
    <w:p>
      <w:pPr>
        <w:ind w:right="180" w:firstLine="460"/>
        <w:spacing w:after="0" w:line="275" w:lineRule="auto"/>
        <w:rPr>
          <w:sz w:val="20"/>
          <w:szCs w:val="20"/>
          <w:color w:val="auto"/>
        </w:rPr>
      </w:pPr>
      <w:r>
        <w:rPr>
          <w:rFonts w:ascii="Arial" w:cs="Arial" w:eastAsia="Arial" w:hAnsi="Arial"/>
          <w:sz w:val="17"/>
          <w:szCs w:val="17"/>
          <w:color w:val="auto"/>
        </w:rPr>
        <w:t>The fair value of the SARs has been calculated based on the Modified Black-Scholes-Merton method. Expected volatility was based on historical share price volatility for the period since GasLog’s initial public offering. The expected dividend is based on management’s expectations of future payments on the grant date. The significant assumptions used to estimate the fair value of the SARs are set out below:</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Inputs into the model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482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Grant date share closing price</w:t>
            </w:r>
          </w:p>
        </w:tc>
        <w:tc>
          <w:tcPr>
            <w:tcW w:w="5100" w:type="dxa"/>
            <w:vAlign w:val="bottom"/>
            <w:tcBorders>
              <w:top w:val="single" w:sz="8" w:color="auto"/>
            </w:tcBorders>
            <w:shd w:val="clear" w:color="auto" w:fill="E5FFFF"/>
          </w:tcPr>
          <w:p>
            <w:pPr>
              <w:jc w:val="right"/>
              <w:ind w:right="94"/>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17.79</w:t>
            </w:r>
          </w:p>
        </w:tc>
        <w:tc>
          <w:tcPr>
            <w:tcW w:w="860" w:type="dxa"/>
            <w:vAlign w:val="bottom"/>
          </w:tcPr>
          <w:p>
            <w:pPr>
              <w:spacing w:after="0"/>
              <w:rPr>
                <w:sz w:val="18"/>
                <w:szCs w:val="18"/>
                <w:color w:val="auto"/>
              </w:rPr>
            </w:pPr>
          </w:p>
        </w:tc>
      </w:tr>
      <w:tr>
        <w:trPr>
          <w:trHeight w:val="214"/>
        </w:trPr>
        <w:tc>
          <w:tcPr>
            <w:tcW w:w="6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Exercise price</w:t>
            </w:r>
          </w:p>
        </w:tc>
        <w:tc>
          <w:tcPr>
            <w:tcW w:w="51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17.79</w:t>
            </w:r>
          </w:p>
        </w:tc>
        <w:tc>
          <w:tcPr>
            <w:tcW w:w="860" w:type="dxa"/>
            <w:vAlign w:val="bottom"/>
          </w:tcPr>
          <w:p>
            <w:pPr>
              <w:spacing w:after="0"/>
              <w:rPr>
                <w:sz w:val="18"/>
                <w:szCs w:val="18"/>
                <w:color w:val="auto"/>
              </w:rPr>
            </w:pPr>
          </w:p>
        </w:tc>
      </w:tr>
      <w:tr>
        <w:trPr>
          <w:trHeight w:val="214"/>
        </w:trPr>
        <w:tc>
          <w:tcPr>
            <w:tcW w:w="6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Expected volatility</w:t>
            </w:r>
          </w:p>
        </w:tc>
        <w:tc>
          <w:tcPr>
            <w:tcW w:w="5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7"/>
                <w:szCs w:val="17"/>
                <w:color w:val="auto"/>
              </w:rPr>
              <w:t>45.03%</w:t>
            </w:r>
          </w:p>
        </w:tc>
      </w:tr>
      <w:tr>
        <w:trPr>
          <w:trHeight w:val="214"/>
        </w:trPr>
        <w:tc>
          <w:tcPr>
            <w:tcW w:w="6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rPr>
              <w:t>Expected term</w:t>
            </w:r>
          </w:p>
        </w:tc>
        <w:tc>
          <w:tcPr>
            <w:tcW w:w="5100" w:type="dxa"/>
            <w:vAlign w:val="bottom"/>
          </w:tcPr>
          <w:p>
            <w:pPr>
              <w:spacing w:after="0"/>
              <w:rPr>
                <w:sz w:val="18"/>
                <w:szCs w:val="18"/>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7"/>
                <w:szCs w:val="17"/>
                <w:color w:val="auto"/>
              </w:rPr>
              <w:t>6 years</w:t>
            </w:r>
          </w:p>
        </w:tc>
      </w:tr>
      <w:tr>
        <w:trPr>
          <w:trHeight w:val="214"/>
        </w:trPr>
        <w:tc>
          <w:tcPr>
            <w:tcW w:w="6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7"/>
                <w:szCs w:val="17"/>
                <w:color w:val="auto"/>
                <w:w w:val="99"/>
              </w:rPr>
              <w:t>Risk-free interest rate for the period similar to the expected term</w:t>
            </w:r>
          </w:p>
        </w:tc>
        <w:tc>
          <w:tcPr>
            <w:tcW w:w="510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7"/>
                <w:szCs w:val="17"/>
                <w:color w:val="auto"/>
              </w:rPr>
              <w:t>2.35%</w:t>
            </w:r>
          </w:p>
        </w:tc>
      </w:tr>
      <w:tr>
        <w:trPr>
          <w:trHeight w:val="435"/>
        </w:trPr>
        <w:tc>
          <w:tcPr>
            <w:tcW w:w="6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100" w:type="dxa"/>
            <w:vAlign w:val="bottom"/>
          </w:tcPr>
          <w:p>
            <w:pPr>
              <w:jc w:val="right"/>
              <w:ind w:right="4274"/>
              <w:spacing w:after="0"/>
              <w:rPr>
                <w:sz w:val="20"/>
                <w:szCs w:val="20"/>
                <w:color w:val="auto"/>
              </w:rPr>
            </w:pPr>
            <w:r>
              <w:rPr>
                <w:rFonts w:ascii="Arial" w:cs="Arial" w:eastAsia="Arial" w:hAnsi="Arial"/>
                <w:sz w:val="17"/>
                <w:szCs w:val="17"/>
                <w:color w:val="auto"/>
              </w:rPr>
              <w:t>F-21</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47"/>
        </w:trPr>
        <w:tc>
          <w:tcPr>
            <w:tcW w:w="600" w:type="dxa"/>
            <w:vAlign w:val="bottom"/>
            <w:tcBorders>
              <w:bottom w:val="single" w:sz="8" w:color="808080"/>
            </w:tcBorders>
          </w:tcPr>
          <w:p>
            <w:pPr>
              <w:spacing w:after="0"/>
              <w:rPr>
                <w:sz w:val="12"/>
                <w:szCs w:val="12"/>
                <w:color w:val="auto"/>
              </w:rPr>
            </w:pPr>
          </w:p>
        </w:tc>
        <w:tc>
          <w:tcPr>
            <w:tcW w:w="4820" w:type="dxa"/>
            <w:vAlign w:val="bottom"/>
            <w:tcBorders>
              <w:bottom w:val="single" w:sz="8" w:color="808080"/>
            </w:tcBorders>
          </w:tcPr>
          <w:p>
            <w:pPr>
              <w:spacing w:after="0"/>
              <w:rPr>
                <w:sz w:val="12"/>
                <w:szCs w:val="12"/>
                <w:color w:val="auto"/>
              </w:rPr>
            </w:pPr>
          </w:p>
        </w:tc>
        <w:tc>
          <w:tcPr>
            <w:tcW w:w="510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-789305</wp:posOffset>
            </wp:positionV>
            <wp:extent cx="6719570" cy="135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719570" cy="135890"/>
                    </a:xfrm>
                    <a:prstGeom prst="rect">
                      <a:avLst/>
                    </a:prstGeom>
                    <a:noFill/>
                  </pic:spPr>
                </pic:pic>
              </a:graphicData>
            </a:graphic>
          </wp:anchor>
        </w:drawing>
        <w:drawing>
          <wp:anchor simplePos="0" relativeHeight="251657728" behindDoc="1" locked="0" layoutInCell="0" allowOverlap="1">
            <wp:simplePos x="0" y="0"/>
            <wp:positionH relativeFrom="column">
              <wp:posOffset>385445</wp:posOffset>
            </wp:positionH>
            <wp:positionV relativeFrom="paragraph">
              <wp:posOffset>-517525</wp:posOffset>
            </wp:positionV>
            <wp:extent cx="6719570" cy="135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719570" cy="135890"/>
                    </a:xfrm>
                    <a:prstGeom prst="rect">
                      <a:avLst/>
                    </a:prstGeom>
                    <a:noFill/>
                  </pic:spPr>
                </pic:pic>
              </a:graphicData>
            </a:graphic>
          </wp:anchor>
        </w:drawing>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2" w:right="80"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Fair value</w:t>
      </w:r>
    </w:p>
    <w:p>
      <w:pPr>
        <w:spacing w:after="0" w:line="253" w:lineRule="exact"/>
        <w:rPr>
          <w:sz w:val="20"/>
          <w:szCs w:val="20"/>
          <w:color w:val="auto"/>
        </w:rPr>
      </w:pPr>
    </w:p>
    <w:p>
      <w:pPr>
        <w:ind w:right="80" w:firstLine="377"/>
        <w:spacing w:after="0" w:line="288" w:lineRule="auto"/>
        <w:rPr>
          <w:sz w:val="20"/>
          <w:szCs w:val="20"/>
          <w:color w:val="auto"/>
        </w:rPr>
      </w:pPr>
      <w:r>
        <w:rPr>
          <w:rFonts w:ascii="Arial" w:cs="Arial" w:eastAsia="Arial" w:hAnsi="Arial"/>
          <w:sz w:val="17"/>
          <w:szCs w:val="17"/>
          <w:color w:val="auto"/>
        </w:rPr>
        <w:t>The fair value of the RSUs was determined by using the grant date closing price of $17.79 per common unit and was not further adjusted since the holders are entitled to dividends.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Movement in RSUs and SARs during the period</w:t>
      </w:r>
    </w:p>
    <w:p>
      <w:pPr>
        <w:spacing w:after="0" w:line="2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summary of RSUs and SARs is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Weighted</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Weighted</w:t>
            </w: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average</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average</w:t>
            </w: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share price</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Number of</w:t>
            </w: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exercise price</w:t>
            </w: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at the date</w:t>
            </w:r>
          </w:p>
        </w:tc>
        <w:tc>
          <w:tcPr>
            <w:tcW w:w="19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Weighted average</w:t>
            </w:r>
          </w:p>
        </w:tc>
        <w:tc>
          <w:tcPr>
            <w:tcW w:w="202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Aggregate fair</w:t>
            </w:r>
          </w:p>
        </w:tc>
        <w:tc>
          <w:tcPr>
            <w:tcW w:w="0" w:type="dxa"/>
            <w:vAlign w:val="bottom"/>
          </w:tcPr>
          <w:p>
            <w:pPr>
              <w:spacing w:after="0"/>
              <w:rPr>
                <w:sz w:val="1"/>
                <w:szCs w:val="1"/>
                <w:color w:val="auto"/>
              </w:rPr>
            </w:pPr>
          </w:p>
        </w:tc>
      </w:tr>
      <w:tr>
        <w:trPr>
          <w:trHeight w:val="224"/>
        </w:trPr>
        <w:tc>
          <w:tcPr>
            <w:tcW w:w="3440" w:type="dxa"/>
            <w:vAlign w:val="bottom"/>
          </w:tcPr>
          <w:p>
            <w:pPr>
              <w:spacing w:after="0"/>
              <w:rPr>
                <w:sz w:val="19"/>
                <w:szCs w:val="19"/>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awards</w:t>
            </w: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per share</w:t>
            </w: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of exercise</w:t>
            </w:r>
          </w:p>
        </w:tc>
        <w:tc>
          <w:tcPr>
            <w:tcW w:w="19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contractual life</w:t>
            </w:r>
          </w:p>
        </w:tc>
        <w:tc>
          <w:tcPr>
            <w:tcW w:w="2020" w:type="dxa"/>
            <w:vAlign w:val="bottom"/>
            <w:gridSpan w:val="3"/>
          </w:tcPr>
          <w:p>
            <w:pPr>
              <w:jc w:val="right"/>
              <w:ind w:right="88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0"/>
        </w:trPr>
        <w:tc>
          <w:tcPr>
            <w:tcW w:w="34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RSUs</w:t>
            </w:r>
          </w:p>
        </w:tc>
        <w:tc>
          <w:tcPr>
            <w:tcW w:w="134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28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16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680" w:type="dxa"/>
            <w:vAlign w:val="bottom"/>
            <w:tcBorders>
              <w:top w:val="single" w:sz="8" w:color="auto"/>
            </w:tcBorders>
            <w:shd w:val="clear" w:color="auto" w:fill="E5FFFF"/>
          </w:tcPr>
          <w:p>
            <w:pPr>
              <w:spacing w:after="0"/>
              <w:rPr>
                <w:sz w:val="17"/>
                <w:szCs w:val="17"/>
                <w:color w:val="auto"/>
              </w:rPr>
            </w:pPr>
          </w:p>
        </w:tc>
        <w:tc>
          <w:tcPr>
            <w:tcW w:w="260" w:type="dxa"/>
            <w:vAlign w:val="bottom"/>
            <w:tcBorders>
              <w:top w:val="single" w:sz="8" w:color="E5FFFF"/>
            </w:tcBorders>
            <w:shd w:val="clear" w:color="auto" w:fill="E5FFFF"/>
          </w:tcPr>
          <w:p>
            <w:pPr>
              <w:spacing w:after="0"/>
              <w:rPr>
                <w:sz w:val="17"/>
                <w:szCs w:val="17"/>
                <w:color w:val="auto"/>
              </w:rPr>
            </w:pPr>
          </w:p>
        </w:tc>
        <w:tc>
          <w:tcPr>
            <w:tcW w:w="1880" w:type="dxa"/>
            <w:vAlign w:val="bottom"/>
            <w:tcBorders>
              <w:top w:val="single" w:sz="8" w:color="auto"/>
            </w:tcBorders>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b w:val="1"/>
                <w:bCs w:val="1"/>
                <w:color w:val="auto"/>
              </w:rPr>
              <w:t>Outstanding as of January 1, 2019</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488,173</w:t>
            </w:r>
          </w:p>
        </w:tc>
        <w:tc>
          <w:tcPr>
            <w:tcW w:w="15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19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1.13</w:t>
            </w: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6,408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E5FFFF"/>
          </w:tcPr>
          <w:p>
            <w:pPr>
              <w:spacing w:after="0"/>
              <w:rPr>
                <w:sz w:val="20"/>
                <w:szCs w:val="20"/>
                <w:color w:val="auto"/>
              </w:rPr>
            </w:pPr>
            <w:r>
              <w:rPr>
                <w:rFonts w:ascii="Arial" w:cs="Arial" w:eastAsia="Arial" w:hAnsi="Arial"/>
                <w:sz w:val="17"/>
                <w:szCs w:val="17"/>
                <w:color w:val="auto"/>
              </w:rPr>
              <w:t>Granted during the period</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98,613</w:t>
            </w:r>
          </w:p>
        </w:tc>
        <w:tc>
          <w:tcPr>
            <w:tcW w:w="15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94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1,754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Vested during the period</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(207,819)</w:t>
            </w:r>
          </w:p>
        </w:tc>
        <w:tc>
          <w:tcPr>
            <w:tcW w:w="15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1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(1,943)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Outstanding as of June 30, 2019</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378,967</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2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top w:val="single" w:sz="8" w:color="E5FFFF"/>
              <w:bottom w:val="single" w:sz="8" w:color="E5FFFF"/>
            </w:tcBorders>
            <w:shd w:val="clear" w:color="auto" w:fill="E5FFFF"/>
          </w:tcPr>
          <w:p>
            <w:pPr>
              <w:spacing w:after="0"/>
              <w:rPr>
                <w:sz w:val="18"/>
                <w:szCs w:val="18"/>
                <w:color w:val="auto"/>
              </w:rPr>
            </w:pP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1.65</w:t>
            </w:r>
          </w:p>
        </w:tc>
        <w:tc>
          <w:tcPr>
            <w:tcW w:w="260" w:type="dxa"/>
            <w:vAlign w:val="bottom"/>
            <w:tcBorders>
              <w:top w:val="single" w:sz="8" w:color="E5FFFF"/>
              <w:bottom w:val="single" w:sz="8" w:color="E5FFFF"/>
            </w:tcBorders>
            <w:shd w:val="clear" w:color="auto" w:fill="E5FFFF"/>
          </w:tcPr>
          <w:p>
            <w:pPr>
              <w:spacing w:after="0"/>
              <w:rPr>
                <w:sz w:val="18"/>
                <w:szCs w:val="18"/>
                <w:color w:val="auto"/>
              </w:rPr>
            </w:pPr>
          </w:p>
        </w:tc>
        <w:tc>
          <w:tcPr>
            <w:tcW w:w="18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6,219</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7"/>
                <w:szCs w:val="17"/>
                <w:b w:val="1"/>
                <w:bCs w:val="1"/>
                <w:color w:val="auto"/>
              </w:rPr>
              <w:t>SARs</w:t>
            </w: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4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Outstanding as of January 1, 2019</w:t>
            </w:r>
          </w:p>
        </w:tc>
        <w:tc>
          <w:tcPr>
            <w:tcW w:w="154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b w:val="1"/>
                <w:bCs w:val="1"/>
                <w:color w:val="auto"/>
              </w:rPr>
              <w:t>2,372,163</w:t>
            </w:r>
          </w:p>
        </w:tc>
        <w:tc>
          <w:tcPr>
            <w:tcW w:w="15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b w:val="1"/>
                <w:bCs w:val="1"/>
                <w:color w:val="auto"/>
              </w:rPr>
              <w:t>14.51</w:t>
            </w:r>
          </w:p>
        </w:tc>
        <w:tc>
          <w:tcPr>
            <w:tcW w:w="142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b w:val="1"/>
                <w:bCs w:val="1"/>
                <w:color w:val="auto"/>
              </w:rPr>
              <w:t>—</w:t>
            </w:r>
          </w:p>
        </w:tc>
        <w:tc>
          <w:tcPr>
            <w:tcW w:w="194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b w:val="1"/>
                <w:bCs w:val="1"/>
                <w:color w:val="auto"/>
              </w:rPr>
              <w:t>7.17</w:t>
            </w:r>
          </w:p>
        </w:tc>
        <w:tc>
          <w:tcPr>
            <w:tcW w:w="188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9,839</w:t>
            </w:r>
          </w:p>
        </w:tc>
        <w:tc>
          <w:tcPr>
            <w:tcW w:w="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7"/>
                <w:szCs w:val="17"/>
                <w:color w:val="auto"/>
              </w:rPr>
              <w:t>Granted during the period</w:t>
            </w:r>
          </w:p>
        </w:tc>
        <w:tc>
          <w:tcPr>
            <w:tcW w:w="1540" w:type="dxa"/>
            <w:vAlign w:val="bottom"/>
            <w:gridSpan w:val="2"/>
          </w:tcPr>
          <w:p>
            <w:pPr>
              <w:jc w:val="right"/>
              <w:ind w:right="200"/>
              <w:spacing w:after="0"/>
              <w:rPr>
                <w:sz w:val="20"/>
                <w:szCs w:val="20"/>
                <w:color w:val="auto"/>
              </w:rPr>
            </w:pPr>
            <w:r>
              <w:rPr>
                <w:rFonts w:ascii="Arial" w:cs="Arial" w:eastAsia="Arial" w:hAnsi="Arial"/>
                <w:sz w:val="17"/>
                <w:szCs w:val="17"/>
                <w:color w:val="auto"/>
              </w:rPr>
              <w:t>299,322</w:t>
            </w:r>
          </w:p>
        </w:tc>
        <w:tc>
          <w:tcPr>
            <w:tcW w:w="15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1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1,754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E5FFFF"/>
          </w:tcPr>
          <w:p>
            <w:pPr>
              <w:spacing w:after="0"/>
              <w:rPr>
                <w:sz w:val="20"/>
                <w:szCs w:val="20"/>
                <w:color w:val="auto"/>
              </w:rPr>
            </w:pPr>
            <w:r>
              <w:rPr>
                <w:rFonts w:ascii="Arial" w:cs="Arial" w:eastAsia="Arial" w:hAnsi="Arial"/>
                <w:sz w:val="17"/>
                <w:szCs w:val="17"/>
                <w:color w:val="auto"/>
              </w:rPr>
              <w:t>Exercised during the period</w:t>
            </w:r>
          </w:p>
        </w:tc>
        <w:tc>
          <w:tcPr>
            <w:tcW w:w="1540" w:type="dxa"/>
            <w:vAlign w:val="bottom"/>
            <w:gridSpan w:val="2"/>
            <w:shd w:val="clear" w:color="auto" w:fill="E5FFFF"/>
          </w:tcPr>
          <w:p>
            <w:pPr>
              <w:jc w:val="right"/>
              <w:ind w:right="160"/>
              <w:spacing w:after="0"/>
              <w:rPr>
                <w:sz w:val="20"/>
                <w:szCs w:val="20"/>
                <w:color w:val="auto"/>
              </w:rPr>
            </w:pPr>
            <w:r>
              <w:rPr>
                <w:rFonts w:ascii="Arial" w:cs="Arial" w:eastAsia="Arial" w:hAnsi="Arial"/>
                <w:sz w:val="17"/>
                <w:szCs w:val="17"/>
                <w:color w:val="auto"/>
              </w:rPr>
              <w:t>(5,454)</w:t>
            </w:r>
          </w:p>
        </w:tc>
        <w:tc>
          <w:tcPr>
            <w:tcW w:w="1520" w:type="dxa"/>
            <w:vAlign w:val="bottom"/>
            <w:gridSpan w:val="2"/>
            <w:shd w:val="clear" w:color="auto" w:fill="E5FFFF"/>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14.78</w:t>
            </w:r>
          </w:p>
        </w:tc>
        <w:tc>
          <w:tcPr>
            <w:tcW w:w="1940" w:type="dxa"/>
            <w:vAlign w:val="bottom"/>
            <w:gridSpan w:val="2"/>
            <w:shd w:val="clear" w:color="auto" w:fill="E5FFFF"/>
          </w:tcPr>
          <w:p>
            <w:pPr>
              <w:jc w:val="right"/>
              <w:ind w:right="260"/>
              <w:spacing w:after="0"/>
              <w:rPr>
                <w:sz w:val="20"/>
                <w:szCs w:val="20"/>
                <w:color w:val="auto"/>
              </w:rPr>
            </w:pPr>
            <w:r>
              <w:rPr>
                <w:rFonts w:ascii="Arial" w:cs="Arial" w:eastAsia="Arial" w:hAnsi="Arial"/>
                <w:sz w:val="17"/>
                <w:szCs w:val="17"/>
                <w:color w:val="auto"/>
              </w:rPr>
              <w:t>—</w:t>
            </w:r>
          </w:p>
        </w:tc>
        <w:tc>
          <w:tcPr>
            <w:tcW w:w="2020" w:type="dxa"/>
            <w:vAlign w:val="bottom"/>
            <w:gridSpan w:val="3"/>
            <w:shd w:val="clear" w:color="auto" w:fill="E5FFFF"/>
          </w:tcPr>
          <w:p>
            <w:pPr>
              <w:jc w:val="right"/>
              <w:ind w:right="8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7"/>
                <w:szCs w:val="17"/>
                <w:b w:val="1"/>
                <w:bCs w:val="1"/>
                <w:color w:val="auto"/>
              </w:rPr>
              <w:t>Outstanding as of June 30, 2019</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2,666,031</w:t>
            </w:r>
          </w:p>
        </w:tc>
        <w:tc>
          <w:tcPr>
            <w:tcW w:w="2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14.89</w:t>
            </w:r>
          </w:p>
        </w:tc>
        <w:tc>
          <w:tcPr>
            <w:tcW w:w="2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7.02</w:t>
            </w:r>
          </w:p>
        </w:tc>
        <w:tc>
          <w:tcPr>
            <w:tcW w:w="260" w:type="dxa"/>
            <w:vAlign w:val="bottom"/>
          </w:tcPr>
          <w:p>
            <w:pPr>
              <w:spacing w:after="0"/>
              <w:rPr>
                <w:sz w:val="18"/>
                <w:szCs w:val="18"/>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11,580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June 30, 2019, 1,945,881 SARs have vested but have not been exercised.</w:t>
      </w:r>
    </w:p>
    <w:p>
      <w:pPr>
        <w:spacing w:after="0" w:line="247" w:lineRule="exact"/>
        <w:rPr>
          <w:sz w:val="20"/>
          <w:szCs w:val="20"/>
          <w:color w:val="auto"/>
        </w:rPr>
      </w:pPr>
    </w:p>
    <w:p>
      <w:pPr>
        <w:ind w:right="300" w:firstLine="342"/>
        <w:spacing w:after="0" w:line="288" w:lineRule="auto"/>
        <w:rPr>
          <w:sz w:val="20"/>
          <w:szCs w:val="20"/>
          <w:color w:val="auto"/>
        </w:rPr>
      </w:pPr>
      <w:r>
        <w:rPr>
          <w:rFonts w:ascii="Arial" w:cs="Arial" w:eastAsia="Arial" w:hAnsi="Arial"/>
          <w:sz w:val="17"/>
          <w:szCs w:val="17"/>
          <w:color w:val="auto"/>
        </w:rPr>
        <w:t>On April 1, 2019, GasLog Partners granted to its executives 13,408 RCUs and 13,408 PCUs in accordance with the GasLog Partners’ Plan. The RCUs and PCUs will vest on April 1, 2022. The holders are entitled to cash distributions that will be accrued and settled on vesting.</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154"/>
              <w:spacing w:after="0"/>
              <w:rPr>
                <w:sz w:val="20"/>
                <w:szCs w:val="20"/>
                <w:color w:val="auto"/>
              </w:rPr>
            </w:pPr>
            <w:r>
              <w:rPr>
                <w:rFonts w:ascii="Arial" w:cs="Arial" w:eastAsia="Arial" w:hAnsi="Arial"/>
                <w:sz w:val="17"/>
                <w:szCs w:val="17"/>
                <w:b w:val="1"/>
                <w:bCs w:val="1"/>
                <w:color w:val="auto"/>
              </w:rPr>
              <w:t>Fair value at</w:t>
            </w:r>
          </w:p>
        </w:tc>
      </w:tr>
      <w:tr>
        <w:trPr>
          <w:trHeight w:val="226"/>
        </w:trPr>
        <w:tc>
          <w:tcPr>
            <w:tcW w:w="2680" w:type="dxa"/>
            <w:vAlign w:val="bottom"/>
            <w:gridSpan w:val="2"/>
          </w:tcPr>
          <w:p>
            <w:pPr>
              <w:spacing w:after="0"/>
              <w:rPr>
                <w:sz w:val="20"/>
                <w:szCs w:val="20"/>
                <w:color w:val="auto"/>
              </w:rPr>
            </w:pPr>
            <w:r>
              <w:rPr>
                <w:rFonts w:ascii="Arial" w:cs="Arial" w:eastAsia="Arial" w:hAnsi="Arial"/>
                <w:sz w:val="17"/>
                <w:szCs w:val="17"/>
                <w:b w:val="1"/>
                <w:bCs w:val="1"/>
                <w:color w:val="auto"/>
              </w:rPr>
              <w:t>Awards</w:t>
            </w:r>
          </w:p>
        </w:tc>
        <w:tc>
          <w:tcPr>
            <w:tcW w:w="1240" w:type="dxa"/>
            <w:vAlign w:val="bottom"/>
            <w:gridSpan w:val="2"/>
          </w:tcPr>
          <w:p>
            <w:pPr>
              <w:ind w:left="180"/>
              <w:spacing w:after="0"/>
              <w:rPr>
                <w:sz w:val="20"/>
                <w:szCs w:val="20"/>
                <w:color w:val="auto"/>
              </w:rPr>
            </w:pPr>
            <w:r>
              <w:rPr>
                <w:rFonts w:ascii="Arial" w:cs="Arial" w:eastAsia="Arial" w:hAnsi="Arial"/>
                <w:sz w:val="17"/>
                <w:szCs w:val="17"/>
                <w:b w:val="1"/>
                <w:bCs w:val="1"/>
                <w:color w:val="auto"/>
              </w:rPr>
              <w:t>Number</w:t>
            </w:r>
          </w:p>
        </w:tc>
        <w:tc>
          <w:tcPr>
            <w:tcW w:w="21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Grant date</w:t>
            </w:r>
          </w:p>
        </w:tc>
        <w:tc>
          <w:tcPr>
            <w:tcW w:w="2000" w:type="dxa"/>
            <w:vAlign w:val="bottom"/>
            <w:gridSpan w:val="2"/>
          </w:tcPr>
          <w:p>
            <w:pPr>
              <w:ind w:left="420"/>
              <w:spacing w:after="0"/>
              <w:rPr>
                <w:sz w:val="20"/>
                <w:szCs w:val="20"/>
                <w:color w:val="auto"/>
              </w:rPr>
            </w:pPr>
            <w:r>
              <w:rPr>
                <w:rFonts w:ascii="Arial" w:cs="Arial" w:eastAsia="Arial" w:hAnsi="Arial"/>
                <w:sz w:val="17"/>
                <w:szCs w:val="17"/>
                <w:b w:val="1"/>
                <w:bCs w:val="1"/>
                <w:color w:val="auto"/>
              </w:rPr>
              <w:t>Expiry date</w:t>
            </w:r>
          </w:p>
        </w:tc>
        <w:tc>
          <w:tcPr>
            <w:tcW w:w="1400" w:type="dxa"/>
            <w:vAlign w:val="bottom"/>
          </w:tcPr>
          <w:p>
            <w:pPr>
              <w:jc w:val="right"/>
              <w:ind w:right="234"/>
              <w:spacing w:after="0"/>
              <w:rPr>
                <w:sz w:val="20"/>
                <w:szCs w:val="20"/>
                <w:color w:val="auto"/>
              </w:rPr>
            </w:pPr>
            <w:r>
              <w:rPr>
                <w:rFonts w:ascii="Arial" w:cs="Arial" w:eastAsia="Arial" w:hAnsi="Arial"/>
                <w:sz w:val="17"/>
                <w:szCs w:val="17"/>
                <w:b w:val="1"/>
                <w:bCs w:val="1"/>
                <w:color w:val="auto"/>
              </w:rPr>
              <w:t>grant date</w:t>
            </w:r>
          </w:p>
        </w:tc>
      </w:tr>
      <w:tr>
        <w:trPr>
          <w:trHeight w:val="212"/>
        </w:trPr>
        <w:tc>
          <w:tcPr>
            <w:tcW w:w="2460" w:type="dxa"/>
            <w:vAlign w:val="bottom"/>
            <w:tcBorders>
              <w:top w:val="single" w:sz="8" w:color="auto"/>
            </w:tcBorders>
            <w:shd w:val="clear" w:color="auto" w:fill="E5FFFF"/>
          </w:tcPr>
          <w:p>
            <w:pPr>
              <w:spacing w:after="0"/>
              <w:rPr>
                <w:sz w:val="20"/>
                <w:szCs w:val="20"/>
                <w:color w:val="auto"/>
              </w:rPr>
            </w:pPr>
            <w:r>
              <w:rPr>
                <w:rFonts w:ascii="Arial" w:cs="Arial" w:eastAsia="Arial" w:hAnsi="Arial"/>
                <w:sz w:val="17"/>
                <w:szCs w:val="17"/>
                <w:color w:val="auto"/>
              </w:rPr>
              <w:t>RCUs</w:t>
            </w:r>
          </w:p>
        </w:tc>
        <w:tc>
          <w:tcPr>
            <w:tcW w:w="22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13,408</w:t>
            </w:r>
          </w:p>
        </w:tc>
        <w:tc>
          <w:tcPr>
            <w:tcW w:w="280" w:type="dxa"/>
            <w:vAlign w:val="bottom"/>
            <w:tcBorders>
              <w:top w:val="single" w:sz="8" w:color="E5FFFF"/>
            </w:tcBorders>
            <w:shd w:val="clear" w:color="auto" w:fill="E5FFFF"/>
          </w:tcPr>
          <w:p>
            <w:pPr>
              <w:spacing w:after="0"/>
              <w:rPr>
                <w:sz w:val="18"/>
                <w:szCs w:val="18"/>
                <w:color w:val="auto"/>
              </w:rPr>
            </w:pPr>
          </w:p>
        </w:tc>
        <w:tc>
          <w:tcPr>
            <w:tcW w:w="1880" w:type="dxa"/>
            <w:vAlign w:val="bottom"/>
            <w:tcBorders>
              <w:top w:val="single" w:sz="8" w:color="auto"/>
            </w:tcBorders>
            <w:shd w:val="clear" w:color="auto" w:fill="E5FFFF"/>
          </w:tcPr>
          <w:p>
            <w:pPr>
              <w:jc w:val="center"/>
              <w:spacing w:after="0"/>
              <w:rPr>
                <w:sz w:val="20"/>
                <w:szCs w:val="20"/>
                <w:color w:val="auto"/>
              </w:rPr>
            </w:pPr>
            <w:r>
              <w:rPr>
                <w:rFonts w:ascii="Arial" w:cs="Arial" w:eastAsia="Arial" w:hAnsi="Arial"/>
                <w:sz w:val="17"/>
                <w:szCs w:val="17"/>
                <w:color w:val="auto"/>
                <w:w w:val="96"/>
              </w:rPr>
              <w:t>April 1, 2019</w:t>
            </w:r>
          </w:p>
        </w:tc>
        <w:tc>
          <w:tcPr>
            <w:tcW w:w="280" w:type="dxa"/>
            <w:vAlign w:val="bottom"/>
            <w:tcBorders>
              <w:top w:val="single" w:sz="8" w:color="E5FFFF"/>
            </w:tcBorders>
            <w:shd w:val="clear" w:color="auto" w:fill="E5FFFF"/>
          </w:tcPr>
          <w:p>
            <w:pPr>
              <w:spacing w:after="0"/>
              <w:rPr>
                <w:sz w:val="18"/>
                <w:szCs w:val="18"/>
                <w:color w:val="auto"/>
              </w:rPr>
            </w:pPr>
          </w:p>
        </w:tc>
        <w:tc>
          <w:tcPr>
            <w:tcW w:w="1700" w:type="dxa"/>
            <w:vAlign w:val="bottom"/>
            <w:tcBorders>
              <w:top w:val="single" w:sz="8" w:color="auto"/>
            </w:tcBorders>
            <w:shd w:val="clear" w:color="auto" w:fill="E5FFFF"/>
          </w:tcPr>
          <w:p>
            <w:pPr>
              <w:ind w:left="1500"/>
              <w:spacing w:after="0"/>
              <w:rPr>
                <w:sz w:val="20"/>
                <w:szCs w:val="20"/>
                <w:color w:val="auto"/>
              </w:rPr>
            </w:pPr>
            <w:r>
              <w:rPr>
                <w:rFonts w:ascii="Arial" w:cs="Arial" w:eastAsia="Arial" w:hAnsi="Arial"/>
                <w:sz w:val="17"/>
                <w:szCs w:val="17"/>
                <w:color w:val="auto"/>
                <w:w w:val="75"/>
              </w:rPr>
              <w:t>n/a</w:t>
            </w:r>
          </w:p>
        </w:tc>
        <w:tc>
          <w:tcPr>
            <w:tcW w:w="300" w:type="dxa"/>
            <w:vAlign w:val="bottom"/>
            <w:tcBorders>
              <w:top w:val="single" w:sz="8" w:color="E5FFFF"/>
            </w:tcBorders>
            <w:shd w:val="clear" w:color="auto" w:fill="E5FFFF"/>
          </w:tcPr>
          <w:p>
            <w:pPr>
              <w:spacing w:after="0"/>
              <w:rPr>
                <w:sz w:val="18"/>
                <w:szCs w:val="18"/>
                <w:color w:val="auto"/>
              </w:rPr>
            </w:pPr>
          </w:p>
        </w:tc>
        <w:tc>
          <w:tcPr>
            <w:tcW w:w="14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$22.99</w:t>
            </w:r>
          </w:p>
        </w:tc>
      </w:tr>
      <w:tr>
        <w:trPr>
          <w:trHeight w:val="216"/>
        </w:trPr>
        <w:tc>
          <w:tcPr>
            <w:tcW w:w="2680" w:type="dxa"/>
            <w:vAlign w:val="bottom"/>
            <w:gridSpan w:val="2"/>
          </w:tcPr>
          <w:p>
            <w:pPr>
              <w:spacing w:after="0"/>
              <w:rPr>
                <w:sz w:val="20"/>
                <w:szCs w:val="20"/>
                <w:color w:val="auto"/>
              </w:rPr>
            </w:pPr>
            <w:r>
              <w:rPr>
                <w:rFonts w:ascii="Arial" w:cs="Arial" w:eastAsia="Arial" w:hAnsi="Arial"/>
                <w:sz w:val="17"/>
                <w:szCs w:val="17"/>
                <w:color w:val="auto"/>
              </w:rPr>
              <w:t>PCUs</w:t>
            </w:r>
          </w:p>
        </w:tc>
        <w:tc>
          <w:tcPr>
            <w:tcW w:w="960" w:type="dxa"/>
            <w:vAlign w:val="bottom"/>
          </w:tcPr>
          <w:p>
            <w:pPr>
              <w:jc w:val="right"/>
              <w:spacing w:after="0"/>
              <w:rPr>
                <w:sz w:val="20"/>
                <w:szCs w:val="20"/>
                <w:color w:val="auto"/>
              </w:rPr>
            </w:pPr>
            <w:r>
              <w:rPr>
                <w:rFonts w:ascii="Arial" w:cs="Arial" w:eastAsia="Arial" w:hAnsi="Arial"/>
                <w:sz w:val="17"/>
                <w:szCs w:val="17"/>
                <w:color w:val="auto"/>
              </w:rPr>
              <w:t>13,408</w:t>
            </w:r>
          </w:p>
        </w:tc>
        <w:tc>
          <w:tcPr>
            <w:tcW w:w="2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April 1, 2019</w:t>
            </w:r>
          </w:p>
        </w:tc>
        <w:tc>
          <w:tcPr>
            <w:tcW w:w="2000" w:type="dxa"/>
            <w:vAlign w:val="bottom"/>
            <w:gridSpan w:val="2"/>
          </w:tcPr>
          <w:p>
            <w:pPr>
              <w:ind w:left="1500"/>
              <w:spacing w:after="0"/>
              <w:rPr>
                <w:sz w:val="20"/>
                <w:szCs w:val="20"/>
                <w:color w:val="auto"/>
              </w:rPr>
            </w:pPr>
            <w:r>
              <w:rPr>
                <w:rFonts w:ascii="Arial" w:cs="Arial" w:eastAsia="Arial" w:hAnsi="Arial"/>
                <w:sz w:val="17"/>
                <w:szCs w:val="17"/>
                <w:color w:val="auto"/>
              </w:rPr>
              <w:t>n/a</w:t>
            </w:r>
          </w:p>
        </w:tc>
        <w:tc>
          <w:tcPr>
            <w:tcW w:w="1400" w:type="dxa"/>
            <w:vAlign w:val="bottom"/>
          </w:tcPr>
          <w:p>
            <w:pPr>
              <w:jc w:val="right"/>
              <w:spacing w:after="0"/>
              <w:rPr>
                <w:sz w:val="20"/>
                <w:szCs w:val="20"/>
                <w:color w:val="auto"/>
              </w:rPr>
            </w:pPr>
            <w:r>
              <w:rPr>
                <w:rFonts w:ascii="Arial" w:cs="Arial" w:eastAsia="Arial" w:hAnsi="Arial"/>
                <w:sz w:val="17"/>
                <w:szCs w:val="17"/>
                <w:color w:val="auto"/>
              </w:rPr>
              <w:t>$22.99</w:t>
            </w:r>
          </w:p>
        </w:tc>
      </w:tr>
    </w:tbl>
    <w:p>
      <w:pPr>
        <w:spacing w:after="0" w:line="216" w:lineRule="exact"/>
        <w:rPr>
          <w:sz w:val="20"/>
          <w:szCs w:val="20"/>
          <w:color w:val="auto"/>
        </w:rPr>
      </w:pPr>
    </w:p>
    <w:p>
      <w:pPr>
        <w:ind w:firstLine="377"/>
        <w:spacing w:after="0" w:line="275" w:lineRule="auto"/>
        <w:rPr>
          <w:sz w:val="20"/>
          <w:szCs w:val="20"/>
          <w:color w:val="auto"/>
        </w:rPr>
      </w:pPr>
      <w:r>
        <w:rPr>
          <w:rFonts w:ascii="Arial" w:cs="Arial" w:eastAsia="Arial" w:hAnsi="Arial"/>
          <w:sz w:val="17"/>
          <w:szCs w:val="17"/>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w:t>
      </w:r>
    </w:p>
    <w:p>
      <w:pPr>
        <w:spacing w:after="0" w:line="253" w:lineRule="exact"/>
        <w:rPr>
          <w:sz w:val="20"/>
          <w:szCs w:val="20"/>
          <w:color w:val="auto"/>
        </w:rPr>
      </w:pPr>
    </w:p>
    <w:p>
      <w:pPr>
        <w:ind w:right="20" w:firstLine="377"/>
        <w:spacing w:after="0" w:line="288" w:lineRule="auto"/>
        <w:rPr>
          <w:sz w:val="20"/>
          <w:szCs w:val="20"/>
          <w:color w:val="auto"/>
        </w:rPr>
      </w:pPr>
      <w:r>
        <w:rPr>
          <w:rFonts w:ascii="Arial" w:cs="Arial" w:eastAsia="Arial" w:hAnsi="Arial"/>
          <w:sz w:val="17"/>
          <w:szCs w:val="17"/>
          <w:color w:val="auto"/>
        </w:rPr>
        <w:t>The fair value of the RCUs and PCUs in accordance with the GasLog Partners’ Plan was determined by using the grant date closing price of $22.99 per common unit and was not further adjusted since the holders are entitled to cash distributions.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gridSpan w:val="2"/>
          </w:tcPr>
          <w:p>
            <w:pPr>
              <w:spacing w:after="0"/>
              <w:rPr>
                <w:sz w:val="20"/>
                <w:szCs w:val="20"/>
                <w:color w:val="auto"/>
              </w:rPr>
            </w:pPr>
            <w:r>
              <w:rPr>
                <w:rFonts w:ascii="Arial" w:cs="Arial" w:eastAsia="Arial" w:hAnsi="Arial"/>
                <w:sz w:val="17"/>
                <w:szCs w:val="17"/>
                <w:b w:val="1"/>
                <w:bCs w:val="1"/>
                <w:color w:val="auto"/>
              </w:rPr>
              <w:t>Movement in RCUs and PCUs during the period</w:t>
            </w: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5760" w:type="dxa"/>
            <w:vAlign w:val="bottom"/>
            <w:gridSpan w:val="2"/>
          </w:tcPr>
          <w:p>
            <w:pPr>
              <w:ind w:left="340"/>
              <w:spacing w:after="0"/>
              <w:rPr>
                <w:sz w:val="20"/>
                <w:szCs w:val="20"/>
                <w:color w:val="auto"/>
              </w:rPr>
            </w:pPr>
            <w:r>
              <w:rPr>
                <w:rFonts w:ascii="Arial" w:cs="Arial" w:eastAsia="Arial" w:hAnsi="Arial"/>
                <w:sz w:val="17"/>
                <w:szCs w:val="17"/>
                <w:color w:val="auto"/>
              </w:rPr>
              <w:t>The summary of RCUs and PCUs is presented below:</w:t>
            </w: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0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1"/>
              </w:rPr>
              <w:t>Weighted</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00" w:type="dxa"/>
            <w:vAlign w:val="bottom"/>
            <w:gridSpan w:val="2"/>
          </w:tcPr>
          <w:p>
            <w:pPr>
              <w:jc w:val="right"/>
              <w:ind w:right="800"/>
              <w:spacing w:after="0"/>
              <w:rPr>
                <w:sz w:val="20"/>
                <w:szCs w:val="20"/>
                <w:color w:val="auto"/>
              </w:rPr>
            </w:pPr>
            <w:r>
              <w:rPr>
                <w:rFonts w:ascii="Arial" w:cs="Arial" w:eastAsia="Arial" w:hAnsi="Arial"/>
                <w:sz w:val="17"/>
                <w:szCs w:val="17"/>
                <w:b w:val="1"/>
                <w:bCs w:val="1"/>
                <w:color w:val="auto"/>
              </w:rPr>
              <w:t>Number of</w:t>
            </w:r>
          </w:p>
        </w:tc>
        <w:tc>
          <w:tcPr>
            <w:tcW w:w="16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average</w:t>
            </w:r>
          </w:p>
        </w:tc>
        <w:tc>
          <w:tcPr>
            <w:tcW w:w="1580" w:type="dxa"/>
            <w:vAlign w:val="bottom"/>
          </w:tcPr>
          <w:p>
            <w:pPr>
              <w:jc w:val="right"/>
              <w:ind w:right="354"/>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000" w:type="dxa"/>
            <w:vAlign w:val="bottom"/>
            <w:gridSpan w:val="2"/>
          </w:tcPr>
          <w:p>
            <w:pPr>
              <w:jc w:val="right"/>
              <w:ind w:right="920"/>
              <w:spacing w:after="0"/>
              <w:rPr>
                <w:sz w:val="20"/>
                <w:szCs w:val="20"/>
                <w:color w:val="auto"/>
              </w:rPr>
            </w:pPr>
            <w:r>
              <w:rPr>
                <w:rFonts w:ascii="Arial" w:cs="Arial" w:eastAsia="Arial" w:hAnsi="Arial"/>
                <w:sz w:val="17"/>
                <w:szCs w:val="17"/>
                <w:b w:val="1"/>
                <w:bCs w:val="1"/>
                <w:color w:val="auto"/>
              </w:rPr>
              <w:t>awards</w:t>
            </w:r>
          </w:p>
        </w:tc>
        <w:tc>
          <w:tcPr>
            <w:tcW w:w="16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contractual life</w:t>
            </w:r>
          </w:p>
        </w:tc>
        <w:tc>
          <w:tcPr>
            <w:tcW w:w="1580" w:type="dxa"/>
            <w:vAlign w:val="bottom"/>
          </w:tcPr>
          <w:p>
            <w:pPr>
              <w:jc w:val="right"/>
              <w:ind w:right="374"/>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200"/>
        </w:trPr>
        <w:tc>
          <w:tcPr>
            <w:tcW w:w="1020" w:type="dxa"/>
            <w:vAlign w:val="bottom"/>
          </w:tcPr>
          <w:p>
            <w:pPr>
              <w:spacing w:after="0"/>
              <w:rPr>
                <w:sz w:val="17"/>
                <w:szCs w:val="17"/>
                <w:color w:val="auto"/>
              </w:rPr>
            </w:pPr>
          </w:p>
        </w:tc>
        <w:tc>
          <w:tcPr>
            <w:tcW w:w="474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RCUs</w:t>
            </w:r>
          </w:p>
        </w:tc>
        <w:tc>
          <w:tcPr>
            <w:tcW w:w="1620" w:type="dxa"/>
            <w:vAlign w:val="bottom"/>
            <w:tcBorders>
              <w:top w:val="single" w:sz="8" w:color="auto"/>
            </w:tcBorders>
            <w:shd w:val="clear" w:color="auto" w:fill="E5FFFF"/>
          </w:tcPr>
          <w:p>
            <w:pPr>
              <w:spacing w:after="0"/>
              <w:rPr>
                <w:sz w:val="17"/>
                <w:szCs w:val="17"/>
                <w:color w:val="auto"/>
              </w:rPr>
            </w:pPr>
          </w:p>
        </w:tc>
        <w:tc>
          <w:tcPr>
            <w:tcW w:w="380" w:type="dxa"/>
            <w:vAlign w:val="bottom"/>
            <w:tcBorders>
              <w:top w:val="single" w:sz="8" w:color="E5FFFF"/>
            </w:tcBorders>
            <w:shd w:val="clear" w:color="auto" w:fill="E5FFFF"/>
          </w:tcPr>
          <w:p>
            <w:pPr>
              <w:spacing w:after="0"/>
              <w:rPr>
                <w:sz w:val="17"/>
                <w:szCs w:val="17"/>
                <w:color w:val="auto"/>
              </w:rPr>
            </w:pPr>
          </w:p>
        </w:tc>
        <w:tc>
          <w:tcPr>
            <w:tcW w:w="1440" w:type="dxa"/>
            <w:vAlign w:val="bottom"/>
            <w:tcBorders>
              <w:top w:val="single" w:sz="8" w:color="auto"/>
            </w:tcBorders>
            <w:shd w:val="clear" w:color="auto" w:fill="E5FFFF"/>
          </w:tcPr>
          <w:p>
            <w:pPr>
              <w:spacing w:after="0"/>
              <w:rPr>
                <w:sz w:val="17"/>
                <w:szCs w:val="17"/>
                <w:color w:val="auto"/>
              </w:rPr>
            </w:pPr>
          </w:p>
        </w:tc>
        <w:tc>
          <w:tcPr>
            <w:tcW w:w="200" w:type="dxa"/>
            <w:vAlign w:val="bottom"/>
            <w:tcBorders>
              <w:top w:val="single" w:sz="8" w:color="E5FFFF"/>
            </w:tcBorders>
            <w:shd w:val="clear" w:color="auto" w:fill="E5FFFF"/>
          </w:tcPr>
          <w:p>
            <w:pPr>
              <w:spacing w:after="0"/>
              <w:rPr>
                <w:sz w:val="17"/>
                <w:szCs w:val="17"/>
                <w:color w:val="auto"/>
              </w:rPr>
            </w:pPr>
          </w:p>
        </w:tc>
        <w:tc>
          <w:tcPr>
            <w:tcW w:w="1580" w:type="dxa"/>
            <w:vAlign w:val="bottom"/>
            <w:tcBorders>
              <w:top w:val="single" w:sz="8" w:color="auto"/>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7"/>
                <w:szCs w:val="17"/>
                <w:b w:val="1"/>
                <w:bCs w:val="1"/>
                <w:color w:val="auto"/>
              </w:rPr>
              <w:t>Outstanding as of January 1, 2019</w:t>
            </w:r>
          </w:p>
        </w:tc>
        <w:tc>
          <w:tcPr>
            <w:tcW w:w="20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75,084</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1.25</w:t>
            </w:r>
          </w:p>
        </w:tc>
        <w:tc>
          <w:tcPr>
            <w:tcW w:w="1580" w:type="dxa"/>
            <w:vAlign w:val="bottom"/>
          </w:tcPr>
          <w:p>
            <w:pPr>
              <w:jc w:val="right"/>
              <w:spacing w:after="0"/>
              <w:rPr>
                <w:sz w:val="20"/>
                <w:szCs w:val="20"/>
                <w:color w:val="auto"/>
              </w:rPr>
            </w:pPr>
            <w:r>
              <w:rPr>
                <w:rFonts w:ascii="Arial" w:cs="Arial" w:eastAsia="Arial" w:hAnsi="Arial"/>
                <w:sz w:val="17"/>
                <w:szCs w:val="17"/>
                <w:b w:val="1"/>
                <w:bCs w:val="1"/>
                <w:color w:val="auto"/>
              </w:rPr>
              <w:t>1,595</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7"/>
                <w:szCs w:val="17"/>
                <w:color w:val="auto"/>
              </w:rPr>
              <w:t>Granted during the period</w:t>
            </w:r>
          </w:p>
        </w:tc>
        <w:tc>
          <w:tcPr>
            <w:tcW w:w="2000" w:type="dxa"/>
            <w:vAlign w:val="bottom"/>
            <w:gridSpan w:val="2"/>
            <w:shd w:val="clear" w:color="auto" w:fill="E5FFFF"/>
          </w:tcPr>
          <w:p>
            <w:pPr>
              <w:jc w:val="right"/>
              <w:ind w:right="380"/>
              <w:spacing w:after="0"/>
              <w:rPr>
                <w:sz w:val="20"/>
                <w:szCs w:val="20"/>
                <w:color w:val="auto"/>
              </w:rPr>
            </w:pPr>
            <w:r>
              <w:rPr>
                <w:rFonts w:ascii="Arial" w:cs="Arial" w:eastAsia="Arial" w:hAnsi="Arial"/>
                <w:sz w:val="17"/>
                <w:szCs w:val="17"/>
                <w:color w:val="auto"/>
              </w:rPr>
              <w:t>13,408</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Vested during the period</w:t>
            </w:r>
          </w:p>
        </w:tc>
        <w:tc>
          <w:tcPr>
            <w:tcW w:w="2000" w:type="dxa"/>
            <w:vAlign w:val="bottom"/>
            <w:gridSpan w:val="2"/>
          </w:tcPr>
          <w:p>
            <w:pPr>
              <w:jc w:val="right"/>
              <w:ind w:right="320"/>
              <w:spacing w:after="0"/>
              <w:rPr>
                <w:sz w:val="20"/>
                <w:szCs w:val="20"/>
                <w:color w:val="auto"/>
              </w:rPr>
            </w:pPr>
            <w:r>
              <w:rPr>
                <w:rFonts w:ascii="Arial" w:cs="Arial" w:eastAsia="Arial" w:hAnsi="Arial"/>
                <w:sz w:val="17"/>
                <w:szCs w:val="17"/>
                <w:color w:val="auto"/>
              </w:rPr>
              <w:t>(24,925)</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08"/>
        </w:trPr>
        <w:tc>
          <w:tcPr>
            <w:tcW w:w="1020" w:type="dxa"/>
            <w:vAlign w:val="bottom"/>
          </w:tcPr>
          <w:p>
            <w:pPr>
              <w:spacing w:after="0"/>
              <w:rPr>
                <w:sz w:val="18"/>
                <w:szCs w:val="18"/>
                <w:color w:val="auto"/>
              </w:rPr>
            </w:pPr>
          </w:p>
        </w:tc>
        <w:tc>
          <w:tcPr>
            <w:tcW w:w="474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7"/>
                <w:szCs w:val="17"/>
                <w:b w:val="1"/>
                <w:bCs w:val="1"/>
                <w:color w:val="auto"/>
              </w:rPr>
              <w:t>Outstanding as of June 30, 2019</w:t>
            </w:r>
          </w:p>
        </w:tc>
        <w:tc>
          <w:tcPr>
            <w:tcW w:w="16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63,567</w:t>
            </w:r>
          </w:p>
        </w:tc>
        <w:tc>
          <w:tcPr>
            <w:tcW w:w="380" w:type="dxa"/>
            <w:vAlign w:val="bottom"/>
            <w:tcBorders>
              <w:top w:val="single" w:sz="8" w:color="E5FFFF"/>
              <w:bottom w:val="single" w:sz="8" w:color="E5FFFF"/>
            </w:tcBorders>
            <w:shd w:val="clear" w:color="auto" w:fill="E5FFFF"/>
          </w:tcPr>
          <w:p>
            <w:pPr>
              <w:spacing w:after="0"/>
              <w:rPr>
                <w:sz w:val="18"/>
                <w:szCs w:val="18"/>
                <w:color w:val="auto"/>
              </w:rPr>
            </w:pPr>
          </w:p>
        </w:tc>
        <w:tc>
          <w:tcPr>
            <w:tcW w:w="14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1.57</w:t>
            </w:r>
          </w:p>
        </w:tc>
        <w:tc>
          <w:tcPr>
            <w:tcW w:w="200" w:type="dxa"/>
            <w:vAlign w:val="bottom"/>
            <w:tcBorders>
              <w:top w:val="single" w:sz="8" w:color="E5FFFF"/>
              <w:bottom w:val="single" w:sz="8" w:color="E5FFFF"/>
            </w:tcBorders>
            <w:shd w:val="clear" w:color="auto" w:fill="E5FFFF"/>
          </w:tcPr>
          <w:p>
            <w:pPr>
              <w:spacing w:after="0"/>
              <w:rPr>
                <w:sz w:val="18"/>
                <w:szCs w:val="18"/>
                <w:color w:val="auto"/>
              </w:rPr>
            </w:pPr>
          </w:p>
        </w:tc>
        <w:tc>
          <w:tcPr>
            <w:tcW w:w="15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1,493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40" w:type="dxa"/>
            <w:vAlign w:val="bottom"/>
            <w:vMerge w:val="restart"/>
          </w:tcPr>
          <w:p>
            <w:pPr>
              <w:spacing w:after="0"/>
              <w:rPr>
                <w:sz w:val="20"/>
                <w:szCs w:val="20"/>
                <w:color w:val="auto"/>
              </w:rPr>
            </w:pPr>
            <w:r>
              <w:rPr>
                <w:rFonts w:ascii="Arial" w:cs="Arial" w:eastAsia="Arial" w:hAnsi="Arial"/>
                <w:sz w:val="17"/>
                <w:szCs w:val="17"/>
                <w:b w:val="1"/>
                <w:bCs w:val="1"/>
                <w:color w:val="auto"/>
              </w:rPr>
              <w:t>PCUs</w:t>
            </w: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Outstanding as of January 1, 2019</w:t>
            </w:r>
          </w:p>
        </w:tc>
        <w:tc>
          <w:tcPr>
            <w:tcW w:w="2000" w:type="dxa"/>
            <w:vAlign w:val="bottom"/>
            <w:gridSpan w:val="2"/>
            <w:shd w:val="clear" w:color="auto" w:fill="E5FFFF"/>
          </w:tcPr>
          <w:p>
            <w:pPr>
              <w:jc w:val="right"/>
              <w:ind w:right="380"/>
              <w:spacing w:after="0"/>
              <w:rPr>
                <w:sz w:val="20"/>
                <w:szCs w:val="20"/>
                <w:color w:val="auto"/>
              </w:rPr>
            </w:pPr>
            <w:r>
              <w:rPr>
                <w:rFonts w:ascii="Arial" w:cs="Arial" w:eastAsia="Arial" w:hAnsi="Arial"/>
                <w:sz w:val="17"/>
                <w:szCs w:val="17"/>
                <w:b w:val="1"/>
                <w:bCs w:val="1"/>
                <w:color w:val="auto"/>
              </w:rPr>
              <w:t>75,084</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b w:val="1"/>
                <w:bCs w:val="1"/>
                <w:color w:val="auto"/>
              </w:rPr>
              <w:t>1.25</w:t>
            </w:r>
          </w:p>
        </w:tc>
        <w:tc>
          <w:tcPr>
            <w:tcW w:w="1580" w:type="dxa"/>
            <w:vAlign w:val="bottom"/>
            <w:shd w:val="clear" w:color="auto" w:fill="E5FFFF"/>
          </w:tcPr>
          <w:p>
            <w:pPr>
              <w:jc w:val="right"/>
              <w:spacing w:after="0"/>
              <w:rPr>
                <w:sz w:val="20"/>
                <w:szCs w:val="20"/>
                <w:color w:val="auto"/>
              </w:rPr>
            </w:pPr>
            <w:r>
              <w:rPr>
                <w:rFonts w:ascii="Arial" w:cs="Arial" w:eastAsia="Arial" w:hAnsi="Arial"/>
                <w:sz w:val="17"/>
                <w:szCs w:val="17"/>
                <w:b w:val="1"/>
                <w:bCs w:val="1"/>
                <w:color w:val="auto"/>
              </w:rPr>
              <w:t>1,595</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Granted during the period</w:t>
            </w:r>
          </w:p>
        </w:tc>
        <w:tc>
          <w:tcPr>
            <w:tcW w:w="2000" w:type="dxa"/>
            <w:vAlign w:val="bottom"/>
            <w:gridSpan w:val="2"/>
          </w:tcPr>
          <w:p>
            <w:pPr>
              <w:jc w:val="right"/>
              <w:ind w:right="380"/>
              <w:spacing w:after="0"/>
              <w:rPr>
                <w:sz w:val="20"/>
                <w:szCs w:val="20"/>
                <w:color w:val="auto"/>
              </w:rPr>
            </w:pPr>
            <w:r>
              <w:rPr>
                <w:rFonts w:ascii="Arial" w:cs="Arial" w:eastAsia="Arial" w:hAnsi="Arial"/>
                <w:sz w:val="17"/>
                <w:szCs w:val="17"/>
                <w:color w:val="auto"/>
              </w:rPr>
              <w:t>13,408</w:t>
            </w: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18"/>
                <w:szCs w:val="18"/>
                <w:color w:val="auto"/>
              </w:rPr>
            </w:pPr>
          </w:p>
        </w:tc>
        <w:tc>
          <w:tcPr>
            <w:tcW w:w="4740" w:type="dxa"/>
            <w:vAlign w:val="bottom"/>
            <w:shd w:val="clear" w:color="auto" w:fill="E5FFFF"/>
          </w:tcPr>
          <w:p>
            <w:pPr>
              <w:spacing w:after="0"/>
              <w:rPr>
                <w:sz w:val="20"/>
                <w:szCs w:val="20"/>
                <w:color w:val="auto"/>
              </w:rPr>
            </w:pPr>
            <w:r>
              <w:rPr>
                <w:rFonts w:ascii="Arial" w:cs="Arial" w:eastAsia="Arial" w:hAnsi="Arial"/>
                <w:sz w:val="17"/>
                <w:szCs w:val="17"/>
                <w:color w:val="auto"/>
              </w:rPr>
              <w:t>Vested during the period</w:t>
            </w:r>
          </w:p>
        </w:tc>
        <w:tc>
          <w:tcPr>
            <w:tcW w:w="2000" w:type="dxa"/>
            <w:vAlign w:val="bottom"/>
            <w:gridSpan w:val="2"/>
            <w:shd w:val="clear" w:color="auto" w:fill="E5FFFF"/>
          </w:tcPr>
          <w:p>
            <w:pPr>
              <w:jc w:val="right"/>
              <w:ind w:right="320"/>
              <w:spacing w:after="0"/>
              <w:rPr>
                <w:sz w:val="20"/>
                <w:szCs w:val="20"/>
                <w:color w:val="auto"/>
              </w:rPr>
            </w:pPr>
            <w:r>
              <w:rPr>
                <w:rFonts w:ascii="Arial" w:cs="Arial" w:eastAsia="Arial" w:hAnsi="Arial"/>
                <w:sz w:val="17"/>
                <w:szCs w:val="17"/>
                <w:color w:val="auto"/>
              </w:rPr>
              <w:t>(24,925)</w:t>
            </w:r>
          </w:p>
        </w:tc>
        <w:tc>
          <w:tcPr>
            <w:tcW w:w="1640" w:type="dxa"/>
            <w:vAlign w:val="bottom"/>
            <w:gridSpan w:val="2"/>
            <w:shd w:val="clear" w:color="auto" w:fill="E5FFFF"/>
          </w:tcPr>
          <w:p>
            <w:pPr>
              <w:jc w:val="right"/>
              <w:ind w:right="200"/>
              <w:spacing w:after="0"/>
              <w:rPr>
                <w:sz w:val="20"/>
                <w:szCs w:val="20"/>
                <w:color w:val="auto"/>
              </w:rPr>
            </w:pPr>
            <w:r>
              <w:rPr>
                <w:rFonts w:ascii="Arial" w:cs="Arial" w:eastAsia="Arial" w:hAnsi="Arial"/>
                <w:sz w:val="17"/>
                <w:szCs w:val="17"/>
                <w:color w:val="auto"/>
              </w:rPr>
              <w:t>—</w:t>
            </w:r>
          </w:p>
        </w:tc>
        <w:tc>
          <w:tcPr>
            <w:tcW w:w="158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(410)</w:t>
            </w:r>
          </w:p>
        </w:tc>
        <w:tc>
          <w:tcPr>
            <w:tcW w:w="0" w:type="dxa"/>
            <w:vAlign w:val="bottom"/>
          </w:tcPr>
          <w:p>
            <w:pPr>
              <w:spacing w:after="0"/>
              <w:rPr>
                <w:sz w:val="1"/>
                <w:szCs w:val="1"/>
                <w:color w:val="auto"/>
              </w:rPr>
            </w:pPr>
          </w:p>
        </w:tc>
      </w:tr>
      <w:tr>
        <w:trPr>
          <w:trHeight w:val="208"/>
        </w:trPr>
        <w:tc>
          <w:tcPr>
            <w:tcW w:w="5760" w:type="dxa"/>
            <w:vAlign w:val="bottom"/>
            <w:gridSpan w:val="2"/>
          </w:tcPr>
          <w:p>
            <w:pPr>
              <w:ind w:left="1020"/>
              <w:spacing w:after="0"/>
              <w:rPr>
                <w:sz w:val="20"/>
                <w:szCs w:val="20"/>
                <w:color w:val="auto"/>
              </w:rPr>
            </w:pPr>
            <w:r>
              <w:rPr>
                <w:rFonts w:ascii="Arial" w:cs="Arial" w:eastAsia="Arial" w:hAnsi="Arial"/>
                <w:sz w:val="17"/>
                <w:szCs w:val="17"/>
                <w:b w:val="1"/>
                <w:bCs w:val="1"/>
                <w:color w:val="auto"/>
              </w:rPr>
              <w:t>Outstanding as of June 30, 2019</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63,567</w:t>
            </w:r>
          </w:p>
        </w:tc>
        <w:tc>
          <w:tcPr>
            <w:tcW w:w="3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w:t>
            </w:r>
          </w:p>
        </w:tc>
        <w:tc>
          <w:tcPr>
            <w:tcW w:w="2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1,493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April 2, 2019, 24,925 RCUs and 24,925 PCUs vested under the GasLog Partners’ Plan.</w:t>
      </w:r>
    </w:p>
    <w:p>
      <w:pPr>
        <w:spacing w:after="0" w:line="247" w:lineRule="exact"/>
        <w:rPr>
          <w:sz w:val="20"/>
          <w:szCs w:val="20"/>
          <w:color w:val="auto"/>
        </w:rPr>
      </w:pPr>
    </w:p>
    <w:p>
      <w:pPr>
        <w:ind w:right="480" w:firstLine="377"/>
        <w:spacing w:after="0" w:line="321" w:lineRule="auto"/>
        <w:rPr>
          <w:sz w:val="20"/>
          <w:szCs w:val="20"/>
          <w:color w:val="auto"/>
        </w:rPr>
      </w:pPr>
      <w:r>
        <w:rPr>
          <w:rFonts w:ascii="Arial" w:cs="Arial" w:eastAsia="Arial" w:hAnsi="Arial"/>
          <w:sz w:val="16"/>
          <w:szCs w:val="16"/>
          <w:color w:val="auto"/>
        </w:rPr>
        <w:t>The total expense recognized in respect of share-based compensation for the three and six months ended June 30, 2019 was 1,266 and $2,587 (for the three and six months ended June 30, 2018: $1,329 and $2,515). The total accrued cash distribution as of June 30, 2019 is $804 (December 31, 2018: $1,265).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2" w:right="120" w:bottom="301"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19. Earnings/(losses) per Share (“EPS”)</w:t>
      </w:r>
    </w:p>
    <w:p>
      <w:pPr>
        <w:spacing w:after="0" w:line="253" w:lineRule="exact"/>
        <w:rPr>
          <w:sz w:val="20"/>
          <w:szCs w:val="20"/>
          <w:color w:val="auto"/>
        </w:rPr>
      </w:pPr>
    </w:p>
    <w:p>
      <w:pPr>
        <w:ind w:firstLine="376"/>
        <w:spacing w:after="0" w:line="288" w:lineRule="auto"/>
        <w:rPr>
          <w:sz w:val="20"/>
          <w:szCs w:val="20"/>
          <w:color w:val="auto"/>
        </w:rPr>
      </w:pPr>
      <w:r>
        <w:rPr>
          <w:rFonts w:ascii="Arial" w:cs="Arial" w:eastAsia="Arial" w:hAnsi="Arial"/>
          <w:sz w:val="17"/>
          <w:szCs w:val="17"/>
          <w:color w:val="auto"/>
        </w:rPr>
        <w:t>Basic earnings/(losses) per share was calculated by dividing the net profit for the period attributable to the owners of the common shares by the weighted average number of common shares issued and outstanding during the period.</w:t>
      </w:r>
    </w:p>
    <w:p>
      <w:pPr>
        <w:spacing w:after="0" w:line="187" w:lineRule="exact"/>
        <w:rPr>
          <w:sz w:val="20"/>
          <w:szCs w:val="20"/>
          <w:color w:val="auto"/>
        </w:rPr>
      </w:pPr>
    </w:p>
    <w:p>
      <w:pPr>
        <w:ind w:right="500" w:firstLine="376"/>
        <w:spacing w:after="0" w:line="321" w:lineRule="auto"/>
        <w:rPr>
          <w:sz w:val="20"/>
          <w:szCs w:val="20"/>
          <w:color w:val="auto"/>
        </w:rPr>
      </w:pPr>
      <w:r>
        <w:rPr>
          <w:rFonts w:ascii="Arial" w:cs="Arial" w:eastAsia="Arial" w:hAnsi="Arial"/>
          <w:sz w:val="16"/>
          <w:szCs w:val="16"/>
          <w:color w:val="auto"/>
        </w:rPr>
        <w:t>Diluted earnings/(losses)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reflects the earnings/(losses) and share data used in the basic and diluted earnings per share computations: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00" w:type="dxa"/>
            <w:vAlign w:val="bottom"/>
          </w:tcPr>
          <w:p>
            <w:pPr>
              <w:spacing w:after="0"/>
              <w:rPr>
                <w:sz w:val="18"/>
                <w:szCs w:val="18"/>
                <w:color w:val="auto"/>
              </w:rPr>
            </w:pPr>
          </w:p>
        </w:tc>
        <w:tc>
          <w:tcPr>
            <w:tcW w:w="3340" w:type="dxa"/>
            <w:vAlign w:val="bottom"/>
            <w:gridSpan w:val="4"/>
          </w:tcPr>
          <w:p>
            <w:pPr>
              <w:jc w:val="right"/>
              <w:ind w:right="740"/>
              <w:spacing w:after="0"/>
              <w:rPr>
                <w:sz w:val="20"/>
                <w:szCs w:val="20"/>
                <w:color w:val="auto"/>
              </w:rPr>
            </w:pPr>
            <w:r>
              <w:rPr>
                <w:rFonts w:ascii="Arial" w:cs="Arial" w:eastAsia="Arial" w:hAnsi="Arial"/>
                <w:sz w:val="17"/>
                <w:szCs w:val="17"/>
                <w:b w:val="1"/>
                <w:bCs w:val="1"/>
                <w:color w:val="auto"/>
              </w:rPr>
              <w:t>For the three months ended</w:t>
            </w:r>
          </w:p>
        </w:tc>
        <w:tc>
          <w:tcPr>
            <w:tcW w:w="0" w:type="dxa"/>
            <w:vAlign w:val="bottom"/>
          </w:tcPr>
          <w:p>
            <w:pPr>
              <w:spacing w:after="0"/>
              <w:rPr>
                <w:sz w:val="1"/>
                <w:szCs w:val="1"/>
                <w:color w:val="auto"/>
              </w:rPr>
            </w:pPr>
          </w:p>
        </w:tc>
      </w:tr>
      <w:tr>
        <w:trPr>
          <w:trHeight w:val="224"/>
        </w:trPr>
        <w:tc>
          <w:tcPr>
            <w:tcW w:w="7900" w:type="dxa"/>
            <w:vAlign w:val="bottom"/>
          </w:tcPr>
          <w:p>
            <w:pPr>
              <w:spacing w:after="0"/>
              <w:rPr>
                <w:sz w:val="19"/>
                <w:szCs w:val="19"/>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June 30, 2018</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June 30, 2019</w:t>
            </w:r>
          </w:p>
        </w:tc>
        <w:tc>
          <w:tcPr>
            <w:tcW w:w="0" w:type="dxa"/>
            <w:vAlign w:val="bottom"/>
          </w:tcPr>
          <w:p>
            <w:pPr>
              <w:spacing w:after="0"/>
              <w:rPr>
                <w:sz w:val="1"/>
                <w:szCs w:val="1"/>
                <w:color w:val="auto"/>
              </w:rPr>
            </w:pPr>
          </w:p>
        </w:tc>
      </w:tr>
      <w:tr>
        <w:trPr>
          <w:trHeight w:val="20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i w:val="1"/>
                <w:iCs w:val="1"/>
                <w:color w:val="auto"/>
              </w:rPr>
              <w:t>Basic loss per share</w:t>
            </w:r>
          </w:p>
        </w:tc>
        <w:tc>
          <w:tcPr>
            <w:tcW w:w="1340" w:type="dxa"/>
            <w:vAlign w:val="bottom"/>
            <w:tcBorders>
              <w:top w:val="single" w:sz="8" w:color="auto"/>
            </w:tcBorders>
            <w:shd w:val="clear" w:color="auto" w:fill="E5FFFF"/>
          </w:tcPr>
          <w:p>
            <w:pPr>
              <w:spacing w:after="0"/>
              <w:rPr>
                <w:sz w:val="17"/>
                <w:szCs w:val="17"/>
                <w:color w:val="auto"/>
              </w:rPr>
            </w:pPr>
          </w:p>
        </w:tc>
        <w:tc>
          <w:tcPr>
            <w:tcW w:w="6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00" w:type="dxa"/>
            <w:vAlign w:val="bottom"/>
          </w:tcPr>
          <w:p>
            <w:pPr>
              <w:spacing w:after="0"/>
              <w:rPr>
                <w:sz w:val="20"/>
                <w:szCs w:val="20"/>
                <w:color w:val="auto"/>
              </w:rPr>
            </w:pPr>
            <w:r>
              <w:rPr>
                <w:rFonts w:ascii="Arial" w:cs="Arial" w:eastAsia="Arial" w:hAnsi="Arial"/>
                <w:sz w:val="17"/>
                <w:szCs w:val="17"/>
                <w:color w:val="auto"/>
              </w:rPr>
              <w:t>Loss for the period attributable to owners of the Group</w:t>
            </w:r>
          </w:p>
        </w:tc>
        <w:tc>
          <w:tcPr>
            <w:tcW w:w="1940" w:type="dxa"/>
            <w:vAlign w:val="bottom"/>
            <w:gridSpan w:val="2"/>
          </w:tcPr>
          <w:p>
            <w:pPr>
              <w:jc w:val="right"/>
              <w:ind w:right="460"/>
              <w:spacing w:after="0"/>
              <w:rPr>
                <w:sz w:val="20"/>
                <w:szCs w:val="20"/>
                <w:color w:val="auto"/>
              </w:rPr>
            </w:pPr>
            <w:r>
              <w:rPr>
                <w:rFonts w:ascii="Arial" w:cs="Arial" w:eastAsia="Arial" w:hAnsi="Arial"/>
                <w:sz w:val="17"/>
                <w:szCs w:val="17"/>
                <w:color w:val="auto"/>
              </w:rPr>
              <w:t>(3,620)</w:t>
            </w:r>
          </w:p>
        </w:tc>
        <w:tc>
          <w:tcPr>
            <w:tcW w:w="1340" w:type="dxa"/>
            <w:vAlign w:val="bottom"/>
          </w:tcPr>
          <w:p>
            <w:pPr>
              <w:jc w:val="right"/>
              <w:spacing w:after="0"/>
              <w:rPr>
                <w:sz w:val="20"/>
                <w:szCs w:val="20"/>
                <w:color w:val="auto"/>
              </w:rPr>
            </w:pPr>
            <w:r>
              <w:rPr>
                <w:rFonts w:ascii="Arial" w:cs="Arial" w:eastAsia="Arial" w:hAnsi="Arial"/>
                <w:sz w:val="17"/>
                <w:szCs w:val="17"/>
                <w:color w:val="auto"/>
              </w:rPr>
              <w:t>(25,998)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shd w:val="clear" w:color="auto" w:fill="E5FFFF"/>
          </w:tcPr>
          <w:p>
            <w:pPr>
              <w:spacing w:after="0"/>
              <w:rPr>
                <w:sz w:val="20"/>
                <w:szCs w:val="20"/>
                <w:color w:val="auto"/>
              </w:rPr>
            </w:pPr>
            <w:r>
              <w:rPr>
                <w:rFonts w:ascii="Arial" w:cs="Arial" w:eastAsia="Arial" w:hAnsi="Arial"/>
                <w:sz w:val="17"/>
                <w:szCs w:val="17"/>
                <w:color w:val="auto"/>
              </w:rPr>
              <w:t>Plus:</w:t>
            </w:r>
          </w:p>
        </w:tc>
        <w:tc>
          <w:tcPr>
            <w:tcW w:w="13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spacing w:after="0"/>
              <w:rPr>
                <w:sz w:val="20"/>
                <w:szCs w:val="20"/>
                <w:color w:val="auto"/>
              </w:rPr>
            </w:pPr>
            <w:r>
              <w:rPr>
                <w:rFonts w:ascii="Arial" w:cs="Arial" w:eastAsia="Arial" w:hAnsi="Arial"/>
                <w:sz w:val="17"/>
                <w:szCs w:val="17"/>
                <w:color w:val="auto"/>
              </w:rPr>
              <w:t>Dividend on preference shares</w:t>
            </w:r>
          </w:p>
        </w:tc>
        <w:tc>
          <w:tcPr>
            <w:tcW w:w="1940" w:type="dxa"/>
            <w:vAlign w:val="bottom"/>
            <w:gridSpan w:val="2"/>
          </w:tcPr>
          <w:p>
            <w:pPr>
              <w:jc w:val="right"/>
              <w:ind w:right="460"/>
              <w:spacing w:after="0"/>
              <w:rPr>
                <w:sz w:val="20"/>
                <w:szCs w:val="20"/>
                <w:color w:val="auto"/>
              </w:rPr>
            </w:pPr>
            <w:r>
              <w:rPr>
                <w:rFonts w:ascii="Arial" w:cs="Arial" w:eastAsia="Arial" w:hAnsi="Arial"/>
                <w:sz w:val="17"/>
                <w:szCs w:val="17"/>
                <w:color w:val="auto"/>
              </w:rPr>
              <w:t>(2,516)</w:t>
            </w:r>
          </w:p>
        </w:tc>
        <w:tc>
          <w:tcPr>
            <w:tcW w:w="1340" w:type="dxa"/>
            <w:vAlign w:val="bottom"/>
          </w:tcPr>
          <w:p>
            <w:pPr>
              <w:jc w:val="right"/>
              <w:spacing w:after="0"/>
              <w:rPr>
                <w:sz w:val="20"/>
                <w:szCs w:val="20"/>
                <w:color w:val="auto"/>
              </w:rPr>
            </w:pPr>
            <w:r>
              <w:rPr>
                <w:rFonts w:ascii="Arial" w:cs="Arial" w:eastAsia="Arial" w:hAnsi="Arial"/>
                <w:sz w:val="17"/>
                <w:szCs w:val="17"/>
                <w:color w:val="auto"/>
              </w:rPr>
              <w:t>(2,516)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Loss for the period available to owners of the Group</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(6,136)</w:t>
            </w:r>
          </w:p>
        </w:tc>
        <w:tc>
          <w:tcPr>
            <w:tcW w:w="60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(28,514)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80,801,654</w:t>
            </w:r>
          </w:p>
        </w:tc>
        <w:tc>
          <w:tcPr>
            <w:tcW w:w="6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80,847,127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7"/>
                <w:szCs w:val="17"/>
                <w:b w:val="1"/>
                <w:bCs w:val="1"/>
                <w:color w:val="auto"/>
              </w:rPr>
              <w:t>Basic loss per share</w:t>
            </w:r>
          </w:p>
        </w:tc>
        <w:tc>
          <w:tcPr>
            <w:tcW w:w="194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(0.08)</w:t>
            </w:r>
          </w:p>
        </w:tc>
        <w:tc>
          <w:tcPr>
            <w:tcW w:w="1400" w:type="dxa"/>
            <w:vAlign w:val="bottom"/>
            <w:gridSpan w:val="2"/>
          </w:tcPr>
          <w:p>
            <w:pPr>
              <w:jc w:val="right"/>
              <w:spacing w:after="0"/>
              <w:rPr>
                <w:sz w:val="20"/>
                <w:szCs w:val="20"/>
                <w:color w:val="auto"/>
              </w:rPr>
            </w:pPr>
            <w:r>
              <w:rPr>
                <w:rFonts w:ascii="Arial" w:cs="Arial" w:eastAsia="Arial" w:hAnsi="Arial"/>
                <w:sz w:val="17"/>
                <w:szCs w:val="17"/>
                <w:b w:val="1"/>
                <w:bCs w:val="1"/>
                <w:color w:val="auto"/>
              </w:rPr>
              <w:t>(0.35)</w:t>
            </w:r>
          </w:p>
        </w:tc>
        <w:tc>
          <w:tcPr>
            <w:tcW w:w="0" w:type="dxa"/>
            <w:vAlign w:val="bottom"/>
          </w:tcPr>
          <w:p>
            <w:pPr>
              <w:spacing w:after="0"/>
              <w:rPr>
                <w:sz w:val="1"/>
                <w:szCs w:val="1"/>
                <w:color w:val="auto"/>
              </w:rPr>
            </w:pPr>
          </w:p>
        </w:tc>
      </w:tr>
      <w:tr>
        <w:trPr>
          <w:trHeight w:val="194"/>
        </w:trPr>
        <w:tc>
          <w:tcPr>
            <w:tcW w:w="7900" w:type="dxa"/>
            <w:vAlign w:val="bottom"/>
          </w:tcPr>
          <w:p>
            <w:pPr>
              <w:spacing w:after="0" w:line="194" w:lineRule="exact"/>
              <w:rPr>
                <w:sz w:val="20"/>
                <w:szCs w:val="20"/>
                <w:color w:val="auto"/>
              </w:rPr>
            </w:pPr>
            <w:r>
              <w:rPr>
                <w:rFonts w:ascii="Arial" w:cs="Arial" w:eastAsia="Arial" w:hAnsi="Arial"/>
                <w:sz w:val="17"/>
                <w:szCs w:val="17"/>
                <w:b w:val="1"/>
                <w:bCs w:val="1"/>
                <w:i w:val="1"/>
                <w:iCs w:val="1"/>
                <w:color w:val="auto"/>
              </w:rPr>
              <w:t>Diluted loss per share</w:t>
            </w:r>
          </w:p>
        </w:tc>
        <w:tc>
          <w:tcPr>
            <w:tcW w:w="134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E5FFFF"/>
          </w:tcPr>
          <w:p>
            <w:pPr>
              <w:spacing w:after="0"/>
              <w:rPr>
                <w:sz w:val="20"/>
                <w:szCs w:val="20"/>
                <w:color w:val="auto"/>
              </w:rPr>
            </w:pPr>
            <w:r>
              <w:rPr>
                <w:rFonts w:ascii="Arial" w:cs="Arial" w:eastAsia="Arial" w:hAnsi="Arial"/>
                <w:sz w:val="17"/>
                <w:szCs w:val="17"/>
                <w:color w:val="auto"/>
              </w:rPr>
              <w:t>Loss for the period available to owners of the Group used in the calculation of diluted (loss)/earnings per</w:t>
            </w:r>
          </w:p>
        </w:tc>
        <w:tc>
          <w:tcPr>
            <w:tcW w:w="13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share</w:t>
            </w:r>
          </w:p>
        </w:tc>
        <w:tc>
          <w:tcPr>
            <w:tcW w:w="1940" w:type="dxa"/>
            <w:vAlign w:val="bottom"/>
            <w:gridSpan w:val="2"/>
            <w:shd w:val="clear" w:color="auto" w:fill="E5FFFF"/>
          </w:tcPr>
          <w:p>
            <w:pPr>
              <w:jc w:val="right"/>
              <w:ind w:right="460"/>
              <w:spacing w:after="0"/>
              <w:rPr>
                <w:sz w:val="20"/>
                <w:szCs w:val="20"/>
                <w:color w:val="auto"/>
              </w:rPr>
            </w:pPr>
            <w:r>
              <w:rPr>
                <w:rFonts w:ascii="Arial" w:cs="Arial" w:eastAsia="Arial" w:hAnsi="Arial"/>
                <w:sz w:val="17"/>
                <w:szCs w:val="17"/>
                <w:color w:val="auto"/>
              </w:rPr>
              <w:t>(6,136)</w:t>
            </w:r>
          </w:p>
        </w:tc>
        <w:tc>
          <w:tcPr>
            <w:tcW w:w="13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(28,514)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80,801,654</w:t>
            </w:r>
          </w:p>
        </w:tc>
        <w:tc>
          <w:tcPr>
            <w:tcW w:w="6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80,847,127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shd w:val="clear" w:color="auto" w:fill="E5FFFF"/>
          </w:tcPr>
          <w:p>
            <w:pPr>
              <w:spacing w:after="0"/>
              <w:rPr>
                <w:sz w:val="20"/>
                <w:szCs w:val="20"/>
                <w:color w:val="auto"/>
              </w:rPr>
            </w:pPr>
            <w:r>
              <w:rPr>
                <w:rFonts w:ascii="Arial" w:cs="Arial" w:eastAsia="Arial" w:hAnsi="Arial"/>
                <w:sz w:val="17"/>
                <w:szCs w:val="17"/>
                <w:color w:val="auto"/>
              </w:rPr>
              <w:t>Dilutive potential ordinary shares</w:t>
            </w:r>
          </w:p>
        </w:tc>
        <w:tc>
          <w:tcPr>
            <w:tcW w:w="1940" w:type="dxa"/>
            <w:vAlign w:val="bottom"/>
            <w:gridSpan w:val="2"/>
            <w:shd w:val="clear" w:color="auto" w:fill="E5FFFF"/>
          </w:tcPr>
          <w:p>
            <w:pPr>
              <w:jc w:val="right"/>
              <w:ind w:right="5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Weighted average number of shares used in the calculation of diluted (loss)/earnings per share</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80,801,654</w:t>
            </w:r>
          </w:p>
        </w:tc>
        <w:tc>
          <w:tcPr>
            <w:tcW w:w="600" w:type="dxa"/>
            <w:vAlign w:val="bottom"/>
            <w:tcBorders>
              <w:bottom w:val="single" w:sz="8" w:color="E5FF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80,847,127</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8"/>
        </w:trPr>
        <w:tc>
          <w:tcPr>
            <w:tcW w:w="79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Diluted loss per share</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(0.08</w:t>
            </w:r>
          </w:p>
        </w:tc>
        <w:tc>
          <w:tcPr>
            <w:tcW w:w="600" w:type="dxa"/>
            <w:vAlign w:val="bottom"/>
            <w:shd w:val="clear" w:color="auto" w:fill="E5FFFF"/>
          </w:tcPr>
          <w:p>
            <w:pPr>
              <w:jc w:val="right"/>
              <w:ind w:right="460"/>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(0.35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1"/>
        </w:trPr>
        <w:tc>
          <w:tcPr>
            <w:tcW w:w="7900" w:type="dxa"/>
            <w:vAlign w:val="bottom"/>
          </w:tcPr>
          <w:p>
            <w:pPr>
              <w:spacing w:after="0"/>
              <w:rPr>
                <w:sz w:val="24"/>
                <w:szCs w:val="24"/>
                <w:color w:val="auto"/>
              </w:rPr>
            </w:pPr>
          </w:p>
        </w:tc>
        <w:tc>
          <w:tcPr>
            <w:tcW w:w="3340" w:type="dxa"/>
            <w:vAlign w:val="bottom"/>
            <w:gridSpan w:val="4"/>
          </w:tcPr>
          <w:p>
            <w:pPr>
              <w:jc w:val="right"/>
              <w:ind w:right="840"/>
              <w:spacing w:after="0"/>
              <w:rPr>
                <w:sz w:val="20"/>
                <w:szCs w:val="20"/>
                <w:color w:val="auto"/>
              </w:rPr>
            </w:pPr>
            <w:r>
              <w:rPr>
                <w:rFonts w:ascii="Arial" w:cs="Arial" w:eastAsia="Arial" w:hAnsi="Arial"/>
                <w:sz w:val="17"/>
                <w:szCs w:val="17"/>
                <w:b w:val="1"/>
                <w:bCs w:val="1"/>
                <w:color w:val="auto"/>
              </w:rPr>
              <w:t>For the six months ended</w:t>
            </w:r>
          </w:p>
        </w:tc>
        <w:tc>
          <w:tcPr>
            <w:tcW w:w="0" w:type="dxa"/>
            <w:vAlign w:val="bottom"/>
          </w:tcPr>
          <w:p>
            <w:pPr>
              <w:spacing w:after="0"/>
              <w:rPr>
                <w:sz w:val="1"/>
                <w:szCs w:val="1"/>
                <w:color w:val="auto"/>
              </w:rPr>
            </w:pPr>
          </w:p>
        </w:tc>
      </w:tr>
      <w:tr>
        <w:trPr>
          <w:trHeight w:val="224"/>
        </w:trPr>
        <w:tc>
          <w:tcPr>
            <w:tcW w:w="7900" w:type="dxa"/>
            <w:vAlign w:val="bottom"/>
          </w:tcPr>
          <w:p>
            <w:pPr>
              <w:spacing w:after="0"/>
              <w:rPr>
                <w:sz w:val="19"/>
                <w:szCs w:val="19"/>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June 30, 2018</w:t>
            </w:r>
          </w:p>
        </w:tc>
        <w:tc>
          <w:tcPr>
            <w:tcW w:w="14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June 30, 2019</w:t>
            </w:r>
          </w:p>
        </w:tc>
        <w:tc>
          <w:tcPr>
            <w:tcW w:w="0" w:type="dxa"/>
            <w:vAlign w:val="bottom"/>
          </w:tcPr>
          <w:p>
            <w:pPr>
              <w:spacing w:after="0"/>
              <w:rPr>
                <w:sz w:val="1"/>
                <w:szCs w:val="1"/>
                <w:color w:val="auto"/>
              </w:rPr>
            </w:pPr>
          </w:p>
        </w:tc>
      </w:tr>
      <w:tr>
        <w:trPr>
          <w:trHeight w:val="200"/>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b w:val="1"/>
                <w:bCs w:val="1"/>
                <w:i w:val="1"/>
                <w:iCs w:val="1"/>
                <w:color w:val="auto"/>
              </w:rPr>
              <w:t>Basic earnings/(loss) per share</w:t>
            </w:r>
          </w:p>
        </w:tc>
        <w:tc>
          <w:tcPr>
            <w:tcW w:w="1340" w:type="dxa"/>
            <w:vAlign w:val="bottom"/>
            <w:tcBorders>
              <w:top w:val="single" w:sz="8" w:color="auto"/>
            </w:tcBorders>
            <w:shd w:val="clear" w:color="auto" w:fill="E5FFFF"/>
          </w:tcPr>
          <w:p>
            <w:pPr>
              <w:spacing w:after="0"/>
              <w:rPr>
                <w:sz w:val="17"/>
                <w:szCs w:val="17"/>
                <w:color w:val="auto"/>
              </w:rPr>
            </w:pPr>
          </w:p>
        </w:tc>
        <w:tc>
          <w:tcPr>
            <w:tcW w:w="60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900" w:type="dxa"/>
            <w:vAlign w:val="bottom"/>
          </w:tcPr>
          <w:p>
            <w:pPr>
              <w:spacing w:after="0"/>
              <w:rPr>
                <w:sz w:val="20"/>
                <w:szCs w:val="20"/>
                <w:color w:val="auto"/>
              </w:rPr>
            </w:pPr>
            <w:r>
              <w:rPr>
                <w:rFonts w:ascii="Arial" w:cs="Arial" w:eastAsia="Arial" w:hAnsi="Arial"/>
                <w:sz w:val="17"/>
                <w:szCs w:val="17"/>
                <w:color w:val="auto"/>
              </w:rPr>
              <w:t>Profit for the period attributable to owners of the Group</w:t>
            </w:r>
          </w:p>
        </w:tc>
        <w:tc>
          <w:tcPr>
            <w:tcW w:w="1940" w:type="dxa"/>
            <w:vAlign w:val="bottom"/>
            <w:gridSpan w:val="2"/>
          </w:tcPr>
          <w:p>
            <w:pPr>
              <w:jc w:val="right"/>
              <w:ind w:right="520"/>
              <w:spacing w:after="0"/>
              <w:rPr>
                <w:sz w:val="20"/>
                <w:szCs w:val="20"/>
                <w:color w:val="auto"/>
              </w:rPr>
            </w:pPr>
            <w:r>
              <w:rPr>
                <w:rFonts w:ascii="Arial" w:cs="Arial" w:eastAsia="Arial" w:hAnsi="Arial"/>
                <w:sz w:val="17"/>
                <w:szCs w:val="17"/>
                <w:color w:val="auto"/>
              </w:rPr>
              <w:t>15,684</w:t>
            </w:r>
          </w:p>
        </w:tc>
        <w:tc>
          <w:tcPr>
            <w:tcW w:w="1340" w:type="dxa"/>
            <w:vAlign w:val="bottom"/>
          </w:tcPr>
          <w:p>
            <w:pPr>
              <w:jc w:val="right"/>
              <w:spacing w:after="0"/>
              <w:rPr>
                <w:sz w:val="20"/>
                <w:szCs w:val="20"/>
                <w:color w:val="auto"/>
              </w:rPr>
            </w:pPr>
            <w:r>
              <w:rPr>
                <w:rFonts w:ascii="Arial" w:cs="Arial" w:eastAsia="Arial" w:hAnsi="Arial"/>
                <w:sz w:val="17"/>
                <w:szCs w:val="17"/>
                <w:color w:val="auto"/>
              </w:rPr>
              <w:t>(36,945)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shd w:val="clear" w:color="auto" w:fill="E5FFFF"/>
          </w:tcPr>
          <w:p>
            <w:pPr>
              <w:spacing w:after="0"/>
              <w:rPr>
                <w:sz w:val="20"/>
                <w:szCs w:val="20"/>
                <w:color w:val="auto"/>
              </w:rPr>
            </w:pPr>
            <w:r>
              <w:rPr>
                <w:rFonts w:ascii="Arial" w:cs="Arial" w:eastAsia="Arial" w:hAnsi="Arial"/>
                <w:sz w:val="17"/>
                <w:szCs w:val="17"/>
                <w:color w:val="auto"/>
              </w:rPr>
              <w:t>Less:</w:t>
            </w:r>
          </w:p>
        </w:tc>
        <w:tc>
          <w:tcPr>
            <w:tcW w:w="13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tcPr>
          <w:p>
            <w:pPr>
              <w:spacing w:after="0"/>
              <w:rPr>
                <w:sz w:val="20"/>
                <w:szCs w:val="20"/>
                <w:color w:val="auto"/>
              </w:rPr>
            </w:pPr>
            <w:r>
              <w:rPr>
                <w:rFonts w:ascii="Arial" w:cs="Arial" w:eastAsia="Arial" w:hAnsi="Arial"/>
                <w:sz w:val="17"/>
                <w:szCs w:val="17"/>
                <w:color w:val="auto"/>
              </w:rPr>
              <w:t>Dividend on preference shares</w:t>
            </w:r>
          </w:p>
        </w:tc>
        <w:tc>
          <w:tcPr>
            <w:tcW w:w="1940" w:type="dxa"/>
            <w:vAlign w:val="bottom"/>
            <w:gridSpan w:val="2"/>
          </w:tcPr>
          <w:p>
            <w:pPr>
              <w:jc w:val="right"/>
              <w:ind w:right="460"/>
              <w:spacing w:after="0"/>
              <w:rPr>
                <w:sz w:val="20"/>
                <w:szCs w:val="20"/>
                <w:color w:val="auto"/>
              </w:rPr>
            </w:pPr>
            <w:r>
              <w:rPr>
                <w:rFonts w:ascii="Arial" w:cs="Arial" w:eastAsia="Arial" w:hAnsi="Arial"/>
                <w:sz w:val="17"/>
                <w:szCs w:val="17"/>
                <w:color w:val="auto"/>
              </w:rPr>
              <w:t>(5,032)</w:t>
            </w:r>
          </w:p>
        </w:tc>
        <w:tc>
          <w:tcPr>
            <w:tcW w:w="1340" w:type="dxa"/>
            <w:vAlign w:val="bottom"/>
          </w:tcPr>
          <w:p>
            <w:pPr>
              <w:jc w:val="right"/>
              <w:spacing w:after="0"/>
              <w:rPr>
                <w:sz w:val="20"/>
                <w:szCs w:val="20"/>
                <w:color w:val="auto"/>
              </w:rPr>
            </w:pPr>
            <w:r>
              <w:rPr>
                <w:rFonts w:ascii="Arial" w:cs="Arial" w:eastAsia="Arial" w:hAnsi="Arial"/>
                <w:sz w:val="17"/>
                <w:szCs w:val="17"/>
                <w:color w:val="auto"/>
              </w:rPr>
              <w:t>(5,031)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7"/>
                <w:szCs w:val="17"/>
                <w:color w:val="auto"/>
              </w:rPr>
              <w:t>Profit/(loss) for the period available to owners of the Group</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10,652</w:t>
            </w:r>
          </w:p>
        </w:tc>
        <w:tc>
          <w:tcPr>
            <w:tcW w:w="60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7"/>
                <w:szCs w:val="17"/>
                <w:color w:val="auto"/>
              </w:rPr>
              <w:t>(41,976)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80,758,631</w:t>
            </w:r>
          </w:p>
        </w:tc>
        <w:tc>
          <w:tcPr>
            <w:tcW w:w="6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80,836,442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7"/>
                <w:szCs w:val="17"/>
                <w:b w:val="1"/>
                <w:bCs w:val="1"/>
                <w:color w:val="auto"/>
              </w:rPr>
              <w:t>Basic earnings/(loss) per share</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0.13</w:t>
            </w:r>
          </w:p>
        </w:tc>
        <w:tc>
          <w:tcPr>
            <w:tcW w:w="6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7"/>
                <w:szCs w:val="17"/>
                <w:b w:val="1"/>
                <w:bCs w:val="1"/>
                <w:color w:val="auto"/>
              </w:rPr>
              <w:t>(0.52)</w:t>
            </w:r>
          </w:p>
        </w:tc>
        <w:tc>
          <w:tcPr>
            <w:tcW w:w="0" w:type="dxa"/>
            <w:vAlign w:val="bottom"/>
          </w:tcPr>
          <w:p>
            <w:pPr>
              <w:spacing w:after="0"/>
              <w:rPr>
                <w:sz w:val="1"/>
                <w:szCs w:val="1"/>
                <w:color w:val="auto"/>
              </w:rPr>
            </w:pPr>
          </w:p>
        </w:tc>
      </w:tr>
      <w:tr>
        <w:trPr>
          <w:trHeight w:val="194"/>
        </w:trPr>
        <w:tc>
          <w:tcPr>
            <w:tcW w:w="7900" w:type="dxa"/>
            <w:vAlign w:val="bottom"/>
          </w:tcPr>
          <w:p>
            <w:pPr>
              <w:spacing w:after="0" w:line="194" w:lineRule="exact"/>
              <w:rPr>
                <w:sz w:val="20"/>
                <w:szCs w:val="20"/>
                <w:color w:val="auto"/>
              </w:rPr>
            </w:pPr>
            <w:r>
              <w:rPr>
                <w:rFonts w:ascii="Arial" w:cs="Arial" w:eastAsia="Arial" w:hAnsi="Arial"/>
                <w:sz w:val="17"/>
                <w:szCs w:val="17"/>
                <w:b w:val="1"/>
                <w:bCs w:val="1"/>
                <w:i w:val="1"/>
                <w:iCs w:val="1"/>
                <w:color w:val="auto"/>
              </w:rPr>
              <w:t>Diluted earnings/(loss) per share</w:t>
            </w:r>
          </w:p>
        </w:tc>
        <w:tc>
          <w:tcPr>
            <w:tcW w:w="134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900" w:type="dxa"/>
            <w:vAlign w:val="bottom"/>
            <w:shd w:val="clear" w:color="auto" w:fill="E5FFFF"/>
          </w:tcPr>
          <w:p>
            <w:pPr>
              <w:spacing w:after="0"/>
              <w:rPr>
                <w:sz w:val="20"/>
                <w:szCs w:val="20"/>
                <w:color w:val="auto"/>
              </w:rPr>
            </w:pPr>
            <w:r>
              <w:rPr>
                <w:rFonts w:ascii="Arial" w:cs="Arial" w:eastAsia="Arial" w:hAnsi="Arial"/>
                <w:sz w:val="17"/>
                <w:szCs w:val="17"/>
                <w:color w:val="auto"/>
              </w:rPr>
              <w:t>Profit/(loss) for the period available to owners of the Group used in the calculation of diluted</w:t>
            </w:r>
          </w:p>
        </w:tc>
        <w:tc>
          <w:tcPr>
            <w:tcW w:w="13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900" w:type="dxa"/>
            <w:vAlign w:val="bottom"/>
            <w:shd w:val="clear" w:color="auto" w:fill="E5FFFF"/>
          </w:tcPr>
          <w:p>
            <w:pPr>
              <w:ind w:left="160"/>
              <w:spacing w:after="0"/>
              <w:rPr>
                <w:sz w:val="20"/>
                <w:szCs w:val="20"/>
                <w:color w:val="auto"/>
              </w:rPr>
            </w:pPr>
            <w:r>
              <w:rPr>
                <w:rFonts w:ascii="Arial" w:cs="Arial" w:eastAsia="Arial" w:hAnsi="Arial"/>
                <w:sz w:val="17"/>
                <w:szCs w:val="17"/>
                <w:color w:val="auto"/>
              </w:rPr>
              <w:t>earnings/(loss) per share</w:t>
            </w:r>
          </w:p>
        </w:tc>
        <w:tc>
          <w:tcPr>
            <w:tcW w:w="1940" w:type="dxa"/>
            <w:vAlign w:val="bottom"/>
            <w:gridSpan w:val="2"/>
            <w:shd w:val="clear" w:color="auto" w:fill="E5FFFF"/>
          </w:tcPr>
          <w:p>
            <w:pPr>
              <w:jc w:val="right"/>
              <w:ind w:right="520"/>
              <w:spacing w:after="0"/>
              <w:rPr>
                <w:sz w:val="20"/>
                <w:szCs w:val="20"/>
                <w:color w:val="auto"/>
              </w:rPr>
            </w:pPr>
            <w:r>
              <w:rPr>
                <w:rFonts w:ascii="Arial" w:cs="Arial" w:eastAsia="Arial" w:hAnsi="Arial"/>
                <w:sz w:val="17"/>
                <w:szCs w:val="17"/>
                <w:color w:val="auto"/>
              </w:rPr>
              <w:t>10,652</w:t>
            </w:r>
          </w:p>
        </w:tc>
        <w:tc>
          <w:tcPr>
            <w:tcW w:w="13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(41,976)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00" w:type="dxa"/>
            <w:vAlign w:val="bottom"/>
          </w:tcPr>
          <w:p>
            <w:pPr>
              <w:spacing w:after="0"/>
              <w:rPr>
                <w:sz w:val="20"/>
                <w:szCs w:val="20"/>
                <w:color w:val="auto"/>
              </w:rPr>
            </w:pPr>
            <w:r>
              <w:rPr>
                <w:rFonts w:ascii="Arial" w:cs="Arial" w:eastAsia="Arial" w:hAnsi="Arial"/>
                <w:sz w:val="17"/>
                <w:szCs w:val="17"/>
                <w:color w:val="auto"/>
              </w:rPr>
              <w:t>Weighted average number of shares outstanding, basic</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80,758,631</w:t>
            </w:r>
          </w:p>
        </w:tc>
        <w:tc>
          <w:tcPr>
            <w:tcW w:w="60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80,836,442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00" w:type="dxa"/>
            <w:vAlign w:val="bottom"/>
            <w:shd w:val="clear" w:color="auto" w:fill="E5FFFF"/>
          </w:tcPr>
          <w:p>
            <w:pPr>
              <w:spacing w:after="0"/>
              <w:rPr>
                <w:sz w:val="20"/>
                <w:szCs w:val="20"/>
                <w:color w:val="auto"/>
              </w:rPr>
            </w:pPr>
            <w:r>
              <w:rPr>
                <w:rFonts w:ascii="Arial" w:cs="Arial" w:eastAsia="Arial" w:hAnsi="Arial"/>
                <w:sz w:val="17"/>
                <w:szCs w:val="17"/>
                <w:color w:val="auto"/>
              </w:rPr>
              <w:t>Dilutive potential ordinary shares</w:t>
            </w:r>
          </w:p>
        </w:tc>
        <w:tc>
          <w:tcPr>
            <w:tcW w:w="1940" w:type="dxa"/>
            <w:vAlign w:val="bottom"/>
            <w:gridSpan w:val="2"/>
            <w:shd w:val="clear" w:color="auto" w:fill="E5FFFF"/>
          </w:tcPr>
          <w:p>
            <w:pPr>
              <w:jc w:val="right"/>
              <w:ind w:right="520"/>
              <w:spacing w:after="0"/>
              <w:rPr>
                <w:sz w:val="20"/>
                <w:szCs w:val="20"/>
                <w:color w:val="auto"/>
              </w:rPr>
            </w:pPr>
            <w:r>
              <w:rPr>
                <w:rFonts w:ascii="Arial" w:cs="Arial" w:eastAsia="Arial" w:hAnsi="Arial"/>
                <w:sz w:val="17"/>
                <w:szCs w:val="17"/>
                <w:color w:val="auto"/>
              </w:rPr>
              <w:t>732,041</w:t>
            </w:r>
          </w:p>
        </w:tc>
        <w:tc>
          <w:tcPr>
            <w:tcW w:w="1340" w:type="dxa"/>
            <w:vAlign w:val="bottom"/>
            <w:shd w:val="clear" w:color="auto" w:fill="E5FFFF"/>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900" w:type="dxa"/>
            <w:vAlign w:val="bottom"/>
            <w:tcBorders>
              <w:bottom w:val="single" w:sz="8" w:color="E5FFFF"/>
            </w:tcBorders>
          </w:tcPr>
          <w:p>
            <w:pPr>
              <w:spacing w:after="0"/>
              <w:rPr>
                <w:sz w:val="20"/>
                <w:szCs w:val="20"/>
                <w:color w:val="auto"/>
              </w:rPr>
            </w:pPr>
            <w:r>
              <w:rPr>
                <w:rFonts w:ascii="Arial" w:cs="Arial" w:eastAsia="Arial" w:hAnsi="Arial"/>
                <w:sz w:val="17"/>
                <w:szCs w:val="17"/>
                <w:color w:val="auto"/>
              </w:rPr>
              <w:t>Weighted average number of shares used in the calculation of diluted earnings/(loss) per share</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81,490,672</w:t>
            </w:r>
          </w:p>
        </w:tc>
        <w:tc>
          <w:tcPr>
            <w:tcW w:w="600" w:type="dxa"/>
            <w:vAlign w:val="bottom"/>
            <w:tcBorders>
              <w:bottom w:val="single" w:sz="8" w:color="E5FF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80,836,442</w:t>
            </w: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8"/>
        </w:trPr>
        <w:tc>
          <w:tcPr>
            <w:tcW w:w="7900" w:type="dxa"/>
            <w:vAlign w:val="bottom"/>
            <w:shd w:val="clear" w:color="auto" w:fill="E5FFFF"/>
          </w:tcPr>
          <w:p>
            <w:pPr>
              <w:spacing w:after="0"/>
              <w:rPr>
                <w:sz w:val="20"/>
                <w:szCs w:val="20"/>
                <w:color w:val="auto"/>
              </w:rPr>
            </w:pPr>
            <w:r>
              <w:rPr>
                <w:rFonts w:ascii="Arial" w:cs="Arial" w:eastAsia="Arial" w:hAnsi="Arial"/>
                <w:sz w:val="17"/>
                <w:szCs w:val="17"/>
                <w:b w:val="1"/>
                <w:bCs w:val="1"/>
                <w:color w:val="auto"/>
              </w:rPr>
              <w:t>Diluted earnings/(loss) per share</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0.13</w:t>
            </w:r>
          </w:p>
        </w:tc>
        <w:tc>
          <w:tcPr>
            <w:tcW w:w="600" w:type="dxa"/>
            <w:vAlign w:val="bottom"/>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7"/>
                <w:szCs w:val="17"/>
                <w:b w:val="1"/>
                <w:bCs w:val="1"/>
                <w:color w:val="auto"/>
              </w:rPr>
              <w:t>(0.52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-3576320</wp:posOffset>
            </wp:positionV>
            <wp:extent cx="7099935" cy="1447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099935" cy="1447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-1131570</wp:posOffset>
            </wp:positionV>
            <wp:extent cx="7099935" cy="1447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099935" cy="144780"/>
                    </a:xfrm>
                    <a:prstGeom prst="rect">
                      <a:avLst/>
                    </a:prstGeom>
                    <a:noFill/>
                  </pic:spPr>
                </pic:pic>
              </a:graphicData>
            </a:graphic>
          </wp:anchor>
        </w:drawing>
      </w:r>
    </w:p>
    <w:p>
      <w:pPr>
        <w:spacing w:after="0" w:line="199" w:lineRule="exact"/>
        <w:rPr>
          <w:sz w:val="20"/>
          <w:szCs w:val="20"/>
          <w:color w:val="auto"/>
        </w:rPr>
      </w:pPr>
    </w:p>
    <w:p>
      <w:pPr>
        <w:ind w:right="160" w:firstLine="452"/>
        <w:spacing w:after="0" w:line="288" w:lineRule="auto"/>
        <w:rPr>
          <w:sz w:val="20"/>
          <w:szCs w:val="20"/>
          <w:color w:val="auto"/>
        </w:rPr>
      </w:pPr>
      <w:r>
        <w:rPr>
          <w:rFonts w:ascii="Arial" w:cs="Arial" w:eastAsia="Arial" w:hAnsi="Arial"/>
          <w:sz w:val="17"/>
          <w:szCs w:val="17"/>
          <w:color w:val="auto"/>
        </w:rPr>
        <w:t>The Group excluded the dilutive effect of 2,666,031 SARs and 378,967 RSUs (June 30, 2018: 971,911 SARs and 0 RSUs) in calculating diluted EPS for the three and six months ended June 30, 2019, as they were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253" w:lineRule="exact"/>
        <w:rPr>
          <w:sz w:val="20"/>
          <w:szCs w:val="20"/>
          <w:color w:val="auto"/>
        </w:rPr>
      </w:pPr>
    </w:p>
    <w:p>
      <w:pPr>
        <w:ind w:right="220" w:firstLine="405"/>
        <w:spacing w:after="0" w:line="288" w:lineRule="auto"/>
        <w:rPr>
          <w:sz w:val="20"/>
          <w:szCs w:val="20"/>
          <w:color w:val="auto"/>
        </w:rPr>
      </w:pPr>
      <w:r>
        <w:rPr>
          <w:rFonts w:ascii="Arial" w:cs="Arial" w:eastAsia="Arial" w:hAnsi="Arial"/>
          <w:sz w:val="17"/>
          <w:szCs w:val="17"/>
          <w:color w:val="auto"/>
        </w:rPr>
        <w:t xml:space="preserve">On July 25, 2019, GasLog drew down $129,500 under the loan agreement with ABN AMRO BANK N.V. and Oversea-Chinese Banking Corporation Limited entered into on June 25, 2019 for the financing of the </w:t>
      </w:r>
      <w:r>
        <w:rPr>
          <w:rFonts w:ascii="Arial" w:cs="Arial" w:eastAsia="Arial" w:hAnsi="Arial"/>
          <w:sz w:val="17"/>
          <w:szCs w:val="17"/>
          <w:i w:val="1"/>
          <w:iCs w:val="1"/>
          <w:color w:val="auto"/>
        </w:rPr>
        <w:t>GasLog Warsaw</w:t>
      </w:r>
      <w:r>
        <w:rPr>
          <w:rFonts w:ascii="Arial" w:cs="Arial" w:eastAsia="Arial" w:hAnsi="Arial"/>
          <w:sz w:val="17"/>
          <w:szCs w:val="17"/>
          <w:color w:val="auto"/>
        </w:rPr>
        <w:t>.</w:t>
      </w:r>
    </w:p>
    <w:p>
      <w:pPr>
        <w:spacing w:after="0" w:line="187"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 xml:space="preserve">On July 31, 2019, GasLog took delivery of the </w:t>
      </w:r>
      <w:r>
        <w:rPr>
          <w:rFonts w:ascii="Arial" w:cs="Arial" w:eastAsia="Arial" w:hAnsi="Arial"/>
          <w:sz w:val="17"/>
          <w:szCs w:val="17"/>
          <w:i w:val="1"/>
          <w:iCs w:val="1"/>
          <w:color w:val="auto"/>
        </w:rPr>
        <w:t>GasLog Warsaw</w:t>
      </w:r>
      <w:r>
        <w:rPr>
          <w:rFonts w:ascii="Arial" w:cs="Arial" w:eastAsia="Arial" w:hAnsi="Arial"/>
          <w:sz w:val="17"/>
          <w:szCs w:val="17"/>
          <w:color w:val="auto"/>
        </w:rPr>
        <w:t>, a 180,000 cbm Mark III Flex Plus carrier with low pressure dual fuel two-stroke engine propulsion constructed by Samsung. Upon delivery, the vessel immediately commenced a time charter with a wholly-owned subsidiary of Cheniere Energy Inc. for the period prior to the commencement of its long-term charter with a subsidiary of Endesa S.A. in May 2021.</w:t>
      </w:r>
    </w:p>
    <w:p>
      <w:pPr>
        <w:spacing w:after="0" w:line="198" w:lineRule="exact"/>
        <w:rPr>
          <w:sz w:val="20"/>
          <w:szCs w:val="20"/>
          <w:color w:val="auto"/>
        </w:rPr>
      </w:pPr>
    </w:p>
    <w:p>
      <w:pPr>
        <w:ind w:right="480" w:firstLine="405"/>
        <w:spacing w:after="0" w:line="288" w:lineRule="auto"/>
        <w:rPr>
          <w:sz w:val="20"/>
          <w:szCs w:val="20"/>
          <w:color w:val="auto"/>
        </w:rPr>
      </w:pPr>
      <w:r>
        <w:rPr>
          <w:rFonts w:ascii="Arial" w:cs="Arial" w:eastAsia="Arial" w:hAnsi="Arial"/>
          <w:sz w:val="17"/>
          <w:szCs w:val="17"/>
          <w:color w:val="auto"/>
        </w:rPr>
        <w:t>On July 31, 2019, the board of directors declared a quarterly cash dividend of $0.15 per common share payable on August 22, 2019 to shareholders of record as of August 12,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646670"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212"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lowerLetter"/>
      <w:start w:val="2"/>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lvl w:ilvl="1">
      <w:lvlJc w:val="left"/>
      <w:lvlText w:val="(%2)"/>
      <w:numFmt w:val="lowerLetter"/>
      <w:start w:val="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Letter"/>
      <w:start w:val="3"/>
    </w:lvl>
  </w:abstractNum>
  <w:abstractNum w:abstractNumId="20">
    <w:nsid w:val="333AB105"/>
    <w:multiLevelType w:val="hybridMultilevel"/>
    <w:lvl w:ilvl="0">
      <w:lvlJc w:val="left"/>
      <w:lvlText w:val="(%1)"/>
      <w:numFmt w:val="lowerLetter"/>
      <w:start w:val="4"/>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 Type="http://schemas.openxmlformats.org/officeDocument/2006/relationships/hyperlink" Target="file:///data/convert/a19-12056_1ex99d1.htm#Exhibit99_1_033302" TargetMode="External"/><Relationship Id="rId11" Type="http://schemas.openxmlformats.org/officeDocument/2006/relationships/hyperlink" Target="file:///data/convert/a19-12056_1ex99d2.htm#Exhibit99_2_0541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2019-11-26T09:51:47Z</dcterms:created>
  <dcterms:modified xsi:type="dcterms:W3CDTF">2019-11-26T09:51:47Z</dcterms:modified>
</cp:coreProperties>
</file>