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11"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620"/>
        <w:spacing w:after="0"/>
        <w:rPr>
          <w:sz w:val="20"/>
          <w:szCs w:val="20"/>
          <w:color w:val="auto"/>
        </w:rPr>
      </w:pPr>
      <w:r>
        <w:rPr>
          <w:rFonts w:ascii="Arial" w:cs="Arial" w:eastAsia="Arial" w:hAnsi="Arial"/>
          <w:sz w:val="24"/>
          <w:szCs w:val="24"/>
          <w:b w:val="1"/>
          <w:bCs w:val="1"/>
          <w:color w:val="auto"/>
        </w:rPr>
        <w:t>SCHEDULE 13E-3</w:t>
      </w:r>
    </w:p>
    <w:p>
      <w:pPr>
        <w:spacing w:after="0" w:line="239"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(Amendment No. 3)</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RULE 13E-3 TRANSACTION STATEMENT</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960"/>
        <w:spacing w:after="0"/>
        <w:rPr>
          <w:sz w:val="20"/>
          <w:szCs w:val="20"/>
          <w:color w:val="auto"/>
        </w:rPr>
      </w:pPr>
      <w:r>
        <w:rPr>
          <w:rFonts w:ascii="Arial" w:cs="Arial" w:eastAsia="Arial" w:hAnsi="Arial"/>
          <w:sz w:val="24"/>
          <w:szCs w:val="24"/>
          <w:b w:val="1"/>
          <w:bCs w:val="1"/>
          <w:color w:val="auto"/>
        </w:rPr>
        <w:t>GasLog Ltd.</w:t>
      </w:r>
    </w:p>
    <w:p>
      <w:pPr>
        <w:spacing w:after="0" w:line="241" w:lineRule="exact"/>
        <w:rPr>
          <w:sz w:val="24"/>
          <w:szCs w:val="24"/>
          <w:color w:val="auto"/>
        </w:rPr>
      </w:pPr>
    </w:p>
    <w:p>
      <w:pPr>
        <w:ind w:left="5060"/>
        <w:spacing w:after="0"/>
        <w:rPr>
          <w:sz w:val="20"/>
          <w:szCs w:val="20"/>
          <w:color w:val="auto"/>
        </w:rPr>
      </w:pPr>
      <w:r>
        <w:rPr>
          <w:rFonts w:ascii="Arial" w:cs="Arial" w:eastAsia="Arial" w:hAnsi="Arial"/>
          <w:sz w:val="13"/>
          <w:szCs w:val="13"/>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143510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GasLog Ltd.</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Blenheim Holdings Ltd.</w:t>
      </w:r>
    </w:p>
    <w:p>
      <w:pPr>
        <w:jc w:val="center"/>
        <w:ind w:right="-1100"/>
        <w:spacing w:after="0"/>
        <w:rPr>
          <w:sz w:val="20"/>
          <w:szCs w:val="20"/>
          <w:color w:val="auto"/>
        </w:rPr>
      </w:pPr>
      <w:r>
        <w:rPr>
          <w:rFonts w:ascii="Arial" w:cs="Arial" w:eastAsia="Arial" w:hAnsi="Arial"/>
          <w:sz w:val="13"/>
          <w:szCs w:val="13"/>
          <w:b w:val="1"/>
          <w:bCs w:val="1"/>
          <w:color w:val="auto"/>
        </w:rPr>
        <w:t>Blenheim Special Investments Holding Ltd.</w:t>
      </w:r>
    </w:p>
    <w:p>
      <w:pPr>
        <w:jc w:val="center"/>
        <w:ind w:right="-1100"/>
        <w:spacing w:after="0"/>
        <w:rPr>
          <w:sz w:val="20"/>
          <w:szCs w:val="20"/>
          <w:color w:val="auto"/>
        </w:rPr>
      </w:pPr>
      <w:r>
        <w:rPr>
          <w:rFonts w:ascii="Arial" w:cs="Arial" w:eastAsia="Arial" w:hAnsi="Arial"/>
          <w:sz w:val="13"/>
          <w:szCs w:val="13"/>
          <w:b w:val="1"/>
          <w:bCs w:val="1"/>
          <w:color w:val="auto"/>
        </w:rPr>
        <w:t>Ceres Shipping Ltd.</w:t>
      </w:r>
    </w:p>
    <w:p>
      <w:pPr>
        <w:jc w:val="center"/>
        <w:ind w:right="-1100"/>
        <w:spacing w:after="0"/>
        <w:rPr>
          <w:sz w:val="20"/>
          <w:szCs w:val="20"/>
          <w:color w:val="auto"/>
        </w:rPr>
      </w:pPr>
      <w:r>
        <w:rPr>
          <w:rFonts w:ascii="Arial" w:cs="Arial" w:eastAsia="Arial" w:hAnsi="Arial"/>
          <w:sz w:val="13"/>
          <w:szCs w:val="13"/>
          <w:b w:val="1"/>
          <w:bCs w:val="1"/>
          <w:color w:val="auto"/>
        </w:rPr>
        <w:t>Peter G. Livanos</w:t>
      </w:r>
    </w:p>
    <w:p>
      <w:pPr>
        <w:jc w:val="center"/>
        <w:ind w:right="-1100"/>
        <w:spacing w:after="0"/>
        <w:rPr>
          <w:sz w:val="20"/>
          <w:szCs w:val="20"/>
          <w:color w:val="auto"/>
        </w:rPr>
      </w:pPr>
      <w:r>
        <w:rPr>
          <w:rFonts w:ascii="Arial" w:cs="Arial" w:eastAsia="Arial" w:hAnsi="Arial"/>
          <w:sz w:val="13"/>
          <w:szCs w:val="13"/>
          <w:b w:val="1"/>
          <w:bCs w:val="1"/>
          <w:color w:val="auto"/>
        </w:rPr>
        <w:t>Olympic LNG Investments Ltd.</w:t>
      </w:r>
    </w:p>
    <w:p>
      <w:pPr>
        <w:jc w:val="center"/>
        <w:ind w:right="-1100"/>
        <w:spacing w:after="0"/>
        <w:rPr>
          <w:sz w:val="20"/>
          <w:szCs w:val="20"/>
          <w:color w:val="auto"/>
        </w:rPr>
      </w:pPr>
      <w:r>
        <w:rPr>
          <w:rFonts w:ascii="Arial" w:cs="Arial" w:eastAsia="Arial" w:hAnsi="Arial"/>
          <w:sz w:val="13"/>
          <w:szCs w:val="13"/>
          <w:b w:val="1"/>
          <w:bCs w:val="1"/>
          <w:color w:val="auto"/>
        </w:rPr>
        <w:t>GEPIF III Crown Bidco L.P.</w:t>
      </w:r>
    </w:p>
    <w:p>
      <w:pPr>
        <w:jc w:val="center"/>
        <w:ind w:right="-1100"/>
        <w:spacing w:after="0"/>
        <w:rPr>
          <w:sz w:val="20"/>
          <w:szCs w:val="20"/>
          <w:color w:val="auto"/>
        </w:rPr>
      </w:pPr>
      <w:r>
        <w:rPr>
          <w:rFonts w:ascii="Arial" w:cs="Arial" w:eastAsia="Arial" w:hAnsi="Arial"/>
          <w:sz w:val="13"/>
          <w:szCs w:val="13"/>
          <w:b w:val="1"/>
          <w:bCs w:val="1"/>
          <w:color w:val="auto"/>
        </w:rPr>
        <w:t>GEPIF III Crown MergerCo Limited</w:t>
      </w:r>
    </w:p>
    <w:p>
      <w:pPr>
        <w:jc w:val="center"/>
        <w:ind w:right="-1100"/>
        <w:spacing w:after="0"/>
        <w:rPr>
          <w:sz w:val="20"/>
          <w:szCs w:val="20"/>
          <w:color w:val="auto"/>
        </w:rPr>
      </w:pPr>
      <w:r>
        <w:rPr>
          <w:rFonts w:ascii="Arial" w:cs="Arial" w:eastAsia="Arial" w:hAnsi="Arial"/>
          <w:sz w:val="13"/>
          <w:szCs w:val="13"/>
          <w:b w:val="1"/>
          <w:bCs w:val="1"/>
          <w:color w:val="auto"/>
        </w:rPr>
        <w:t>Global Energy &amp; Power Infrastructure Fund III, L.P.</w:t>
      </w:r>
    </w:p>
    <w:p>
      <w:pPr>
        <w:jc w:val="center"/>
        <w:ind w:right="-1100"/>
        <w:spacing w:after="0"/>
        <w:rPr>
          <w:sz w:val="20"/>
          <w:szCs w:val="20"/>
          <w:color w:val="auto"/>
        </w:rPr>
      </w:pPr>
      <w:r>
        <w:rPr>
          <w:rFonts w:ascii="Arial" w:cs="Arial" w:eastAsia="Arial" w:hAnsi="Arial"/>
          <w:sz w:val="13"/>
          <w:szCs w:val="13"/>
          <w:b w:val="1"/>
          <w:bCs w:val="1"/>
          <w:color w:val="auto"/>
        </w:rPr>
        <w:t>(Name of Persons Filing Statement)</w:t>
      </w:r>
    </w:p>
    <w:p>
      <w:pPr>
        <w:spacing w:after="0" w:line="201" w:lineRule="exact"/>
        <w:rPr>
          <w:sz w:val="24"/>
          <w:szCs w:val="24"/>
          <w:color w:val="auto"/>
        </w:rPr>
      </w:pPr>
    </w:p>
    <w:tbl>
      <w:tblPr>
        <w:tblLayout w:type="fixed"/>
        <w:tblInd w:w="2260" w:type="dxa"/>
        <w:tblCellMar>
          <w:top w:w="0" w:type="dxa"/>
          <w:left w:w="0" w:type="dxa"/>
          <w:bottom w:w="0" w:type="dxa"/>
          <w:right w:w="0" w:type="dxa"/>
        </w:tblCellMar>
      </w:tblPr>
      <w:tr>
        <w:trPr>
          <w:trHeight w:val="151"/>
        </w:trPr>
        <w:tc>
          <w:tcPr>
            <w:tcW w:w="2080" w:type="dxa"/>
            <w:vAlign w:val="bottom"/>
          </w:tcPr>
          <w:p>
            <w:pPr>
              <w:spacing w:after="0"/>
              <w:rPr>
                <w:sz w:val="13"/>
                <w:szCs w:val="13"/>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3"/>
              </w:rPr>
              <w:t>Common Shares, par value $0.01 per share</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color w:val="auto"/>
                <w:w w:val="95"/>
              </w:rPr>
              <w:t>(Title of Class of Securities)</w:t>
            </w:r>
          </w:p>
        </w:tc>
      </w:tr>
      <w:tr>
        <w:trPr>
          <w:trHeight w:val="341"/>
        </w:trPr>
        <w:tc>
          <w:tcPr>
            <w:tcW w:w="2080" w:type="dxa"/>
            <w:vAlign w:val="bottom"/>
          </w:tcPr>
          <w:p>
            <w:pPr>
              <w:spacing w:after="0"/>
              <w:rPr>
                <w:sz w:val="24"/>
                <w:szCs w:val="2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4"/>
              </w:rPr>
              <w:t>G37585109</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13"/>
              <w:spacing w:after="0"/>
              <w:rPr>
                <w:sz w:val="20"/>
                <w:szCs w:val="20"/>
                <w:color w:val="auto"/>
              </w:rPr>
            </w:pPr>
            <w:r>
              <w:rPr>
                <w:rFonts w:ascii="Arial" w:cs="Arial" w:eastAsia="Arial" w:hAnsi="Arial"/>
                <w:sz w:val="13"/>
                <w:szCs w:val="13"/>
                <w:color w:val="auto"/>
                <w:w w:val="95"/>
              </w:rPr>
              <w:t>(CUSIP Number of Class of Securities)</w:t>
            </w:r>
          </w:p>
        </w:tc>
      </w:tr>
      <w:tr>
        <w:trPr>
          <w:trHeight w:val="33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GasLog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Blenheim Holdings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Alexandros Laios, General Counsel</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Blenheim Special Investments Holding Ltd.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c/o GasLog LNG Services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Ceres Shipping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69 Akti Miaouli</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Peter G. Livanos</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18537 Piraeus</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c/o Ceres Monaco SAM</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0"/>
              </w:rPr>
              <w:t>Greece</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Gildo Pastor Center</w:t>
            </w:r>
          </w:p>
        </w:tc>
      </w:tr>
      <w:tr>
        <w:trPr>
          <w:trHeight w:val="148"/>
        </w:trPr>
        <w:tc>
          <w:tcPr>
            <w:tcW w:w="2080" w:type="dxa"/>
            <w:vAlign w:val="bottom"/>
          </w:tcPr>
          <w:p>
            <w:pPr>
              <w:jc w:val="right"/>
              <w:ind w:right="493"/>
              <w:spacing w:after="0"/>
              <w:rPr>
                <w:sz w:val="20"/>
                <w:szCs w:val="20"/>
                <w:color w:val="auto"/>
              </w:rPr>
            </w:pPr>
            <w:r>
              <w:rPr>
                <w:rFonts w:ascii="Arial" w:cs="Arial" w:eastAsia="Arial" w:hAnsi="Arial"/>
                <w:sz w:val="13"/>
                <w:szCs w:val="13"/>
                <w:b w:val="1"/>
                <w:bCs w:val="1"/>
                <w:color w:val="auto"/>
              </w:rPr>
              <w:t>+30 210 459 1000</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7"/>
              </w:rPr>
              <w:t>7 rue du Gabian</w:t>
            </w:r>
          </w:p>
        </w:tc>
      </w:tr>
      <w:tr>
        <w:trPr>
          <w:trHeight w:val="149"/>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98000 Monaco</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33"/>
              <w:spacing w:after="0"/>
              <w:rPr>
                <w:sz w:val="20"/>
                <w:szCs w:val="20"/>
                <w:color w:val="auto"/>
              </w:rPr>
            </w:pPr>
            <w:r>
              <w:rPr>
                <w:rFonts w:ascii="Arial" w:cs="Arial" w:eastAsia="Arial" w:hAnsi="Arial"/>
                <w:sz w:val="13"/>
                <w:szCs w:val="13"/>
                <w:b w:val="1"/>
                <w:bCs w:val="1"/>
                <w:color w:val="auto"/>
              </w:rPr>
              <w:t>+377 9797 0606</w:t>
            </w:r>
          </w:p>
        </w:tc>
      </w:tr>
      <w:tr>
        <w:trPr>
          <w:trHeight w:val="366"/>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6"/>
              </w:rPr>
              <w:t>Olympic LNG Investments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8"/>
              </w:rPr>
              <w:t>Global Energy &amp; Power Infrastructure Fund III,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c/o ASOFIN Management AG</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9"/>
              </w:rPr>
              <w:t>GEPIF III Crown Bidco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Heiligkreuz 2, FL-9490 Vaduz</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rPr>
              <w:t>GEPIF III Crown MergerCo Limited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Liechtenstein</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One Lafayette Place</w:t>
            </w:r>
          </w:p>
        </w:tc>
      </w:tr>
      <w:tr>
        <w:trPr>
          <w:trHeight w:val="148"/>
        </w:trPr>
        <w:tc>
          <w:tcPr>
            <w:tcW w:w="2080" w:type="dxa"/>
            <w:vAlign w:val="bottom"/>
          </w:tcPr>
          <w:p>
            <w:pPr>
              <w:jc w:val="right"/>
              <w:ind w:right="553"/>
              <w:spacing w:after="0"/>
              <w:rPr>
                <w:sz w:val="20"/>
                <w:szCs w:val="20"/>
                <w:color w:val="auto"/>
              </w:rPr>
            </w:pPr>
            <w:r>
              <w:rPr>
                <w:rFonts w:ascii="Arial" w:cs="Arial" w:eastAsia="Arial" w:hAnsi="Arial"/>
                <w:sz w:val="13"/>
                <w:szCs w:val="13"/>
                <w:b w:val="1"/>
                <w:bCs w:val="1"/>
                <w:color w:val="auto"/>
              </w:rPr>
              <w:t>+423-237 48 03</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Greenwich, CT 06830</w:t>
            </w:r>
          </w:p>
        </w:tc>
      </w:tr>
      <w:tr>
        <w:trPr>
          <w:trHeight w:val="148"/>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U.S.A.</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13"/>
              <w:spacing w:after="0"/>
              <w:rPr>
                <w:sz w:val="20"/>
                <w:szCs w:val="20"/>
                <w:color w:val="auto"/>
              </w:rPr>
            </w:pPr>
            <w:r>
              <w:rPr>
                <w:rFonts w:ascii="Arial" w:cs="Arial" w:eastAsia="Arial" w:hAnsi="Arial"/>
                <w:sz w:val="13"/>
                <w:szCs w:val="13"/>
                <w:b w:val="1"/>
                <w:bCs w:val="1"/>
                <w:color w:val="auto"/>
              </w:rPr>
              <w:t>+1 203 863 6000</w:t>
            </w:r>
          </w:p>
        </w:tc>
      </w:tr>
    </w:tbl>
    <w:p>
      <w:pPr>
        <w:spacing w:after="0" w:line="219" w:lineRule="exact"/>
        <w:rPr>
          <w:sz w:val="24"/>
          <w:szCs w:val="24"/>
          <w:color w:val="auto"/>
        </w:rPr>
      </w:pPr>
    </w:p>
    <w:p>
      <w:pPr>
        <w:ind w:left="3640"/>
        <w:spacing w:after="0"/>
        <w:rPr>
          <w:sz w:val="20"/>
          <w:szCs w:val="20"/>
          <w:color w:val="auto"/>
        </w:rPr>
      </w:pPr>
      <w:r>
        <w:rPr>
          <w:rFonts w:ascii="Arial" w:cs="Arial" w:eastAsia="Arial" w:hAnsi="Arial"/>
          <w:sz w:val="13"/>
          <w:szCs w:val="13"/>
          <w:color w:val="auto"/>
        </w:rPr>
        <w:t>(Name, Address and Telephone Number of Person Authorized to Receive</w:t>
      </w:r>
    </w:p>
    <w:p>
      <w:pPr>
        <w:spacing w:after="0" w:line="11" w:lineRule="exact"/>
        <w:rPr>
          <w:sz w:val="24"/>
          <w:szCs w:val="24"/>
          <w:color w:val="auto"/>
        </w:rPr>
      </w:pPr>
    </w:p>
    <w:p>
      <w:pPr>
        <w:ind w:left="3620"/>
        <w:spacing w:after="0"/>
        <w:rPr>
          <w:sz w:val="20"/>
          <w:szCs w:val="20"/>
          <w:color w:val="auto"/>
        </w:rPr>
      </w:pPr>
      <w:r>
        <w:rPr>
          <w:rFonts w:ascii="Arial" w:cs="Arial" w:eastAsia="Arial" w:hAnsi="Arial"/>
          <w:sz w:val="13"/>
          <w:szCs w:val="13"/>
          <w:color w:val="auto"/>
        </w:rPr>
        <w:t>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0"/>
              </w:rPr>
              <w:t>With a copy to:</w:t>
            </w:r>
          </w:p>
        </w:tc>
        <w:tc>
          <w:tcPr>
            <w:tcW w:w="2660" w:type="dxa"/>
            <w:vAlign w:val="bottom"/>
          </w:tcPr>
          <w:p>
            <w:pPr>
              <w:spacing w:after="0"/>
              <w:rPr>
                <w:sz w:val="14"/>
                <w:szCs w:val="14"/>
                <w:color w:val="auto"/>
              </w:rPr>
            </w:pPr>
          </w:p>
        </w:tc>
      </w:tr>
      <w:tr>
        <w:trPr>
          <w:trHeight w:val="33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Erik R. Tavzel,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6"/>
              </w:rPr>
              <w:t>Owen Clay</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6"/>
              </w:rPr>
              <w:t>Christopher R. May, Esq.</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2"/>
              </w:rPr>
              <w:t>D. Scott Bennett,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rPr>
              <w:t>Linklaters LLP</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7"/>
              </w:rPr>
              <w:t>Simpson Thacher &amp; Bartlett LLP</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6"/>
              </w:rPr>
              <w:t>Andrew C. Elken,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One Silk Street</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3"/>
              </w:rPr>
              <w:t>600 Travis Street, Suite 5400</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8"/>
              </w:rPr>
              <w:t>Cravath, Swaine &amp; Moore LLP</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8"/>
              </w:rPr>
              <w:t>London, EC2Y 8HQ</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0"/>
              </w:rPr>
              <w:t>Houston, Texas 77002</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Worldwide Plaza</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United Kingdom</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5"/>
              </w:rPr>
              <w:t>+1 (713) 821-5666</w:t>
            </w:r>
          </w:p>
        </w:tc>
      </w:tr>
      <w:tr>
        <w:trPr>
          <w:trHeight w:val="148"/>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2"/>
              </w:rPr>
              <w:t>825 Eighth Avenue</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+44 20 7456 3230</w:t>
            </w:r>
          </w:p>
        </w:tc>
        <w:tc>
          <w:tcPr>
            <w:tcW w:w="2660" w:type="dxa"/>
            <w:vAlign w:val="bottom"/>
          </w:tcPr>
          <w:p>
            <w:pPr>
              <w:spacing w:after="0"/>
              <w:rPr>
                <w:sz w:val="12"/>
                <w:szCs w:val="12"/>
                <w:color w:val="auto"/>
              </w:rPr>
            </w:pP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New York, New York 10019</w:t>
            </w:r>
          </w:p>
        </w:tc>
        <w:tc>
          <w:tcPr>
            <w:tcW w:w="284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74"/>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+1 (212) 474-1000</w:t>
            </w: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03"/>
        </w:trPr>
        <w:tc>
          <w:tcPr>
            <w:tcW w:w="258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bl>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This statement is filed in connection with (check the appropriate box):</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2"/>
          <w:szCs w:val="12"/>
          <w:color w:val="auto"/>
        </w:rPr>
        <w:t>oThe filing of solicitation materials or an information statement subject to Regulation 14A, Regulation 14C or Rule 13e-3(c) under the Securities Exchange Act of 1934.</w:t>
      </w:r>
    </w:p>
    <w:p>
      <w:pPr>
        <w:spacing w:after="0" w:line="22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oThe filing of a registration statement under the Securities Act of 1933.</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oA tender offer.</w:t>
      </w:r>
    </w:p>
    <w:p>
      <w:pPr>
        <w:sectPr>
          <w:pgSz w:w="11900" w:h="16838" w:orient="portrait"/>
          <w:cols w:equalWidth="0" w:num="1">
            <w:col w:w="10139"/>
          </w:cols>
          <w:pgMar w:left="320" w:top="469" w:right="1440" w:bottom="0" w:gutter="0" w:footer="0" w:header="0"/>
        </w:sectPr>
      </w:pPr>
    </w:p>
    <w:bookmarkStart w:id="1" w:name="page2"/>
    <w:bookmarkEnd w:id="1"/>
    <w:p>
      <w:pPr>
        <w:ind w:left="5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None of the above.</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soliciting materials or information statement referred to in checking box (a) are preliminary copies: o</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Check the following box if the filing is a final amendment reporting the results of the transaction: 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161925</wp:posOffset>
            </wp:positionV>
            <wp:extent cx="257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179070</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63" w:lineRule="exact"/>
        <w:rPr>
          <w:sz w:val="20"/>
          <w:szCs w:val="20"/>
          <w:color w:val="auto"/>
        </w:rPr>
      </w:pPr>
    </w:p>
    <w:p>
      <w:pPr>
        <w:ind w:left="3900"/>
        <w:spacing w:after="0"/>
        <w:tabs>
          <w:tab w:leader="none" w:pos="5980" w:val="left"/>
        </w:tabs>
        <w:rPr>
          <w:sz w:val="20"/>
          <w:szCs w:val="20"/>
          <w:color w:val="auto"/>
        </w:rPr>
      </w:pPr>
      <w:r>
        <w:rPr>
          <w:rFonts w:ascii="Arial" w:cs="Arial" w:eastAsia="Arial" w:hAnsi="Arial"/>
          <w:sz w:val="13"/>
          <w:szCs w:val="13"/>
          <w:b w:val="1"/>
          <w:bCs w:val="1"/>
          <w:color w:val="auto"/>
        </w:rPr>
        <w:t>Transaction Valuation*</w:t>
      </w:r>
      <w:r>
        <w:rPr>
          <w:sz w:val="20"/>
          <w:szCs w:val="20"/>
          <w:color w:val="auto"/>
        </w:rPr>
        <w:tab/>
      </w:r>
      <w:r>
        <w:rPr>
          <w:rFonts w:ascii="Arial" w:cs="Arial" w:eastAsia="Arial" w:hAnsi="Arial"/>
          <w:sz w:val="12"/>
          <w:szCs w:val="12"/>
          <w:b w:val="1"/>
          <w:bCs w:val="1"/>
          <w:color w:val="auto"/>
        </w:rPr>
        <w:t>Amount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2571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2" w:lineRule="exact"/>
        <w:rPr>
          <w:sz w:val="20"/>
          <w:szCs w:val="20"/>
          <w:color w:val="auto"/>
        </w:rPr>
      </w:pPr>
    </w:p>
    <w:p>
      <w:pPr>
        <w:ind w:left="4120"/>
        <w:spacing w:after="0"/>
        <w:tabs>
          <w:tab w:leader="none" w:pos="6360" w:val="left"/>
        </w:tabs>
        <w:rPr>
          <w:sz w:val="20"/>
          <w:szCs w:val="20"/>
          <w:color w:val="auto"/>
        </w:rPr>
      </w:pPr>
      <w:r>
        <w:rPr>
          <w:rFonts w:ascii="Arial" w:cs="Arial" w:eastAsia="Arial" w:hAnsi="Arial"/>
          <w:sz w:val="13"/>
          <w:szCs w:val="13"/>
          <w:color w:val="auto"/>
        </w:rPr>
        <w:t>$253,528,387.80</w:t>
      </w:r>
      <w:r>
        <w:rPr>
          <w:sz w:val="20"/>
          <w:szCs w:val="20"/>
          <w:color w:val="auto"/>
        </w:rPr>
        <w:tab/>
      </w:r>
      <w:r>
        <w:rPr>
          <w:rFonts w:ascii="Arial" w:cs="Arial" w:eastAsia="Arial" w:hAnsi="Arial"/>
          <w:sz w:val="11"/>
          <w:szCs w:val="11"/>
          <w:color w:val="auto"/>
        </w:rPr>
        <w:t>$27,659.95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571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40640</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9" w:lineRule="exact"/>
        <w:rPr>
          <w:sz w:val="20"/>
          <w:szCs w:val="20"/>
          <w:color w:val="auto"/>
        </w:rPr>
      </w:pPr>
    </w:p>
    <w:p>
      <w:pPr>
        <w:jc w:val="both"/>
        <w:ind w:left="540" w:hanging="532"/>
        <w:spacing w:after="0" w:line="24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 (c) together, the “</w:t>
      </w:r>
      <w:r>
        <w:rPr>
          <w:rFonts w:ascii="Arial" w:cs="Arial" w:eastAsia="Arial" w:hAnsi="Arial"/>
          <w:sz w:val="13"/>
          <w:szCs w:val="13"/>
          <w:i w:val="1"/>
          <w:iCs w:val="1"/>
          <w:color w:val="auto"/>
        </w:rPr>
        <w:t>Transaction Value</w:t>
      </w:r>
      <w:r>
        <w:rPr>
          <w:rFonts w:ascii="Arial" w:cs="Arial" w:eastAsia="Arial" w:hAnsi="Arial"/>
          <w:sz w:val="13"/>
          <w:szCs w:val="13"/>
          <w:color w:val="auto"/>
        </w:rPr>
        <w:t>”).</w:t>
      </w:r>
    </w:p>
    <w:p>
      <w:pPr>
        <w:spacing w:after="0" w:line="108" w:lineRule="exact"/>
        <w:rPr>
          <w:sz w:val="20"/>
          <w:szCs w:val="20"/>
          <w:color w:val="auto"/>
        </w:rPr>
      </w:pPr>
    </w:p>
    <w:p>
      <w:pPr>
        <w:ind w:left="540" w:hanging="532"/>
        <w:spacing w:after="0" w:line="27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91" w:lineRule="exact"/>
        <w:rPr>
          <w:sz w:val="20"/>
          <w:szCs w:val="20"/>
          <w:color w:val="auto"/>
        </w:rPr>
      </w:pPr>
    </w:p>
    <w:p>
      <w:pPr>
        <w:ind w:left="540" w:right="20" w:hanging="532"/>
        <w:spacing w:after="0" w:line="274"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35"/>
        <w:spacing w:after="0" w:line="282" w:lineRule="auto"/>
        <w:rPr>
          <w:sz w:val="20"/>
          <w:szCs w:val="20"/>
          <w:color w:val="auto"/>
        </w:rPr>
      </w:pPr>
      <w:r>
        <w:rPr>
          <w:rFonts w:ascii="Arial" w:cs="Arial" w:eastAsia="Arial" w:hAnsi="Arial"/>
          <w:sz w:val="16"/>
          <w:szCs w:val="16"/>
          <w:color w:val="auto"/>
        </w:rPr>
        <w:t>This Amendment No. 3 to Rule 13E-3 Transaction Statement on Schedule 13E-3, together with the exhibits hereto (this “</w:t>
      </w:r>
      <w:r>
        <w:rPr>
          <w:rFonts w:ascii="Arial" w:cs="Arial" w:eastAsia="Arial" w:hAnsi="Arial"/>
          <w:sz w:val="16"/>
          <w:szCs w:val="16"/>
          <w:u w:val="single" w:color="auto"/>
          <w:color w:val="auto"/>
        </w:rPr>
        <w:t>Schedule 13E-3</w:t>
      </w:r>
      <w:r>
        <w:rPr>
          <w:rFonts w:ascii="Arial" w:cs="Arial" w:eastAsia="Arial" w:hAnsi="Arial"/>
          <w:sz w:val="16"/>
          <w:szCs w:val="16"/>
          <w:color w:val="auto"/>
        </w:rPr>
        <w:t>” or this “</w:t>
      </w:r>
      <w:r>
        <w:rPr>
          <w:rFonts w:ascii="Arial" w:cs="Arial" w:eastAsia="Arial" w:hAnsi="Arial"/>
          <w:sz w:val="16"/>
          <w:szCs w:val="16"/>
          <w:u w:val="single" w:color="auto"/>
          <w:color w:val="auto"/>
        </w:rPr>
        <w:t>Transaction Statement</w:t>
      </w:r>
      <w:r>
        <w:rPr>
          <w:rFonts w:ascii="Arial" w:cs="Arial" w:eastAsia="Arial" w:hAnsi="Arial"/>
          <w:sz w:val="16"/>
          <w:szCs w:val="16"/>
          <w:color w:val="auto"/>
        </w:rPr>
        <w:t>”), is being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Section 13(e) of the Securities Exchange Act of 1934, as amended (together with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by: (i)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(ii)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(iii)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(iv) Global Energy &amp; Power Infrastructure Fund III, L.P., a Cayman Islands exempted limited partnership (“</w:t>
      </w:r>
      <w:r>
        <w:rPr>
          <w:rFonts w:ascii="Arial" w:cs="Arial" w:eastAsia="Arial" w:hAnsi="Arial"/>
          <w:sz w:val="16"/>
          <w:szCs w:val="16"/>
          <w:u w:val="single" w:color="auto"/>
          <w:color w:val="auto"/>
        </w:rPr>
        <w:t>GEPIF III</w:t>
      </w:r>
      <w:r>
        <w:rPr>
          <w:rFonts w:ascii="Arial" w:cs="Arial" w:eastAsia="Arial" w:hAnsi="Arial"/>
          <w:sz w:val="16"/>
          <w:szCs w:val="16"/>
          <w:color w:val="auto"/>
        </w:rPr>
        <w:t>”), (v) Blenheim Holdings Ltd., a Bermuda exempted company (“</w:t>
      </w:r>
      <w:r>
        <w:rPr>
          <w:rFonts w:ascii="Arial" w:cs="Arial" w:eastAsia="Arial" w:hAnsi="Arial"/>
          <w:sz w:val="16"/>
          <w:szCs w:val="16"/>
          <w:u w:val="single" w:color="auto"/>
          <w:color w:val="auto"/>
        </w:rPr>
        <w:t>Blenheim Holdings</w:t>
      </w:r>
      <w:r>
        <w:rPr>
          <w:rFonts w:ascii="Arial" w:cs="Arial" w:eastAsia="Arial" w:hAnsi="Arial"/>
          <w:sz w:val="16"/>
          <w:szCs w:val="16"/>
          <w:color w:val="auto"/>
        </w:rPr>
        <w:t>”), (vi) Blenheim Special Investments Holding Ltd., a Bermuda exempted company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(vii) Ceres Shipping Ltd., a Bermuda exempted company,</w:t>
      </w:r>
    </w:p>
    <w:p>
      <w:pPr>
        <w:spacing w:after="0" w:line="5" w:lineRule="exact"/>
        <w:rPr>
          <w:sz w:val="20"/>
          <w:szCs w:val="20"/>
          <w:color w:val="auto"/>
        </w:rPr>
      </w:pPr>
    </w:p>
    <w:p>
      <w:pPr>
        <w:ind w:firstLine="8"/>
        <w:spacing w:after="0" w:line="260"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Peter G. Livanos and (ix) Olympic LNG Investments Ltd., a Bermuda exempted company (“</w:t>
      </w:r>
      <w:r>
        <w:rPr>
          <w:rFonts w:ascii="Arial" w:cs="Arial" w:eastAsia="Arial" w:hAnsi="Arial"/>
          <w:sz w:val="18"/>
          <w:szCs w:val="18"/>
          <w:u w:val="single" w:color="auto"/>
          <w:color w:val="auto"/>
        </w:rPr>
        <w:t>Olympic</w:t>
      </w:r>
      <w:r>
        <w:rPr>
          <w:rFonts w:ascii="Arial" w:cs="Arial" w:eastAsia="Arial" w:hAnsi="Arial"/>
          <w:sz w:val="18"/>
          <w:szCs w:val="18"/>
          <w:color w:val="auto"/>
        </w:rPr>
        <w:t>”) (each of (i) through (ix) a “</w:t>
      </w:r>
      <w:r>
        <w:rPr>
          <w:rFonts w:ascii="Arial" w:cs="Arial" w:eastAsia="Arial" w:hAnsi="Arial"/>
          <w:sz w:val="18"/>
          <w:szCs w:val="18"/>
          <w:u w:val="single" w:color="auto"/>
          <w:color w:val="auto"/>
        </w:rPr>
        <w:t>Filing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Filing Persons</w:t>
      </w:r>
      <w:r>
        <w:rPr>
          <w:rFonts w:ascii="Arial" w:cs="Arial" w:eastAsia="Arial" w:hAnsi="Arial"/>
          <w:sz w:val="18"/>
          <w:szCs w:val="18"/>
          <w:color w:val="auto"/>
        </w:rPr>
        <w:t>”).</w:t>
      </w:r>
    </w:p>
    <w:p>
      <w:pPr>
        <w:spacing w:after="0" w:line="193" w:lineRule="exact"/>
        <w:rPr>
          <w:sz w:val="20"/>
          <w:szCs w:val="20"/>
          <w:color w:val="auto"/>
        </w:rPr>
      </w:pPr>
    </w:p>
    <w:p>
      <w:pPr>
        <w:jc w:val="both"/>
        <w:ind w:firstLine="368"/>
        <w:spacing w:after="0" w:line="284"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(subsequently amended on April 20, 2021 and as it may be further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to be entered into by the Company and Merger Sub and</w:t>
      </w:r>
    </w:p>
    <w:p>
      <w:pPr>
        <w:spacing w:after="0" w:line="1" w:lineRule="exact"/>
        <w:rPr>
          <w:sz w:val="20"/>
          <w:szCs w:val="20"/>
          <w:color w:val="auto"/>
        </w:rPr>
      </w:pPr>
    </w:p>
    <w:p>
      <w:pPr>
        <w:jc w:val="both"/>
        <w:ind w:firstLine="8"/>
        <w:spacing w:after="0" w:line="290" w:lineRule="auto"/>
        <w:tabs>
          <w:tab w:leader="none" w:pos="26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Rollover Agreement, dated as of February 21, 2021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(such persons, other than Parent and the Company,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Pursuant to, and subject to the terms and conditions of, the Merger Agreement and the Statutory Merger Agreement, if each of the conditions to closing set forth in the Merger Agreement are either satisfied or, to the extent permitted, waived,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2"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5"/>
          <w:szCs w:val="15"/>
          <w:color w:val="auto"/>
        </w:rPr>
        <w:t>Upon completion of the Merger, each common share of the Company, par value $0.01 per share (each, a “</w:t>
      </w:r>
      <w:r>
        <w:rPr>
          <w:rFonts w:ascii="Arial" w:cs="Arial" w:eastAsia="Arial" w:hAnsi="Arial"/>
          <w:sz w:val="15"/>
          <w:szCs w:val="15"/>
          <w:u w:val="single" w:color="auto"/>
          <w:color w:val="auto"/>
        </w:rPr>
        <w:t>Company Common Share</w:t>
      </w:r>
      <w:r>
        <w:rPr>
          <w:rFonts w:ascii="Arial" w:cs="Arial" w:eastAsia="Arial" w:hAnsi="Arial"/>
          <w:sz w:val="15"/>
          <w:szCs w:val="15"/>
          <w:color w:val="auto"/>
        </w:rPr>
        <w:t>”), that is issued and outstanding at the effective time of the Merger (the “</w:t>
      </w:r>
      <w:r>
        <w:rPr>
          <w:rFonts w:ascii="Arial" w:cs="Arial" w:eastAsia="Arial" w:hAnsi="Arial"/>
          <w:sz w:val="15"/>
          <w:szCs w:val="15"/>
          <w:u w:val="single" w:color="auto"/>
          <w:color w:val="auto"/>
        </w:rPr>
        <w:t>Effective Time</w:t>
      </w:r>
      <w:r>
        <w:rPr>
          <w:rFonts w:ascii="Arial" w:cs="Arial" w:eastAsia="Arial" w:hAnsi="Arial"/>
          <w:sz w:val="15"/>
          <w:szCs w:val="15"/>
          <w:color w:val="auto"/>
        </w:rPr>
        <w:t>”) (other than Company Common Shares held by (a) the Company or any of its wholly owned subsidiaries, (b) the Company as treasury shares or (c) the Rolling Shareholders), will be cancelled and converted into the right to receive $5.80, in cash, without interest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Upon completion of the Merger, each of the Company’s 8.75% Series A Cumulative Redeemable Perpetual Preference Shares, par value $0.01 per share (each, a “</w:t>
      </w:r>
      <w:r>
        <w:rPr>
          <w:rFonts w:ascii="Arial" w:cs="Arial" w:eastAsia="Arial" w:hAnsi="Arial"/>
          <w:sz w:val="15"/>
          <w:szCs w:val="15"/>
          <w:u w:val="single" w:color="auto"/>
          <w:color w:val="auto"/>
        </w:rPr>
        <w:t>Company Preference Share</w:t>
      </w:r>
      <w:r>
        <w:rPr>
          <w:rFonts w:ascii="Arial" w:cs="Arial" w:eastAsia="Arial" w:hAnsi="Arial"/>
          <w:sz w:val="15"/>
          <w:szCs w:val="15"/>
          <w:color w:val="auto"/>
        </w:rPr>
        <w:t>”) that is issued and outstanding at the Effective Time will remain issued and outstanding and convert automatically into a preference share of the Surviving Company (each, a “</w:t>
      </w:r>
      <w:r>
        <w:rPr>
          <w:rFonts w:ascii="Arial" w:cs="Arial" w:eastAsia="Arial" w:hAnsi="Arial"/>
          <w:sz w:val="15"/>
          <w:szCs w:val="15"/>
          <w:u w:val="single" w:color="auto"/>
          <w:color w:val="auto"/>
        </w:rPr>
        <w:t>Surviving Company Preference Share</w:t>
      </w:r>
      <w:r>
        <w:rPr>
          <w:rFonts w:ascii="Arial" w:cs="Arial" w:eastAsia="Arial" w:hAnsi="Arial"/>
          <w:sz w:val="15"/>
          <w:szCs w:val="15"/>
          <w:color w:val="auto"/>
        </w:rPr>
        <w:t>”), and be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 Following the Merger, the Rolling Shareholders will own approximately 55% of the Surviving Company’s common shares and Parent will own approximately 45% of the Surviving Company’s common shares. Following the Merger, the Surviving Company will use its reasonable best efforts to cause the Company Common Shares to be de-listed from the New York Stock Exchange and de-registered under the Exchange Act as soon as reasonably practicable following the Effective Time.</w:t>
      </w:r>
    </w:p>
    <w:p>
      <w:pPr>
        <w:spacing w:after="0" w:line="169"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Pursuant to the Rollover Agreement, each Rolling Shareholder has agreed that (a) each Company Common Share that is issued and outstanding prior to the Effective Time and owned by it will remain outstanding and convert automatically into one duly authorized, validly issued and fully paid and nonassessable common share, par value $0.01 per share, of the Surviving Company and (b) each Company Preference Share that is issued and outstanding prior to the Effective Time and owned by it will remain outstanding and convert automatically into a Surviving Company Preference Share, and has waived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94" w:lineRule="auto"/>
        <w:rPr>
          <w:sz w:val="20"/>
          <w:szCs w:val="20"/>
          <w:color w:val="auto"/>
        </w:rPr>
      </w:pPr>
      <w:r>
        <w:rPr>
          <w:rFonts w:ascii="Arial" w:cs="Arial" w:eastAsia="Arial" w:hAnsi="Arial"/>
          <w:sz w:val="16"/>
          <w:szCs w:val="16"/>
          <w:color w:val="auto"/>
        </w:rPr>
        <w:t>claim to receive the Merger Consideration with respect to any Company Common Share owned by it and any rights of appraisal or rights to dissent from the Merger and the other transactions. In addition, in connection with the transactions contemplated by the Rollover Agreement and the Merger Agreement, concurrently with the closing of the Merger, each of Blenheim Holdings, Olympic and Blenheim Special Investments (the “</w:t>
      </w:r>
      <w:r>
        <w:rPr>
          <w:rFonts w:ascii="Arial" w:cs="Arial" w:eastAsia="Arial" w:hAnsi="Arial"/>
          <w:sz w:val="16"/>
          <w:szCs w:val="16"/>
          <w:u w:val="single" w:color="auto"/>
          <w:color w:val="auto"/>
        </w:rPr>
        <w:t>Continuing Rolling Shareholders</w:t>
      </w:r>
      <w:r>
        <w:rPr>
          <w:rFonts w:ascii="Arial" w:cs="Arial" w:eastAsia="Arial" w:hAnsi="Arial"/>
          <w:sz w:val="16"/>
          <w:szCs w:val="16"/>
          <w:color w:val="auto"/>
        </w:rPr>
        <w:t>”), Parent and the Company have agreed to enter into a shareholder agreement (the “</w:t>
      </w:r>
      <w:r>
        <w:rPr>
          <w:rFonts w:ascii="Arial" w:cs="Arial" w:eastAsia="Arial" w:hAnsi="Arial"/>
          <w:sz w:val="16"/>
          <w:szCs w:val="16"/>
          <w:u w:val="single" w:color="auto"/>
          <w:color w:val="auto"/>
        </w:rPr>
        <w:t>Shareholder Agreement</w:t>
      </w:r>
      <w:r>
        <w:rPr>
          <w:rFonts w:ascii="Arial" w:cs="Arial" w:eastAsia="Arial" w:hAnsi="Arial"/>
          <w:sz w:val="16"/>
          <w:szCs w:val="16"/>
          <w:color w:val="auto"/>
        </w:rPr>
        <w:t>”) with respect to the governance of the Surviving Company, including certain approval rights to be granted to Parent and Blenheim Holdings with respect to the conduct of the Surviving Company.</w:t>
      </w:r>
    </w:p>
    <w:p>
      <w:pPr>
        <w:spacing w:after="0" w:line="16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between Parent and GEPIF III, under which, subject to the terms and conditions thereof, GEPIF III will provide equity financing in an aggregate amount of $247 million to Parent to complete the Merger. The obligation of GEPIF</w:t>
      </w:r>
    </w:p>
    <w:p>
      <w:pPr>
        <w:spacing w:after="0" w:line="1" w:lineRule="exact"/>
        <w:rPr>
          <w:sz w:val="20"/>
          <w:szCs w:val="20"/>
          <w:color w:val="auto"/>
        </w:rPr>
      </w:pPr>
    </w:p>
    <w:p>
      <w:pPr>
        <w:ind w:firstLine="8"/>
        <w:spacing w:after="0" w:line="323" w:lineRule="auto"/>
        <w:tabs>
          <w:tab w:leader="none" w:pos="236"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46"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w:t>
      </w:r>
    </w:p>
    <w:p>
      <w:pPr>
        <w:spacing w:after="0" w:line="194" w:lineRule="exact"/>
        <w:rPr>
          <w:sz w:val="20"/>
          <w:szCs w:val="20"/>
          <w:color w:val="auto"/>
        </w:rPr>
      </w:pPr>
    </w:p>
    <w:p>
      <w:pPr>
        <w:jc w:val="both"/>
        <w:ind w:firstLine="493"/>
        <w:spacing w:after="0" w:line="285" w:lineRule="auto"/>
        <w:rPr>
          <w:sz w:val="20"/>
          <w:szCs w:val="20"/>
          <w:color w:val="auto"/>
        </w:rPr>
      </w:pPr>
      <w:r>
        <w:rPr>
          <w:rFonts w:ascii="Arial" w:cs="Arial" w:eastAsia="Arial" w:hAnsi="Arial"/>
          <w:sz w:val="16"/>
          <w:szCs w:val="16"/>
          <w:color w:val="auto"/>
        </w:rPr>
        <w:t>A special committee of the board of directors of the Company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consisting only of independent and disinterested directors reviewed and considered the terms and conditions of the Merger Agreement, the Statutory Merger Agreement, and the transactions contemplated thereby, including the Merger.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holders of the Company Common Shares, other than the Company or its wholly owned subsidiaries, Parent, Merger Sub or the Rolling Shareholders and their respective affiliates (the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and the holders of Company Preference Shares. The board of directors of the Company, acting upon the unanimous recommendation of the Special Committee, unanimously (i) determined that the Merger Agreement, the Statutory Merger Agreement and the transactions contemplated by the Merger Agreement, the Statutory Merger Agreement and the Rollover Agreement, including the Merger, are fair to, and in the best interest of, the Company, the holders of Company Common Shares and the holders of Company Preference Shares, (ii) approved the Merger Agreement, the Statutory Merger Agreement and the transactions contemplated by the Merger Agreement, the Statutory Merger Agreement and the Rollover Agreement, including the Merger, and (iii) recommended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5"/>
          <w:szCs w:val="15"/>
          <w:color w:val="auto"/>
        </w:rPr>
        <w:t>Consummation of the Merger is subject to certain conditions, including without limitation, approval of the Merger Agreement, the Statutory Merger Agreement and the transactions contemplated thereby by the affirmative vote of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and (b) the holders of a majority of the Company Common Shares held by the Public Shareholders and present (in person or by proxy) at a special general meeting of the Company shareholders. Pursuant to the Rollover Agreement, the Rolling Shareholders have agreed, subject to the terms and conditions therein, to vote all Company Common Shares and Company Preference Shares beneficially owned by them in favor of the approval of the Merger Agreement, the Statutory Merger Agreement and the transactions contemplated thereby,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jc w:val="both"/>
        <w:ind w:firstLine="472"/>
        <w:spacing w:after="0" w:line="259" w:lineRule="auto"/>
        <w:rPr>
          <w:sz w:val="20"/>
          <w:szCs w:val="20"/>
          <w:color w:val="auto"/>
        </w:rPr>
      </w:pPr>
      <w:r>
        <w:rPr>
          <w:rFonts w:ascii="Arial" w:cs="Arial" w:eastAsia="Arial" w:hAnsi="Arial"/>
          <w:sz w:val="18"/>
          <w:szCs w:val="18"/>
          <w:color w:val="auto"/>
        </w:rPr>
        <w:t>The Company will make available to its shareholders a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 copy of which is attached as Exhibit (a)(1) to this Transaction Statement), relating to the special general meeting of the Company’s shareholders, at which the Company’s shareholders will consider and vote upon a proposal to approve the Merger, the Merger Agreement and the Statutory Merger Agreement.</w:t>
      </w:r>
    </w:p>
    <w:p>
      <w:pPr>
        <w:spacing w:after="0" w:line="194"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w:t>
      </w:r>
    </w:p>
    <w:p>
      <w:pPr>
        <w:spacing w:after="0" w:line="197"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All information concerning the Company contained in, or incorporated by reference into, this Transaction Statement and the Proxy Statement was supplied by the Company. Similarly, all information concerning each Filing Person contained in, or incorporated by reference into, this Transaction Statement and the Proxy Statement was supplied by such Filing Person. No Filing Person is responsible for the accuracy of any information supplied by any other Filing Person.</w:t>
      </w:r>
    </w:p>
    <w:p>
      <w:pPr>
        <w:spacing w:after="0" w:line="1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SUMMARY TERM SHEET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245"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“Summary Term Sheet—The Special General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Special General Meeting—Record Date; Shareholders Entitled to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Trading Market and Price.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Merger Agreement—Conduct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Public Offerings.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Stock Purchases.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IDENTITY AND BACKGROUND OF FILING PERSON</w:t>
      </w:r>
    </w:p>
    <w:p>
      <w:pPr>
        <w:spacing w:after="0" w:line="25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Entities.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and Background of Natural Persons.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Company—Directors and Executive Officers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Parties—Directors and Executive Officers of the Rolling Shareholder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Material Terms—Tender Offers. Not applicable.</w:t>
      </w:r>
    </w:p>
    <w:p>
      <w:pPr>
        <w:spacing w:after="0" w:line="252"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(a)-(2)</w:t>
        <w:tab/>
        <w:t>Material Terms—Merger or Similar Transactions.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Special General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Different Terms.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Appraisal Rights.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Factors—Appraisal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Merger Agreement—Shares of Dissenting 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“Appraisal Rights of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“Annex E—Copy of Section 106 of the Bermuda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25" w:right="759" w:bottom="910" w:gutter="0" w:footer="0" w:header="0"/>
        </w:sectPr>
      </w:pPr>
    </w:p>
    <w:bookmarkStart w:id="7" w:name="page8"/>
    <w:bookmarkEnd w:id="7"/>
    <w:p>
      <w:pPr>
        <w:ind w:lef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for Unaffiliated Security Holders.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“Provisions for Public Shareholders”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Eligibility for Listing or Trading. 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PAST CONTACTS, TRANSACTIONS, NEGOTIATIONS AND AGREEMENTS</w:t>
      </w:r>
    </w:p>
    <w:p>
      <w:pPr>
        <w:spacing w:after="0" w:line="24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2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(b)-(c)</w:t>
        <w:tab/>
        <w:t>Significant Corporate Events; Negotiations or Contacts. The information set forth in the Proxy Statement under the following captions is incorporated herein by reference:</w:t>
      </w:r>
    </w:p>
    <w:p>
      <w:pPr>
        <w:spacing w:after="0" w:line="21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GEPIF Filing Parties—Past Transactions and Contracts with the Rolling Shareholder Parties”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Parties—Past Transactions and Contracts with the GEPIF Filing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 w:name="page9"/>
    <w:bookmarkEnd w:id="8"/>
    <w:p>
      <w:pPr>
        <w:ind w:left="540" w:hanging="532"/>
        <w:spacing w:after="0" w:line="26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Agreements Involving the Subject Company’s 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PURPOSES OF THE TRANSACTION AND PLANS OR PROPOSALS</w:t>
      </w:r>
    </w:p>
    <w:p>
      <w:pPr>
        <w:spacing w:after="0" w:line="25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of Securities Acquired.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9" w:name="page10"/>
    <w:bookmarkEnd w:id="9"/>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(c)(1)-(8)</w:t>
      </w:r>
      <w:r>
        <w:rPr>
          <w:sz w:val="20"/>
          <w:szCs w:val="20"/>
          <w:color w:val="auto"/>
        </w:rPr>
        <w:tab/>
      </w:r>
      <w:r>
        <w:rPr>
          <w:rFonts w:ascii="Arial" w:cs="Arial" w:eastAsia="Arial" w:hAnsi="Arial"/>
          <w:sz w:val="16"/>
          <w:szCs w:val="16"/>
          <w:color w:val="auto"/>
        </w:rPr>
        <w:t>Plans.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Important Information Regarding the Company—Market Prices of the Company Common Shares and Dividends”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PURPOSES, ALTERNATIVES, REASONS AND EFFECTS</w:t>
      </w:r>
    </w:p>
    <w:p>
      <w:pPr>
        <w:spacing w:after="0" w:line="24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Purposes.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Alternatives.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5" w:right="1440" w:bottom="896" w:gutter="0" w:footer="0" w:header="0"/>
        </w:sectPr>
      </w:pPr>
    </w:p>
    <w:bookmarkStart w:id="10" w:name="page11"/>
    <w:bookmarkEnd w:id="10"/>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Reasons. The information set forth in the Proxy Statement under the following captions is incorporated herein by reference:</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Fairness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 Parties as to the Fairness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32" w:hanging="532"/>
        <w:spacing w:after="0"/>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Factors—The Company’s Net Book Value and Net Earnings”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U.S. Federal Income Tax Consequence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Factors—Material Bermuda Tax Consequences of the Merger”</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52"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72" w:hanging="532"/>
        <w:spacing w:after="0"/>
        <w:tabs>
          <w:tab w:leader="none" w:pos="10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45" w:right="1440" w:bottom="1099" w:gutter="0" w:footer="0" w:header="0"/>
        </w:sectPr>
      </w:pPr>
    </w:p>
    <w:bookmarkStart w:id="11" w:name="page12"/>
    <w:bookmarkEnd w:id="11"/>
    <w:p>
      <w:pPr>
        <w:spacing w:after="0" w:line="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FAIRNESS OF THE TRANSACTION</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Fairness; Factors Considered in Determining Fairness.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 Parties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Security Holders.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Agreement—Efforts to Obtain Required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Agreement—Conditions to Completion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Unaffiliated Representative.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Directors.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Offers.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ectPr>
          <w:pgSz w:w="11900" w:h="16874" w:orient="portrait"/>
          <w:cols w:equalWidth="0" w:num="1">
            <w:col w:w="11140"/>
          </w:cols>
          <w:pgMar w:left="320" w:top="125" w:right="439" w:bottom="0" w:gutter="0" w:footer="0" w:header="0"/>
        </w:sectPr>
      </w:pPr>
    </w:p>
    <w:bookmarkStart w:id="12" w:name="page13"/>
    <w:bookmarkEnd w:id="12"/>
    <w:p>
      <w:pPr>
        <w:spacing w:after="0"/>
        <w:tabs>
          <w:tab w:leader="none" w:pos="10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REPORTS, OPINIONS, APPRAISALS AND NEGOTIATIONS</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Report, Opinion or Appraisal; Preparer and Summary of the Report, Opinion or Appraisal.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“Special Factors—Certain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of Documents.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firstLine="439"/>
        <w:spacing w:after="0" w:line="331" w:lineRule="auto"/>
        <w:rPr>
          <w:sz w:val="20"/>
          <w:szCs w:val="20"/>
          <w:color w:val="auto"/>
        </w:rPr>
      </w:pPr>
      <w:r>
        <w:rPr>
          <w:rFonts w:ascii="Arial" w:cs="Arial" w:eastAsia="Arial" w:hAnsi="Arial"/>
          <w:sz w:val="16"/>
          <w:szCs w:val="16"/>
          <w:color w:val="auto"/>
        </w:rPr>
        <w:t>The reports, opinions or appraisals referenced in this Item 9 will be made available for inspection and copying at the principal executive offices of the Company during its regular business hours by any interested the Company shareholder or his, her or its representative who has been so designated in writing.</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Source of Funds; Conditions.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“Annex A-1—Merger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“Annex A-2—Amendment No. 1 to the Merger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Merger Agreement—Fees and Expenses”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Borrowed Funds. 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INTEREST IN SECURITIES OF THE SUBJECT COMPANY</w:t>
      </w:r>
    </w:p>
    <w:p>
      <w:pPr>
        <w:spacing w:after="0" w:line="258"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Securities Ownership.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“Other Important Information Regarding the Company—Security Ownership of Company Common Shares and Company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1080" w:hanging="532"/>
        <w:spacing w:after="0" w:line="268"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 Parties—Identity and Background of the Rolling Shareholder Parties”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hanging="532"/>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Securities Transactions.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THE SOLICITATION OR RECOMMENDATION</w:t>
      </w:r>
    </w:p>
    <w:p>
      <w:pPr>
        <w:spacing w:after="0" w:line="258" w:lineRule="exact"/>
        <w:rPr>
          <w:sz w:val="20"/>
          <w:szCs w:val="20"/>
          <w:color w:val="auto"/>
        </w:rPr>
      </w:pPr>
    </w:p>
    <w:p>
      <w:pPr>
        <w:ind w:left="540" w:hanging="532"/>
        <w:spacing w:after="0" w:line="26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Intent to Tender or Vote in a Going-Private Transaction.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Meeting—Voting by the Company’s Directors and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Recommendations of Others.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Special General Meeting—Recommendation of the Board and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Factors—Rolling Shareholder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Factors—Position of Rolling Shareholder Parties as to the Fairness of the Merger”</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Information. The audited consolidated financial statements of the Company for the two years ended December 31, 2019 and 2020 are incorporated herein by reference to the Company’s Form 20-F for the year ended December 31, 2020, originally filed on March 5, 2021 (see page F-1 and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Company—Selected Historical Financial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 Forma Information. 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PERSONS/ASSETS RETAINED, EMPLOYED, COMPENSATED OR USED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5"/>
          <w:szCs w:val="15"/>
          <w:color w:val="auto"/>
        </w:rPr>
        <w:t>Solicitations or Recommendations; Employees and Corporate Assets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Special General Meeting—Tabulation of Votes”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Special General Meeting—Solicitation of Proxies”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Factors—Opinion of Evercore Group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tab/>
        <w:t>ADDITIONAL INFORMATION</w:t>
      </w:r>
    </w:p>
    <w:p>
      <w:pPr>
        <w:spacing w:after="0" w:line="258"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Material Information. The information set forth in the Proxy Statement, including all annexes thereto,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60"/>
          </w:cols>
          <w:pgMar w:left="320" w:top="131" w:right="919" w:bottom="1440" w:gutter="0" w:footer="0" w:header="0"/>
        </w:sectPr>
      </w:pPr>
    </w:p>
    <w:bookmarkStart w:id="16" w:name="page17"/>
    <w:bookmarkEnd w:id="16"/>
    <w:p>
      <w:pPr>
        <w:spacing w:after="0"/>
        <w:tabs>
          <w:tab w:leader="none" w:pos="900" w:val="left"/>
        </w:tabs>
        <w:rPr>
          <w:sz w:val="20"/>
          <w:szCs w:val="20"/>
          <w:color w:val="auto"/>
        </w:rPr>
      </w:pPr>
      <w:r>
        <w:rPr>
          <w:rFonts w:ascii="Arial" w:cs="Arial" w:eastAsia="Arial" w:hAnsi="Arial"/>
          <w:sz w:val="18"/>
          <w:szCs w:val="18"/>
          <w:b w:val="1"/>
          <w:bCs w:val="1"/>
          <w:color w:val="auto"/>
        </w:rPr>
        <w:t>ITEM 16.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Exhibit No.</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920" w:type="dxa"/>
            <w:vAlign w:val="bottom"/>
            <w:gridSpan w:val="5"/>
          </w:tcPr>
          <w:p>
            <w:pPr>
              <w:ind w:left="2580"/>
              <w:spacing w:after="0"/>
              <w:rPr>
                <w:sz w:val="20"/>
                <w:szCs w:val="20"/>
                <w:color w:val="auto"/>
              </w:rPr>
            </w:pPr>
            <w:r>
              <w:rPr>
                <w:rFonts w:ascii="Arial" w:cs="Arial" w:eastAsia="Arial" w:hAnsi="Arial"/>
                <w:sz w:val="13"/>
                <w:szCs w:val="13"/>
                <w:b w:val="1"/>
                <w:bCs w:val="1"/>
                <w:color w:val="auto"/>
              </w:rPr>
              <w:t>Description</w:t>
            </w:r>
          </w:p>
        </w:tc>
      </w:tr>
      <w:tr>
        <w:trPr>
          <w:trHeight w:val="169"/>
        </w:trPr>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(a)-(1)</w:t>
            </w:r>
          </w:p>
        </w:tc>
        <w:tc>
          <w:tcPr>
            <w:tcW w:w="240" w:type="dxa"/>
            <w:vAlign w:val="bottom"/>
          </w:tcPr>
          <w:p>
            <w:pPr>
              <w:spacing w:after="0"/>
              <w:rPr>
                <w:sz w:val="14"/>
                <w:szCs w:val="14"/>
                <w:color w:val="auto"/>
              </w:rPr>
            </w:pPr>
          </w:p>
        </w:tc>
        <w:tc>
          <w:tcPr>
            <w:tcW w:w="7980" w:type="dxa"/>
            <w:vAlign w:val="bottom"/>
            <w:tcBorders>
              <w:top w:val="single" w:sz="8" w:color="auto"/>
            </w:tcBorders>
            <w:gridSpan w:val="6"/>
          </w:tcPr>
          <w:p>
            <w:pPr>
              <w:spacing w:after="0" w:line="169" w:lineRule="exact"/>
              <w:rPr>
                <w:rFonts w:ascii="Arial" w:cs="Arial" w:eastAsia="Arial" w:hAnsi="Arial"/>
                <w:sz w:val="18"/>
                <w:szCs w:val="18"/>
                <w:color w:val="0000EE"/>
              </w:rPr>
            </w:pPr>
            <w:hyperlink w:anchor="page22">
              <w:r>
                <w:rPr>
                  <w:rFonts w:ascii="Arial" w:cs="Arial" w:eastAsia="Arial" w:hAnsi="Arial"/>
                  <w:sz w:val="18"/>
                  <w:szCs w:val="18"/>
                  <w:color w:val="0000EE"/>
                </w:rPr>
                <w:t>Proxy Statement of the Company dated May 3, 2021.</w:t>
              </w:r>
            </w:hyperlink>
          </w:p>
        </w:tc>
        <w:tc>
          <w:tcPr>
            <w:tcW w:w="2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(a)-(2)</w:t>
            </w:r>
          </w:p>
        </w:tc>
        <w:tc>
          <w:tcPr>
            <w:tcW w:w="240" w:type="dxa"/>
            <w:vAlign w:val="bottom"/>
          </w:tcPr>
          <w:p>
            <w:pPr>
              <w:spacing w:after="0"/>
              <w:rPr>
                <w:sz w:val="24"/>
                <w:szCs w:val="24"/>
                <w:color w:val="auto"/>
              </w:rPr>
            </w:pPr>
          </w:p>
        </w:tc>
        <w:tc>
          <w:tcPr>
            <w:tcW w:w="80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Letter to the Shareholders of the Company, included in the Proxy Statement and incorporated herein by reference.</w:t>
              </w:r>
            </w:hyperlink>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(a)-(3)</w:t>
            </w:r>
          </w:p>
        </w:tc>
        <w:tc>
          <w:tcPr>
            <w:tcW w:w="240" w:type="dxa"/>
            <w:vAlign w:val="bottom"/>
          </w:tcPr>
          <w:p>
            <w:pPr>
              <w:spacing w:after="0"/>
              <w:rPr>
                <w:sz w:val="24"/>
                <w:szCs w:val="24"/>
                <w:color w:val="auto"/>
              </w:rPr>
            </w:pPr>
          </w:p>
        </w:tc>
        <w:tc>
          <w:tcPr>
            <w:tcW w:w="80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Notice of Special General Meeting of Shareholders, included in the Proxy Statement and incorporated herein by</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22">
              <w:r>
                <w:rPr>
                  <w:rFonts w:ascii="Arial" w:cs="Arial" w:eastAsia="Arial" w:hAnsi="Arial"/>
                  <w:sz w:val="18"/>
                  <w:szCs w:val="18"/>
                  <w:color w:val="0000EE"/>
                  <w:w w:val="83"/>
                </w:rPr>
                <w:t>reference.</w:t>
              </w:r>
            </w:hyperlink>
          </w:p>
        </w:tc>
        <w:tc>
          <w:tcPr>
            <w:tcW w:w="7300" w:type="dxa"/>
            <w:vAlign w:val="bottom"/>
            <w:gridSpan w:val="6"/>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(a)-(4)</w:t>
            </w:r>
          </w:p>
        </w:tc>
        <w:tc>
          <w:tcPr>
            <w:tcW w:w="240" w:type="dxa"/>
            <w:vAlign w:val="bottom"/>
          </w:tcPr>
          <w:p>
            <w:pPr>
              <w:spacing w:after="0"/>
              <w:rPr>
                <w:sz w:val="24"/>
                <w:szCs w:val="24"/>
                <w:color w:val="auto"/>
              </w:rPr>
            </w:pPr>
          </w:p>
        </w:tc>
        <w:tc>
          <w:tcPr>
            <w:tcW w:w="800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Form of Proxy Card, included in the Proxy Statement and incorporated herein by reference.</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4"/>
              </w:rPr>
              <w:t>(a)-(5)*</w:t>
            </w:r>
          </w:p>
        </w:tc>
        <w:tc>
          <w:tcPr>
            <w:tcW w:w="240" w:type="dxa"/>
            <w:vAlign w:val="bottom"/>
          </w:tcPr>
          <w:p>
            <w:pPr>
              <w:spacing w:after="0"/>
              <w:rPr>
                <w:sz w:val="24"/>
                <w:szCs w:val="24"/>
                <w:color w:val="auto"/>
              </w:rPr>
            </w:pPr>
          </w:p>
        </w:tc>
        <w:tc>
          <w:tcPr>
            <w:tcW w:w="8000" w:type="dxa"/>
            <w:vAlign w:val="bottom"/>
            <w:gridSpan w:val="7"/>
          </w:tcPr>
          <w:p>
            <w:pPr>
              <w:spacing w:after="0"/>
              <w:rPr>
                <w:rFonts w:ascii="Arial" w:cs="Arial" w:eastAsia="Arial" w:hAnsi="Arial"/>
                <w:sz w:val="18"/>
                <w:szCs w:val="18"/>
                <w:color w:val="0000EE"/>
                <w:w w:val="88"/>
              </w:rPr>
            </w:pPr>
            <w:hyperlink r:id="rId33">
              <w:r>
                <w:rPr>
                  <w:rFonts w:ascii="Arial" w:cs="Arial" w:eastAsia="Arial" w:hAnsi="Arial"/>
                  <w:sz w:val="18"/>
                  <w:szCs w:val="18"/>
                  <w:color w:val="0000EE"/>
                  <w:w w:val="88"/>
                </w:rPr>
                <w:t>Press Release issued by the Company, dated February 22, 2021, incorporated herein by reference to Exhibit 99.1</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to the Report on Form 6-K furnished by the Company to the SEC on February 22, 2021.</w:t>
              </w:r>
            </w:hyperlink>
          </w:p>
        </w:tc>
        <w:tc>
          <w:tcPr>
            <w:tcW w:w="17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9"/>
              </w:rPr>
              <w:t>(a)-(6)**</w:t>
            </w:r>
          </w:p>
        </w:tc>
        <w:tc>
          <w:tcPr>
            <w:tcW w:w="240" w:type="dxa"/>
            <w:vAlign w:val="bottom"/>
          </w:tcPr>
          <w:p>
            <w:pPr>
              <w:spacing w:after="0"/>
              <w:rPr>
                <w:sz w:val="24"/>
                <w:szCs w:val="24"/>
                <w:color w:val="auto"/>
              </w:rPr>
            </w:pPr>
          </w:p>
        </w:tc>
        <w:tc>
          <w:tcPr>
            <w:tcW w:w="8000" w:type="dxa"/>
            <w:vAlign w:val="bottom"/>
            <w:gridSpan w:val="7"/>
          </w:tcPr>
          <w:p>
            <w:pPr>
              <w:spacing w:after="0"/>
              <w:rPr>
                <w:rFonts w:ascii="Arial" w:cs="Arial" w:eastAsia="Arial" w:hAnsi="Arial"/>
                <w:sz w:val="18"/>
                <w:szCs w:val="18"/>
                <w:color w:val="0000EE"/>
                <w:w w:val="88"/>
              </w:rPr>
            </w:pPr>
            <w:hyperlink r:id="rId34">
              <w:r>
                <w:rPr>
                  <w:rFonts w:ascii="Arial" w:cs="Arial" w:eastAsia="Arial" w:hAnsi="Arial"/>
                  <w:sz w:val="18"/>
                  <w:szCs w:val="18"/>
                  <w:color w:val="0000EE"/>
                  <w:w w:val="88"/>
                </w:rPr>
                <w:t>Press Release issued by the Company, dated February 22, 2021, incorporated herein by reference to Exhibit 99.1</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to the Report on Form 6-K furnished by the Company to the SEC on February 22, 2021.</w:t>
              </w:r>
            </w:hyperlink>
          </w:p>
        </w:tc>
        <w:tc>
          <w:tcPr>
            <w:tcW w:w="17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9"/>
              </w:rPr>
              <w:t>(a)-(7)**</w:t>
            </w:r>
          </w:p>
        </w:tc>
        <w:tc>
          <w:tcPr>
            <w:tcW w:w="240" w:type="dxa"/>
            <w:vAlign w:val="bottom"/>
          </w:tcPr>
          <w:p>
            <w:pPr>
              <w:spacing w:after="0"/>
              <w:rPr>
                <w:sz w:val="24"/>
                <w:szCs w:val="24"/>
                <w:color w:val="auto"/>
              </w:rPr>
            </w:pPr>
          </w:p>
        </w:tc>
        <w:tc>
          <w:tcPr>
            <w:tcW w:w="8000" w:type="dxa"/>
            <w:vAlign w:val="bottom"/>
            <w:gridSpan w:val="7"/>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Annual Report on Form 20-F for the year ended December 31, 2020 for the Company filed with the SEC on</w:t>
              </w:r>
            </w:hyperlink>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5">
              <w:r>
                <w:rPr>
                  <w:rFonts w:ascii="Arial" w:cs="Arial" w:eastAsia="Arial" w:hAnsi="Arial"/>
                  <w:sz w:val="18"/>
                  <w:szCs w:val="18"/>
                  <w:color w:val="0000EE"/>
                  <w:w w:val="88"/>
                </w:rPr>
                <w:t>March 5, 2021.</w:t>
              </w:r>
            </w:hyperlink>
          </w:p>
        </w:tc>
        <w:tc>
          <w:tcPr>
            <w:tcW w:w="69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bl>
    <w:p>
      <w:pPr>
        <w:spacing w:after="0" w:line="262" w:lineRule="exact"/>
        <w:rPr>
          <w:sz w:val="20"/>
          <w:szCs w:val="20"/>
          <w:color w:val="auto"/>
        </w:rPr>
      </w:pPr>
    </w:p>
    <w:p>
      <w:pPr>
        <w:ind w:left="2120" w:hanging="716"/>
        <w:spacing w:after="0"/>
        <w:tabs>
          <w:tab w:leader="none" w:pos="2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(c)-(1)</w:t>
      </w:r>
      <w:r>
        <w:rPr>
          <w:sz w:val="20"/>
          <w:szCs w:val="20"/>
          <w:color w:val="auto"/>
        </w:rPr>
        <w:tab/>
      </w:r>
      <w:hyperlink w:anchor="page374">
        <w:r>
          <w:rPr>
            <w:rFonts w:ascii="Arial" w:cs="Arial" w:eastAsia="Arial" w:hAnsi="Arial"/>
            <w:sz w:val="18"/>
            <w:szCs w:val="18"/>
            <w:u w:val="single" w:color="auto"/>
            <w:color w:val="0000EE"/>
          </w:rPr>
          <w:t>Fairness Opinion of Evercore Group L.L.C., dated February 21, 2021, incorporated herein by reference to</w:t>
        </w:r>
      </w:hyperlink>
      <w:r>
        <w:rPr>
          <w:rFonts w:ascii="Arial" w:cs="Arial" w:eastAsia="Arial" w:hAnsi="Arial"/>
          <w:sz w:val="18"/>
          <w:szCs w:val="18"/>
          <w:u w:val="single" w:color="auto"/>
          <w:color w:val="0000EE"/>
        </w:rPr>
        <w:t xml:space="preserve"> </w:t>
      </w:r>
      <w:hyperlink w:anchor="page374">
        <w:r>
          <w:rPr>
            <w:rFonts w:ascii="Arial" w:cs="Arial" w:eastAsia="Arial" w:hAnsi="Arial"/>
            <w:sz w:val="18"/>
            <w:szCs w:val="18"/>
            <w:u w:val="single" w:color="auto"/>
            <w:color w:val="0000EE"/>
          </w:rPr>
          <w:t>Annex D to the Proxy Statement.</w:t>
        </w:r>
      </w:hyperlink>
    </w:p>
    <w:p>
      <w:pPr>
        <w:spacing w:after="0" w:line="213" w:lineRule="exact"/>
        <w:rPr>
          <w:sz w:val="20"/>
          <w:szCs w:val="20"/>
          <w:color w:val="auto"/>
        </w:rPr>
      </w:pPr>
    </w:p>
    <w:p>
      <w:pPr>
        <w:ind w:left="2120" w:right="39" w:hanging="886"/>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(c)-(2)*</w:t>
      </w:r>
      <w:r>
        <w:rPr>
          <w:sz w:val="20"/>
          <w:szCs w:val="20"/>
          <w:color w:val="auto"/>
        </w:rPr>
        <w:tab/>
      </w:r>
      <w:hyperlink r:id="rId36">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of directors of the Company, dated November 17, 2020</w:t>
        </w:r>
      </w:hyperlink>
    </w:p>
    <w:p>
      <w:pPr>
        <w:spacing w:after="0" w:line="213" w:lineRule="exact"/>
        <w:rPr>
          <w:sz w:val="20"/>
          <w:szCs w:val="20"/>
          <w:color w:val="auto"/>
        </w:rPr>
      </w:pPr>
    </w:p>
    <w:p>
      <w:pPr>
        <w:ind w:left="2120" w:right="39" w:hanging="886"/>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(c)-(3)*</w:t>
      </w:r>
      <w:r>
        <w:rPr>
          <w:sz w:val="20"/>
          <w:szCs w:val="20"/>
          <w:color w:val="auto"/>
        </w:rPr>
        <w:tab/>
      </w:r>
      <w:hyperlink r:id="rId37">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of directors of the Company, dated February 19, 2021.</w:t>
        </w:r>
      </w:hyperlink>
    </w:p>
    <w:p>
      <w:pPr>
        <w:spacing w:after="0" w:line="213" w:lineRule="exact"/>
        <w:rPr>
          <w:sz w:val="20"/>
          <w:szCs w:val="20"/>
          <w:color w:val="auto"/>
        </w:rPr>
      </w:pPr>
    </w:p>
    <w:p>
      <w:pPr>
        <w:ind w:left="2120" w:right="39" w:hanging="886"/>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(c)-(4)*</w:t>
      </w:r>
      <w:r>
        <w:rPr>
          <w:sz w:val="20"/>
          <w:szCs w:val="20"/>
          <w:color w:val="auto"/>
        </w:rPr>
        <w:tab/>
      </w:r>
      <w:hyperlink r:id="rId38">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of directors of the company, dated February 21, 2021.</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w:anchor="page190">
        <w:r>
          <w:rPr>
            <w:rFonts w:ascii="Arial" w:cs="Arial" w:eastAsia="Arial" w:hAnsi="Arial"/>
            <w:sz w:val="18"/>
            <w:szCs w:val="18"/>
            <w:u w:val="single" w:color="auto"/>
            <w:color w:val="0000EE"/>
          </w:rPr>
          <w:t>Agreement and Plan of Merger, dated as February 21, 2021, by and among GasLog Ltd., GEPIF III Crown</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Bidco L.P. and GEPIF III Crown MergerCo Limited, incorporated herein by reference to Annex A-1 to the Proxy</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w:anchor="page293">
        <w:r>
          <w:rPr>
            <w:rFonts w:ascii="Arial" w:cs="Arial" w:eastAsia="Arial" w:hAnsi="Arial"/>
            <w:sz w:val="18"/>
            <w:szCs w:val="18"/>
            <w:u w:val="single" w:color="auto"/>
            <w:color w:val="0000EE"/>
          </w:rPr>
          <w:t>Statutory Merger Agreement by and among GasLog Ltd. and GEPIF III Crown MergerCo Limited, incorporated</w:t>
        </w:r>
      </w:hyperlink>
      <w:r>
        <w:rPr>
          <w:rFonts w:ascii="Arial" w:cs="Arial" w:eastAsia="Arial" w:hAnsi="Arial"/>
          <w:sz w:val="18"/>
          <w:szCs w:val="18"/>
          <w:u w:val="single" w:color="auto"/>
          <w:color w:val="0000EE"/>
        </w:rPr>
        <w:t xml:space="preserve"> </w:t>
      </w:r>
      <w:hyperlink w:anchor="page293">
        <w:r>
          <w:rPr>
            <w:rFonts w:ascii="Arial" w:cs="Arial" w:eastAsia="Arial" w:hAnsi="Arial"/>
            <w:sz w:val="18"/>
            <w:szCs w:val="18"/>
            <w:u w:val="single" w:color="auto"/>
            <w:color w:val="0000EE"/>
          </w:rPr>
          <w:t>herein by reference to Annex B of the Proxy Statement.</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w:anchor="page300">
        <w:r>
          <w:rPr>
            <w:rFonts w:ascii="Arial" w:cs="Arial" w:eastAsia="Arial" w:hAnsi="Arial"/>
            <w:sz w:val="18"/>
            <w:szCs w:val="18"/>
            <w:u w:val="single" w:color="auto"/>
            <w:color w:val="0000EE"/>
          </w:rPr>
          <w:t>Rollover Agreement, dated as February 21, 2021, by and among GasLog Ltd., GEPIF III Crown Bidco L.P. and</w:t>
        </w:r>
      </w:hyperlink>
      <w:r>
        <w:rPr>
          <w:rFonts w:ascii="Arial" w:cs="Arial" w:eastAsia="Arial" w:hAnsi="Arial"/>
          <w:sz w:val="18"/>
          <w:szCs w:val="18"/>
          <w:u w:val="single" w:color="auto"/>
          <w:color w:val="0000EE"/>
        </w:rPr>
        <w:t xml:space="preserve"> </w:t>
      </w:r>
      <w:hyperlink w:anchor="page300">
        <w:r>
          <w:rPr>
            <w:rFonts w:ascii="Arial" w:cs="Arial" w:eastAsia="Arial" w:hAnsi="Arial"/>
            <w:sz w:val="18"/>
            <w:szCs w:val="18"/>
            <w:u w:val="single" w:color="auto"/>
            <w:color w:val="0000EE"/>
          </w:rPr>
          <w:t>the Rolling Shareholders (as defined therein), incorporated herein by reference to Annex C to the Proxy</w:t>
        </w:r>
      </w:hyperlink>
      <w:r>
        <w:rPr>
          <w:rFonts w:ascii="Arial" w:cs="Arial" w:eastAsia="Arial" w:hAnsi="Arial"/>
          <w:sz w:val="18"/>
          <w:szCs w:val="18"/>
          <w:u w:val="single" w:color="auto"/>
          <w:color w:val="0000EE"/>
        </w:rPr>
        <w:t xml:space="preserve"> </w:t>
      </w:r>
      <w:hyperlink w:anchor="page300">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r:id="rId39">
        <w:r>
          <w:rPr>
            <w:rFonts w:ascii="Arial" w:cs="Arial" w:eastAsia="Arial" w:hAnsi="Arial"/>
            <w:sz w:val="18"/>
            <w:szCs w:val="18"/>
            <w:u w:val="single" w:color="auto"/>
            <w:color w:val="0000EE"/>
          </w:rPr>
          <w:t>Limited Guarantee, dated as of February 21, 2021, by and between Global Energy &amp; Power Infrastructure Fund</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III, L.P., in favor of GasLog Ltd.</w:t>
        </w:r>
      </w:hyperlink>
    </w:p>
    <w:p>
      <w:pPr>
        <w:spacing w:after="0" w:line="213" w:lineRule="exact"/>
        <w:rPr>
          <w:sz w:val="20"/>
          <w:szCs w:val="20"/>
          <w:color w:val="auto"/>
        </w:rPr>
      </w:pPr>
    </w:p>
    <w:p>
      <w:pPr>
        <w:jc w:val="both"/>
        <w:ind w:left="2120" w:right="39" w:hanging="891"/>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40">
        <w:r>
          <w:rPr>
            <w:rFonts w:ascii="Arial" w:cs="Arial" w:eastAsia="Arial" w:hAnsi="Arial"/>
            <w:sz w:val="18"/>
            <w:szCs w:val="18"/>
            <w:u w:val="single" w:color="auto"/>
            <w:color w:val="0000EE"/>
          </w:rPr>
          <w:t>Equity Commitment Letter, dated as of February 21, 2021, by and between Global Energy &amp; Power</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Infrastructure Fund III, L.P. and GEPIF III Crown Bidco L.P., incorporated herein by reference to Exhibit 2 to the</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Schedule 13D furnished by BlackRock, Inc. to the SEC on March 3, 2021</w:t>
        </w:r>
      </w:hyperlink>
    </w:p>
    <w:p>
      <w:pPr>
        <w:spacing w:after="0" w:line="221" w:lineRule="exact"/>
        <w:rPr>
          <w:rFonts w:ascii="Arial" w:cs="Arial" w:eastAsia="Arial" w:hAnsi="Arial"/>
          <w:sz w:val="18"/>
          <w:szCs w:val="18"/>
          <w:u w:val="single" w:color="auto"/>
          <w:color w:val="0000EE"/>
        </w:rPr>
      </w:pPr>
    </w:p>
    <w:p>
      <w:pPr>
        <w:jc w:val="both"/>
        <w:ind w:left="2120" w:right="39" w:hanging="891"/>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(d)-(6)*</w:t>
      </w:r>
      <w:r>
        <w:rPr>
          <w:sz w:val="20"/>
          <w:szCs w:val="20"/>
          <w:color w:val="auto"/>
        </w:rPr>
        <w:tab/>
      </w:r>
      <w:hyperlink r:id="rId41">
        <w:r>
          <w:rPr>
            <w:rFonts w:ascii="Arial" w:cs="Arial" w:eastAsia="Arial" w:hAnsi="Arial"/>
            <w:sz w:val="16"/>
            <w:szCs w:val="16"/>
            <w:u w:val="single" w:color="auto"/>
            <w:color w:val="0000EE"/>
          </w:rPr>
          <w:t>Form of Registration Rights Agreement, incorporated herein by reference to Exhibit 4.2 to Amendment No. 4 to</w:t>
        </w:r>
      </w:hyperlink>
      <w:r>
        <w:rPr>
          <w:rFonts w:ascii="Arial" w:cs="Arial" w:eastAsia="Arial" w:hAnsi="Arial"/>
          <w:sz w:val="16"/>
          <w:szCs w:val="16"/>
          <w:u w:val="single" w:color="auto"/>
          <w:color w:val="0000EE"/>
        </w:rPr>
        <w:t xml:space="preserve"> </w:t>
      </w:r>
      <w:hyperlink r:id="rId41">
        <w:r>
          <w:rPr>
            <w:rFonts w:ascii="Arial" w:cs="Arial" w:eastAsia="Arial" w:hAnsi="Arial"/>
            <w:sz w:val="16"/>
            <w:szCs w:val="16"/>
            <w:u w:val="single" w:color="auto"/>
            <w:color w:val="0000EE"/>
          </w:rPr>
          <w:t>GasLog Ltd.’s Registration Statement on Form F-1, filed with the SEC on March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7" w:name="page18"/>
    <w:bookmarkEnd w:id="17"/>
    <w:p>
      <w:pPr>
        <w:ind w:left="60"/>
        <w:spacing w:after="0"/>
        <w:tabs>
          <w:tab w:leader="none" w:pos="464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wp:posOffset>
            </wp:positionV>
            <wp:extent cx="50749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5" w:lineRule="exact"/>
        <w:rPr>
          <w:sz w:val="20"/>
          <w:szCs w:val="20"/>
          <w:color w:val="auto"/>
        </w:rPr>
      </w:pPr>
    </w:p>
    <w:p>
      <w:pPr>
        <w:jc w:val="both"/>
        <w:ind w:left="1000" w:right="39" w:hanging="891"/>
        <w:spacing w:after="0" w:line="25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44">
        <w:r>
          <w:rPr>
            <w:rFonts w:ascii="Arial" w:cs="Arial" w:eastAsia="Arial" w:hAnsi="Arial"/>
            <w:sz w:val="18"/>
            <w:szCs w:val="18"/>
            <w:u w:val="single" w:color="auto"/>
            <w:color w:val="0000EE"/>
          </w:rPr>
          <w:t>Registration Rights Agreement, dated as of June 22, 2020, by and among GasLog Ltd. and the shareholders</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named therein, incorporated herein by reference to Exhibit 4.17 to GasLog Ltd.’s Annual Report on Form 20-F,</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filed with the SEC on March 5, 2021.</w:t>
        </w:r>
      </w:hyperlink>
    </w:p>
    <w:p>
      <w:pPr>
        <w:spacing w:after="0" w:line="226" w:lineRule="exact"/>
        <w:rPr>
          <w:rFonts w:ascii="Arial" w:cs="Arial" w:eastAsia="Arial" w:hAnsi="Arial"/>
          <w:sz w:val="18"/>
          <w:szCs w:val="18"/>
          <w:u w:val="single" w:color="auto"/>
          <w:color w:val="0000EE"/>
        </w:rPr>
      </w:pPr>
    </w:p>
    <w:p>
      <w:pPr>
        <w:jc w:val="both"/>
        <w:ind w:left="1000" w:right="3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(d)-(8)*</w:t>
      </w:r>
      <w:r>
        <w:rPr>
          <w:sz w:val="20"/>
          <w:szCs w:val="20"/>
          <w:color w:val="auto"/>
        </w:rPr>
        <w:tab/>
      </w:r>
      <w:hyperlink r:id="rId45">
        <w:r>
          <w:rPr>
            <w:rFonts w:ascii="Arial" w:cs="Arial" w:eastAsia="Arial" w:hAnsi="Arial"/>
            <w:sz w:val="18"/>
            <w:szCs w:val="18"/>
            <w:u w:val="single" w:color="auto"/>
            <w:color w:val="0000EE"/>
          </w:rPr>
          <w:t>Form of Subscription Agreement, incorporated herein by reference to Exhibit 10.24 to Amendment No. 4 to</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GasLog Ltd.’s Registration Statement on Form F-1, filed with the SEC on March 16, 2012.</w:t>
        </w:r>
      </w:hyperlink>
    </w:p>
    <w:p>
      <w:pPr>
        <w:spacing w:after="0" w:line="213" w:lineRule="exact"/>
        <w:rPr>
          <w:sz w:val="20"/>
          <w:szCs w:val="20"/>
          <w:color w:val="auto"/>
        </w:rPr>
      </w:pPr>
    </w:p>
    <w:p>
      <w:pPr>
        <w:jc w:val="both"/>
        <w:ind w:left="1000" w:right="19" w:hanging="891"/>
        <w:spacing w:after="0" w:line="268"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(d)-(9)*</w:t>
      </w:r>
      <w:r>
        <w:rPr>
          <w:sz w:val="20"/>
          <w:szCs w:val="20"/>
          <w:color w:val="auto"/>
        </w:rPr>
        <w:tab/>
      </w:r>
      <w:hyperlink r:id="rId46">
        <w:r>
          <w:rPr>
            <w:rFonts w:ascii="Arial" w:cs="Arial" w:eastAsia="Arial" w:hAnsi="Arial"/>
            <w:sz w:val="18"/>
            <w:szCs w:val="18"/>
            <w:u w:val="single" w:color="auto"/>
            <w:color w:val="0000EE"/>
          </w:rPr>
          <w:t>Form of Subscription Agreement, incorporated herein by reference to Exhibit 4.9 to GasLog Ltd.’s Annual</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Report on Form 20-F, filed with the SEC on March 27, 2014.</w:t>
        </w:r>
      </w:hyperlink>
    </w:p>
    <w:p>
      <w:pPr>
        <w:spacing w:after="0" w:line="213" w:lineRule="exact"/>
        <w:rPr>
          <w:sz w:val="20"/>
          <w:szCs w:val="20"/>
          <w:color w:val="auto"/>
        </w:rPr>
      </w:pPr>
    </w:p>
    <w:p>
      <w:pPr>
        <w:jc w:val="both"/>
        <w:ind w:left="1000" w:right="39" w:hanging="935"/>
        <w:spacing w:after="0" w:line="306"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(d)-(10)*</w:t>
      </w:r>
      <w:r>
        <w:rPr>
          <w:sz w:val="20"/>
          <w:szCs w:val="20"/>
          <w:color w:val="auto"/>
        </w:rPr>
        <w:tab/>
      </w:r>
      <w:hyperlink r:id="rId47">
        <w:r>
          <w:rPr>
            <w:rFonts w:ascii="Arial" w:cs="Arial" w:eastAsia="Arial" w:hAnsi="Arial"/>
            <w:sz w:val="16"/>
            <w:szCs w:val="16"/>
            <w:u w:val="single" w:color="auto"/>
            <w:color w:val="0000EE"/>
          </w:rPr>
          <w:t>Stock Purchase Agreement, dated June 22, 2020, between Blenheim Holdings Ltd. and GasLog Ltd.,</w:t>
        </w:r>
      </w:hyperlink>
      <w:r>
        <w:rPr>
          <w:rFonts w:ascii="Arial" w:cs="Arial" w:eastAsia="Arial" w:hAnsi="Arial"/>
          <w:sz w:val="16"/>
          <w:szCs w:val="16"/>
          <w:u w:val="single" w:color="auto"/>
          <w:color w:val="0000EE"/>
        </w:rPr>
        <w:t xml:space="preserve"> </w:t>
      </w:r>
      <w:hyperlink r:id="rId47">
        <w:r>
          <w:rPr>
            <w:rFonts w:ascii="Arial" w:cs="Arial" w:eastAsia="Arial" w:hAnsi="Arial"/>
            <w:sz w:val="16"/>
            <w:szCs w:val="16"/>
            <w:u w:val="single" w:color="auto"/>
            <w:color w:val="0000EE"/>
          </w:rPr>
          <w:t>incorporated herein by reference to Exhibit 1 to Amendment No. 8 to the Schedule 13D furnished by</w:t>
        </w:r>
      </w:hyperlink>
      <w:r>
        <w:rPr>
          <w:rFonts w:ascii="Arial" w:cs="Arial" w:eastAsia="Arial" w:hAnsi="Arial"/>
          <w:sz w:val="16"/>
          <w:szCs w:val="16"/>
          <w:u w:val="single" w:color="auto"/>
          <w:color w:val="0000EE"/>
        </w:rPr>
        <w:t xml:space="preserve"> </w:t>
      </w:r>
      <w:hyperlink r:id="rId47">
        <w:r>
          <w:rPr>
            <w:rFonts w:ascii="Arial" w:cs="Arial" w:eastAsia="Arial" w:hAnsi="Arial"/>
            <w:sz w:val="16"/>
            <w:szCs w:val="16"/>
            <w:u w:val="single" w:color="auto"/>
            <w:color w:val="0000EE"/>
          </w:rPr>
          <w:t>Peter G. Livanos, Ceres Shipping Ltd. and Blenheim Holdings Ltd. to the SEC on June 30, 2020.</w:t>
        </w:r>
      </w:hyperlink>
    </w:p>
    <w:p>
      <w:pPr>
        <w:spacing w:after="0" w:line="187" w:lineRule="exact"/>
        <w:rPr>
          <w:rFonts w:ascii="Arial" w:cs="Arial" w:eastAsia="Arial" w:hAnsi="Arial"/>
          <w:sz w:val="16"/>
          <w:szCs w:val="16"/>
          <w:u w:val="single" w:color="auto"/>
          <w:color w:val="0000EE"/>
        </w:rPr>
      </w:pPr>
    </w:p>
    <w:p>
      <w:pPr>
        <w:jc w:val="both"/>
        <w:ind w:left="1000" w:right="39" w:hanging="932"/>
        <w:spacing w:after="0" w:line="256"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(d)-(11)*</w:t>
      </w:r>
      <w:r>
        <w:rPr>
          <w:sz w:val="20"/>
          <w:szCs w:val="20"/>
          <w:color w:val="auto"/>
        </w:rPr>
        <w:tab/>
      </w:r>
      <w:hyperlink r:id="rId48">
        <w:r>
          <w:rPr>
            <w:rFonts w:ascii="Arial" w:cs="Arial" w:eastAsia="Arial" w:hAnsi="Arial"/>
            <w:sz w:val="18"/>
            <w:szCs w:val="18"/>
            <w:u w:val="single" w:color="auto"/>
            <w:color w:val="0000EE"/>
          </w:rPr>
          <w:t>Stock Purchase Agreement, dated June 22, 2020, between Olympic LNG Investments Ltd. and GasLog Ltd.,</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incorporated herein by reference to Exhibit 1 to Amendment No. 1 to the Schedule 13D furnished by Olympic</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LNG Investments Ltd., A.S.O. Holdings S.A. and the Alexander S. Onassis Foundation to the SEC on July 2,</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jc w:val="both"/>
        <w:ind w:left="1000" w:right="39" w:hanging="891"/>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(d)-(12)</w:t>
      </w:r>
      <w:r>
        <w:rPr>
          <w:sz w:val="20"/>
          <w:szCs w:val="20"/>
          <w:color w:val="auto"/>
        </w:rPr>
        <w:tab/>
      </w:r>
      <w:hyperlink w:anchor="page290">
        <w:r>
          <w:rPr>
            <w:rFonts w:ascii="Arial" w:cs="Arial" w:eastAsia="Arial" w:hAnsi="Arial"/>
            <w:sz w:val="18"/>
            <w:szCs w:val="18"/>
            <w:u w:val="single" w:color="auto"/>
            <w:color w:val="0000EE"/>
          </w:rPr>
          <w:t>Amendment No. 1 to the Agreement and Plan of Merger, dated as of April 20, 2021, by and among GasLog Ltd.,</w:t>
        </w:r>
      </w:hyperlink>
      <w:r>
        <w:rPr>
          <w:rFonts w:ascii="Arial" w:cs="Arial" w:eastAsia="Arial" w:hAnsi="Arial"/>
          <w:sz w:val="18"/>
          <w:szCs w:val="18"/>
          <w:u w:val="single" w:color="auto"/>
          <w:color w:val="0000EE"/>
        </w:rPr>
        <w:t xml:space="preserve"> </w:t>
      </w:r>
      <w:hyperlink w:anchor="page290">
        <w:r>
          <w:rPr>
            <w:rFonts w:ascii="Arial" w:cs="Arial" w:eastAsia="Arial" w:hAnsi="Arial"/>
            <w:sz w:val="18"/>
            <w:szCs w:val="18"/>
            <w:u w:val="single" w:color="auto"/>
            <w:color w:val="0000EE"/>
          </w:rPr>
          <w:t>GEPIF Crown Bidco L.P. and GEPIF III Crown MergerCo Limited, incorporated by reference to Annex A-2 to</w:t>
        </w:r>
      </w:hyperlink>
      <w:r>
        <w:rPr>
          <w:rFonts w:ascii="Arial" w:cs="Arial" w:eastAsia="Arial" w:hAnsi="Arial"/>
          <w:sz w:val="18"/>
          <w:szCs w:val="18"/>
          <w:u w:val="single" w:color="auto"/>
          <w:color w:val="0000EE"/>
        </w:rPr>
        <w:t xml:space="preserve"> </w:t>
      </w:r>
      <w:hyperlink w:anchor="page290">
        <w:r>
          <w:rPr>
            <w:rFonts w:ascii="Arial" w:cs="Arial" w:eastAsia="Arial" w:hAnsi="Arial"/>
            <w:sz w:val="18"/>
            <w:szCs w:val="18"/>
            <w:u w:val="single" w:color="auto"/>
            <w:color w:val="0000EE"/>
          </w:rPr>
          <w:t>the Proxy Statement.</w:t>
        </w:r>
      </w:hyperlink>
    </w:p>
    <w:p>
      <w:pPr>
        <w:spacing w:after="0" w:line="221" w:lineRule="exact"/>
        <w:rPr>
          <w:rFonts w:ascii="Arial" w:cs="Arial" w:eastAsia="Arial" w:hAnsi="Arial"/>
          <w:sz w:val="18"/>
          <w:szCs w:val="18"/>
          <w:u w:val="single" w:color="auto"/>
          <w:color w:val="0000EE"/>
        </w:rPr>
      </w:pPr>
    </w:p>
    <w:p>
      <w:pPr>
        <w:ind w:left="1000" w:hanging="701"/>
        <w:spacing w:after="0"/>
        <w:tabs>
          <w:tab w:leader="none" w:pos="1000" w:val="left"/>
        </w:tabs>
        <w:numPr>
          <w:ilvl w:val="0"/>
          <w:numId w:val="32"/>
        </w:numPr>
        <w:rPr>
          <w:rFonts w:ascii="Arial" w:cs="Arial" w:eastAsia="Arial" w:hAnsi="Arial"/>
          <w:sz w:val="16"/>
          <w:szCs w:val="16"/>
          <w:u w:val="single" w:color="auto"/>
          <w:color w:val="0000EE"/>
        </w:rPr>
      </w:pPr>
      <w:hyperlink w:anchor="page378">
        <w:r>
          <w:rPr>
            <w:rFonts w:ascii="Arial" w:cs="Arial" w:eastAsia="Arial" w:hAnsi="Arial"/>
            <w:sz w:val="16"/>
            <w:szCs w:val="16"/>
            <w:u w:val="single" w:color="auto"/>
            <w:color w:val="0000EE"/>
          </w:rPr>
          <w:t>Section 106 of the Bermuda Companies Act, incorporated herein by reference Annex E to the Proxy Statement</w:t>
        </w:r>
      </w:hyperlink>
    </w:p>
    <w:p>
      <w:pPr>
        <w:spacing w:after="0" w:line="275" w:lineRule="exact"/>
        <w:rPr>
          <w:rFonts w:ascii="Arial" w:cs="Arial" w:eastAsia="Arial" w:hAnsi="Arial"/>
          <w:sz w:val="18"/>
          <w:szCs w:val="18"/>
          <w:u w:val="single" w:color="auto"/>
          <w:color w:val="0000EE"/>
        </w:rPr>
      </w:pPr>
    </w:p>
    <w:p>
      <w:pPr>
        <w:ind w:left="1000" w:hanging="716"/>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3"/>
          <w:szCs w:val="13"/>
          <w:color w:val="auto"/>
        </w:rPr>
        <w:t>*</w:t>
      </w:r>
      <w:r>
        <w:rPr>
          <w:rFonts w:ascii="Arial" w:cs="Arial" w:eastAsia="Arial" w:hAnsi="Arial"/>
          <w:sz w:val="12"/>
          <w:szCs w:val="12"/>
          <w:color w:val="auto"/>
        </w:rPr>
        <w:t>Previously filed on March 29, 2021 as an exhibit to the Schedule 13E-3.</w:t>
      </w:r>
    </w:p>
    <w:p>
      <w:pPr>
        <w:spacing w:after="0" w:line="134" w:lineRule="exact"/>
        <w:rPr>
          <w:rFonts w:ascii="Arial" w:cs="Arial" w:eastAsia="Arial" w:hAnsi="Arial"/>
          <w:sz w:val="18"/>
          <w:szCs w:val="18"/>
          <w:color w:val="auto"/>
        </w:rPr>
      </w:pPr>
    </w:p>
    <w:p>
      <w:pPr>
        <w:ind w:left="560" w:hanging="549"/>
        <w:spacing w:after="0"/>
        <w:tabs>
          <w:tab w:leader="none" w:pos="5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Previously filed on April 20, 2021 as an exhibit to Amendment No. 1 to the Schedule 13E-3.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-707390</wp:posOffset>
            </wp:positionH>
            <wp:positionV relativeFrom="paragraph">
              <wp:posOffset>141605</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1499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2021</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GASLOG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sectPr>
      </w:pPr>
    </w:p>
    <w:p>
      <w:pPr>
        <w:spacing w:after="0" w:line="19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Wogan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6440" w:space="280"/>
            <w:col w:w="3900"/>
          </w:cols>
          <w:pgMar w:left="320" w:top="341" w:right="959" w:bottom="1440" w:gutter="0" w:footer="0" w:header="0"/>
          <w:type w:val="continuous"/>
        </w:sectPr>
      </w:pPr>
    </w:p>
    <w:p>
      <w:pPr>
        <w:spacing w:after="0" w:line="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BLENHEIM HOLDINGS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BLENHEIM SPECIAL INVESTMENTS HOLDING LTD.</w:t>
      </w:r>
    </w:p>
    <w:p>
      <w:pPr>
        <w:spacing w:after="0" w:line="281"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PETER G. LIVANOS</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24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CERES SHIPPING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OLYMPIC LNG INVESTMENTS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A.S. Papadimitriou</w:t>
      </w:r>
    </w:p>
    <w:p>
      <w:pPr>
        <w:spacing w:after="0" w:line="15" w:lineRule="exact"/>
        <w:rPr>
          <w:sz w:val="20"/>
          <w:szCs w:val="20"/>
          <w:color w:val="auto"/>
        </w:rPr>
      </w:pPr>
    </w:p>
    <w:p>
      <w:pPr>
        <w:jc w:val="both"/>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46" w:lineRule="exact"/>
        <w:rPr>
          <w:sz w:val="20"/>
          <w:szCs w:val="20"/>
          <w:color w:val="auto"/>
        </w:rPr>
      </w:pPr>
    </w:p>
    <w:p>
      <w:pPr>
        <w:jc w:val="both"/>
        <w:ind w:left="5500"/>
        <w:spacing w:after="0"/>
        <w:tabs>
          <w:tab w:leader="none" w:pos="5940" w:val="left"/>
        </w:tabs>
        <w:rPr>
          <w:sz w:val="20"/>
          <w:szCs w:val="20"/>
          <w:color w:val="auto"/>
        </w:rPr>
      </w:pPr>
      <w:r>
        <w:rPr>
          <w:rFonts w:ascii="Arial" w:cs="Arial" w:eastAsia="Arial" w:hAnsi="Arial"/>
          <w:sz w:val="18"/>
          <w:szCs w:val="18"/>
          <w:color w:val="auto"/>
        </w:rPr>
        <w:t>By:</w:t>
        <w:tab/>
        <w:t>/s/ M.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 Gialouris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20"/>
          </w:cols>
          <w:pgMar w:left="320" w:top="341" w:right="959" w:bottom="1440" w:gutter="0" w:footer="0" w:header="0"/>
          <w:type w:val="continuous"/>
        </w:sectPr>
      </w:pPr>
    </w:p>
    <w:bookmarkStart w:id="19" w:name="page20"/>
    <w:bookmarkEnd w:id="19"/>
    <w:p>
      <w:pPr>
        <w:ind w:left="5500"/>
        <w:spacing w:after="0"/>
        <w:rPr>
          <w:sz w:val="20"/>
          <w:szCs w:val="20"/>
          <w:color w:val="auto"/>
        </w:rPr>
      </w:pPr>
      <w:r>
        <w:rPr>
          <w:rFonts w:ascii="Arial" w:cs="Arial" w:eastAsia="Arial" w:hAnsi="Arial"/>
          <w:sz w:val="18"/>
          <w:szCs w:val="18"/>
          <w:b w:val="1"/>
          <w:bCs w:val="1"/>
          <w:color w:val="auto"/>
        </w:rPr>
        <w:t>GEPIF III CROWN BIDCO L.P.</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GEPIF III CROWN MERGERCO LIMITED</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GLOBAL ENERGY &amp; POWER INFRASTRUCTURE</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FUND III, 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SUMMARY TERM SHEET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2. SUBJECT COMPANY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 IDENTITY AND BACKGROUND OF FILING PERSON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4. TERMS OF THE TRANSACTION</w:t>
        </w:r>
      </w:hyperlink>
    </w:p>
    <w:p>
      <w:pPr>
        <w:spacing w:after="0" w:line="9" w:lineRule="exact"/>
        <w:rPr>
          <w:sz w:val="20"/>
          <w:szCs w:val="20"/>
          <w:color w:val="auto"/>
        </w:rPr>
      </w:pPr>
    </w:p>
    <w:p>
      <w:pPr>
        <w:ind w:left="540" w:right="3139"/>
        <w:spacing w:after="0" w:line="281"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5. PAST CONTACTS, TRANSACTIONS, NEGOTIATIONS AND AGREEMENTS</w:t>
        </w:r>
      </w:hyperlink>
      <w:r>
        <w:rPr>
          <w:rFonts w:ascii="Arial" w:cs="Arial" w:eastAsia="Arial" w:hAnsi="Arial"/>
          <w:sz w:val="16"/>
          <w:szCs w:val="16"/>
          <w:u w:val="single" w:color="auto"/>
          <w:color w:val="0000EE"/>
        </w:rPr>
        <w:t xml:space="preserve"> </w:t>
      </w:r>
      <w:hyperlink w:anchor="page9">
        <w:r>
          <w:rPr>
            <w:rFonts w:ascii="Arial" w:cs="Arial" w:eastAsia="Arial" w:hAnsi="Arial"/>
            <w:sz w:val="16"/>
            <w:szCs w:val="16"/>
            <w:u w:val="single" w:color="auto"/>
            <w:color w:val="0000EE"/>
          </w:rPr>
          <w:t>ITEM 6. PURPOSES OF THE TRANSACTION AND PLANS OR PROPOSALS</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ITEM 7. PURPOSES, ALTERNATIVES, REASONS AND EFFECTS</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8. FAIRNESS OF THE TRANSACTION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9. REPORTS, OPINIONS, APPRAISALS AND NEGOTIATIONS</w:t>
        </w:r>
      </w:hyperlink>
    </w:p>
    <w:p>
      <w:pPr>
        <w:spacing w:after="0" w:line="9" w:lineRule="exact"/>
        <w:rPr>
          <w:rFonts w:ascii="Arial" w:cs="Arial" w:eastAsia="Arial" w:hAnsi="Arial"/>
          <w:sz w:val="16"/>
          <w:szCs w:val="16"/>
          <w:u w:val="single" w:color="auto"/>
          <w:color w:val="0000EE"/>
        </w:rPr>
      </w:pPr>
    </w:p>
    <w:p>
      <w:pPr>
        <w:ind w:left="540" w:right="3579"/>
        <w:spacing w:after="0" w:line="281" w:lineRule="auto"/>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10. SOURCE AND AMOUNTS OF FUNDS OR OTHER CONSIDERATION</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ITEM 11. INTEREST IN SECURITIES OF THE SUBJECT COMPANY</w:t>
        </w:r>
      </w:hyperlink>
      <w:r>
        <w:rPr>
          <w:rFonts w:ascii="Arial" w:cs="Arial" w:eastAsia="Arial" w:hAnsi="Arial"/>
          <w:sz w:val="16"/>
          <w:szCs w:val="16"/>
          <w:u w:val="single" w:color="auto"/>
          <w:color w:val="0000EE"/>
        </w:rPr>
        <w:t xml:space="preserve"> </w:t>
      </w:r>
      <w:hyperlink w:anchor="page15">
        <w:r>
          <w:rPr>
            <w:rFonts w:ascii="Arial" w:cs="Arial" w:eastAsia="Arial" w:hAnsi="Arial"/>
            <w:sz w:val="16"/>
            <w:szCs w:val="16"/>
            <w:u w:val="single" w:color="auto"/>
            <w:color w:val="0000EE"/>
          </w:rPr>
          <w:t>ITEM 12. THE SOLICITATION OR RECOMMENDATION</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 FINANCIAL STATEMENTS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ITEM 14. PERSONS/ASSETS RETAINED, EMPLOYED, COMPENSATED OR USED</w:t>
        </w:r>
      </w:hyperlink>
    </w:p>
    <w:p>
      <w:pPr>
        <w:spacing w:after="0" w:line="3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 ADDITIONAL INFORMATION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16. EXHIBITS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SIGNATURES</w:t>
        </w:r>
      </w:hyperlink>
    </w:p>
    <w:p>
      <w:pPr>
        <w:sectPr>
          <w:pgSz w:w="11900" w:h="16838" w:orient="portrait"/>
          <w:cols w:equalWidth="0" w:num="1">
            <w:col w:w="10139"/>
          </w:cols>
          <w:pgMar w:left="320" w:top="820"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91">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61">
        <w:r>
          <w:rPr>
            <w:rFonts w:ascii="Arial" w:cs="Arial" w:eastAsia="Arial" w:hAnsi="Arial"/>
            <w:sz w:val="22"/>
            <w:szCs w:val="22"/>
            <w:u w:val="single" w:color="auto"/>
            <w:color w:val="0000EE"/>
          </w:rPr>
          <w:t>TABLE OF CONTENTS 2</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29">
        <w:r>
          <w:rPr>
            <w:rFonts w:ascii="Arial" w:cs="Arial" w:eastAsia="Arial" w:hAnsi="Arial"/>
            <w:sz w:val="22"/>
            <w:szCs w:val="22"/>
            <w:u w:val="single" w:color="auto"/>
            <w:color w:val="0000EE"/>
          </w:rPr>
          <w:t>TABLE OF CONTENTS 3</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17015" cy="754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 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GasLog Ltd.:</w:t>
      </w:r>
    </w:p>
    <w:p>
      <w:pPr>
        <w:spacing w:after="0" w:line="225"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You are cordially invited to attend a special general meeting of the shareholders of GasLog Ltd. (referred to in the accompanying proxy statement as the “Company”) to be held on June 4, 2021 at 9:30 a.m. Bermuda Time (8:30 a.m. Eastern Time).</w:t>
      </w:r>
    </w:p>
    <w:p>
      <w:pPr>
        <w:spacing w:after="0" w:line="186"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The attached notice of the special general meeting and accompanying proxy statement provide information regarding the matters to be considered and voted on at the special general meeting, including at any postponement or adjournment thereof. Attendance at the special general meeting will be limited to virtual attendance and the proceedings of the special general meeting are scheduled to be held exclusively online via live webcast. The special general meeting can only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We have chosen to adopt these arrangements for virtual attendance rather than permit in-person attendance given the current public health implications of the COVID-19 pandemic and our desire to promote the health and welfare of our shareholders.</w:t>
      </w:r>
    </w:p>
    <w:p>
      <w:pPr>
        <w:spacing w:after="0" w:line="172"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At the special general meeting, you will be asked to consider and vote upon a proposal (referred to in the accompanying proxy statement as the “merger proposal”) to approve (a) the merger contemplated by the Agreement and Plan of Merger, dated as of February 21, 2021 (as amended on April 20, 2021 by Amendment No. 1 to the Agreement and Plan of Merger, referred to in the accompanying proxy statement as the “merger agreement”), and entered into by the Company, GEPIF III Crown Bidco L.P., a Cayman Islands exempted limited partnership (referred to in the accompanying proxy statement as “Parent”), and its wholly owned subsidiary, GEPIF III Crown MergerCo Limited, a Bermuda exempted company (referred to in the accompanying proxy statement as “Merger Sub”), pursuant to which Merger Sub will merge with and into the Company (the “merger”), with the Company as the surviving company in such merger, (b) the merger agreement and (c) the statutory merger agreement contemplated by the merger agreement.</w:t>
      </w:r>
    </w:p>
    <w:p>
      <w:pPr>
        <w:spacing w:after="0" w:line="172"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If the merger proposal receives the requisite approvals of the Company shareholders and the merger is completed, holders of common shares of the Company, par value $0.01 per share (referred to in the accompanying proxy statement as the “Company common shares”), other than the Company or any of its subsidiaries or certain existing Company shareholders, including Blenheim Holdings Ltd. (wholly owned by the Livanos family) and a wholly owned affiliate of the Onassis Foundation, which have agreed pursuant to a rollover agreement with Parent and the Company that their respective Company common shares will remain outstanding in the merger (referred to in the accompanying proxy statement as the “rolling shareholders”), will be entitled to receive $5.80 in cash, without interest and less any applicable withholding taxes (referred to in the accompanying proxy statement as the “merger consideration”), for each Company common share that they own immediately prior to the effective time of the merger unless they have properly exercised appraisal rights for such shares in accordance with the Company Act 1981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Bermuda (as amended) (referred to in the accompanying proxy statement as the “Bermuda Companies Act”).</w:t>
      </w:r>
    </w:p>
    <w:p>
      <w:pPr>
        <w:spacing w:after="0" w:line="225" w:lineRule="exact"/>
        <w:rPr>
          <w:sz w:val="20"/>
          <w:szCs w:val="20"/>
          <w:color w:val="auto"/>
        </w:rPr>
      </w:pPr>
    </w:p>
    <w:p>
      <w:pPr>
        <w:jc w:val="both"/>
        <w:ind w:firstLine="451"/>
        <w:spacing w:after="0" w:line="298" w:lineRule="auto"/>
        <w:rPr>
          <w:sz w:val="20"/>
          <w:szCs w:val="20"/>
          <w:color w:val="auto"/>
        </w:rPr>
      </w:pPr>
      <w:r>
        <w:rPr>
          <w:rFonts w:ascii="Arial" w:cs="Arial" w:eastAsia="Arial" w:hAnsi="Arial"/>
          <w:sz w:val="16"/>
          <w:szCs w:val="16"/>
          <w:color w:val="auto"/>
        </w:rPr>
        <w:t>Further, if the merger is completed, immediately following the merger each outstanding 8.75% Series A Cumulative Redeemable Perpetual Preference Share, par value $0.01 per share, of the Company (referred to in the accompanying proxy statement as a “Company preference share”) will remain outstanding and convert automatically into a preference share in the surviving company in the merger and continue to be entitled to the same dividend and other relative rights, preferences, limitations and restrictions as currently provided by the certificate of designations for the Company preference shares.</w:t>
      </w:r>
    </w:p>
    <w:p>
      <w:pPr>
        <w:spacing w:after="0" w:line="166" w:lineRule="exact"/>
        <w:rPr>
          <w:sz w:val="20"/>
          <w:szCs w:val="20"/>
          <w:color w:val="auto"/>
        </w:rPr>
      </w:pPr>
    </w:p>
    <w:p>
      <w:pPr>
        <w:jc w:val="both"/>
        <w:ind w:firstLine="510"/>
        <w:spacing w:after="0" w:line="302" w:lineRule="auto"/>
        <w:rPr>
          <w:sz w:val="20"/>
          <w:szCs w:val="20"/>
          <w:color w:val="auto"/>
        </w:rPr>
      </w:pPr>
      <w:r>
        <w:rPr>
          <w:rFonts w:ascii="Arial" w:cs="Arial" w:eastAsia="Arial" w:hAnsi="Arial"/>
          <w:sz w:val="15"/>
          <w:szCs w:val="15"/>
          <w:color w:val="auto"/>
        </w:rPr>
        <w:t>We cannot complete the merger without receiving the affirmative vote of both (1) the holders of a majority of the voting power of the outstanding Company common shares and Company preference shares, voting together as a single class (and with each Company preference share carrying a single vote) and (2) the holders of a majority of the Company common shares held by holders other than Parent, Merger Sub or the rolling shareholders and their respective affiliates (referred to in the accompanying proxy statement as the “public shareholders”) and present (in person or by proxy) at the special general meeting.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Whether or not you are able to attend the special general meeting via the virtual meeting website, please complete, sign and date the enclosed proxy card and return it in the envelope provided or vote by telephone (at the toll-free number indicated on the proxy card) or via the internet (at the voting site indicated on the proxy card) as promptly as possible so that your shares may be represented and voted at the special general meeting (or any adjournment or postponement thereof).</w:t>
      </w:r>
    </w:p>
    <w:p>
      <w:pPr>
        <w:spacing w:after="0" w:line="20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A special committee of the board of directors of the Company composed solely of independent and disinterested directors (referred to in the accompanying proxy statement as the “special committee”) reviewed and considered the terms and conditions of the merger agreement, the statutory merger agreement and the transactions contemplated by the merger agreement, the statutory merger agreement and the rollover agreement, including the merger. After careful consideration and consultation with its financial advisor and legal counsel,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public shareholders and holders of Company preference shares.</w:t>
      </w:r>
    </w:p>
    <w:p>
      <w:pPr>
        <w:spacing w:after="0" w:line="193"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b w:val="1"/>
          <w:bCs w:val="1"/>
          <w:color w:val="auto"/>
        </w:rPr>
        <w:t>After careful consideration, the board of directors of the Company, acting upon the unanimous recommendation of the special committee, by unanimous resolution, (a) determined that (i) the merger consideration constitutes fair value for each Company common share and (ii) the automatic conversion of each Company preference share into a preference share of the surviving company in the merger constitutes fair value for each Company preference share, in each case in accordance with the Bermuda Companies Act, (b) determined that the merger agreement, the statutory merger agreement and the transactions contemplated by the merger agreement, the statutory merger agreement and the rollover agreement, including the merger, are fair to, and in the best interests of, the Company and its shareholders and (c) approved the merger agreement, the statutory merger agreement and the transactions contemplated by the merger agreement, the statutory merger agreement and the rollover agreement, including the merger. The board of directors of the Company unanimously recommends that you vote “FOR” the merger proposal and approve the merger, the merger agreement and the statutory merger agreement.</w:t>
      </w:r>
    </w:p>
    <w:p>
      <w:pPr>
        <w:spacing w:after="0" w:line="179" w:lineRule="exact"/>
        <w:rPr>
          <w:sz w:val="20"/>
          <w:szCs w:val="20"/>
          <w:color w:val="auto"/>
        </w:rPr>
      </w:pPr>
    </w:p>
    <w:p>
      <w:pPr>
        <w:jc w:val="both"/>
        <w:ind w:firstLine="402"/>
        <w:spacing w:after="0" w:line="317" w:lineRule="auto"/>
        <w:rPr>
          <w:sz w:val="20"/>
          <w:szCs w:val="20"/>
          <w:color w:val="auto"/>
        </w:rPr>
      </w:pPr>
      <w:r>
        <w:rPr>
          <w:rFonts w:ascii="Arial" w:cs="Arial" w:eastAsia="Arial" w:hAnsi="Arial"/>
          <w:sz w:val="15"/>
          <w:szCs w:val="15"/>
          <w:color w:val="auto"/>
        </w:rPr>
        <w:t>In considering the recommendation of the special committee and the board of directors of the Company with respect to the merger, you should be aware that some of the Company’s directors or executive officers may have interests in the merger that are different from, or in addition to, the interests of the public shareholders and the holders of Company preference shares. The special committee and the board of the directors of the Company were aware of such interests and considered them in reaching their determinations regarding the merger agreement, the statutory merger agreement and the transactions contemplated by the merger agreement, the statutory merger agreement and the rollover agreement, including the merger, and issuing their recommendations.</w:t>
      </w:r>
    </w:p>
    <w:p>
      <w:pPr>
        <w:spacing w:after="0" w:line="157"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obligations of the Company, Parent and Merger Sub to complete the merger are subject to the satisfaction or waiver of certain conditions contained in the merger agreement. The accompanying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jc w:val="both"/>
        <w:spacing w:after="0" w:line="294" w:lineRule="auto"/>
        <w:rPr>
          <w:sz w:val="20"/>
          <w:szCs w:val="20"/>
          <w:color w:val="auto"/>
        </w:rPr>
      </w:pPr>
      <w:r>
        <w:rPr>
          <w:rFonts w:ascii="Arial" w:cs="Arial" w:eastAsia="Arial" w:hAnsi="Arial"/>
          <w:sz w:val="16"/>
          <w:szCs w:val="16"/>
          <w:color w:val="auto"/>
        </w:rPr>
        <w:t>statement contains detailed information about the Company, the special general meeting, the merger agreement, the statutory merger agreement and the other transactions contemplated by the merger agreement, the statutory merger agreement and the rollover agreement, including the merger. A copy of the original merger agreement and Amendment No. 1 thereof are attached as Annex A-1 and Annex A-2, respectively, to the accompanying proxy statement. We encourage you to read the accompanying proxy statement and the merger agreement carefully and in their entirety. You may also obtain more information about the Company from documents we have filed with the Securities and Exchange Commission, which are available for free at its website www.sec.gov.</w:t>
      </w:r>
    </w:p>
    <w:p>
      <w:pPr>
        <w:spacing w:after="0" w:line="169" w:lineRule="exact"/>
        <w:rPr>
          <w:sz w:val="20"/>
          <w:szCs w:val="20"/>
          <w:color w:val="auto"/>
        </w:rPr>
      </w:pPr>
    </w:p>
    <w:p>
      <w:pPr>
        <w:jc w:val="both"/>
        <w:ind w:firstLine="658"/>
        <w:spacing w:after="0" w:line="268" w:lineRule="auto"/>
        <w:rPr>
          <w:sz w:val="20"/>
          <w:szCs w:val="20"/>
          <w:color w:val="auto"/>
        </w:rPr>
      </w:pPr>
      <w:r>
        <w:rPr>
          <w:rFonts w:ascii="Arial" w:cs="Arial" w:eastAsia="Arial" w:hAnsi="Arial"/>
          <w:sz w:val="18"/>
          <w:szCs w:val="18"/>
          <w:color w:val="auto"/>
        </w:rPr>
        <w:t>If you have any questions or need assistance voting your shares of the Company, please contact D.F. King &amp; Co., Inc., our proxy solicitor, at +1 (800) 628-8532.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consideration of this matter.</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302260</wp:posOffset>
            </wp:positionV>
            <wp:extent cx="1268730" cy="462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THE COMPANY IS A “FOREIGN PRIVATE ISSUER” WITHIN THE MEANING OF RULE 3B-4 OF THE EXCHANGE ACT OF 1934, AS AMENDED, AND, AS A RESULT, THE COMPANY IS NOT REQUIRED TO COMPLY WITH U.S. PROXY REQUIREMENTS.</w:t>
      </w:r>
    </w:p>
    <w:p>
      <w:pPr>
        <w:spacing w:after="0" w:line="174"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PASSED UPON THE MERITS OF THE MERGER AGREEMENT, THE STATUTORY MERGER AGREEMENT, THE MERGER OR THE OTHER TRANSACTIONS CONTEMPLATED BY THE MERGER AGREEMENT, THE STATUTORY MERGER AGREEMENT OR THE ROLLOVER AGREEMENT OR DETERMINED IF THE ACCOMPANYING PROXY STATEMENT IS ACCURATE OR COMPLETE. ANY REPRESENTATION TO THE CONTRARY IS A CRIMINAL OFFENSE.</w:t>
      </w:r>
    </w:p>
    <w:p>
      <w:pPr>
        <w:spacing w:after="0" w:line="192"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b w:val="1"/>
          <w:bCs w:val="1"/>
          <w:color w:val="auto"/>
        </w:rPr>
        <w:t>THIS PROXY STATEMENT WILL NOT BE FILED WITH ANY GOVERNMENT OR REGULATORY AUTHORITY IN BERMUDA. NEITHER THE BERMUDA MONETARY AUTHORITY NOR THE REGISTRAR OF COMPANIES IN BERMUDA ACCEPTS ANY RESPONSIBILITY FOR THE COMPANY’S FINANCIAL SOUNDNESS OR THE CORRECTNESS OF ANY OF THE STATEMENTS MADE OR OPINIONS EXPRESSED IN THIS PROXY STATEMENT.</w:t>
      </w:r>
    </w:p>
    <w:p>
      <w:pPr>
        <w:spacing w:after="0" w:line="196" w:lineRule="exact"/>
        <w:rPr>
          <w:sz w:val="20"/>
          <w:szCs w:val="20"/>
          <w:color w:val="auto"/>
        </w:rPr>
      </w:pPr>
    </w:p>
    <w:p>
      <w:pPr>
        <w:jc w:val="both"/>
        <w:ind w:right="20" w:firstLine="560"/>
        <w:spacing w:after="0" w:line="268" w:lineRule="auto"/>
        <w:rPr>
          <w:sz w:val="20"/>
          <w:szCs w:val="20"/>
          <w:color w:val="auto"/>
        </w:rPr>
      </w:pPr>
      <w:r>
        <w:rPr>
          <w:rFonts w:ascii="Arial" w:cs="Arial" w:eastAsia="Arial" w:hAnsi="Arial"/>
          <w:sz w:val="18"/>
          <w:szCs w:val="18"/>
          <w:color w:val="auto"/>
        </w:rPr>
        <w:t>The accompanying proxy statement is dated May 3, 2021 and, together with the enclosed form of proxy, is first being mailed to the Company’s shareholders on or about 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517015" cy="754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920" w:type="dxa"/>
            <w:vAlign w:val="bottom"/>
          </w:tcPr>
          <w:p>
            <w:pPr>
              <w:jc w:val="center"/>
              <w:ind w:right="2212"/>
              <w:spacing w:after="0"/>
              <w:rPr>
                <w:sz w:val="20"/>
                <w:szCs w:val="20"/>
                <w:color w:val="auto"/>
              </w:rPr>
            </w:pPr>
            <w:r>
              <w:rPr>
                <w:rFonts w:ascii="Arial" w:cs="Arial" w:eastAsia="Arial" w:hAnsi="Arial"/>
                <w:sz w:val="18"/>
                <w:szCs w:val="18"/>
                <w:b w:val="1"/>
                <w:bCs w:val="1"/>
                <w:color w:val="auto"/>
                <w:w w:val="95"/>
              </w:rPr>
              <w:t>GASLOG LTD.</w:t>
            </w:r>
          </w:p>
        </w:tc>
      </w:tr>
      <w:tr>
        <w:trPr>
          <w:trHeight w:val="216"/>
        </w:trPr>
        <w:tc>
          <w:tcPr>
            <w:tcW w:w="2320" w:type="dxa"/>
            <w:vAlign w:val="bottom"/>
          </w:tcPr>
          <w:p>
            <w:pPr>
              <w:spacing w:after="0"/>
              <w:rPr>
                <w:sz w:val="18"/>
                <w:szCs w:val="18"/>
                <w:color w:val="auto"/>
              </w:rPr>
            </w:pPr>
          </w:p>
        </w:tc>
        <w:tc>
          <w:tcPr>
            <w:tcW w:w="8920" w:type="dxa"/>
            <w:vAlign w:val="bottom"/>
          </w:tcPr>
          <w:p>
            <w:pPr>
              <w:jc w:val="center"/>
              <w:ind w:right="2232"/>
              <w:spacing w:after="0"/>
              <w:rPr>
                <w:sz w:val="20"/>
                <w:szCs w:val="20"/>
                <w:color w:val="auto"/>
              </w:rPr>
            </w:pPr>
            <w:r>
              <w:rPr>
                <w:rFonts w:ascii="Arial" w:cs="Arial" w:eastAsia="Arial" w:hAnsi="Arial"/>
                <w:sz w:val="18"/>
                <w:szCs w:val="18"/>
                <w:b w:val="1"/>
                <w:bCs w:val="1"/>
                <w:color w:val="auto"/>
                <w:w w:val="88"/>
              </w:rPr>
              <w:t>c/o GasLog LNG Services Ltd.</w:t>
            </w:r>
          </w:p>
        </w:tc>
      </w:tr>
      <w:tr>
        <w:trPr>
          <w:trHeight w:val="216"/>
        </w:trPr>
        <w:tc>
          <w:tcPr>
            <w:tcW w:w="2320" w:type="dxa"/>
            <w:vAlign w:val="bottom"/>
          </w:tcPr>
          <w:p>
            <w:pPr>
              <w:spacing w:after="0"/>
              <w:rPr>
                <w:sz w:val="18"/>
                <w:szCs w:val="18"/>
                <w:color w:val="auto"/>
              </w:rPr>
            </w:pPr>
          </w:p>
        </w:tc>
        <w:tc>
          <w:tcPr>
            <w:tcW w:w="8920" w:type="dxa"/>
            <w:vAlign w:val="bottom"/>
          </w:tcPr>
          <w:p>
            <w:pPr>
              <w:jc w:val="center"/>
              <w:ind w:right="2212"/>
              <w:spacing w:after="0"/>
              <w:rPr>
                <w:sz w:val="20"/>
                <w:szCs w:val="20"/>
                <w:color w:val="auto"/>
              </w:rPr>
            </w:pPr>
            <w:r>
              <w:rPr>
                <w:rFonts w:ascii="Arial" w:cs="Arial" w:eastAsia="Arial" w:hAnsi="Arial"/>
                <w:sz w:val="18"/>
                <w:szCs w:val="18"/>
                <w:b w:val="1"/>
                <w:bCs w:val="1"/>
                <w:color w:val="auto"/>
                <w:w w:val="93"/>
              </w:rPr>
              <w:t>69 Akti Miaouli</w:t>
            </w:r>
          </w:p>
        </w:tc>
      </w:tr>
      <w:tr>
        <w:trPr>
          <w:trHeight w:val="216"/>
        </w:trPr>
        <w:tc>
          <w:tcPr>
            <w:tcW w:w="2320" w:type="dxa"/>
            <w:vAlign w:val="bottom"/>
          </w:tcPr>
          <w:p>
            <w:pPr>
              <w:spacing w:after="0"/>
              <w:rPr>
                <w:sz w:val="18"/>
                <w:szCs w:val="18"/>
                <w:color w:val="auto"/>
              </w:rPr>
            </w:pPr>
          </w:p>
        </w:tc>
        <w:tc>
          <w:tcPr>
            <w:tcW w:w="8920" w:type="dxa"/>
            <w:vAlign w:val="bottom"/>
          </w:tcPr>
          <w:p>
            <w:pPr>
              <w:jc w:val="center"/>
              <w:ind w:right="2232"/>
              <w:spacing w:after="0"/>
              <w:rPr>
                <w:sz w:val="20"/>
                <w:szCs w:val="20"/>
                <w:color w:val="auto"/>
              </w:rPr>
            </w:pPr>
            <w:r>
              <w:rPr>
                <w:rFonts w:ascii="Arial" w:cs="Arial" w:eastAsia="Arial" w:hAnsi="Arial"/>
                <w:sz w:val="18"/>
                <w:szCs w:val="18"/>
                <w:b w:val="1"/>
                <w:bCs w:val="1"/>
                <w:color w:val="auto"/>
                <w:w w:val="86"/>
              </w:rPr>
              <w:t>18537 Piraeus</w:t>
            </w:r>
          </w:p>
        </w:tc>
      </w:tr>
      <w:tr>
        <w:trPr>
          <w:trHeight w:val="228"/>
        </w:trPr>
        <w:tc>
          <w:tcPr>
            <w:tcW w:w="2320" w:type="dxa"/>
            <w:vAlign w:val="bottom"/>
          </w:tcPr>
          <w:p>
            <w:pPr>
              <w:spacing w:after="0"/>
              <w:rPr>
                <w:sz w:val="19"/>
                <w:szCs w:val="19"/>
                <w:color w:val="auto"/>
              </w:rPr>
            </w:pPr>
          </w:p>
        </w:tc>
        <w:tc>
          <w:tcPr>
            <w:tcW w:w="8920" w:type="dxa"/>
            <w:vAlign w:val="bottom"/>
          </w:tcPr>
          <w:p>
            <w:pPr>
              <w:jc w:val="center"/>
              <w:ind w:right="2232"/>
              <w:spacing w:after="0"/>
              <w:rPr>
                <w:sz w:val="20"/>
                <w:szCs w:val="20"/>
                <w:color w:val="auto"/>
              </w:rPr>
            </w:pPr>
            <w:r>
              <w:rPr>
                <w:rFonts w:ascii="Arial" w:cs="Arial" w:eastAsia="Arial" w:hAnsi="Arial"/>
                <w:sz w:val="18"/>
                <w:szCs w:val="18"/>
                <w:b w:val="1"/>
                <w:bCs w:val="1"/>
                <w:color w:val="auto"/>
                <w:w w:val="85"/>
              </w:rPr>
              <w:t>Greece</w:t>
            </w:r>
          </w:p>
        </w:tc>
      </w:tr>
      <w:tr>
        <w:trPr>
          <w:trHeight w:val="420"/>
        </w:trPr>
        <w:tc>
          <w:tcPr>
            <w:tcW w:w="2320" w:type="dxa"/>
            <w:vAlign w:val="bottom"/>
          </w:tcPr>
          <w:p>
            <w:pPr>
              <w:spacing w:after="0"/>
              <w:rPr>
                <w:sz w:val="24"/>
                <w:szCs w:val="24"/>
                <w:color w:val="auto"/>
              </w:rPr>
            </w:pPr>
          </w:p>
        </w:tc>
        <w:tc>
          <w:tcPr>
            <w:tcW w:w="8920" w:type="dxa"/>
            <w:vAlign w:val="bottom"/>
          </w:tcPr>
          <w:p>
            <w:pPr>
              <w:jc w:val="center"/>
              <w:ind w:right="2212"/>
              <w:spacing w:after="0"/>
              <w:rPr>
                <w:sz w:val="20"/>
                <w:szCs w:val="20"/>
                <w:color w:val="auto"/>
              </w:rPr>
            </w:pPr>
            <w:r>
              <w:rPr>
                <w:rFonts w:ascii="Arial" w:cs="Arial" w:eastAsia="Arial" w:hAnsi="Arial"/>
                <w:sz w:val="18"/>
                <w:szCs w:val="18"/>
                <w:b w:val="1"/>
                <w:bCs w:val="1"/>
                <w:color w:val="auto"/>
                <w:w w:val="98"/>
              </w:rPr>
              <w:t>NOTICE OF SPECIAL GENERAL MEETING OF SHAREHOLDERS</w:t>
            </w:r>
          </w:p>
        </w:tc>
      </w:tr>
      <w:tr>
        <w:trPr>
          <w:trHeight w:val="228"/>
        </w:trPr>
        <w:tc>
          <w:tcPr>
            <w:tcW w:w="2320" w:type="dxa"/>
            <w:vAlign w:val="bottom"/>
          </w:tcPr>
          <w:p>
            <w:pPr>
              <w:spacing w:after="0"/>
              <w:rPr>
                <w:sz w:val="19"/>
                <w:szCs w:val="19"/>
                <w:color w:val="auto"/>
              </w:rPr>
            </w:pPr>
          </w:p>
        </w:tc>
        <w:tc>
          <w:tcPr>
            <w:tcW w:w="8920" w:type="dxa"/>
            <w:vAlign w:val="bottom"/>
          </w:tcPr>
          <w:p>
            <w:pPr>
              <w:jc w:val="center"/>
              <w:ind w:right="2232"/>
              <w:spacing w:after="0"/>
              <w:rPr>
                <w:sz w:val="20"/>
                <w:szCs w:val="20"/>
                <w:color w:val="auto"/>
              </w:rPr>
            </w:pPr>
            <w:r>
              <w:rPr>
                <w:rFonts w:ascii="Arial" w:cs="Arial" w:eastAsia="Arial" w:hAnsi="Arial"/>
                <w:sz w:val="18"/>
                <w:szCs w:val="18"/>
                <w:b w:val="1"/>
                <w:bCs w:val="1"/>
                <w:color w:val="auto"/>
                <w:w w:val="94"/>
              </w:rPr>
              <w:t>TO BE HELD ON JUNE 4, 2021</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8920" w:type="dxa"/>
            <w:vAlign w:val="bottom"/>
          </w:tcPr>
          <w:p>
            <w:pPr>
              <w:ind w:left="580"/>
              <w:spacing w:after="0"/>
              <w:rPr>
                <w:sz w:val="20"/>
                <w:szCs w:val="20"/>
                <w:color w:val="auto"/>
              </w:rPr>
            </w:pPr>
            <w:r>
              <w:rPr>
                <w:rFonts w:ascii="Arial" w:cs="Arial" w:eastAsia="Arial" w:hAnsi="Arial"/>
                <w:sz w:val="18"/>
                <w:szCs w:val="18"/>
                <w:color w:val="auto"/>
              </w:rPr>
              <w:t>June 4, 2021 at 9:30 a.m. Bermuda Time (8:30 a.m. Eastern Time).</w:t>
            </w: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20" w:type="dxa"/>
            <w:vAlign w:val="bottom"/>
          </w:tcPr>
          <w:p>
            <w:pPr>
              <w:ind w:left="580"/>
              <w:spacing w:after="0"/>
              <w:rPr>
                <w:sz w:val="20"/>
                <w:szCs w:val="20"/>
                <w:color w:val="auto"/>
              </w:rPr>
            </w:pPr>
            <w:r>
              <w:rPr>
                <w:rFonts w:ascii="Arial" w:cs="Arial" w:eastAsia="Arial" w:hAnsi="Arial"/>
                <w:sz w:val="18"/>
                <w:szCs w:val="18"/>
                <w:color w:val="auto"/>
                <w:w w:val="91"/>
              </w:rPr>
              <w:t>The special general meeting of shareholders of GasLog Ltd. (the “special general meeting”) will be held exclusively</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0"/>
              </w:rPr>
              <w:t>online via live webcast, which can be accessed by visiting www.virtualshareholdermeeting.com/GLOG2021SM (the</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1"/>
              </w:rPr>
              <w:t>“virtual meeting website”), where you will be able to attend the special general meeting, vote and submit questions</w:t>
            </w:r>
          </w:p>
        </w:tc>
      </w:tr>
      <w:tr>
        <w:trPr>
          <w:trHeight w:val="222"/>
        </w:trPr>
        <w:tc>
          <w:tcPr>
            <w:tcW w:w="2320" w:type="dxa"/>
            <w:vAlign w:val="bottom"/>
          </w:tcPr>
          <w:p>
            <w:pPr>
              <w:spacing w:after="0"/>
              <w:rPr>
                <w:sz w:val="19"/>
                <w:szCs w:val="19"/>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online during the special general meeting.</w:t>
            </w: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920" w:type="dxa"/>
            <w:vAlign w:val="bottom"/>
          </w:tcPr>
          <w:p>
            <w:pPr>
              <w:ind w:left="580"/>
              <w:spacing w:after="0"/>
              <w:rPr>
                <w:sz w:val="20"/>
                <w:szCs w:val="20"/>
                <w:color w:val="auto"/>
              </w:rPr>
            </w:pPr>
            <w:r>
              <w:rPr>
                <w:rFonts w:ascii="Arial" w:cs="Arial" w:eastAsia="Arial" w:hAnsi="Arial"/>
                <w:sz w:val="18"/>
                <w:szCs w:val="18"/>
                <w:color w:val="auto"/>
                <w:w w:val="87"/>
              </w:rPr>
              <w:t>Consider and vote on a proposal (the “merger proposal”) to approve (a) the Agreement and Plan of Merger, dated as of</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89"/>
              </w:rPr>
              <w:t>February 21, 2021 (as amended on April 20, 2021, the “merger agreement”), by and among GasLog Ltd., a Bermuda</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1"/>
              </w:rPr>
              <w:t>exempted company (the “Company”), GEPIF III Crown Bidco L.P., a Cayman Islands exempted limited partnership</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1"/>
              </w:rPr>
              <w:t>(“Parent”), and GEPIF III Crown MergerCo Limited, a Bermuda exempted company and a wholly owned subsidiary</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3"/>
              </w:rPr>
              <w:t>of Parent (“Merger Sub”), (b) the related statutory merger agreement (the “statutory merger agreement”), by and</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0"/>
              </w:rPr>
              <w:t>between the Company and Merger Sub, a copy of which is included as Annex B to the proxy statement, and (c) the</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3"/>
              </w:rPr>
              <w:t>merger of Merger Sub with and into the Company (the “merger”), with the Company as the surviving company in</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0"/>
              </w:rPr>
              <w:t>such merger (the “surviving company”), on the terms and subject to the conditions set forth in the merger agreement</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2"/>
              </w:rPr>
              <w:t>and the statutory merger agreement. A copy of the original merger agreement, Amendment No. 1 thereof and the</w:t>
            </w:r>
          </w:p>
        </w:tc>
      </w:tr>
      <w:tr>
        <w:trPr>
          <w:trHeight w:val="216"/>
        </w:trPr>
        <w:tc>
          <w:tcPr>
            <w:tcW w:w="2320" w:type="dxa"/>
            <w:vAlign w:val="bottom"/>
          </w:tcPr>
          <w:p>
            <w:pPr>
              <w:spacing w:after="0"/>
              <w:rPr>
                <w:sz w:val="18"/>
                <w:szCs w:val="18"/>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2"/>
              </w:rPr>
              <w:t>rollover agreement are included as Annex A-1, Annex A-2 and Annex B, respectively, to the accompanying proxy</w:t>
            </w:r>
          </w:p>
        </w:tc>
      </w:tr>
      <w:tr>
        <w:trPr>
          <w:trHeight w:val="222"/>
        </w:trPr>
        <w:tc>
          <w:tcPr>
            <w:tcW w:w="2320" w:type="dxa"/>
            <w:vAlign w:val="bottom"/>
          </w:tcPr>
          <w:p>
            <w:pPr>
              <w:spacing w:after="0"/>
              <w:rPr>
                <w:sz w:val="19"/>
                <w:szCs w:val="19"/>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rPr>
              <w:t>statement.</w:t>
            </w:r>
          </w:p>
        </w:tc>
      </w:tr>
      <w:tr>
        <w:trPr>
          <w:trHeight w:val="459"/>
        </w:trPr>
        <w:tc>
          <w:tcPr>
            <w:tcW w:w="23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920" w:type="dxa"/>
            <w:vAlign w:val="bottom"/>
          </w:tcPr>
          <w:p>
            <w:pPr>
              <w:ind w:left="580"/>
              <w:spacing w:after="0"/>
              <w:rPr>
                <w:sz w:val="20"/>
                <w:szCs w:val="20"/>
                <w:color w:val="auto"/>
              </w:rPr>
            </w:pPr>
            <w:r>
              <w:rPr>
                <w:rFonts w:ascii="Arial" w:cs="Arial" w:eastAsia="Arial" w:hAnsi="Arial"/>
                <w:sz w:val="18"/>
                <w:szCs w:val="18"/>
                <w:color w:val="auto"/>
              </w:rPr>
              <w:t>Holders of record of:</w:t>
            </w:r>
          </w:p>
        </w:tc>
      </w:tr>
      <w:tr>
        <w:trPr>
          <w:trHeight w:val="432"/>
        </w:trPr>
        <w:tc>
          <w:tcPr>
            <w:tcW w:w="2320" w:type="dxa"/>
            <w:vAlign w:val="bottom"/>
          </w:tcPr>
          <w:p>
            <w:pPr>
              <w:spacing w:after="0"/>
              <w:rPr>
                <w:sz w:val="24"/>
                <w:szCs w:val="24"/>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99"/>
              </w:rPr>
              <w:t>•  the common shares, par value $0.01 per share, of the Company (the “Company common shares”); and</w:t>
            </w:r>
          </w:p>
        </w:tc>
      </w:tr>
      <w:tr>
        <w:trPr>
          <w:trHeight w:val="426"/>
        </w:trPr>
        <w:tc>
          <w:tcPr>
            <w:tcW w:w="2320" w:type="dxa"/>
            <w:vAlign w:val="bottom"/>
          </w:tcPr>
          <w:p>
            <w:pPr>
              <w:spacing w:after="0"/>
              <w:rPr>
                <w:sz w:val="24"/>
                <w:szCs w:val="24"/>
                <w:color w:val="auto"/>
              </w:rPr>
            </w:pPr>
          </w:p>
        </w:tc>
        <w:tc>
          <w:tcPr>
            <w:tcW w:w="8920" w:type="dxa"/>
            <w:vAlign w:val="bottom"/>
          </w:tcPr>
          <w:p>
            <w:pPr>
              <w:ind w:left="580"/>
              <w:spacing w:after="0"/>
              <w:rPr>
                <w:sz w:val="20"/>
                <w:szCs w:val="20"/>
                <w:color w:val="auto"/>
              </w:rPr>
            </w:pPr>
            <w:r>
              <w:rPr>
                <w:rFonts w:ascii="Arial" w:cs="Arial" w:eastAsia="Arial" w:hAnsi="Arial"/>
                <w:sz w:val="18"/>
                <w:szCs w:val="18"/>
                <w:color w:val="auto"/>
                <w:w w:val="89"/>
              </w:rPr>
              <w:t>•  8.75% Series A Cumulative Redeemable Perpetual Preference Shares, par value $0.01 per share, of the Company</w:t>
            </w:r>
          </w:p>
        </w:tc>
      </w:tr>
      <w:tr>
        <w:trPr>
          <w:trHeight w:val="222"/>
        </w:trPr>
        <w:tc>
          <w:tcPr>
            <w:tcW w:w="2320" w:type="dxa"/>
            <w:vAlign w:val="bottom"/>
          </w:tcPr>
          <w:p>
            <w:pPr>
              <w:spacing w:after="0"/>
              <w:rPr>
                <w:sz w:val="19"/>
                <w:szCs w:val="19"/>
                <w:color w:val="auto"/>
              </w:rPr>
            </w:pPr>
          </w:p>
        </w:tc>
        <w:tc>
          <w:tcPr>
            <w:tcW w:w="8920" w:type="dxa"/>
            <w:vAlign w:val="bottom"/>
          </w:tcPr>
          <w:p>
            <w:pPr>
              <w:ind w:left="760"/>
              <w:spacing w:after="0"/>
              <w:rPr>
                <w:sz w:val="20"/>
                <w:szCs w:val="20"/>
                <w:color w:val="auto"/>
              </w:rPr>
            </w:pPr>
            <w:r>
              <w:rPr>
                <w:rFonts w:ascii="Arial" w:cs="Arial" w:eastAsia="Arial" w:hAnsi="Arial"/>
                <w:sz w:val="18"/>
                <w:szCs w:val="18"/>
                <w:color w:val="auto"/>
              </w:rPr>
              <w:t>(the “Company preference shares”);</w:t>
            </w:r>
          </w:p>
        </w:tc>
      </w:tr>
      <w:tr>
        <w:trPr>
          <w:trHeight w:val="120"/>
        </w:trPr>
        <w:tc>
          <w:tcPr>
            <w:tcW w:w="2320" w:type="dxa"/>
            <w:vAlign w:val="bottom"/>
            <w:tcBorders>
              <w:bottom w:val="single" w:sz="8" w:color="808080"/>
            </w:tcBorders>
          </w:tcPr>
          <w:p>
            <w:pPr>
              <w:spacing w:after="0"/>
              <w:rPr>
                <w:sz w:val="10"/>
                <w:szCs w:val="10"/>
                <w:color w:val="auto"/>
              </w:rPr>
            </w:pPr>
          </w:p>
        </w:tc>
        <w:tc>
          <w:tcPr>
            <w:tcW w:w="8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in each case, at the close of business in New York City on April 30, 2021, are entitled to notice of, to attend and to</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vote at the special general meeting.</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board of directors of the Company is soliciting your proxy to assure that a quorum is present and that your shares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are represented and voted at the special general meeting. For information on submitting your proxy over the internet,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by telephone or by returning your proxy by mail (no extra postage is needed for the provided envelope if mailed in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United States), please see the attached proxy statement and enclosed proxy card. If you later decide to vote at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special general meeting via the virtual meeting website, your proxy prior to the special general meeting will be</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revoked.</w:t>
            </w:r>
          </w:p>
        </w:tc>
      </w:tr>
      <w:tr>
        <w:trPr>
          <w:trHeight w:val="447"/>
        </w:trPr>
        <w:tc>
          <w:tcPr>
            <w:tcW w:w="256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8680" w:type="dxa"/>
            <w:vAlign w:val="bottom"/>
          </w:tcPr>
          <w:p>
            <w:pPr>
              <w:ind w:left="340"/>
              <w:spacing w:after="0"/>
              <w:rPr>
                <w:sz w:val="20"/>
                <w:szCs w:val="20"/>
                <w:color w:val="auto"/>
              </w:rPr>
            </w:pPr>
            <w:r>
              <w:rPr>
                <w:rFonts w:ascii="Arial" w:cs="Arial" w:eastAsia="Arial" w:hAnsi="Arial"/>
                <w:sz w:val="18"/>
                <w:szCs w:val="18"/>
                <w:color w:val="auto"/>
                <w:w w:val="94"/>
              </w:rPr>
              <w:t>The board of directors of the Company, acting upon the unanimous recommendation of the special committee,</w:t>
            </w:r>
          </w:p>
        </w:tc>
      </w:tr>
      <w:tr>
        <w:trPr>
          <w:trHeight w:val="228"/>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ROLLOVER AGREEMENT</w:t>
            </w: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Pursuant to the Rollover Agreement, dated as of February 21, 2021 (the “rollover agreement”), by and among Parent,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9"/>
              </w:rPr>
              <w:t>the Company and Blenheim Holdings Ltd., Olympic LNG Investments Ltd., Blenheim Special Investments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2"/>
              </w:rPr>
              <w:t>Holding Ltd., Falconera Navigation Inc., Chiara Holdings S. de R.L., Maple Tree Holdings Ltd., Ash Tree SA, Acer</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Tree Ltd., Thatcher Investments Limited, Eleanor Investments Holdings Limited, Nelson Equity Limited and JP Jones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Holdings Limited (collectively, the “rolling shareholders”), the rolling shareholders have agreed, subject to the terms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and conditions set forth therein, to vote or cause to be voted any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shares beneficially owned by them in favor of approving the merger proposal. As of the date of this statement, these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shares held by the rolling shareholders collectively represent approximately 52.64% of the total voting power of all</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Company common shares and Company preference shares, voting together as a single class (with each Company</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preference share carrying a single vote).</w:t>
            </w:r>
          </w:p>
        </w:tc>
      </w:tr>
      <w:tr>
        <w:trPr>
          <w:trHeight w:val="459"/>
        </w:trPr>
        <w:tc>
          <w:tcPr>
            <w:tcW w:w="2560" w:type="dxa"/>
            <w:vAlign w:val="bottom"/>
          </w:tcPr>
          <w:p>
            <w:pPr>
              <w:spacing w:after="0"/>
              <w:rPr>
                <w:sz w:val="20"/>
                <w:szCs w:val="20"/>
                <w:color w:val="auto"/>
              </w:rPr>
            </w:pPr>
            <w:r>
              <w:rPr>
                <w:rFonts w:ascii="Arial" w:cs="Arial" w:eastAsia="Arial" w:hAnsi="Arial"/>
                <w:sz w:val="18"/>
                <w:szCs w:val="18"/>
                <w:b w:val="1"/>
                <w:bCs w:val="1"/>
                <w:color w:val="auto"/>
              </w:rPr>
              <w:t>REQUIRED APPROVALS</w:t>
            </w:r>
          </w:p>
        </w:tc>
        <w:tc>
          <w:tcPr>
            <w:tcW w:w="8680" w:type="dxa"/>
            <w:vAlign w:val="bottom"/>
          </w:tcPr>
          <w:p>
            <w:pPr>
              <w:ind w:left="340"/>
              <w:spacing w:after="0"/>
              <w:rPr>
                <w:sz w:val="20"/>
                <w:szCs w:val="20"/>
                <w:color w:val="auto"/>
              </w:rPr>
            </w:pPr>
            <w:r>
              <w:rPr>
                <w:rFonts w:ascii="Arial" w:cs="Arial" w:eastAsia="Arial" w:hAnsi="Arial"/>
                <w:sz w:val="18"/>
                <w:szCs w:val="18"/>
                <w:color w:val="auto"/>
              </w:rPr>
              <w:t>Approval of the merger proposal requires the affirmative vote in favor of both:</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  the holders of a majority of the voting power of the outstanding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shares entitled to vote on such proposal, voting together as a single class (and with each Company preference share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carrying a single vote), at the special general meeting at which there must be two or more persons present in person</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8"/>
              </w:rPr>
              <w:t>throughout such meeting and representing in person or by proxy in excess of 50% of the Company common shares</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and Company preference shares, taken together, that are entitled to vote thereat; and</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  the holders of a majority of the Company common shares held by the holders of the issued and outstanding</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Company common shares, other than Parent, Merger Sub, the rolling shareholders and their respective affiliates (the</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“public shareholders”) and present (in person or by proxy) at the special general meeting.</w:t>
            </w:r>
          </w:p>
        </w:tc>
      </w:tr>
      <w:tr>
        <w:trPr>
          <w:trHeight w:val="120"/>
        </w:trPr>
        <w:tc>
          <w:tcPr>
            <w:tcW w:w="256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APPRAISAL RIGHTS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For the purposes of Section 106(2)(b)(i) of the Company Act 1981 of Bermuda (as amended) (the “Bermuda Companies Act”), the board of directors of the Company has, by unanimous resolution, determined that (a) $5.80 in cash, without interest thereon, constitutes fair value for each Company common share and (b) the automatic conversion of each Company preference share issued and outstanding immediately prior to the effective time of the merger into a preference share of the surviving company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Section 109(2) of the Bermuda Companies Act constitutes fair value for each Company preference share. Pursuant to Section 106(2)(b)(ii) of the Bermuda Companies Act, any dissenting shareholder of the Company is entitled to be paid fair value for each of his shares. Moreover, in accordance with Section 106(6) any record holder of Company common shares or Company preference shares who does not vote in favor of the merger and who is not satisfied that they have been offered fair value for their shares is permitted to apply to the Supreme Court of Bermuda for an appraisal of the fair value of their shares within one month from the giving of this notice convening the special general meeting.</w:t>
      </w:r>
    </w:p>
    <w:p>
      <w:pPr>
        <w:spacing w:after="0" w:line="181" w:lineRule="exact"/>
        <w:rPr>
          <w:sz w:val="20"/>
          <w:szCs w:val="20"/>
          <w:color w:val="auto"/>
        </w:rPr>
      </w:pPr>
    </w:p>
    <w:p>
      <w:pPr>
        <w:sectPr>
          <w:pgSz w:w="11900" w:h="16838" w:orient="portrait"/>
          <w:cols w:equalWidth="0" w:num="2">
            <w:col w:w="2180" w:space="720"/>
            <w:col w:w="8340"/>
          </w:cols>
          <w:pgMar w:left="320" w:top="125" w:right="339" w:bottom="1440" w:gutter="0" w:footer="0" w:header="0"/>
        </w:sectPr>
      </w:pPr>
    </w:p>
    <w:p>
      <w:pPr>
        <w:jc w:val="both"/>
        <w:ind w:firstLine="391"/>
        <w:spacing w:after="0" w:line="298" w:lineRule="auto"/>
        <w:rPr>
          <w:sz w:val="20"/>
          <w:szCs w:val="20"/>
          <w:color w:val="auto"/>
        </w:rPr>
      </w:pPr>
      <w:r>
        <w:rPr>
          <w:rFonts w:ascii="Arial" w:cs="Arial" w:eastAsia="Arial" w:hAnsi="Arial"/>
          <w:sz w:val="16"/>
          <w:szCs w:val="16"/>
          <w:color w:val="auto"/>
        </w:rPr>
        <w:t>WHETHER OR NOT YOU PLAN TO ATTEND THE SPECIAL GENERAL MEETING VIA THE VIRTUAL MEETING WEBSITE, PLEASE VOTE OVER THE INTERNET OR BY TELEPHONE PURSUANT TO THE INSTRUCTIONS CONTAINED IN THESE MATERIALS, OR BY MAIL BY COMPLETING, DATING, SIGNING AND RETURNING A PROXY CARD AS PROMPTLY AS POSSIBLE. IF YOU ATTEND THE SPECIAL GENERAL MEETING AND WISH TO VOTE YOUR SHARES PERSONALLY VIA THE VIRTUAL MEETING WEBSITE, YOU MAY DO SO.</w:t>
      </w:r>
    </w:p>
    <w:p>
      <w:pPr>
        <w:spacing w:after="0" w:line="166"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 (a) attending the special general meeting and voting via the virtual meeting website; (b) submitting a further proxy by the internet or telephone (only the last proxy appointed by each shareholder of record will be counted), provided that the shareholder does so before 11:59 p.m. Eastern Time on June 3, 2021; (c) delivering a written notice, at the address given below, bearing a date later than that indicated on the proxy card or the date such shareholder appointed its proxy by internet or telephone, but prior to the date of the special general meeting, stating that the proxy is revoked; or (d) signing and delivering a subsequently dated proxy card prior to the vote at the special general meeting.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send any written notice or new proxy card to Vote Processing, c/o Broadridge, 51 Mercedes Way, Edgewood, NY 11717, U.S.A.</w:t>
      </w:r>
    </w:p>
    <w:p>
      <w:pPr>
        <w:spacing w:after="0" w:line="248" w:lineRule="exact"/>
        <w:rPr>
          <w:sz w:val="20"/>
          <w:szCs w:val="20"/>
          <w:color w:val="auto"/>
        </w:rPr>
      </w:pPr>
    </w:p>
    <w:p>
      <w:pPr>
        <w:jc w:val="both"/>
        <w:ind w:right="20" w:firstLine="400"/>
        <w:spacing w:after="0" w:line="268" w:lineRule="auto"/>
        <w:rPr>
          <w:sz w:val="20"/>
          <w:szCs w:val="20"/>
          <w:color w:val="auto"/>
        </w:rPr>
      </w:pPr>
      <w:r>
        <w:rPr>
          <w:rFonts w:ascii="Arial" w:cs="Arial" w:eastAsia="Arial" w:hAnsi="Arial"/>
          <w:sz w:val="18"/>
          <w:szCs w:val="18"/>
          <w:color w:val="auto"/>
        </w:rPr>
        <w:t>If you are a registered holder of Company common shares or Company preference shares you may request a new proxy card by calling Broadridge at 1-800-690-6903, or visit http://www.proxyvote.com to submit a request online.</w:t>
      </w:r>
    </w:p>
    <w:p>
      <w:pPr>
        <w:spacing w:after="0" w:line="18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If your Company common shares or Company preference shares are held by a broker, bank or other nominee, you must instruct the broker, bank or other nominee how to vote your shares or obtain a proxy, executed in your favor, from that record holder giving you the right to vote the shares at the special general meeting.</w:t>
      </w:r>
    </w:p>
    <w:p>
      <w:pPr>
        <w:spacing w:after="0" w:line="19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The proxy statement of which this notice forms a part provides a detailed description of the merger agreement, the statutory merger agreement, the merger and the other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merger agreement and the statutory merger agreement, including the merger.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Company common shares or Company preference shares, please contact the Company’s proxy solicitor: D.F. King &amp; Co., Inc. at +1 (800) 628-8532.</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 of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165100</wp:posOffset>
            </wp:positionV>
            <wp:extent cx="1268730" cy="462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2687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8"/>
              </w:rPr>
              <w:t>c/o GasLog LNG Services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3"/>
              </w:rPr>
              <w:t>69 Akti Miaouli</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6"/>
              </w:rPr>
              <w:t>18537 Piraeus</w:t>
            </w:r>
          </w:p>
        </w:tc>
        <w:tc>
          <w:tcPr>
            <w:tcW w:w="2380" w:type="dxa"/>
            <w:vAlign w:val="bottom"/>
          </w:tcPr>
          <w:p>
            <w:pPr>
              <w:spacing w:after="0"/>
              <w:rPr>
                <w:sz w:val="18"/>
                <w:szCs w:val="18"/>
                <w:color w:val="auto"/>
              </w:rPr>
            </w:pPr>
          </w:p>
        </w:tc>
      </w:tr>
      <w:tr>
        <w:trPr>
          <w:trHeight w:val="228"/>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5"/>
              </w:rPr>
              <w:t>Greece</w:t>
            </w:r>
          </w:p>
        </w:tc>
        <w:tc>
          <w:tcPr>
            <w:tcW w:w="2380" w:type="dxa"/>
            <w:vAlign w:val="bottom"/>
          </w:tcPr>
          <w:p>
            <w:pPr>
              <w:spacing w:after="0"/>
              <w:rPr>
                <w:sz w:val="19"/>
                <w:szCs w:val="19"/>
                <w:color w:val="auto"/>
              </w:rPr>
            </w:pPr>
          </w:p>
        </w:tc>
      </w:tr>
      <w:tr>
        <w:trPr>
          <w:trHeight w:val="63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24"/>
                <w:szCs w:val="24"/>
                <w:color w:val="auto"/>
              </w:rPr>
            </w:pPr>
          </w:p>
        </w:tc>
      </w:tr>
      <w:tr>
        <w:trPr>
          <w:trHeight w:val="228"/>
        </w:trPr>
        <w:tc>
          <w:tcPr>
            <w:tcW w:w="8860" w:type="dxa"/>
            <w:vAlign w:val="bottom"/>
          </w:tcPr>
          <w:p>
            <w:pPr>
              <w:jc w:val="center"/>
              <w:ind w:left="2272"/>
              <w:spacing w:after="0"/>
              <w:rPr>
                <w:sz w:val="20"/>
                <w:szCs w:val="20"/>
                <w:color w:val="auto"/>
              </w:rPr>
            </w:pPr>
            <w:r>
              <w:rPr>
                <w:rFonts w:ascii="Arial" w:cs="Arial" w:eastAsia="Arial" w:hAnsi="Arial"/>
                <w:sz w:val="18"/>
                <w:szCs w:val="18"/>
                <w:b w:val="1"/>
                <w:bCs w:val="1"/>
                <w:color w:val="auto"/>
                <w:w w:val="97"/>
              </w:rPr>
              <w:t>PROXY STATEMENT</w:t>
            </w:r>
          </w:p>
        </w:tc>
        <w:tc>
          <w:tcPr>
            <w:tcW w:w="2380" w:type="dxa"/>
            <w:vAlign w:val="bottom"/>
          </w:tcPr>
          <w:p>
            <w:pPr>
              <w:spacing w:after="0"/>
              <w:rPr>
                <w:sz w:val="19"/>
                <w:szCs w:val="19"/>
                <w:color w:val="auto"/>
              </w:rPr>
            </w:pPr>
          </w:p>
        </w:tc>
      </w:tr>
      <w:tr>
        <w:trPr>
          <w:trHeight w:val="648"/>
        </w:trPr>
        <w:tc>
          <w:tcPr>
            <w:tcW w:w="886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SPECIAL GENERAL MEETING OF SHAREHOLDERS</w:t>
            </w:r>
          </w:p>
        </w:tc>
        <w:tc>
          <w:tcPr>
            <w:tcW w:w="2380" w:type="dxa"/>
            <w:vAlign w:val="bottom"/>
          </w:tcPr>
          <w:p>
            <w:pPr>
              <w:spacing w:after="0"/>
              <w:rPr>
                <w:sz w:val="24"/>
                <w:szCs w:val="24"/>
                <w:color w:val="auto"/>
              </w:rPr>
            </w:pPr>
          </w:p>
        </w:tc>
      </w:tr>
      <w:tr>
        <w:trPr>
          <w:trHeight w:val="432"/>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TABLE OF CONTENTS</w:t>
            </w:r>
          </w:p>
        </w:tc>
        <w:tc>
          <w:tcPr>
            <w:tcW w:w="2380" w:type="dxa"/>
            <w:vAlign w:val="bottom"/>
          </w:tcPr>
          <w:p>
            <w:pPr>
              <w:spacing w:after="0"/>
              <w:rPr>
                <w:sz w:val="24"/>
                <w:szCs w:val="24"/>
                <w:color w:val="auto"/>
              </w:rPr>
            </w:pPr>
          </w:p>
        </w:tc>
      </w:tr>
      <w:tr>
        <w:trPr>
          <w:trHeight w:val="432"/>
        </w:trPr>
        <w:tc>
          <w:tcPr>
            <w:tcW w:w="8860" w:type="dxa"/>
            <w:vAlign w:val="bottom"/>
          </w:tcPr>
          <w:p>
            <w:pPr>
              <w:ind w:left="1140"/>
              <w:spacing w:after="0"/>
              <w:rPr>
                <w:sz w:val="20"/>
                <w:szCs w:val="20"/>
                <w:color w:val="auto"/>
              </w:rPr>
            </w:pPr>
            <w:r>
              <w:rPr>
                <w:rFonts w:ascii="Arial" w:cs="Arial" w:eastAsia="Arial" w:hAnsi="Arial"/>
                <w:sz w:val="18"/>
                <w:szCs w:val="18"/>
                <w:color w:val="auto"/>
              </w:rPr>
              <w:t>SUMMARY TERM SHEET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Parties Involved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Merger Consideration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5</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Opinion of Evercore Group L.L.C.</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Expected Timing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the Company</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Parent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 of Termination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Special General Meeting</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120"/>
        </w:trPr>
        <w:tc>
          <w:tcPr>
            <w:tcW w:w="88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9220" w:type="dxa"/>
            <w:vAlign w:val="bottom"/>
          </w:tcPr>
          <w:p>
            <w:pPr>
              <w:ind w:left="1140"/>
              <w:spacing w:after="0"/>
              <w:rPr>
                <w:sz w:val="20"/>
                <w:szCs w:val="20"/>
                <w:color w:val="auto"/>
              </w:rPr>
            </w:pPr>
            <w:r>
              <w:rPr>
                <w:rFonts w:ascii="Arial" w:cs="Arial" w:eastAsia="Arial" w:hAnsi="Arial"/>
                <w:sz w:val="18"/>
                <w:szCs w:val="18"/>
                <w:color w:val="auto"/>
              </w:rPr>
              <w:t>QUESTIONS AND ANSWERS ABOUT THE SPECIAL GENERAL MEETING AND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15</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CAUTION REGARDING FORWARD-LOOKING STATEMENTS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20</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PARTIES INVOLVED IN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GEPIF III</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Parent</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Merger Sub</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Rolling Shareholder Parties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23</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Date, Time and Place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Purpose of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Record Date; Shareholders Entitled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Quorum</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Required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Abstentions and Broker Non-Votes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Failure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by the Company’s Directors and Executive Officers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at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Revocation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Shares Held in Name of Broker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Tabulation of 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Solicitation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Other Information</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SPECIAL FACTORS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Company’s Net Book Value and Net Earnings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on the Company if the Merger Is Not Completed</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Plans for the Company after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Background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42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Alternatives to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GEPIF Filing Parties’ 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51</w:t>
            </w:r>
          </w:p>
        </w:tc>
      </w:tr>
      <w:tr>
        <w:trPr>
          <w:trHeight w:val="120"/>
        </w:trPr>
        <w:tc>
          <w:tcPr>
            <w:tcW w:w="92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8260" w:type="dxa"/>
            <w:vAlign w:val="bottom"/>
          </w:tcPr>
          <w:p>
            <w:pPr>
              <w:ind w:left="1320"/>
              <w:spacing w:after="0"/>
              <w:rPr>
                <w:sz w:val="20"/>
                <w:szCs w:val="20"/>
                <w:color w:val="auto"/>
              </w:rPr>
            </w:pPr>
            <w:r>
              <w:rPr>
                <w:rFonts w:ascii="Arial" w:cs="Arial" w:eastAsia="Arial" w:hAnsi="Arial"/>
                <w:sz w:val="18"/>
                <w:szCs w:val="18"/>
                <w:color w:val="auto"/>
              </w:rPr>
              <w:t>Rolling Shareholder Parties’ Reasons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Position of the Rolling Shareholder Parties as to the Fairness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Opinion of Evercore—Financial Advisor to the Special Committee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55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Certain Financial Information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Regulatory Clearances and Approvals Required for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Material Bermuda Tax Consequences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Delisting and Deregistration of the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60" w:type="dxa"/>
            <w:vAlign w:val="bottom"/>
          </w:tcPr>
          <w:p>
            <w:pPr>
              <w:ind w:left="1140"/>
              <w:spacing w:after="0"/>
              <w:rPr>
                <w:sz w:val="20"/>
                <w:szCs w:val="20"/>
                <w:color w:val="auto"/>
              </w:rPr>
            </w:pPr>
            <w:r>
              <w:rPr>
                <w:rFonts w:ascii="Arial" w:cs="Arial" w:eastAsia="Arial" w:hAnsi="Arial"/>
                <w:sz w:val="18"/>
                <w:szCs w:val="18"/>
                <w:color w:val="auto"/>
              </w:rPr>
              <w:t>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Closing; Effective Time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Exchange of Company Common Shares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Lost, Stolen or Destroyed Certificates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Withholding</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Shares of Dissenting Holders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Representations and Warranties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Conduct of Business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79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81</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82</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Obtain Required Shareholder Approvals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84</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Efforts to Complete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Guarantee</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Other Covenants and Agreements</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86</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87</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89</w:t>
            </w:r>
          </w:p>
        </w:tc>
      </w:tr>
      <w:tr>
        <w:trPr>
          <w:trHeight w:val="432"/>
        </w:trPr>
        <w:tc>
          <w:tcPr>
            <w:tcW w:w="8260" w:type="dxa"/>
            <w:vAlign w:val="bottom"/>
          </w:tcPr>
          <w:p>
            <w:pPr>
              <w:ind w:left="1320"/>
              <w:spacing w:after="0"/>
              <w:rPr>
                <w:sz w:val="20"/>
                <w:szCs w:val="20"/>
                <w:color w:val="auto"/>
              </w:rPr>
            </w:pPr>
            <w:r>
              <w:rPr>
                <w:rFonts w:ascii="Arial" w:cs="Arial" w:eastAsia="Arial" w:hAnsi="Arial"/>
                <w:sz w:val="18"/>
                <w:szCs w:val="18"/>
                <w:color w:val="auto"/>
              </w:rPr>
              <w:t>Termination Fees and Expense Reimbursement</w:t>
            </w:r>
          </w:p>
        </w:tc>
        <w:tc>
          <w:tcPr>
            <w:tcW w:w="2980" w:type="dxa"/>
            <w:vAlign w:val="bottom"/>
          </w:tcPr>
          <w:p>
            <w:pPr>
              <w:jc w:val="right"/>
              <w:ind w:right="1032"/>
              <w:spacing w:after="0"/>
              <w:rPr>
                <w:sz w:val="20"/>
                <w:szCs w:val="20"/>
                <w:color w:val="auto"/>
              </w:rPr>
            </w:pPr>
            <w:r>
              <w:rPr>
                <w:rFonts w:ascii="Arial" w:cs="Arial" w:eastAsia="Arial" w:hAnsi="Arial"/>
                <w:sz w:val="18"/>
                <w:szCs w:val="18"/>
                <w:color w:val="auto"/>
              </w:rPr>
              <w:t>90</w:t>
            </w:r>
          </w:p>
        </w:tc>
      </w:tr>
      <w:tr>
        <w:trPr>
          <w:trHeight w:val="120"/>
        </w:trPr>
        <w:tc>
          <w:tcPr>
            <w:tcW w:w="82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66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910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Amendments and Waivers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Governing Law; Jurisdiction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THE ROLLOVER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Rollover and Shareholder Agreement</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Agreement to Vote</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Transfer Restrictions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Non-Solicitation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Termination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PROVISIONS FOR PUBLIC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96</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APPRAISAL RIGHTS OF SHAREHOLDERS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97</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Selected Historical Financial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103</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105</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Market Prices of the Company Preference Shares and Dividends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108</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Security Ownership of Company Common Shares and Company Preference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Prior Public Offerings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Certain Transactions in the Company Shares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110</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Negotiations or Material Contacts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112</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134</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Identity and Background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136</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Rolling Shareholder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137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147</w:t>
            </w:r>
          </w:p>
        </w:tc>
      </w:tr>
      <w:tr>
        <w:trPr>
          <w:trHeight w:val="432"/>
        </w:trPr>
        <w:tc>
          <w:tcPr>
            <w:tcW w:w="910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GEPIF Filing Parties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150</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MATERIAL U.S. FEDERAL INCOME TAX CONSEQUENCES OF THE MERGER</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151</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FUTURE SHAREHOLDER PROPOSALS</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155</w:t>
            </w:r>
          </w:p>
        </w:tc>
      </w:tr>
      <w:tr>
        <w:trPr>
          <w:trHeight w:val="432"/>
        </w:trPr>
        <w:tc>
          <w:tcPr>
            <w:tcW w:w="910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2140" w:type="dxa"/>
            <w:vAlign w:val="bottom"/>
          </w:tcPr>
          <w:p>
            <w:pPr>
              <w:jc w:val="right"/>
              <w:ind w:right="1032"/>
              <w:spacing w:after="0"/>
              <w:rPr>
                <w:sz w:val="20"/>
                <w:szCs w:val="20"/>
                <w:color w:val="auto"/>
              </w:rPr>
            </w:pPr>
            <w:r>
              <w:rPr>
                <w:rFonts w:ascii="Arial" w:cs="Arial" w:eastAsia="Arial" w:hAnsi="Arial"/>
                <w:sz w:val="18"/>
                <w:szCs w:val="18"/>
                <w:color w:val="auto"/>
              </w:rPr>
              <w:t>156</w:t>
            </w:r>
          </w:p>
        </w:tc>
      </w:tr>
      <w:tr>
        <w:trPr>
          <w:trHeight w:val="120"/>
        </w:trPr>
        <w:tc>
          <w:tcPr>
            <w:tcW w:w="910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7740" w:type="dxa"/>
            <w:vAlign w:val="bottom"/>
          </w:tcPr>
          <w:p>
            <w:pPr>
              <w:ind w:left="1140"/>
              <w:spacing w:after="0"/>
              <w:rPr>
                <w:sz w:val="20"/>
                <w:szCs w:val="20"/>
                <w:color w:val="auto"/>
              </w:rPr>
            </w:pPr>
            <w:r>
              <w:rPr>
                <w:rFonts w:ascii="Arial" w:cs="Arial" w:eastAsia="Arial" w:hAnsi="Arial"/>
                <w:sz w:val="18"/>
                <w:szCs w:val="18"/>
                <w:color w:val="auto"/>
              </w:rPr>
              <w:t>Annex A-1—Merger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A-2—Amendment No. 1 to the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A-2</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B—Statutory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B-1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C—Rollover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C-1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D—Fairness Opinion of Evercore Group L.L.C.</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D-1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E—Copy of Section 106 of the Bermuda Companies Act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E-1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F—Form of Proxy Card</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F-1</w:t>
            </w:r>
          </w:p>
        </w:tc>
      </w:tr>
      <w:tr>
        <w:trPr>
          <w:trHeight w:val="120"/>
        </w:trPr>
        <w:tc>
          <w:tcPr>
            <w:tcW w:w="774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7025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SUMMARY TERM SHEET</w:t>
      </w:r>
    </w:p>
    <w:p>
      <w:pPr>
        <w:spacing w:after="0" w:line="23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i w:val="1"/>
          <w:iCs w:val="1"/>
          <w:color w:val="auto"/>
        </w:rPr>
        <w:t>This summary term sheet highlights selected information contained elsewhere in this proxy statement (this “proxy statement”) and may not contain all the information that is important to you with respect to the merger (as defined below). We urge you to read carefully the remainder of this proxy statement, including the attached annexes, and the other documents to which we have referred you for a more complete understanding of the matters to be considered at the special general meeting. In addition, this proxy statement incorporates by reference important business and financial information about GasLog Ltd. You are encouraged to read all of the documents incorporated by reference into this proxy statement. For additional information on GasLog Ltd. included in documents incorporated by reference into this proxy statement, see the section entitled “Where You Can Find More Information” beginning on page 156 of this proxy statement. We have included page references in this summary to direct you to a more complete description of the topics presented below.</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(see page 22)</w:t>
      </w:r>
    </w:p>
    <w:p>
      <w:pPr>
        <w:spacing w:after="0" w:line="231"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GasLog Ltd. (the “Company”) and its subsidiaries are primarily engaged in the ownership, operation and management of vessels in the liquefied natural gas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60"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97" w:lineRule="exact"/>
        <w:rPr>
          <w:sz w:val="20"/>
          <w:szCs w:val="20"/>
          <w:color w:val="auto"/>
        </w:rPr>
      </w:pPr>
    </w:p>
    <w:p>
      <w:pPr>
        <w:jc w:val="both"/>
        <w:ind w:firstLine="366"/>
        <w:spacing w:after="0" w:line="306" w:lineRule="auto"/>
        <w:rPr>
          <w:sz w:val="20"/>
          <w:szCs w:val="20"/>
          <w:color w:val="auto"/>
        </w:rPr>
      </w:pPr>
      <w:r>
        <w:rPr>
          <w:rFonts w:ascii="Arial" w:cs="Arial" w:eastAsia="Arial" w:hAnsi="Arial"/>
          <w:sz w:val="16"/>
          <w:szCs w:val="16"/>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(see page 22)</w:t>
      </w:r>
    </w:p>
    <w:p>
      <w:pPr>
        <w:spacing w:after="0" w:line="231"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(see page 22)</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1219" w:right="579" w:bottom="1440" w:gutter="0" w:footer="0" w:header="0"/>
        </w:sectPr>
      </w:pPr>
    </w:p>
    <w:bookmarkStart w:id="34" w:name="page35"/>
    <w:bookmarkEnd w:id="34"/>
    <w:p>
      <w:pPr>
        <w:ind w:left="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 (see page 22)</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Rolling Shareholder Parties (see page 23)</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convert automatically into common shares and preference shares, respectively, of the surviving company in the merger. Following the date of the merger agreement, the rolling shareholders other than Blenheim Holdings Ltd. and Olympic LNG Investments Ltd., and certain other existing shareholders of the Company, have contributed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3" w:lineRule="exact"/>
        <w:rPr>
          <w:sz w:val="20"/>
          <w:szCs w:val="20"/>
          <w:color w:val="auto"/>
        </w:rPr>
      </w:pPr>
    </w:p>
    <w:p>
      <w:pPr>
        <w:jc w:val="both"/>
        <w:ind w:firstLine="492"/>
        <w:spacing w:after="0" w:line="306" w:lineRule="auto"/>
        <w:rPr>
          <w:sz w:val="20"/>
          <w:szCs w:val="20"/>
          <w:color w:val="auto"/>
        </w:rPr>
      </w:pPr>
      <w:r>
        <w:rPr>
          <w:rFonts w:ascii="Arial" w:cs="Arial" w:eastAsia="Arial" w:hAnsi="Arial"/>
          <w:sz w:val="16"/>
          <w:szCs w:val="16"/>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60"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MC98000, Monte Carlo, Principality of Monaco. Blenheim Special Investments’ telephone number is +377 9797 0606.</w:t>
      </w:r>
    </w:p>
    <w:p>
      <w:pPr>
        <w:spacing w:after="0" w:line="197"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510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136130" cy="6510655"/>
                    </a:xfrm>
                    <a:prstGeom prst="rect">
                      <a:avLst/>
                    </a:prstGeom>
                    <a:noFill/>
                  </pic:spPr>
                </pic:pic>
              </a:graphicData>
            </a:graphic>
          </wp:anchor>
        </w:drawing>
        <w:t>Bermuda exempted company. Olympic’s principal executive office is located at c/o ASOFIN Management AG, Heiligkreuz 2, FL-9490 Vaduz, Liechtenstein. Olympic’s telephone number is +423-237 48 03.</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i w:val="1"/>
          <w:iCs w:val="1"/>
          <w:color w:val="auto"/>
        </w:rPr>
        <w:t>A copy of the Agreement and Plan of Merger, dated as of February 21, 2021 (as amended on April 20, 2021, the “merger agreement”), by and among the Company, Parent and Merger Sub, is attached as Annex A-1 to this proxy statement. A copy of Amendment No. 1 to the merger agreement is attached as Annex A-2 to this proxy statement. A copy of the related Statutory Merger Agreement (the “statutory merger agreement”), to be entered into by and between the Company and Merger Sub at the closing of the merger, is attached as Annex B to this proxy statement. A copy of the Rollover Agreement, dated as of February 21, 2021 (the “rollover agreement”), by and among the Company, Parent and the rolling shareholders, is attached as Annex C to this proxy statement. The “transactions” refer to the transactions contemplated by the merger agreement, the statutory merger agreement and the rollover agreement, including the merger. We encourage you to read the entire merger agreement, statutory merger agreement and rollover agreement carefully because they are the principal documents governing the transactions. For more information on the merger agreement and statutory merger agreement, see the section entitled “The Merger Agreement” beginning on page 73 of this proxy statement. For more information on the rollover agreement, see the section entitled the “The Rollover Agreement” beginning on page 94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(see page 74)</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in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52" w:lineRule="exact"/>
        <w:rPr>
          <w:sz w:val="20"/>
          <w:szCs w:val="20"/>
          <w:color w:val="auto"/>
        </w:rPr>
      </w:pPr>
    </w:p>
    <w:p>
      <w:pPr>
        <w:jc w:val="both"/>
        <w:ind w:left="1080" w:hanging="538"/>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07" w:lineRule="exact"/>
        <w:rPr>
          <w:rFonts w:ascii="Arial" w:cs="Arial" w:eastAsia="Arial" w:hAnsi="Arial"/>
          <w:sz w:val="18"/>
          <w:szCs w:val="18"/>
          <w:color w:val="auto"/>
        </w:rPr>
      </w:pPr>
    </w:p>
    <w:p>
      <w:pPr>
        <w:jc w:val="both"/>
        <w:ind w:left="1080" w:hanging="538"/>
        <w:spacing w:after="0" w:line="290"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8"/>
        <w:spacing w:after="0" w:line="25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(the “Bermuda Companies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6" w:name="page37"/>
    <w:bookmarkEnd w:id="36"/>
    <w:p>
      <w:pPr>
        <w:jc w:val="both"/>
        <w:ind w:left="1080" w:hanging="538"/>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9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36130" cy="6390640"/>
                    </a:xfrm>
                    <a:prstGeom prst="rect">
                      <a:avLst/>
                    </a:prstGeom>
                    <a:noFill/>
                  </pic:spPr>
                </pic:pic>
              </a:graphicData>
            </a:graphic>
          </wp:anchor>
        </w:drawing>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27" w:lineRule="exact"/>
        <w:rPr>
          <w:rFonts w:ascii="Arial" w:cs="Arial" w:eastAsia="Arial" w:hAnsi="Arial"/>
          <w:sz w:val="18"/>
          <w:szCs w:val="18"/>
          <w:color w:val="auto"/>
        </w:rPr>
      </w:pPr>
    </w:p>
    <w:p>
      <w:pPr>
        <w:jc w:val="both"/>
        <w:ind w:left="1080" w:hanging="538"/>
        <w:spacing w:after="0" w:line="25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As a result of the above, holders of the Company common shares (other than the rolling shareholders or additional rolling shareholders) will no longer have any interest in, and will no longer be shareholders of, the Company or participate in any of the Company’s future earnings or growth solely by virtue of the Company common shares. Following consummation of the merger, the surviving company will use its reasonable best efforts to cause the Company common shares to be de-listed from the NYSE and de-registered under the Securities Exchange Act of 1934 and the rules and regulations promulgated thereunder (the “Exchange Act”) as soon as reasonably practicable following the effective time.</w:t>
      </w:r>
    </w:p>
    <w:p>
      <w:pPr>
        <w:spacing w:after="0" w:line="169"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75)</w:t>
      </w:r>
    </w:p>
    <w:p>
      <w:pPr>
        <w:spacing w:after="0" w:line="231" w:lineRule="exact"/>
        <w:rPr>
          <w:sz w:val="20"/>
          <w:szCs w:val="20"/>
          <w:color w:val="auto"/>
        </w:rPr>
      </w:pPr>
    </w:p>
    <w:p>
      <w:pPr>
        <w:jc w:val="both"/>
        <w:ind w:firstLine="538"/>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 (see page 76)</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8"/>
        <w:spacing w:after="0" w:line="298"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7" w:name="page38"/>
    <w:bookmarkEnd w:id="37"/>
    <w:p>
      <w:pPr>
        <w:jc w:val="both"/>
        <w:ind w:left="1080" w:hanging="538"/>
        <w:spacing w:after="0" w:line="323"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90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136130" cy="6690360"/>
                    </a:xfrm>
                    <a:prstGeom prst="rect">
                      <a:avLst/>
                    </a:prstGeom>
                    <a:noFill/>
                  </pic:spPr>
                </pic:pic>
              </a:graphicData>
            </a:graphic>
          </wp:anchor>
        </w:drawing>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 and</w:t>
      </w:r>
    </w:p>
    <w:p>
      <w:pPr>
        <w:spacing w:after="0" w:line="164" w:lineRule="exact"/>
        <w:rPr>
          <w:rFonts w:ascii="Arial" w:cs="Arial" w:eastAsia="Arial" w:hAnsi="Arial"/>
          <w:sz w:val="15"/>
          <w:szCs w:val="15"/>
          <w:color w:val="auto"/>
        </w:rPr>
      </w:pPr>
    </w:p>
    <w:p>
      <w:pPr>
        <w:jc w:val="both"/>
        <w:ind w:left="1080" w:hanging="538"/>
        <w:spacing w:after="0" w:line="29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 (see page 24)</w:t>
      </w:r>
    </w:p>
    <w:p>
      <w:pPr>
        <w:spacing w:after="0" w:line="231" w:lineRule="exact"/>
        <w:rPr>
          <w:sz w:val="20"/>
          <w:szCs w:val="20"/>
          <w:color w:val="auto"/>
        </w:rPr>
      </w:pPr>
    </w:p>
    <w:p>
      <w:pPr>
        <w:ind w:firstLine="353"/>
        <w:spacing w:after="0" w:line="268" w:lineRule="auto"/>
        <w:rPr>
          <w:sz w:val="20"/>
          <w:szCs w:val="20"/>
          <w:color w:val="auto"/>
        </w:rPr>
      </w:pPr>
      <w:r>
        <w:rPr>
          <w:rFonts w:ascii="Arial" w:cs="Arial" w:eastAsia="Arial" w:hAnsi="Arial"/>
          <w:sz w:val="18"/>
          <w:szCs w:val="18"/>
          <w:color w:val="auto"/>
        </w:rPr>
        <w:t>After careful consideration, a special committee of the board of directors of the Company consisting only of independent and disinterested directors (the “special committee”) unanimously:</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(as defined below) and the holders of Company preference shares; and</w:t>
      </w:r>
    </w:p>
    <w:p>
      <w:pPr>
        <w:spacing w:after="0" w:line="154"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66"/>
        <w:spacing w:after="0" w:line="331" w:lineRule="auto"/>
        <w:rPr>
          <w:sz w:val="20"/>
          <w:szCs w:val="20"/>
          <w:color w:val="auto"/>
        </w:rPr>
      </w:pPr>
      <w:r>
        <w:rPr>
          <w:rFonts w:ascii="Arial" w:cs="Arial" w:eastAsia="Arial" w:hAnsi="Arial"/>
          <w:sz w:val="16"/>
          <w:szCs w:val="16"/>
          <w:color w:val="auto"/>
        </w:rPr>
        <w:t>Certain factors considered by the special committee in reaching its decision described above can be found in the section entitled “Special Factors— Reasons for the Merger—Recommendation of the Special Committee” beginning on page 42 of this proxy statement.</w:t>
      </w:r>
    </w:p>
    <w:p>
      <w:pPr>
        <w:spacing w:after="0" w:line="141"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The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6"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After careful consideration, the board of directors of the Company, based in part on the unanimous recommendation of the special committee described above, by unanimous resolution:</w:t>
      </w:r>
    </w:p>
    <w:p>
      <w:pPr>
        <w:spacing w:after="0" w:line="199" w:lineRule="exact"/>
        <w:rPr>
          <w:sz w:val="20"/>
          <w:szCs w:val="20"/>
          <w:color w:val="auto"/>
        </w:rPr>
      </w:pPr>
    </w:p>
    <w:p>
      <w:pPr>
        <w:jc w:val="both"/>
        <w:ind w:left="1080" w:hanging="538"/>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8" w:name="page39"/>
    <w:bookmarkEnd w:id="38"/>
    <w:p>
      <w:pPr>
        <w:ind w:left="1080" w:hanging="538"/>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21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136130" cy="6621780"/>
                    </a:xfrm>
                    <a:prstGeom prst="rect">
                      <a:avLst/>
                    </a:prstGeom>
                    <a:noFill/>
                  </pic:spPr>
                </pic:pic>
              </a:graphicData>
            </a:graphic>
          </wp:anchor>
        </w:drawing>
        <w:t>approved the merger agreement, the statutory merger agreement and the transactions, including the merger.</w:t>
      </w:r>
    </w:p>
    <w:p>
      <w:pPr>
        <w:spacing w:after="0" w:line="225" w:lineRule="exact"/>
        <w:rPr>
          <w:sz w:val="20"/>
          <w:szCs w:val="20"/>
          <w:color w:val="auto"/>
        </w:rPr>
      </w:pPr>
    </w:p>
    <w:p>
      <w:pPr>
        <w:jc w:val="both"/>
        <w:ind w:firstLine="421"/>
        <w:spacing w:after="0" w:line="331" w:lineRule="auto"/>
        <w:rPr>
          <w:sz w:val="20"/>
          <w:szCs w:val="20"/>
          <w:color w:val="auto"/>
        </w:rPr>
      </w:pPr>
      <w:r>
        <w:rPr>
          <w:rFonts w:ascii="Arial" w:cs="Arial" w:eastAsia="Arial" w:hAnsi="Arial"/>
          <w:sz w:val="16"/>
          <w:szCs w:val="16"/>
          <w:color w:val="auto"/>
        </w:rPr>
        <w:t>Certain factors considered by the board of directors of the Company in reaching its decision described above can be found in the section entitled “Special Factors—Reasons for the Merger—Recommendation of the Board of Directors of the Company” beginning on page 48 of this proxy statement.</w:t>
      </w:r>
    </w:p>
    <w:p>
      <w:pPr>
        <w:spacing w:after="0" w:line="13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8"/>
          <w:szCs w:val="18"/>
          <w:b w:val="1"/>
          <w:bCs w:val="1"/>
          <w:color w:val="auto"/>
        </w:rPr>
        <w:t>ACCORDINGLY, THE BOARD OF DIRECTORS OF THE COMPANY UNANIMOUSLY RECOMMENDS THAT THE COMPANY SHAREHOLDERS VOTE “FOR” THE PROPOSAL (THE “MERGER PROPOSAL”) TO APPROVE THE MERGER AGREEMENT, THE STATUTORY MERGER AGREEMENT AND THE MERGER AT THE SPECIAL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 (see page 50)</w:t>
      </w:r>
    </w:p>
    <w:p>
      <w:pPr>
        <w:spacing w:after="0" w:line="231" w:lineRule="exact"/>
        <w:rPr>
          <w:sz w:val="20"/>
          <w:szCs w:val="20"/>
          <w:color w:val="auto"/>
        </w:rPr>
      </w:pPr>
    </w:p>
    <w:p>
      <w:pPr>
        <w:jc w:val="both"/>
        <w:ind w:firstLine="441"/>
        <w:spacing w:after="0" w:line="331" w:lineRule="auto"/>
        <w:rPr>
          <w:sz w:val="20"/>
          <w:szCs w:val="20"/>
          <w:color w:val="auto"/>
        </w:rPr>
      </w:pPr>
      <w:r>
        <w:rPr>
          <w:rFonts w:ascii="Arial" w:cs="Arial" w:eastAsia="Arial" w:hAnsi="Arial"/>
          <w:sz w:val="16"/>
          <w:szCs w:val="16"/>
          <w:color w:val="auto"/>
        </w:rPr>
        <w:t>The Company believes that the merger is both procedurally and substantively fair to the public shareholders. Its belief is based upon the factors discussed under “Special Factors—Position of the Company as to the Fairness of the Merger” beginning on page 50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 (see page 51)</w:t>
      </w:r>
    </w:p>
    <w:p>
      <w:pPr>
        <w:spacing w:after="0" w:line="231"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Each of GEPIF III, Parent and Merger Sub (the “GEPIF filing parties”) believes that the merger is both procedurally and substantively fair to the public shareholders. Their belief is based upon the factors discussed under “Special Factors—Position of the GEPIF Filing Parties as to the Fairness of the Merger” beginning on page 51 of this proxy statement.</w:t>
      </w:r>
    </w:p>
    <w:p>
      <w:pPr>
        <w:spacing w:after="0" w:line="194"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color w:val="auto"/>
        </w:rPr>
        <w:t>Each of the GEPIF filing parties is making the statements included in this section solely for the purpose of complying with the requirements of Rule 13e-3 and related rules under the Exchange Act. The views of the GEPIF filing parties as to the fairness of the merger are not intended to be and should not be construed as a recommendation to any Company shareholder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 (see page 54)</w:t>
      </w:r>
    </w:p>
    <w:p>
      <w:pPr>
        <w:spacing w:after="0" w:line="231"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Each of the rolling shareholder parties believes that the merger is both procedurally and substantively fair to the public shareholders. Their belief is based upon the factors discussed under “Special Factors—Position of the Rolling Shareholder Parties as to the Fairness of the Merger” beginning on page 54 of this proxy statement.</w:t>
      </w:r>
    </w:p>
    <w:p>
      <w:pPr>
        <w:spacing w:after="0" w:line="194"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Each of the rolling shareholder parties is making the statements included in this section solely for the purpose of complying with the requirements of Rule 13e-3 and related rules under the Exchange Act. The views of the rolling shareholder parties as to the fairness of the merger are not intended to be and should not be construed as a recommendation to any shareholder of the Company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 Group L.L.C. (see page 55)</w:t>
      </w:r>
    </w:p>
    <w:p>
      <w:pPr>
        <w:spacing w:after="0" w:line="231"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 xml:space="preserve">In connection with the proposed merger, Evercore delivered a written opinion, dated as of February 21, 2021, to the special committee, as to the fairness, from a financial point of view and as of the date of the opinion, of the merger consideration to be received by the public shareholders. 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w:t>
      </w:r>
      <w:r>
        <w:rPr>
          <w:rFonts w:ascii="Arial" w:cs="Arial" w:eastAsia="Arial" w:hAnsi="Arial"/>
          <w:sz w:val="16"/>
          <w:szCs w:val="16"/>
          <w:b w:val="1"/>
          <w:bCs w:val="1"/>
          <w:color w:val="auto"/>
        </w:rPr>
        <w:t>Evercore’s opinion was addressed to, and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68" w:right="57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064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could provide its opinion to the board of directors of the Company for the information and benefit of the board of directors of the Company in its capacity as such in connection with its evaluation of the proposed merger. Evercore’s opinion was not intended to be, and does not constitute, a recommendation to the special committee or to any other persons in respect of the merger, including as to how any shareholder of the Company should act or vote in respect of the merger. The summary of the Evercore opinion set forth herein is qualified in its entirety by reference to the full text of the opinion included as Annex D.</w:t>
      </w:r>
    </w:p>
    <w:p>
      <w:pPr>
        <w:spacing w:after="0" w:line="198"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For a description of the opinion that the special committee received from Evercore, see the section entitled “Special Factors—Opinion of Evercore —Financial Advisor to the Special Committee” beginning on page 55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 (see page 69)</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60"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 entitled “Special Factors—Financing of the Merger” beginning on page 69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(see page 71)</w:t>
      </w:r>
    </w:p>
    <w:p>
      <w:pPr>
        <w:spacing w:after="0" w:line="231"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You should read the section entitled “Special Factors—Material U.S. Federal Income Tax Consequences of the Merger” beginning on page 71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(see page 70)</w:t>
      </w:r>
    </w:p>
    <w:p>
      <w:pPr>
        <w:spacing w:after="0" w:line="23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such specified third-party consents being obtained. See the section entitled “Special Factors—Third-Party Consents” beginning on page 70 of this proxy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828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t>Expected Timing of the Merger (see page 87)</w:t>
      </w:r>
    </w:p>
    <w:p>
      <w:pPr>
        <w:spacing w:after="0" w:line="231"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We expect to complete the merger in the second quarter of 2021. The merger is subject to various conditions set forth in the merger agreement, however, and it is possible that factors outside the control of the Company or Parent could result in the merger being completed at a later time, or not at all. There may be a substantial amount of time between the special general meeting and the completion of the merger. We expect to complete the merger promptly following the satisfaction or, to the extent permitted, waiver of each of the conditions to the consummation of the merger. See the section entitled “The Merger Agreement—Conditions to Completion of the Merger” beginning on page 87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 (see page 87)</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As more fully described in this proxy statement and in the merger agreement, each party’s obligation to consummate the merger depends on a number of conditions being satisfied, including:</w:t>
      </w:r>
    </w:p>
    <w:p>
      <w:pPr>
        <w:spacing w:after="0" w:line="213" w:lineRule="exact"/>
        <w:rPr>
          <w:sz w:val="20"/>
          <w:szCs w:val="20"/>
          <w:color w:val="auto"/>
        </w:rPr>
      </w:pPr>
    </w:p>
    <w:p>
      <w:pPr>
        <w:jc w:val="both"/>
        <w:ind w:left="1080" w:hanging="538"/>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the public shareholders and present (in person or by proxy) at the special general meeting;</w:t>
      </w:r>
    </w:p>
    <w:p>
      <w:pPr>
        <w:spacing w:after="0" w:line="182"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to certain qualifications, the other party having performed in all material respects all of its obligations under the merger agreement contemplated to be performed by it at or prior to the effective time of the merger; and</w:t>
      </w:r>
    </w:p>
    <w:p>
      <w:pPr>
        <w:spacing w:after="0" w:line="212"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to certain qualifications, the accuracy of representations and warranties made by the other party in the merger agreement (subject generally to a material adverse effect standard, with different standards applicable to certain representations and warranties).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Parent’s obligation to consummate the merger depends on a number of additional conditions being satisfied, including:</w:t>
      </w:r>
    </w:p>
    <w:p>
      <w:pPr>
        <w:spacing w:after="0" w:line="262" w:lineRule="exact"/>
        <w:rPr>
          <w:sz w:val="20"/>
          <w:szCs w:val="20"/>
          <w:color w:val="auto"/>
        </w:rPr>
      </w:pPr>
    </w:p>
    <w:p>
      <w:pPr>
        <w:ind w:left="1080" w:hanging="538"/>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certain qualifications, the rolling shareholders having performed in all material respects certain specified obligations under the rollover agreement that are contemplated to be performed by them at or prior to the effective time of the merger;</w:t>
      </w:r>
    </w:p>
    <w:p>
      <w:pPr>
        <w:spacing w:after="0" w:line="154" w:lineRule="exact"/>
        <w:rPr>
          <w:rFonts w:ascii="Arial" w:cs="Arial" w:eastAsia="Arial" w:hAnsi="Arial"/>
          <w:sz w:val="16"/>
          <w:szCs w:val="16"/>
          <w:color w:val="auto"/>
        </w:rPr>
      </w:pPr>
    </w:p>
    <w:p>
      <w:pPr>
        <w:ind w:left="1080" w:hanging="538"/>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receipt by the Company of certain specified third-party consents relating to certain of the Company’s existing indebtedness; and</w:t>
      </w:r>
    </w:p>
    <w:p>
      <w:pPr>
        <w:spacing w:after="0" w:line="275" w:lineRule="exact"/>
        <w:rPr>
          <w:rFonts w:ascii="Arial" w:cs="Arial" w:eastAsia="Arial" w:hAnsi="Arial"/>
          <w:sz w:val="16"/>
          <w:szCs w:val="16"/>
          <w:color w:val="auto"/>
        </w:rPr>
      </w:pPr>
    </w:p>
    <w:p>
      <w:pPr>
        <w:ind w:left="1080" w:hanging="538"/>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Peter G. Livanos being employed, engaged or retained by the Company or its affiliates in substantially the same capacity as he served the Company immediately prior to the date of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the section entitled “The Merger Agreement—Conditions to Completion of the Merger” beginning on page 87 of this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 (see page 81)</w:t>
      </w:r>
    </w:p>
    <w:p>
      <w:pPr>
        <w:spacing w:after="0" w:line="231" w:lineRule="exact"/>
        <w:rPr>
          <w:sz w:val="20"/>
          <w:szCs w:val="20"/>
          <w:color w:val="auto"/>
        </w:rPr>
      </w:pPr>
    </w:p>
    <w:p>
      <w:pPr>
        <w:ind w:firstLine="389"/>
        <w:spacing w:after="0" w:line="268" w:lineRule="auto"/>
        <w:rPr>
          <w:sz w:val="20"/>
          <w:szCs w:val="20"/>
          <w:color w:val="auto"/>
        </w:rPr>
      </w:pPr>
      <w:r>
        <w:rPr>
          <w:rFonts w:ascii="Arial" w:cs="Arial" w:eastAsia="Arial" w:hAnsi="Arial"/>
          <w:sz w:val="18"/>
          <w:szCs w:val="18"/>
          <w:color w:val="auto"/>
        </w:rPr>
        <w:t>The merger agreement places certain restrictions and limitations on our ability, until the effective time or the termination of the merger agreement, to solicit or engage in discussions or negotiations with third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82334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136130" cy="8233410"/>
                    </a:xfrm>
                    <a:prstGeom prst="rect">
                      <a:avLst/>
                    </a:prstGeom>
                    <a:noFill/>
                  </pic:spPr>
                </pic:pic>
              </a:graphicData>
            </a:graphic>
          </wp:anchor>
        </w:drawing>
        <w:t>parties regarding takeover proposals (as defined in the section entitled “The Merger Agreement—Restrictions on Solicitation of Takeover Proposals” beginning on page 81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 (see page 82)</w:t>
      </w:r>
    </w:p>
    <w:p>
      <w:pPr>
        <w:spacing w:after="0" w:line="231"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If the Company receives a takeover proposal prior to the receipt of the required Company shareholder approvals that did not result from any breach of the non-solicitation obligations referred to above, and the board of directors of the Company or the special committee determines in good faith after consultation with its financial advisor and outside legal counsel that such takeover proposal constitutes or would reasonably be expected to lead to a “superior proposal” (as defined in the section entitled “The Merger Agreement—Changes in Board or Special Committee Recommendation” beginning on page 82 of this proxy statement), then the Company may, subject to certain conditions, participate in discussions or negotiations with the person or group making such takeover proposal.</w:t>
      </w:r>
    </w:p>
    <w:p>
      <w:pPr>
        <w:spacing w:after="0" w:line="174"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The board of directors of the Company or the special committee may make an “adverse recommendation change” (as defined in the section entitled “The Merger Agreement—Changes in Board or Special Committee Recommendation” beginning on page 82 of this proxy statement) under certain circumstances described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89)</w:t>
      </w:r>
    </w:p>
    <w:p>
      <w:pPr>
        <w:spacing w:after="0" w:line="23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21" w:lineRule="exact"/>
        <w:rPr>
          <w:sz w:val="20"/>
          <w:szCs w:val="20"/>
          <w:color w:val="auto"/>
        </w:rPr>
      </w:pPr>
    </w:p>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8"/>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the merger has not been consummated on or prior to September 30, 2021;</w:t>
      </w:r>
    </w:p>
    <w:p>
      <w:pPr>
        <w:spacing w:after="0" w:line="252" w:lineRule="exact"/>
        <w:rPr>
          <w:rFonts w:ascii="Arial" w:cs="Arial" w:eastAsia="Arial" w:hAnsi="Arial"/>
          <w:sz w:val="18"/>
          <w:szCs w:val="18"/>
          <w:color w:val="auto"/>
        </w:rPr>
      </w:pPr>
    </w:p>
    <w:p>
      <w:pPr>
        <w:jc w:val="both"/>
        <w:ind w:left="1620" w:hanging="538"/>
        <w:spacing w:after="0" w:line="306"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or</w:t>
      </w:r>
    </w:p>
    <w:p>
      <w:pPr>
        <w:spacing w:after="0" w:line="173" w:lineRule="exact"/>
        <w:rPr>
          <w:rFonts w:ascii="Arial" w:cs="Arial" w:eastAsia="Arial" w:hAnsi="Arial"/>
          <w:sz w:val="16"/>
          <w:szCs w:val="16"/>
          <w:color w:val="auto"/>
        </w:rPr>
      </w:pPr>
    </w:p>
    <w:p>
      <w:pPr>
        <w:jc w:val="both"/>
        <w:ind w:left="1620" w:hanging="538"/>
        <w:spacing w:after="0" w:line="259"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at which the vote was taken has concluded and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8"/>
        <w:spacing w:after="0" w:line="298" w:lineRule="auto"/>
        <w:tabs>
          <w:tab w:leader="none" w:pos="16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subject to applicable requirements, cure periods and materiality standards provided in the merger agreement, if the Company has breached any of its representations or warranties or failed to perform any of its obligations or agreements in the merger agreement, or if the rolling shareholders have breached certain of their obligations under the rollover agreement, which would give rise to the failure of a condition to Parent’s obligation to close the transactions; or</w:t>
      </w:r>
    </w:p>
    <w:p>
      <w:pPr>
        <w:spacing w:after="0" w:line="179" w:lineRule="exact"/>
        <w:rPr>
          <w:rFonts w:ascii="Arial" w:cs="Arial" w:eastAsia="Arial" w:hAnsi="Arial"/>
          <w:sz w:val="16"/>
          <w:szCs w:val="16"/>
          <w:color w:val="auto"/>
        </w:rPr>
      </w:pPr>
    </w:p>
    <w:p>
      <w:pPr>
        <w:ind w:left="1620" w:hanging="538"/>
        <w:spacing w:after="0" w:line="268"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prior to obtaining the required approvals of the Company shareholders of the merger proposal, an adverse recommendation change has occurred;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8"/>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8"/>
        <w:spacing w:after="0" w:line="268" w:lineRule="auto"/>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subject to applicable requirements, cure periods and materiality standards provided in the merger agreement, if Parent or Merger Sub has breached any of its representations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2" w:name="page43"/>
    <w:bookmarkEnd w:id="42"/>
    <w:p>
      <w:pPr>
        <w:ind w:left="1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19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t>warranties or failed to perform any of its obligations or agreements in the merger agreement which would give rise to the failure of a condition to the Company’s obligation to close the transactions (a “Parent breach termination”);</w:t>
      </w:r>
    </w:p>
    <w:p>
      <w:pPr>
        <w:spacing w:after="0" w:line="213" w:lineRule="exact"/>
        <w:rPr>
          <w:sz w:val="20"/>
          <w:szCs w:val="20"/>
          <w:color w:val="auto"/>
        </w:rPr>
      </w:pPr>
    </w:p>
    <w:p>
      <w:pPr>
        <w:jc w:val="both"/>
        <w:ind w:left="1620" w:hanging="538"/>
        <w:spacing w:after="0" w:line="294"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in connection with entering into an acquisition agreement with respect to a superior proposal as described under the section entitled “The Merger Agreement— Changes in Board or Special Committee Recommendation” beginning on page 82 of this proxy statement, provided that the Company prior to or concurrently with such termination pays the Company termination fee as described under “The Merger Agreement—Termination Fees and Expense Reimbursement” beginning on page 90 of this proxy statement; or</w:t>
      </w:r>
    </w:p>
    <w:p>
      <w:pPr>
        <w:spacing w:after="0" w:line="182" w:lineRule="exact"/>
        <w:rPr>
          <w:rFonts w:ascii="Arial" w:cs="Arial" w:eastAsia="Arial" w:hAnsi="Arial"/>
          <w:sz w:val="16"/>
          <w:szCs w:val="16"/>
          <w:color w:val="auto"/>
        </w:rPr>
      </w:pPr>
    </w:p>
    <w:p>
      <w:pPr>
        <w:jc w:val="both"/>
        <w:ind w:left="1620" w:hanging="538"/>
        <w:spacing w:after="0" w:line="306"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all other conditions to Parent and Merger Sub’s obligations to effect the merger have been satisfied or waived, the Company has confirmed that the conditions to its obligation to close the transactions have been satisfied and the merger is required to be consummated but Parent or Merger Sub fails to consummate the merger (“failure to close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the Company (see page 90)</w:t>
      </w:r>
    </w:p>
    <w:p>
      <w:pPr>
        <w:spacing w:after="0" w:line="231"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The Company has agreed to pay to Parent a termination fee of $13 million if the merger agreement is terminated under certain circumstances. In addition, if the merger agreement is terminated pursuant to a non-approval termination, then the Company has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Agreement—Termination Fees and Expense Reimbursement” beginning on page 90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Parent (see page 90)</w:t>
      </w:r>
    </w:p>
    <w:p>
      <w:pPr>
        <w:spacing w:after="0" w:line="231"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Parent has agreed to pay the Company a termination fee of $40 million (the “Parent termination fee”) if the merger agreement is terminated pursuant to a Parent breach termination or failure to close termination, subject to certain conditions. See the section entitled “The Merger Agreement— Termination Fees and Expense Reimbursement” beginning on page 90 of this proxy statement.</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 xml:space="preserve">In the event that Parent fails to pay the Parent termination fee and the Company commences an action that results in a judgment against Parent for the Parent termination fee, the Parent will be required to pay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and expenses up to a maximum amount of $10 million.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 (see page 89)</w:t>
      </w:r>
    </w:p>
    <w:p>
      <w:pPr>
        <w:spacing w:after="0" w:line="231"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If the merger agreement is terminated, the merger agreement will become null and void (other than certain specified sections of the merger agreement) and there will be no liability on the part of any party to the merger agreement or their respective directors, officers and affiliates, except as liability may exist pursuant to those specified sections of the merger agreement and that no such termination will relieve any party from liability for any willful breach.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5927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Specific Performance (see page 93)</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merger agreement provides that the parties will be entitled to an injunction, specific performance or other equitable relief to prevent breaches of the merger agreement and to enforce specifically the terms and provisions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97)</w:t>
      </w:r>
    </w:p>
    <w:p>
      <w:pPr>
        <w:spacing w:after="0" w:line="23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auto"/>
        </w:rPr>
        <w:t>Under Bermuda law holders of Company common shares and Company preference shares have rights of appraisal pursuant to which those holders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provided that they otherwise fully comply with the requirements of seeking appraisal under the Bermuda Companies Act (such a person, a “dissenting shareholder” and all Company common shares held by such dissenting shareholder, “dissenting common shares”). At the effective time, all dissenting common shares will automatically be canceled and, unless otherwise required by applicable law, converted into the right to 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in addition to the merger consideration, from the surviving company. Any dissenting shareholder who is dissenting with respect to Company preference shares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such surviving company preference shares, be entitled to receive such difference, in addition to the surviving company preference shares, from the Surviving Company. If a dissenting shareholder fails to exercise, effectively withdraws or otherwise waives any right to appraisal, such dissenting shareholder (i) in the case of Company common shares, will have no other rights with respect to such Company common shares, other than the right to receive the merger consideration and (ii) in the case of Company preference shares, will have no other rights with respect to such Company preference shares other than to receive an equivalent number of surviving company preference shares. 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General Meeting (see page 24)</w:t>
      </w:r>
    </w:p>
    <w:p>
      <w:pPr>
        <w:spacing w:after="0" w:line="231"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special general meeting is scheduled to be held on June 4, 2021, with attendance permitted only online via live webcast on www.virtualshareholdermeeting.com/GLOG2021SM at 9:30 a.m. Bermuda Time (8:30 a.m. Eastern Time). The special general meeting can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Please have your 16-digit control number to join the special general meeting. Instructions on how to attend and participate online are also posted online at www.virtualshareholdermeeting.com/GLOG2021SM. We elected to use a virtual meeting given the current public health implications of the COVID-19 pandemic and our desire to promote the health and welfare of our shareholders.</w:t>
      </w:r>
    </w:p>
    <w:p>
      <w:pPr>
        <w:spacing w:after="0" w:line="172"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The special general meeting is being held in order to consider and vote on the merger proposal, which is further described in the sections entitled “Special Factors” and “The Merger Agreement,” beginning on pages 30 and 73, respectively, of this proxy statement.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4" w:name="page45"/>
    <w:bookmarkEnd w:id="44"/>
    <w:p>
      <w:pPr>
        <w:jc w:val="both"/>
        <w:ind w:firstLine="39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02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Only holders of record of Company common shares and Company preference shares at the close of business in New York City on April 30, 2021, the record date for the special general meeting, will be entitled to notice of, and to vote at, the special general meeting or any adjournments or postponements of the special general meeting.</w:t>
      </w:r>
    </w:p>
    <w:p>
      <w:pPr>
        <w:spacing w:after="0" w:line="194" w:lineRule="exact"/>
        <w:rPr>
          <w:sz w:val="20"/>
          <w:szCs w:val="20"/>
          <w:color w:val="auto"/>
        </w:rPr>
      </w:pPr>
    </w:p>
    <w:p>
      <w:pPr>
        <w:jc w:val="both"/>
        <w:ind w:firstLine="377"/>
        <w:spacing w:after="0" w:line="287" w:lineRule="auto"/>
        <w:rPr>
          <w:sz w:val="20"/>
          <w:szCs w:val="20"/>
          <w:color w:val="auto"/>
        </w:rPr>
      </w:pPr>
      <w:r>
        <w:rPr>
          <w:rFonts w:ascii="Arial" w:cs="Arial" w:eastAsia="Arial" w:hAnsi="Arial"/>
          <w:sz w:val="16"/>
          <w:szCs w:val="16"/>
          <w:color w:val="auto"/>
        </w:rPr>
        <w:t>At the close of business in New York City on the record date, (a) 95,389,062 Company common shares and 4,600,000 Company preference shares were outstanding and held by 5 and 1 holder(s) of record, respectively; and (b) the rolling shareholders, collectively, were entitled to vote 52,625,102 shares of Company common shares and 9,366 shares of Company preference shares, representing approximately 52.64% of the total voting power of the outstanding Company common shares and Company preference shares, voting together as a single class (and with each Company preference share carrying a single vote). At the close of business in New York City on the record date, Parent and its affiliates, collectively, were entitled to vote 457,372 shares of Company common shares and 0 shares of Company preference shares, representing approximately 0.48% of the total voting power of the outstanding Company common shares and Company preference shares, voting together as a single class. At the close of business in New York City on the record date, the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w:t>
      </w:r>
    </w:p>
    <w:p>
      <w:pPr>
        <w:spacing w:after="0" w:line="176"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Pursuant to the rollover agreement, the rolling shareholders have agreed to vote all shares of the Company held by such rolling shareholders in favor of the merger proposal at the special general meeting. The Company expects that all of the Company’s directors and executive officers will vote their shares in favor of the merger proposal; however, none of the Company’s directors and executive officers are obligated to vote in favor of the merger proposal.</w:t>
      </w:r>
    </w:p>
    <w:p>
      <w:pPr>
        <w:spacing w:after="0" w:line="197"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The presence at the special general meeting, by attendance via the virtual meeting website or by proxy, of two or more persons present via the virtual meeting website throughout such meeting and representing by attendance via the virtual meeting website or by proxy in excess of 50% of the Company common shares and the Company preference shares, taken together, that are entitled to vote thereat will constitute a quorum. Pursuant to the terms of the merger agreement, there must be a quorum present at the special general meeting in order for the necessary shareholder approvals to be obtained. If you submit a properly executed proxy card, even if you abstain from voting, your shares will be counted for purposes of calculating whether a quorum is present at the special general meeting. Failure of a quorum to be represented at the special general meeting will necessitate an adjournment or postponement and will subject the Company to additional expense. Pursuant to the rollover agreement, each rolling shareholder has agreed to vote all shares of the Company held by such rolling shareholder in favor of the merger proposal at the special general meeting, and the representation of such shares at the special general meeting is sufficient to constitute a quorum.</w:t>
      </w:r>
    </w:p>
    <w:p>
      <w:pPr>
        <w:spacing w:after="0" w:line="173"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Holders of record of Company common shares are entitled to one vote for each share they own at the close of business in New York City on the record date and holders of record of Company preference shares are entitled to one vote for each Company preference share they own at the close of business on the record date. Approval of the merger proposal requires the affirmative vote of both (1) the holders of a majority of the voting power of the outstanding Company common shares and Company preference shares entitled to vote on such proposal, voting together as a single class (and with each Company preference share carrying a single vote) (the “statutory approval”), and (2) the holders of a majority of the Company common shares held by the public shareholders and in attendance via the virtual meeting website or represented by proxy at the special general meeting (the “public shareholder approval”).</w:t>
      </w:r>
    </w:p>
    <w:p>
      <w:pPr>
        <w:spacing w:after="0" w:line="20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auto"/>
        </w:rPr>
        <w:t>An abstention occurs when a shareholder attends a meeting, either via the virtual meeting website or by proxy, but abstains from voting. At the special general meeting, abstentions will be counted in determining whether a quorum is present. Because the approval of the merger proposal at the special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202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t>general meeting requires two affirmative votes meeting the requisite thresholds, an abstention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statutory approval and the public shareholder approval.</w:t>
      </w:r>
    </w:p>
    <w:p>
      <w:pPr>
        <w:spacing w:after="0" w:line="174" w:lineRule="exact"/>
        <w:rPr>
          <w:sz w:val="20"/>
          <w:szCs w:val="20"/>
          <w:color w:val="auto"/>
        </w:rPr>
      </w:pPr>
    </w:p>
    <w:p>
      <w:pPr>
        <w:jc w:val="both"/>
        <w:ind w:firstLine="357"/>
        <w:spacing w:after="0" w:line="301" w:lineRule="auto"/>
        <w:rPr>
          <w:sz w:val="20"/>
          <w:szCs w:val="20"/>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63"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 (see page 67)</w:t>
      </w:r>
    </w:p>
    <w:p>
      <w:pPr>
        <w:spacing w:after="0" w:line="231"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holders of Company preference shares vote to approve the merger proposal,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the board of directors of the Company was aware of these interests in deciding to recommend that the public shareholders and holders of Company preference shares vote to approve the merger proposal.</w:t>
      </w:r>
    </w:p>
    <w:p>
      <w:pPr>
        <w:spacing w:after="0" w:line="17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Each of the Company’s directors and executive officers (in their capacity as such, and not in their capacity as affiliates of any rolling shareholders) will be entitled to receive, for each Company common share held as of the completion of the merger, the same per-share merger consideration in the same manner as the other holders of Company common shares.</w:t>
      </w:r>
    </w:p>
    <w:p>
      <w:pPr>
        <w:spacing w:after="0" w:line="19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granted under the 2013 LTIP. The remainder of the Company’s directors do not hold any Company equity-based awards. As more fully described below under the heading “The Merger Agreement—Treatment of the Company Equity-Based Awards” beginning on page 76 of this proxy statement, each outstanding Company option and Company SAR will be canceled for no consideration (given that the per-share exercise price and base price, respectively, of each such award is greater than the merger consideration) and each Company RSU award and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w:t>
      </w:r>
    </w:p>
    <w:p>
      <w:pPr>
        <w:spacing w:after="0" w:line="178"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The Company intends to grant the Chairman of the board of directors of the Company and the Company’s executive officers (a) long-term fixed cash incentive awards in lieu of the grant of annual equity-based awards in respect of fiscal year 2021, which will generally become payable on the third anniversary of the grant date, subject to continued service through such date and (b) retention bonuses, which will generally become payable on the first anniversary of the closing of the merger, subject to continued service through such date.</w:t>
      </w:r>
    </w:p>
    <w:p>
      <w:pPr>
        <w:spacing w:after="0" w:line="166"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for the benefit of certain of the Company’s post-closing directors, executive officers and other employees. No allocations of interests in the management incentive plan have been determined.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6" w:name="page47"/>
    <w:bookmarkEnd w:id="46"/>
    <w:p>
      <w:pPr>
        <w:jc w:val="both"/>
        <w:ind w:firstLine="58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44189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36130" cy="4418965"/>
                    </a:xfrm>
                    <a:prstGeom prst="rect">
                      <a:avLst/>
                    </a:prstGeom>
                    <a:noFill/>
                  </pic:spPr>
                </pic:pic>
              </a:graphicData>
            </a:graphic>
          </wp:anchor>
        </w:drawing>
        <w:t>Following the completion of the merger, three of the Company’s current directors (Peter G. Livanos, Julian R. Metherell and Anthony S. Papadimitriou) will serve as directors of the surviving company and the officers of the Company that are in office immediately prior to the effective time will be the officers of the surviving company.</w:t>
      </w:r>
    </w:p>
    <w:p>
      <w:pPr>
        <w:spacing w:after="0" w:line="194"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These interests are discussed in more detail in the section entitled “Special Factors—Interests of the Company’s Directors and Executive Officers in the Merger” beginning on page 67 of this proxy statement. The special committee and the board of directors of the Company were aware of the different or additional interests described herein and considered those interests along with other matters in recommending the merger agreement, the statutory merger agreement and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(see page 105)</w:t>
      </w:r>
    </w:p>
    <w:p>
      <w:pPr>
        <w:spacing w:after="0" w:line="231"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30, 2021, the most recent practicable date prior to the date of this proxy statement, was $5.81 per share. You are encouraged to obtain current market prices of Company common shares and Company preference shares in connection with voting your Company common shares and Company preference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 (see page 72)</w:t>
      </w:r>
    </w:p>
    <w:p>
      <w:pPr>
        <w:spacing w:after="0" w:line="231"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judgment enacted, promulgated, issued, entered, amended or enforced by any governmental authority of competent jurisdiction that restrains or otherwise makes illegal, prevents or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QUESTIONS AND ANSWERS ABOUT THE SPECIAL GENERAL MEETING AND THE MERGER</w:t>
      </w:r>
    </w:p>
    <w:p>
      <w:pPr>
        <w:spacing w:after="0" w:line="231"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i w:val="1"/>
          <w:iCs w:val="1"/>
          <w:color w:val="auto"/>
        </w:rPr>
        <w:t>The following questions and answers address briefly some questions you may have regarding the special general meeting and the merger. These questions and answers may not address all questions that may be important to you as a Company shareholder. Please refer to the more detailed information contained elsewhere in this proxy statement, the annexes to this proxy statement and the documents referred to or incorporated by reference in this proxy statement.</w:t>
      </w:r>
    </w:p>
    <w:p>
      <w:pPr>
        <w:spacing w:after="0" w:line="155"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am I receiving this proxy statement?</w:t>
      </w:r>
    </w:p>
    <w:p>
      <w:pPr>
        <w:spacing w:after="0" w:line="252" w:lineRule="exact"/>
        <w:rPr>
          <w:sz w:val="20"/>
          <w:szCs w:val="20"/>
          <w:color w:val="auto"/>
        </w:rPr>
      </w:pPr>
    </w:p>
    <w:p>
      <w:pPr>
        <w:jc w:val="both"/>
        <w:ind w:left="540" w:hanging="532"/>
        <w:spacing w:after="0" w:line="290"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Parent and Merger Sub have entered into the merger agreement, pursuant to which, among other things, Merger Sub will merge with and into the Company, with the Company surviving as the surviving company in the merger. In order to complete the merger,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public shareholders present (in person or by proxy) at the special general meeting, must vote to approve the merger agreement, the statutory merger agreement contemplated by the merger agreement and the transactions, including the merger. The Company is holding a special general meeting of Company shareholders to obtain the required approvals of Company shareholders.</w:t>
      </w:r>
    </w:p>
    <w:p>
      <w:pPr>
        <w:spacing w:after="0" w:line="171" w:lineRule="exact"/>
        <w:rPr>
          <w:rFonts w:ascii="Arial" w:cs="Arial" w:eastAsia="Arial" w:hAnsi="Arial"/>
          <w:sz w:val="16"/>
          <w:szCs w:val="16"/>
          <w:color w:val="auto"/>
        </w:rPr>
      </w:pPr>
    </w:p>
    <w:p>
      <w:pPr>
        <w:jc w:val="both"/>
        <w:ind w:left="540"/>
        <w:spacing w:after="0" w:line="294" w:lineRule="auto"/>
        <w:rPr>
          <w:rFonts w:ascii="Arial" w:cs="Arial" w:eastAsia="Arial" w:hAnsi="Arial"/>
          <w:sz w:val="16"/>
          <w:szCs w:val="16"/>
          <w:color w:val="auto"/>
        </w:rPr>
      </w:pPr>
      <w:r>
        <w:rPr>
          <w:rFonts w:ascii="Arial" w:cs="Arial" w:eastAsia="Arial" w:hAnsi="Arial"/>
          <w:sz w:val="16"/>
          <w:szCs w:val="16"/>
          <w:color w:val="auto"/>
        </w:rPr>
        <w:t>At the effective time of the merger, holders of Company common shares (other than any rollover share, hook share, treasury share or dissenting common share) will be converted into the right to receive $5.80, to be paid in cash without interest and reduced by any applicable tax withholding. This document is being delivered to you as a proxy statement by which the board of directors of the Company is soliciting proxies from you, as a holder of Company common shares and/or Company preference shares, to vote on the approval of the merger agreement, the statutory merger agreement and the merger at the special general meeting or any adjournment or postponement thereof.</w:t>
      </w:r>
    </w:p>
    <w:p>
      <w:pPr>
        <w:spacing w:after="0" w:line="183"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and where will the special general meeting of shareholders be held?</w:t>
      </w:r>
    </w:p>
    <w:p>
      <w:pPr>
        <w:spacing w:after="0" w:line="239" w:lineRule="exact"/>
        <w:rPr>
          <w:sz w:val="20"/>
          <w:szCs w:val="20"/>
          <w:color w:val="auto"/>
        </w:rPr>
      </w:pPr>
    </w:p>
    <w:p>
      <w:pPr>
        <w:jc w:val="both"/>
        <w:ind w:left="540" w:hanging="532"/>
        <w:spacing w:after="0" w:line="306"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special general meeting of shareholders of the Company will be held on June 4, 2021 at 9:30 a.m. Bermuda Time (8:30 a.m. Eastern Time). Shareholders can attend exclusively online via live webcast, which can be accessed by visiting www.virtualshareholdermeeting.com/GLOG2021SM, where you will be able to attend the special general meeting, vote and submit questions online during the special general meeting.</w:t>
      </w:r>
    </w:p>
    <w:p>
      <w:pPr>
        <w:spacing w:after="0" w:line="187"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the proposal that will be voted on at the special general meeting?</w:t>
      </w:r>
    </w:p>
    <w:p>
      <w:pPr>
        <w:spacing w:after="0" w:line="23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You will be asked to consider and vote upon the merger proposal to approve the merger agreement, the statutory agreement and the merger.</w:t>
      </w:r>
    </w:p>
    <w:p>
      <w:pPr>
        <w:spacing w:after="0" w:line="262"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ask questions at the special general meeting?</w:t>
      </w:r>
    </w:p>
    <w:p>
      <w:pPr>
        <w:spacing w:after="0" w:line="252" w:lineRule="exact"/>
        <w:rPr>
          <w:sz w:val="20"/>
          <w:szCs w:val="20"/>
          <w:color w:val="auto"/>
        </w:rPr>
      </w:pPr>
    </w:p>
    <w:p>
      <w:pPr>
        <w:jc w:val="both"/>
        <w:ind w:left="540" w:hanging="532"/>
        <w:spacing w:after="0" w:line="294"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virtual meeting website allows stockholders to submit questions during the special general meeting in the question box provided at www.virtualshareholdermeeting.com/GLOG2021SM. We will respond to as many inquiries during the relevant portion of the special general meeting as time allows. We will have technicians ready to assist you with any technical difficulties that you may have in accessing the special general meeting or submitting questions. If you encounter any difficulties accessing the special general meeting during the meeting time or submitting questions, please call the technical support number that will be posted on the special general meeting log in page at www.virtualshareholdermeeting.com/GLOG2021SM.</w:t>
      </w:r>
    </w:p>
    <w:p>
      <w:pPr>
        <w:spacing w:after="0" w:line="183"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board of directors of the Company recommend that I vote on the proposals?</w:t>
      </w:r>
    </w:p>
    <w:p>
      <w:pPr>
        <w:spacing w:after="0" w:line="239" w:lineRule="exact"/>
        <w:rPr>
          <w:sz w:val="20"/>
          <w:szCs w:val="20"/>
          <w:color w:val="auto"/>
        </w:rPr>
      </w:pPr>
    </w:p>
    <w:p>
      <w:pPr>
        <w:ind w:left="54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board of directors of the Company, acting upon the unanimous recommendation of the special committee,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You should read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532"/>
        <w:spacing w:after="0"/>
        <w:rPr>
          <w:sz w:val="20"/>
          <w:szCs w:val="20"/>
          <w:color w:val="auto"/>
        </w:rPr>
      </w:pPr>
      <w:r>
        <w:rPr>
          <w:rFonts w:ascii="Arial" w:cs="Arial" w:eastAsia="Arial" w:hAnsi="Arial"/>
          <w:sz w:val="18"/>
          <w:szCs w:val="18"/>
          <w:color w:val="auto"/>
        </w:rPr>
        <w:t>section entitled “Special Factors—Reasons for the Merger” beginning on page 42 of this proxy statement.</w:t>
      </w:r>
    </w:p>
    <w:p>
      <w:pPr>
        <w:spacing w:after="0" w:line="239" w:lineRule="exact"/>
        <w:rPr>
          <w:sz w:val="20"/>
          <w:szCs w:val="20"/>
          <w:color w:val="auto"/>
        </w:rPr>
      </w:pPr>
    </w:p>
    <w:p>
      <w:pPr>
        <w:ind w:left="532" w:hanging="532"/>
        <w:spacing w:after="0"/>
        <w:tabs>
          <w:tab w:leader="none" w:pos="53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will I receive as a Company shareholder when the merger occurs?</w:t>
      </w:r>
    </w:p>
    <w:p>
      <w:pPr>
        <w:spacing w:after="0" w:line="252" w:lineRule="exact"/>
        <w:rPr>
          <w:sz w:val="20"/>
          <w:szCs w:val="20"/>
          <w:color w:val="auto"/>
        </w:rPr>
      </w:pPr>
    </w:p>
    <w:p>
      <w:pPr>
        <w:ind w:left="532" w:hanging="532"/>
        <w:spacing w:after="0" w:line="268" w:lineRule="auto"/>
        <w:tabs>
          <w:tab w:leader="none" w:pos="532"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Holders of Company common shares (other than any rollover share, hook share, treasury share or dissenting common share) will be converted into the right to receive $5.80, to be paid in cash without interest and reduced by any applicable tax withholding.</w:t>
      </w:r>
    </w:p>
    <w:p>
      <w:pPr>
        <w:spacing w:after="0" w:line="185"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Each Company preference share will remain outstanding and automatically convert into a preference share in the surviving company and continue to be entitled to the same dividend and other relative rights, preferences, limitations and restrictions as currently provided by the certificate of designations for the Company preference shares.</w:t>
      </w:r>
    </w:p>
    <w:p>
      <w:pPr>
        <w:spacing w:after="0" w:line="193"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You should read the section entitled “Special Factors—Effects of the Merger” beginning on page 30 of this proxy statement.</w:t>
      </w:r>
    </w:p>
    <w:p>
      <w:pPr>
        <w:spacing w:after="0" w:line="239" w:lineRule="exact"/>
        <w:rPr>
          <w:sz w:val="20"/>
          <w:szCs w:val="20"/>
          <w:color w:val="auto"/>
        </w:rPr>
      </w:pPr>
    </w:p>
    <w:p>
      <w:pPr>
        <w:ind w:left="532" w:hanging="532"/>
        <w:spacing w:after="0"/>
        <w:tabs>
          <w:tab w:leader="none" w:pos="5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the Company’s directors, executive officers and principal securityholders intend to vote?</w:t>
      </w:r>
    </w:p>
    <w:p>
      <w:pPr>
        <w:spacing w:after="0" w:line="239" w:lineRule="exact"/>
        <w:rPr>
          <w:sz w:val="20"/>
          <w:szCs w:val="20"/>
          <w:color w:val="auto"/>
        </w:rPr>
      </w:pPr>
    </w:p>
    <w:p>
      <w:pPr>
        <w:jc w:val="both"/>
        <w:ind w:left="532" w:hanging="532"/>
        <w:spacing w:after="0" w:line="259" w:lineRule="auto"/>
        <w:tabs>
          <w:tab w:leader="none" w:pos="5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expects that all of the Company’s directors and executive officers will vote in favor of the merger proposal; however, none of the Company’s directors and executive officers are obligated to vote in favor of the merger proposal with respect to any Company common shares or Company preference shares that they directly own.</w:t>
      </w:r>
    </w:p>
    <w:p>
      <w:pPr>
        <w:spacing w:after="0" w:line="193"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Pursuant to the rollover agreement, each of the rolling shareholders, including entities controlled by Peter G. Livanos, the Chairman of the board of directors of the Company, and a wholly owned affiliate of the Onassis Foundation, have agreed to vote all shares of the Company held by such rolling shareholders in favor of the merger proposal at the special general meeting.</w:t>
      </w:r>
    </w:p>
    <w:p>
      <w:pPr>
        <w:spacing w:after="0" w:line="221" w:lineRule="exact"/>
        <w:rPr>
          <w:sz w:val="20"/>
          <w:szCs w:val="20"/>
          <w:color w:val="auto"/>
        </w:rPr>
      </w:pPr>
    </w:p>
    <w:p>
      <w:pPr>
        <w:ind w:left="532" w:hanging="532"/>
        <w:spacing w:after="0"/>
        <w:tabs>
          <w:tab w:leader="none" w:pos="5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merger consideration compare to the market price of Company common shares?</w:t>
      </w:r>
    </w:p>
    <w:p>
      <w:pPr>
        <w:spacing w:after="0" w:line="239" w:lineRule="exact"/>
        <w:rPr>
          <w:sz w:val="20"/>
          <w:szCs w:val="20"/>
          <w:color w:val="auto"/>
        </w:rPr>
      </w:pPr>
    </w:p>
    <w:p>
      <w:pPr>
        <w:jc w:val="both"/>
        <w:ind w:left="532" w:hanging="532"/>
        <w:spacing w:after="0" w:line="254" w:lineRule="auto"/>
        <w:tabs>
          <w:tab w:leader="none" w:pos="53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 Company common shares on the NYSE on April 30, 2021, the most recent practicable date prior to the date of this proxy statement, was $5.81 per share. You are encouraged to obtain current market prices of Company common shares in connection with voting your Company common shares and Company preference shares.</w:t>
      </w:r>
    </w:p>
    <w:p>
      <w:pPr>
        <w:spacing w:after="0" w:line="211" w:lineRule="exact"/>
        <w:rPr>
          <w:sz w:val="20"/>
          <w:szCs w:val="20"/>
          <w:color w:val="auto"/>
        </w:rPr>
      </w:pPr>
    </w:p>
    <w:p>
      <w:pPr>
        <w:ind w:left="532" w:hanging="532"/>
        <w:spacing w:after="0"/>
        <w:tabs>
          <w:tab w:leader="none" w:pos="5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is entitled to attend and vote at the special general meeting?</w:t>
      </w:r>
    </w:p>
    <w:p>
      <w:pPr>
        <w:spacing w:after="0" w:line="252" w:lineRule="exact"/>
        <w:rPr>
          <w:sz w:val="20"/>
          <w:szCs w:val="20"/>
          <w:color w:val="auto"/>
        </w:rPr>
      </w:pPr>
    </w:p>
    <w:p>
      <w:pPr>
        <w:jc w:val="both"/>
        <w:ind w:left="532" w:hanging="532"/>
        <w:spacing w:after="0" w:line="335" w:lineRule="auto"/>
        <w:tabs>
          <w:tab w:leader="none" w:pos="532" w:val="left"/>
        </w:tabs>
        <w:numPr>
          <w:ilvl w:val="0"/>
          <w:numId w:val="63"/>
        </w:numPr>
        <w:rPr>
          <w:rFonts w:ascii="Arial" w:cs="Arial" w:eastAsia="Arial" w:hAnsi="Arial"/>
          <w:sz w:val="15"/>
          <w:szCs w:val="15"/>
          <w:color w:val="auto"/>
        </w:rPr>
      </w:pPr>
      <w:r>
        <w:rPr>
          <w:rFonts w:ascii="Arial" w:cs="Arial" w:eastAsia="Arial" w:hAnsi="Arial"/>
          <w:sz w:val="15"/>
          <w:szCs w:val="15"/>
          <w:color w:val="auto"/>
        </w:rPr>
        <w:t>Holders of record of (a) the Company common shares and (b) the Company preference shares, in each case, at the close of business in New York City on April 30, 2021, are entitled to notice of, to attend and to vote at the special general meeting. At the close of business in New York City on the record date, there were 95,389,062 shares of Company common shares and 4,600,000 shares of Company preference shares outstanding and entitled to vote.</w:t>
      </w:r>
    </w:p>
    <w:p>
      <w:pPr>
        <w:spacing w:after="0" w:line="155" w:lineRule="exact"/>
        <w:rPr>
          <w:sz w:val="20"/>
          <w:szCs w:val="20"/>
          <w:color w:val="auto"/>
        </w:rPr>
      </w:pPr>
    </w:p>
    <w:p>
      <w:pPr>
        <w:ind w:left="532" w:hanging="532"/>
        <w:spacing w:after="0"/>
        <w:tabs>
          <w:tab w:leader="none" w:pos="5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constitutes quorum for the special general meeting?</w:t>
      </w:r>
    </w:p>
    <w:p>
      <w:pPr>
        <w:spacing w:after="0" w:line="239" w:lineRule="exact"/>
        <w:rPr>
          <w:sz w:val="20"/>
          <w:szCs w:val="20"/>
          <w:color w:val="auto"/>
        </w:rPr>
      </w:pPr>
    </w:p>
    <w:p>
      <w:pPr>
        <w:jc w:val="both"/>
        <w:ind w:left="532" w:hanging="532"/>
        <w:spacing w:after="0" w:line="306" w:lineRule="auto"/>
        <w:tabs>
          <w:tab w:leader="none" w:pos="5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49" w:name="page50"/>
    <w:bookmarkEnd w:id="49"/>
    <w:p>
      <w:pPr>
        <w:ind w:left="540" w:hanging="532"/>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votes of Company shareholders are required to approve the merger proposal?</w:t>
      </w:r>
    </w:p>
    <w:p>
      <w:pPr>
        <w:spacing w:after="0" w:line="252" w:lineRule="exact"/>
        <w:rPr>
          <w:sz w:val="20"/>
          <w:szCs w:val="20"/>
          <w:color w:val="auto"/>
        </w:rPr>
      </w:pPr>
    </w:p>
    <w:p>
      <w:pPr>
        <w:jc w:val="both"/>
        <w:ind w:left="540" w:hanging="532"/>
        <w:spacing w:after="0" w:line="298"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order to complete the merger, both (1) the holders of a majority of the voting power of the outstanding Company common shares and Company preference shares entitled to vote thereon, voting together as a single class (and with each Company preference share carrying a single vote) (the “statutory approval”) and (2) the holders of a majority of the Company common shares held by public shareholders and present (in person or by proxy) at the special general meeting (the “public shareholder approval”), must vote to approve the merger proposal.</w:t>
      </w:r>
    </w:p>
    <w:p>
      <w:pPr>
        <w:spacing w:after="0" w:line="180" w:lineRule="exact"/>
        <w:rPr>
          <w:sz w:val="20"/>
          <w:szCs w:val="20"/>
          <w:color w:val="auto"/>
        </w:rPr>
      </w:pPr>
    </w:p>
    <w:p>
      <w:pPr>
        <w:ind w:left="540" w:hanging="532"/>
        <w:spacing w:after="0" w:line="268" w:lineRule="auto"/>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 any of the Company’s directors and executive officers have any interests in the merger that may differ from, or be in addition to, my interests as a Company shareholder?</w:t>
      </w:r>
    </w:p>
    <w:p>
      <w:pPr>
        <w:spacing w:after="0" w:line="193" w:lineRule="exact"/>
        <w:rPr>
          <w:sz w:val="20"/>
          <w:szCs w:val="20"/>
          <w:color w:val="auto"/>
        </w:rPr>
      </w:pPr>
    </w:p>
    <w:p>
      <w:pPr>
        <w:jc w:val="both"/>
        <w:ind w:left="540" w:hanging="532"/>
        <w:spacing w:after="0" w:line="30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Yes. In considering the unanimous recommendation of the board of directors of the Company to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you should be aware that the Company’s directors and executive officers may have interests in the merger that are different from, or in addition to, those of Company shareholders more generally. For descriptions of these interests, please see the section entitled “Special Effects—Interests of the Company’s Directors and Executive Officers in the Merger” beginning on page 67 of this proxy statement.</w:t>
      </w:r>
    </w:p>
    <w:p>
      <w:pPr>
        <w:spacing w:after="0" w:line="190"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are votes counted?</w:t>
      </w:r>
    </w:p>
    <w:p>
      <w:pPr>
        <w:spacing w:after="0" w:line="233" w:lineRule="exact"/>
        <w:rPr>
          <w:sz w:val="20"/>
          <w:szCs w:val="20"/>
          <w:color w:val="auto"/>
        </w:rPr>
      </w:pPr>
    </w:p>
    <w:p>
      <w:pPr>
        <w:ind w:left="540" w:right="20" w:hanging="532"/>
        <w:spacing w:after="0" w:line="275"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 appointed for the special general meeting, who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and abstentions.</w:t>
      </w:r>
    </w:p>
    <w:p>
      <w:pPr>
        <w:spacing w:after="0" w:line="179" w:lineRule="exact"/>
        <w:rPr>
          <w:rFonts w:ascii="Arial" w:cs="Arial" w:eastAsia="Arial" w:hAnsi="Arial"/>
          <w:sz w:val="18"/>
          <w:szCs w:val="18"/>
          <w:color w:val="auto"/>
        </w:rPr>
      </w:pPr>
    </w:p>
    <w:p>
      <w:pPr>
        <w:ind w:left="540"/>
        <w:spacing w:after="0" w:line="331" w:lineRule="auto"/>
        <w:rPr>
          <w:rFonts w:ascii="Arial" w:cs="Arial" w:eastAsia="Arial" w:hAnsi="Arial"/>
          <w:sz w:val="18"/>
          <w:szCs w:val="18"/>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34" w:lineRule="exact"/>
        <w:rPr>
          <w:rFonts w:ascii="Arial" w:cs="Arial" w:eastAsia="Arial" w:hAnsi="Arial"/>
          <w:sz w:val="18"/>
          <w:szCs w:val="18"/>
          <w:color w:val="auto"/>
        </w:rPr>
      </w:pPr>
    </w:p>
    <w:p>
      <w:pPr>
        <w:jc w:val="both"/>
        <w:ind w:left="540"/>
        <w:spacing w:after="0" w:line="301" w:lineRule="auto"/>
        <w:rPr>
          <w:rFonts w:ascii="Arial" w:cs="Arial" w:eastAsia="Arial" w:hAnsi="Arial"/>
          <w:sz w:val="18"/>
          <w:szCs w:val="18"/>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77"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 I need to do now?</w:t>
      </w:r>
    </w:p>
    <w:p>
      <w:pPr>
        <w:spacing w:after="0" w:line="252" w:lineRule="exact"/>
        <w:rPr>
          <w:sz w:val="20"/>
          <w:szCs w:val="20"/>
          <w:color w:val="auto"/>
        </w:rPr>
      </w:pPr>
    </w:p>
    <w:p>
      <w:pPr>
        <w:ind w:left="540" w:right="20" w:hanging="532"/>
        <w:spacing w:after="0" w:line="331"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After carefully reading and considering the information contained in this proxy statement, including the annexes and the other documents referred to in this proxy statement, please ensure your shares are voted at the special general meeting by submitting a proxy in one of the ways described below.</w:t>
      </w:r>
    </w:p>
    <w:p>
      <w:pPr>
        <w:spacing w:after="0" w:line="154"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I am a shareholder of record?</w:t>
      </w:r>
    </w:p>
    <w:p>
      <w:pPr>
        <w:spacing w:after="0" w:line="239"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You may vote by: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submitting your proxy by using the internet voting instructions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submitting your proxy by using the telephone number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submitting your proxy by marking, dating, signing and returning the proxy card you receive in the postage-paid envelope;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appearing and voting in person (through the virtual meeting website) at the special general meeting.</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11:59 p.m. Eastern Time on June 3,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0" w:name="page51"/>
    <w:bookmarkEnd w:id="50"/>
    <w:p>
      <w:pPr>
        <w:jc w:val="both"/>
        <w:ind w:left="540"/>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74"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my shares are held by my brokerage firm, bank, trust or other nominee?</w:t>
      </w:r>
    </w:p>
    <w:p>
      <w:pPr>
        <w:spacing w:after="0" w:line="252" w:lineRule="exact"/>
        <w:rPr>
          <w:sz w:val="20"/>
          <w:szCs w:val="20"/>
          <w:color w:val="auto"/>
        </w:rPr>
      </w:pPr>
    </w:p>
    <w:p>
      <w:pPr>
        <w:jc w:val="both"/>
        <w:ind w:left="540" w:hanging="532"/>
        <w:spacing w:after="0" w:line="259"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207" w:lineRule="exact"/>
        <w:rPr>
          <w:sz w:val="20"/>
          <w:szCs w:val="20"/>
          <w:color w:val="auto"/>
        </w:rPr>
      </w:pPr>
    </w:p>
    <w:p>
      <w:pPr>
        <w:ind w:left="540" w:hanging="532"/>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does it mean if I receive more than one proxy?</w:t>
      </w:r>
    </w:p>
    <w:p>
      <w:pPr>
        <w:spacing w:after="0" w:line="239" w:lineRule="exact"/>
        <w:rPr>
          <w:sz w:val="20"/>
          <w:szCs w:val="20"/>
          <w:color w:val="auto"/>
        </w:rPr>
      </w:pPr>
    </w:p>
    <w:p>
      <w:pPr>
        <w:ind w:left="540" w:right="20" w:hanging="532"/>
        <w:spacing w:after="0" w:line="331"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68" w:lineRule="exact"/>
        <w:rPr>
          <w:sz w:val="20"/>
          <w:szCs w:val="20"/>
          <w:color w:val="auto"/>
        </w:rPr>
      </w:pPr>
    </w:p>
    <w:p>
      <w:pPr>
        <w:ind w:left="540" w:hanging="532"/>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change my vote after I have delivered my proxy?</w:t>
      </w:r>
    </w:p>
    <w:p>
      <w:pPr>
        <w:spacing w:after="0" w:line="239"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Yes. A shareholder who has given a proxy may revoke it at any time before it is exercised at the special general meeting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submitting a further proxy by the internet or telephone (only the last proxy submitted by each shareholder of record will be counted), provided that the shareholder does so before 11:59 p.m. Eastern Time on June 3, 2021;</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200" w:lineRule="exact"/>
        <w:rPr>
          <w:sz w:val="20"/>
          <w:szCs w:val="20"/>
          <w:color w:val="auto"/>
        </w:rPr>
      </w:pPr>
    </w:p>
    <w:p>
      <w:pPr>
        <w:spacing w:after="0" w:line="229"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sell my Company common shares before the special general meeting?</w:t>
      </w:r>
    </w:p>
    <w:p>
      <w:pPr>
        <w:spacing w:after="0" w:line="239" w:lineRule="exact"/>
        <w:rPr>
          <w:sz w:val="20"/>
          <w:szCs w:val="20"/>
          <w:color w:val="auto"/>
        </w:rPr>
      </w:pPr>
    </w:p>
    <w:p>
      <w:pPr>
        <w:jc w:val="both"/>
        <w:ind w:left="540" w:hanging="532"/>
        <w:spacing w:after="0" w:line="290"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record date for Company shareholders entitled to vote at the special general meeting is earlier than the date of the special general meeting and the expected closing date of the merger. If you transfer your Company common shares or Company preference shares after the record date but before the special general meeting, you will, unless special arrangements are made, retain your right to vote at the special general meeting but will transfer the right to receive the merger consideration to the person to whom you transfer your shares. In addition, if you sell your shares prior to the special general meeting or prior to the effective time of the merger, you will not be eligible to exercise your appraisal rights in respect of such shares or receive the merger consideration. For a more detailed discussion of your appraisal rights and the requirements for perfecting your appraisal rights, see the section entitled “Appraisal Rights of Shareholders” beginning on page 97 of this proxy statement.</w:t>
      </w:r>
    </w:p>
    <w:p>
      <w:pPr>
        <w:spacing w:after="0" w:line="185" w:lineRule="exact"/>
        <w:rPr>
          <w:sz w:val="20"/>
          <w:szCs w:val="20"/>
          <w:color w:val="auto"/>
        </w:rPr>
      </w:pPr>
    </w:p>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hold Company common shares, will I still be paid dividends prior to the merger?</w:t>
      </w:r>
    </w:p>
    <w:p>
      <w:pPr>
        <w:spacing w:after="0" w:line="252" w:lineRule="exact"/>
        <w:rPr>
          <w:sz w:val="20"/>
          <w:szCs w:val="20"/>
          <w:color w:val="auto"/>
        </w:rPr>
      </w:pPr>
    </w:p>
    <w:p>
      <w:pPr>
        <w:jc w:val="both"/>
        <w:ind w:left="540" w:hanging="532"/>
        <w:spacing w:after="0" w:line="256"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termination of the merger agreement), it will not issue dividends with respect to the Company common shares other than regular quarterly cash distributions paid during the first and second quarters of 2021 that do not exceed $0.05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jc w:val="both"/>
        <w:ind w:left="540"/>
        <w:spacing w:after="0" w:line="256" w:lineRule="auto"/>
        <w:rPr>
          <w:sz w:val="20"/>
          <w:szCs w:val="20"/>
          <w:color w:val="auto"/>
        </w:rPr>
      </w:pPr>
      <w:r>
        <w:rPr>
          <w:rFonts w:ascii="Arial" w:cs="Arial" w:eastAsia="Arial" w:hAnsi="Arial"/>
          <w:sz w:val="18"/>
          <w:szCs w:val="18"/>
          <w:color w:val="auto"/>
        </w:rPr>
        <w:t>per Company common share, in each case with customary declaration, record and payment dates consistent with past practice.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210"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entitled to appraisal rights in connection with the merger?</w:t>
      </w:r>
    </w:p>
    <w:p>
      <w:pPr>
        <w:spacing w:after="0" w:line="252" w:lineRule="exact"/>
        <w:rPr>
          <w:sz w:val="20"/>
          <w:szCs w:val="20"/>
          <w:color w:val="auto"/>
        </w:rPr>
      </w:pPr>
    </w:p>
    <w:p>
      <w:pPr>
        <w:jc w:val="both"/>
        <w:ind w:left="540" w:hanging="532"/>
        <w:spacing w:after="0" w:line="298"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Company shareholders are entitled to appraisal rights under Section 106 of the Bermuda Companies Act so long as they follow the procedures precisely and satisfy the conditions set forth in Section 106 of the Bermuda Companies Act. For more information regarding appraisal rights, see the section entitled “Appraisal Rights of Shareholders” beginning on page 97 of this proxy statement. Failure to strictly comply with Section 106 of the Bermuda Companies Act may result in your waiver of, or inability to exercise, appraisal rights.</w:t>
      </w:r>
    </w:p>
    <w:p>
      <w:pPr>
        <w:spacing w:after="0" w:line="180"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 the merger expected to be taxable to me?</w:t>
      </w:r>
    </w:p>
    <w:p>
      <w:pPr>
        <w:spacing w:after="0" w:line="239" w:lineRule="exact"/>
        <w:rPr>
          <w:sz w:val="20"/>
          <w:szCs w:val="20"/>
          <w:color w:val="auto"/>
        </w:rPr>
      </w:pPr>
    </w:p>
    <w:p>
      <w:pPr>
        <w:jc w:val="both"/>
        <w:ind w:left="540" w:hanging="532"/>
        <w:spacing w:after="0" w:line="286"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receipt of cash in exchange for Company common shares by a U.S. holder pursuant to the merger will generally be a taxable transaction for U.S. federal income tax purposes. In general, a U.S. holder (as defined in the section of this proxy statement entitled “Material U.S. Federal Income Tax Consequences of the Merger” beginning on page 151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of this proxy statement) in exchange for Company common shares pursuant to the merger will generally not be subject to U.S. federal income tax unless such non-U.S. holder has certain connections to the United States. Holders of Company common shares should consult their tax advisors about the tax consequences to them of the merger in light of their particular circumstances, including the applicability and effect of any state, local, non-U.S. and other tax laws. For more information on the material U.S. federal income tax consequences of the merger, see the section of this proxy statement entitled “Material U.S. Federal Income Tax Consequences of the Merger” beginning on page 151 of this proxy statement.</w:t>
      </w:r>
    </w:p>
    <w:p>
      <w:pPr>
        <w:spacing w:after="0" w:line="207" w:lineRule="exact"/>
        <w:rPr>
          <w:sz w:val="20"/>
          <w:szCs w:val="20"/>
          <w:color w:val="auto"/>
        </w:rPr>
      </w:pPr>
    </w:p>
    <w:p>
      <w:pPr>
        <w:ind w:left="540" w:hanging="532"/>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answer further questions?</w:t>
      </w:r>
    </w:p>
    <w:p>
      <w:pPr>
        <w:spacing w:after="0" w:line="239"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For additional questions about the merger, or for assistance in submitting proxies or voting Company common shares or Company preference shares, or</w:t>
      </w:r>
    </w:p>
    <w:p>
      <w:pPr>
        <w:spacing w:after="0" w:line="50" w:lineRule="exact"/>
        <w:rPr>
          <w:sz w:val="20"/>
          <w:szCs w:val="20"/>
          <w:color w:val="auto"/>
        </w:rPr>
      </w:pPr>
    </w:p>
    <w:p>
      <w:pPr>
        <w:ind w:left="540" w:right="20"/>
        <w:spacing w:after="0" w:line="260" w:lineRule="auto"/>
        <w:rPr>
          <w:sz w:val="20"/>
          <w:szCs w:val="20"/>
          <w:color w:val="auto"/>
        </w:rPr>
      </w:pPr>
      <w:r>
        <w:rPr>
          <w:rFonts w:ascii="Arial" w:cs="Arial" w:eastAsia="Arial" w:hAnsi="Arial"/>
          <w:sz w:val="18"/>
          <w:szCs w:val="18"/>
          <w:color w:val="auto"/>
        </w:rPr>
        <w:t>for additional copies of the attached proxy statement or the enclosed proxy card, please contact D.F. King &amp; Co., Inc., our proxy solicitor, at +1 (800) 628-8532.</w:t>
      </w:r>
    </w:p>
    <w:p>
      <w:pPr>
        <w:spacing w:after="0" w:line="193"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If your brokerage firm, bank, trust or other nominee holds your shares in “street name”, you should also call your brokerage firm, bank, trust or other nominee for additional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31" w:lineRule="exact"/>
        <w:rPr>
          <w:sz w:val="20"/>
          <w:szCs w:val="20"/>
          <w:color w:val="auto"/>
        </w:rPr>
      </w:pPr>
    </w:p>
    <w:p>
      <w:pPr>
        <w:jc w:val="both"/>
        <w:ind w:firstLine="543"/>
        <w:spacing w:after="0" w:line="285" w:lineRule="auto"/>
        <w:rPr>
          <w:sz w:val="20"/>
          <w:szCs w:val="20"/>
          <w:color w:val="auto"/>
        </w:rPr>
      </w:pPr>
      <w:r>
        <w:rPr>
          <w:rFonts w:ascii="Arial" w:cs="Arial" w:eastAsia="Arial" w:hAnsi="Arial"/>
          <w:sz w:val="16"/>
          <w:szCs w:val="16"/>
          <w:color w:val="auto"/>
        </w:rPr>
        <w:t>All statements in this proxy statement, and the documents incorporated by reference or otherwise referred to in this proxy statement, that are not statements of historical fact are forward-looking statements. Forward-looking statements include statements that address activities, events or developments, such as the closing of the merger,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or the negative of these terms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U.S. Securities and Exchange Commission (the “SEC”), other information sent to our security holders and other written materials. We caution that these forward-looking statements represent our estimates and assumptions only as of the date of this proxy statement, the date of the documents incorporated by reference or otherwise referred to in this proxy statement,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The Company cautions you that forward-looking statements are not guarantees of future performance and that the Company’s actual results of operations, financial condition and liquidity, the development of the industry in which the Company operates and the effect of acquisitions on the Company may differ materially from those made in or suggested by the forward-looking statements contained in this proxy statement. In addition, even if the Company’s results of operations, financial condition and liquidity, the development of the industry in which the Company operates and the effect of acquisitions on the Company are consistent with the forward-looking statements contained in this proxy statement, those results or developments may not be indicative of results or developments in subsequent periods. Although these expectations may change, the Company assumes no obligation to update or revise publicly any forward-looking statements whether as a result of new information, future events or otherwise. Forward-looking statements necessarily involve risks and uncertainties, many of which are outside of the Company’s control that could cause actual results to differ materially from such statements and from the Company’s historical results and experience.</w:t>
      </w:r>
    </w:p>
    <w:p>
      <w:pPr>
        <w:spacing w:after="0" w:line="17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Factors that may cause the Company’s actual results to differ materially from those expressed or implied by the forward-looking statements in this proxy statement include, but are not limited to the risks described under “Forward-Looking Statements” and “Item 3. Key Information—D. Risk factors” of our Annual Report on Form 20-F for the year ended December 31, 2020, which may be accessed through the SEC’s website at https://www.sec.gov/edgar. Additional factors that could cause actual results to vary from projected results related to the transactions include, but are not limited to:</w:t>
      </w:r>
    </w:p>
    <w:p>
      <w:pPr>
        <w:spacing w:after="0" w:line="180"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failure to receive, on a timely basis or otherwise, the required approvals by the Company shareholders with regard to the merger;</w:t>
      </w:r>
    </w:p>
    <w:p>
      <w:pPr>
        <w:spacing w:after="0" w:line="261"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risk that a closing condition to the merger agreement may not be satisfied, including the risk that the specified third-party consents are not obtained by the Company or the possibility that the COVID-19 pandemic may hinder Parent’s ability to consummate the merger;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1080" w:hanging="532"/>
        <w:spacing w:after="0" w:line="331"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the merger agreement or cause delays in the consummation of the merger or the failure of the merger to be completed on a timely basis or at all for any other reason;</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risks that the Company’s business may suffer as a result of uncertainties surrounding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ability of the Company to retain and hire key personnel and maintain relationships with customers, suppliers and other business partners pending the consummation of the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possibility of disruption to the Company’s business from the proposed merger, including increased costs and diversion of management time and resources;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limitations placed on the Company’s ability to operate its business under the merger agreement;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general economic conditions, including the possibility that the COVID-19 pandemic may adversely affect the results of operations, financial position and cash flows of the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the Company or others relating to the merger agreement or the merger; and</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financial, operational and legal risks and uncertainties detailed from time to time in the Company’s SEC reports.</w:t>
      </w:r>
    </w:p>
    <w:p>
      <w:pPr>
        <w:spacing w:after="0" w:line="22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Additional information about risks and uncertainties, and about the material factors or assumptions underlying such forward-looking statements, may be found under “Item 3. Key Information—D. Risk factors” of our Annual Report on Form 20-F for the year ended December 31, 2020, which may be accessed through the SEC’s website at https://www.sec.gov/edgar. The Company cautions that the foregoing list of important factors that may affect future results is not exhaustive. When relying on forward-looking statements to make decisions with respect to the merger, shareholders and others should carefully consider the foregoing factors and other uncertainties and potential events. All subsequent written and oral forward-looking statements concerning the merger or other matters attributable to the Company or any other person acting on its behalf are expressly qualified in their entirety by the cautionary statements referenced above. The forward-looking statements contained in this proxy statement speak only as of the date of this proxy statement. We undertake no obligation to update or revise any forward-looking statements contained in this proxy statement for any reason, whether as a result of new information becoming available,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156 of this proxy statement for a description of how to obtain a copy of the Company’s Annual Report.</w:t>
      </w:r>
    </w:p>
    <w:p>
      <w:pPr>
        <w:spacing w:after="0" w:line="16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w:t>
      </w:r>
    </w:p>
    <w:p>
      <w:pPr>
        <w:spacing w:after="0" w:line="23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GEPIF III’s principal executive office is located at One Lafayette Place, Greenwich, CT 06830, U.S.A. GEPIF III’s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31"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231" w:lineRule="exact"/>
        <w:rPr>
          <w:sz w:val="20"/>
          <w:szCs w:val="20"/>
          <w:color w:val="auto"/>
        </w:rPr>
      </w:pPr>
    </w:p>
    <w:p>
      <w:pPr>
        <w:jc w:val="both"/>
        <w:ind w:firstLine="369"/>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Merger Sub’s principal executive office is located at One Lafayette Place, Greenwich, CT 06830, U.S.A. Merger Sub’s telephone number is +1 203 863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The Rolling Shareholder Parties</w:t>
      </w:r>
    </w:p>
    <w:p>
      <w:pPr>
        <w:spacing w:after="0" w:line="231" w:lineRule="exact"/>
        <w:rPr>
          <w:sz w:val="20"/>
          <w:szCs w:val="20"/>
          <w:color w:val="auto"/>
        </w:rPr>
      </w:pPr>
    </w:p>
    <w:p>
      <w:pPr>
        <w:jc w:val="both"/>
        <w:ind w:firstLine="522"/>
        <w:spacing w:after="0" w:line="287"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automatically convert into common shares and preference shares, respectively, of the surviving company in the merger. Following the date of the merger agreement, (a) the rolling shareholders other than Blenheim Holdings Ltd. and Olympic LNG Investments Ltd. and (b) Bruce Blythe, Jean Haramis, Monhegetti Transport Inc., Dimitris Kolias and Stray Shipping Investments Ltd. (the “additional rolling shareholders”) have contributed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6"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Blenheim Holdings’ principal executive office is located at c/o Ceres Monaco S.A.M., Gildo Pastor Center, 7 rue du Gabian, MC 98000, Monte Carlo, Principality of Monaco. Blenheim Holdings’ telephone number is +377 9797 0606.</w:t>
      </w:r>
    </w:p>
    <w:p>
      <w:pPr>
        <w:spacing w:after="0" w:line="194"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w:t>
      </w:r>
    </w:p>
    <w:p>
      <w:pPr>
        <w:spacing w:after="0" w:line="160"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6"/>
          <w:szCs w:val="16"/>
          <w:color w:val="auto"/>
        </w:rPr>
        <w:t>Ceres Shipping is a Bermuda exempted company.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Olympic LNG Investments Ltd. (“Olympic” and, collectively with Blenheim Holdings, Blenheim Special Investments, Ceres Shipping, Peter G. Livanos and Olympic, the “rolling shareholder parties”) is a Bermuda exempted company. Olympic’s principal executive office is located at c/o ASOFIN Management AG, Heiligkreuz 2, FL-9490 Vaduz, Liechtenstein. Olympic’s telephone number is +423-237 48 03.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b w:val="1"/>
          <w:bCs w:val="1"/>
          <w:color w:val="auto"/>
        </w:rPr>
        <w:t>THE SPECIAL GENERAL MEETING</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This proxy statement is being provided to the shareholders of the Company as part of a solicitation of proxies by the board of directors of the Company for use at the special general meeting to be held at the time specified below, and at any properly convened meeting following an adjournment or postponement thereof. This proxy statement provides shareholders of the Company with the information they need to know to be able to vote or instruct their vote to be cast at the special general meeting or any adjournment or postponement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The special general meeting is scheduled to be held exclusively online via live webcast on June 4, 2021 at 9:30 a.m. Bermuda Time (8:30 a.m. Eastern Time). The special general meeting can be accessed by visiting www.virtualshareholdermeeting.com/GLOG2021SM, where you will be able to attend the special general meeting, vote and submit your questions during the special general meeting. We encourage you to allow ample time for online check-in, which will open at 9:15 a.m. Bermuda Time (8:15 a.m. Eastern Time). Please note that you will not be able to attend the special general meeting in person. We elected to adopt these arrangements given the current public health implications of the COVID-19 pandemic and our desire to promote the health and welfare of our shareholders.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intend to mail the notice of the special general meeting, this proxy statement and a proxy card to our shareholders of record on or about May 3, 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General Meeting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At the special general meeting, the holders of the Company common shares and Company preference shares will be asked to consider and vote on a proposal to approve the merger proposal, which is further described in the sections entitled “Special Factors” and “The Merger Agreement,” beginning on pages 30 and 73, respectively, of this proxy statement.</w:t>
      </w:r>
    </w:p>
    <w:p>
      <w:pPr>
        <w:spacing w:after="0" w:line="194"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If the Company shareholders fail to approve the merger proposal, the merger will not occur. For more information on the required approvals by the Company shareholders, see the section entitled “—Required Vote” beginning on page 26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w:t>
      </w:r>
    </w:p>
    <w:p>
      <w:pPr>
        <w:spacing w:after="0" w:line="231" w:lineRule="exact"/>
        <w:rPr>
          <w:sz w:val="20"/>
          <w:szCs w:val="20"/>
          <w:color w:val="auto"/>
        </w:rPr>
      </w:pPr>
    </w:p>
    <w:p>
      <w:pPr>
        <w:jc w:val="both"/>
        <w:ind w:firstLine="413"/>
        <w:spacing w:after="0" w:line="301" w:lineRule="auto"/>
        <w:rPr>
          <w:sz w:val="20"/>
          <w:szCs w:val="20"/>
          <w:color w:val="auto"/>
        </w:rPr>
      </w:pPr>
      <w:r>
        <w:rPr>
          <w:rFonts w:ascii="Arial" w:cs="Arial" w:eastAsia="Arial" w:hAnsi="Arial"/>
          <w:sz w:val="15"/>
          <w:szCs w:val="15"/>
          <w:color w:val="auto"/>
        </w:rPr>
        <w:t>After careful consideration and consultation with its financial advisor and legal counsel, the special committee unanimously determined that the merger consideration constitutes fair value for each Company common share and the automatic conversion of each Company preference share into a surviving company preference share constitutes fair value for each Company preference share, each in accordance with the Bermuda Companies Act. The special committee also unanimously (a) approved the merger agreement, the statutory merger agreement and the transactions, including the merger and (b) determined that the merger agreement, the statutory merger agreement and the transactions contemplated by the merger agreement, the statutory merger agreement and the rollover agreement (collectively, the “transactions”), including the merger, are fair to, and in the best interests of, the Company, the public shareholders (as defined below) and the holders of Company preference shares. The special committee, therefore, recommended that the board of directors of the Company</w:t>
      </w:r>
    </w:p>
    <w:p>
      <w:pPr>
        <w:spacing w:after="0" w:line="4" w:lineRule="exact"/>
        <w:rPr>
          <w:sz w:val="20"/>
          <w:szCs w:val="20"/>
          <w:color w:val="auto"/>
        </w:rPr>
      </w:pPr>
    </w:p>
    <w:p>
      <w:pPr>
        <w:jc w:val="both"/>
        <w:ind w:firstLine="8"/>
        <w:spacing w:after="0" w:line="295" w:lineRule="auto"/>
        <w:tabs>
          <w:tab w:leader="none" w:pos="218" w:val="left"/>
        </w:tabs>
        <w:numPr>
          <w:ilvl w:val="0"/>
          <w:numId w:val="94"/>
        </w:numPr>
        <w:rPr>
          <w:rFonts w:ascii="Arial" w:cs="Arial" w:eastAsia="Arial" w:hAnsi="Arial"/>
          <w:sz w:val="16"/>
          <w:szCs w:val="16"/>
          <w:color w:val="auto"/>
        </w:rPr>
      </w:pPr>
      <w:r>
        <w:rPr>
          <w:rFonts w:ascii="Arial" w:cs="Arial" w:eastAsia="Arial" w:hAnsi="Arial"/>
          <w:sz w:val="16"/>
          <w:szCs w:val="16"/>
          <w:color w:val="auto"/>
        </w:rPr>
        <w:t>approve each of the merger agreement and the statutory merger agreement, and the transactions, including the merger, and (ii) recommend approval of the merger, the merger agreement and the statutory merger agreement to the public shareholders and the holders of Company preference shares. Certain factors considered by the special committee in reaching its decisions described above can be found in the section entitled “Special Factors—Reasons for the Merger— Recommendation of the Special Committee” beginning on page 42 of this proxy statement.</w:t>
      </w:r>
    </w:p>
    <w:p>
      <w:pPr>
        <w:spacing w:after="0" w:line="169" w:lineRule="exact"/>
        <w:rPr>
          <w:sz w:val="20"/>
          <w:szCs w:val="20"/>
          <w:color w:val="auto"/>
        </w:rPr>
      </w:pPr>
    </w:p>
    <w:p>
      <w:pPr>
        <w:ind w:firstLine="403"/>
        <w:spacing w:after="0" w:line="268" w:lineRule="auto"/>
        <w:rPr>
          <w:sz w:val="20"/>
          <w:szCs w:val="20"/>
          <w:color w:val="auto"/>
        </w:rPr>
      </w:pPr>
      <w:r>
        <w:rPr>
          <w:rFonts w:ascii="Arial" w:cs="Arial" w:eastAsia="Arial" w:hAnsi="Arial"/>
          <w:sz w:val="18"/>
          <w:szCs w:val="18"/>
          <w:color w:val="auto"/>
        </w:rPr>
        <w:t>After careful consideration, the board of directors of the Company, acting upon the recommendation of the special committee, by unanimous resolution, has determined that the merger consideration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constitutes fair value for each Company common share and the automatic conversion of each Company preference share into a surviving company preference share constitutes fair value for each Company preference share, each in accordance with the Bermuda Companies Act. The board of directors of the Company also (a) approved the merger agreement, the statutory merger agreement and the transactions, including the merger and (b) determined that the merger agreement, the statutory merger agreement and the transactions, including the merger, are fair to, and in the best interests of, the Company, the public shareholders, the rolling shareholders and the holders of Company preference shares. Certain factors considered by the board of directors of the Company in reaching its decision to approve the merger agreement, the statutory merger agreement and the transactions, including the merger, can be found in the section entitled “Special Factors—Reasons for the Merger—Recommendation of the Board of Directors of the Company” beginning on page 48 of this proxy statement.</w:t>
      </w:r>
    </w:p>
    <w:p>
      <w:pPr>
        <w:spacing w:after="0" w:line="178"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For purposes of this proxy statement,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0" w:lineRule="exact"/>
        <w:rPr>
          <w:sz w:val="20"/>
          <w:szCs w:val="20"/>
          <w:color w:val="auto"/>
        </w:rPr>
      </w:pPr>
    </w:p>
    <w:p>
      <w:pPr>
        <w:jc w:val="both"/>
        <w:ind w:firstLine="364"/>
        <w:spacing w:after="0" w:line="339" w:lineRule="auto"/>
        <w:rPr>
          <w:sz w:val="20"/>
          <w:szCs w:val="20"/>
          <w:color w:val="auto"/>
        </w:rPr>
      </w:pPr>
      <w:r>
        <w:rPr>
          <w:rFonts w:ascii="Arial" w:cs="Arial" w:eastAsia="Arial" w:hAnsi="Arial"/>
          <w:sz w:val="16"/>
          <w:szCs w:val="16"/>
          <w:b w:val="1"/>
          <w:bCs w:val="1"/>
          <w:color w:val="auto"/>
        </w:rPr>
        <w:t>The board of directors of the Company recommends that the public shareholders and the holders of Company preference shares vote “FOR” the proposal (the “merger proposal”) to approve the merger agreement, the statutory merger agreement and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231"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Only holders of record of Company common shares and Company preference shares at the close of business in New York City on April 30, 2021, the record date for the special general meeting, will be entitled to notice of, to attend, and to vote at, the special general meeting (or any postponements or adjournments thereof). At the close of business on the record date, 95,389,062 Company common shares and 4,600,000 Company preference shares were outstanding and held by 5 and 1 holder(s) of record, respectively. Holders of record of Company common shares are entitled to one vote for each Company common share they own at the close of business in New York City on the record date and holders of record of Company preference shares are entitled to one vote for each Company preference share they own at the close of business on the record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Shareholders may not take action at the special general meeting unless there is a quorum present at the meeting pursuant to the bye-laws of the Company.</w:t>
      </w:r>
    </w:p>
    <w:p>
      <w:pPr>
        <w:spacing w:after="0" w:line="260"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and the representation of such shares at the special general meeting is sufficient to constitute a quorum. Abstentions will be included in the calculation of the number of shares considered to be present at the meeting for quorum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merger agreement, approval of the merger proposal requires the affirmative vote of (a) the holders of a majority of the voting power of the outstanding Company common shares and Company preference shares entitled to vote on such proposal, voting together as a single class (and with each Company preference share carrying a single vote) (the “statutory approval”), and (b) the holders of a majority of the Company common shares held by the public shareholders and present via the virtual meeting website or represented by proxy at the special general meeting (the “public shareholder approval”), in each case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at the special general meeting.</w:t>
      </w:r>
    </w:p>
    <w:p>
      <w:pPr>
        <w:spacing w:after="0" w:line="201"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These shares held by the rolling shareholders collectively represent, as of the date of this proxy statement, approximately 52.64% of the total voting power of all the Company common shares and Company preference shares, voting together as a single class (with each Company preference share carrying a single vote). While the affirmative vote of the rolling shareholders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will be sufficient for the statutory approval, the merger proposal will not be approved at the special general meeting unless the public shareholder approval is also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25"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8"/>
          <w:szCs w:val="18"/>
          <w:color w:val="auto"/>
        </w:rPr>
        <w:t>An abstention occurs when a shareholder withholds such shareholder’s vote by checking the “</w:t>
      </w:r>
      <w:r>
        <w:rPr>
          <w:rFonts w:ascii="Arial" w:cs="Arial" w:eastAsia="Arial" w:hAnsi="Arial"/>
          <w:sz w:val="18"/>
          <w:szCs w:val="18"/>
          <w:b w:val="1"/>
          <w:bCs w:val="1"/>
          <w:color w:val="auto"/>
        </w:rPr>
        <w:t>ABSTAIN</w:t>
      </w:r>
      <w:r>
        <w:rPr>
          <w:rFonts w:ascii="Arial" w:cs="Arial" w:eastAsia="Arial" w:hAnsi="Arial"/>
          <w:sz w:val="18"/>
          <w:szCs w:val="18"/>
          <w:color w:val="auto"/>
        </w:rPr>
        <w:t>” box on the proxy card, or similarly elects to abstain via the virtual meeting website or telephone voting. At the special general meeting, abstentions will be counted in determining whether a quorum is present but will not be considered votes on any proposal brought before the special general meeting.</w:t>
      </w:r>
    </w:p>
    <w:p>
      <w:pPr>
        <w:spacing w:after="0" w:line="192" w:lineRule="exact"/>
        <w:rPr>
          <w:sz w:val="20"/>
          <w:szCs w:val="20"/>
          <w:color w:val="auto"/>
        </w:rPr>
      </w:pPr>
    </w:p>
    <w:p>
      <w:pPr>
        <w:jc w:val="both"/>
        <w:ind w:firstLine="396"/>
        <w:spacing w:after="0" w:line="331" w:lineRule="auto"/>
        <w:rPr>
          <w:sz w:val="20"/>
          <w:szCs w:val="20"/>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41"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Broker non-votes are shares held by brokers and other record holders that are present or represented by proxy at the special general meeting, but with respect to which the broker or other record holder is not instructed by the beneficial owner of such shares how to vote on a particular proposal and the broker does not have discretionary voting power on such proposal. Based on current NYSE rules, because brokers and other record holders do not have discretionary voting authority with respect to the merger proposal, if a beneficial owner of Company common shares or Company preference shares held in “street name” does not give voting instructions to the broker or other holder of record, then those shares will not be present at the special general meeting. As a result, there will not be any broker non-votes at the special general meeting.</w:t>
      </w:r>
    </w:p>
    <w:p>
      <w:pPr>
        <w:spacing w:after="0" w:line="174"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w:t>
      </w:r>
    </w:p>
    <w:p>
      <w:pPr>
        <w:spacing w:after="0" w:line="231"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If you are a registered shareholder and you do not sign and return your proxy card or vote over the internet, by telephone or by attendance via the virtual meeting website, your shares will not be voted at the special general meeting and will not be counted for purposes of determining whether a quorum exists. Proxy cards that are returned without a signature will not be counted as present at the special general meeting and cannot be voted.</w:t>
      </w:r>
    </w:p>
    <w:p>
      <w:pPr>
        <w:spacing w:after="0" w:line="154" w:lineRule="exact"/>
        <w:rPr>
          <w:sz w:val="20"/>
          <w:szCs w:val="20"/>
          <w:color w:val="auto"/>
        </w:rPr>
      </w:pPr>
    </w:p>
    <w:p>
      <w:pPr>
        <w:jc w:val="both"/>
        <w:ind w:firstLine="400"/>
        <w:spacing w:after="0" w:line="275" w:lineRule="auto"/>
        <w:rPr>
          <w:sz w:val="20"/>
          <w:szCs w:val="20"/>
          <w:color w:val="auto"/>
        </w:rPr>
      </w:pPr>
      <w:r>
        <w:rPr>
          <w:rFonts w:ascii="Arial" w:cs="Arial" w:eastAsia="Arial" w:hAnsi="Arial"/>
          <w:sz w:val="18"/>
          <w:szCs w:val="18"/>
          <w:color w:val="auto"/>
        </w:rPr>
        <w:t>If you are the record owner of your shares and you fail to vote, (a) it will have the effect of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statutory approval and (b) it will not have the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spacing w:after="0" w:line="262" w:lineRule="auto"/>
        <w:rPr>
          <w:sz w:val="20"/>
          <w:szCs w:val="20"/>
          <w:color w:val="auto"/>
        </w:rPr>
      </w:pPr>
      <w:r>
        <w:rPr>
          <w:rFonts w:ascii="Arial" w:cs="Arial" w:eastAsia="Arial" w:hAnsi="Arial"/>
          <w:sz w:val="18"/>
          <w:szCs w:val="18"/>
          <w:color w:val="auto"/>
        </w:rPr>
        <w:t>of a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present via the virtual meeting website or represented by proxy at the special general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the Company’s Directors and Executive Officers</w:t>
      </w:r>
    </w:p>
    <w:p>
      <w:pPr>
        <w:spacing w:after="0" w:line="231"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As of April 30, 2021, directors and executive officers of the Company, collectively, were entitled to vote 40,909,105 shares of Company common shares and 12,366 shares of Company preference shares, representing approximately 40.93% of the total voting power of the outstanding Company common shares and Company preference shares, voting together as a single class. The Company expects that all of the Company’s directors and executive officers will vote their shares in favor of the merger proposal, for the reasons set forth in the section entitled “Special Factors—Reasons for the Merger” beginning on page 42 of this proxy statement. None of the Company’s directors and executive officers is obligated to vote in favor of the merger proposal.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General Meeting</w:t>
      </w:r>
    </w:p>
    <w:p>
      <w:pPr>
        <w:spacing w:after="0" w:line="231"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To participate in the special general meeting, visit www.virtualshareholdermeeting.com/GLOG2021SM and enter the 16-digit control number included on your proxy card or on the instructions that accompanied your proxy materials.</w:t>
      </w:r>
    </w:p>
    <w:p>
      <w:pPr>
        <w:spacing w:after="0" w:line="18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If we experience technical difficulties during the special general meeting (</w:t>
      </w:r>
      <w:r>
        <w:rPr>
          <w:rFonts w:ascii="Arial" w:cs="Arial" w:eastAsia="Arial" w:hAnsi="Arial"/>
          <w:sz w:val="18"/>
          <w:szCs w:val="18"/>
          <w:i w:val="1"/>
          <w:iCs w:val="1"/>
          <w:color w:val="auto"/>
        </w:rPr>
        <w:t>e.g.</w:t>
      </w:r>
      <w:r>
        <w:rPr>
          <w:rFonts w:ascii="Arial" w:cs="Arial" w:eastAsia="Arial" w:hAnsi="Arial"/>
          <w:sz w:val="18"/>
          <w:szCs w:val="18"/>
          <w:color w:val="auto"/>
        </w:rPr>
        <w:t>,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www.virtualshareholdermeeting.com/GLOG2021SM. If you encounter technical difficulties accessing our meeting or asking questions during the special general meeting, a support line will be available on the login page of the meeting website.</w:t>
      </w:r>
    </w:p>
    <w:p>
      <w:pPr>
        <w:spacing w:after="0" w:line="20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Please note that if your Company common shares or Company preference shares are held by a broker, bank or other nominee, and you wish to attend and vote at the special general meeting, you must obtain a proxy, executed in your favor, from your broker, bank or other nominee giving you the right to attend and vote your shares at the special general meeting.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may also authorize the persons named as proxies on the proxy card to vote your Company common shares or Company preference shares by</w:t>
      </w:r>
    </w:p>
    <w:p>
      <w:pPr>
        <w:spacing w:after="0" w:line="38" w:lineRule="exact"/>
        <w:rPr>
          <w:sz w:val="20"/>
          <w:szCs w:val="20"/>
          <w:color w:val="auto"/>
        </w:rPr>
      </w:pPr>
    </w:p>
    <w:p>
      <w:pPr>
        <w:jc w:val="both"/>
        <w:ind w:firstLine="8"/>
        <w:spacing w:after="0" w:line="290" w:lineRule="auto"/>
        <w:tabs>
          <w:tab w:leader="none" w:pos="244"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signing, dating, completing and returning the proxy card by mail; (b) by completing and submitting your proxy over the internet; or (c) by submitting your proxy via telephone. </w:t>
      </w:r>
      <w:r>
        <w:rPr>
          <w:rFonts w:ascii="Arial" w:cs="Arial" w:eastAsia="Arial" w:hAnsi="Arial"/>
          <w:sz w:val="16"/>
          <w:szCs w:val="16"/>
          <w:b w:val="1"/>
          <w:bCs w:val="1"/>
          <w:color w:val="auto"/>
        </w:rPr>
        <w:t>The Company encourages you to submit your proxy over the internet as the Company believes this is the most cost-effective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method for voting at the special general meeting. </w:t>
      </w:r>
      <w:r>
        <w:rPr>
          <w:rFonts w:ascii="Arial" w:cs="Arial" w:eastAsia="Arial" w:hAnsi="Arial"/>
          <w:sz w:val="16"/>
          <w:szCs w:val="16"/>
          <w:color w:val="auto"/>
        </w:rPr>
        <w:t>We also recommend that you submit your proxy as soon as possible, even if you are planning to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general meeting, so that the vote count will not be delayed. The internet provides a convenient, cost-effective alternative to returning your proxy card by mail or submitting a proxy by telephone. If you submit a proxy via the internet, you may incur costs associated with electronic access, such as usage charges from internet access providers. If you choose to submit your proxy over the internet, there is no need for you to mail back your proxy card.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shareholder of record, there are three ways to vote by proxy:</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Internet—You can vote over the internet at www.virtualshareholdermeeting.com/GLOG2021SM by following the instructions in the notice of the special general meeting and the proxy card. You will need to enter your control number, which is a 16-digit number located in a box on your proxy card that is included with your proxy materials. We encourage you to vote by internet.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10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Telephone—You may vote and submit your proxy by calling toll-free 1-800-690-6903 and providing your control number, which is a 16-digit number located in a box on your proxy card that is included with your proxy materials.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Mail—You can vote by mail by marking, dating, signing and returning the proxy card in the postage-paid envelope.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Telephone and internet voting facilities for shareholders of record will be available 24 hours a day and will close at 11:59 p.m. Eastern Time on June 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60" w:lineRule="exact"/>
        <w:rPr>
          <w:sz w:val="20"/>
          <w:szCs w:val="20"/>
          <w:color w:val="auto"/>
        </w:rPr>
      </w:pPr>
    </w:p>
    <w:p>
      <w:pPr>
        <w:jc w:val="both"/>
        <w:ind w:right="20" w:firstLine="388"/>
        <w:spacing w:after="0" w:line="331" w:lineRule="auto"/>
        <w:rPr>
          <w:sz w:val="20"/>
          <w:szCs w:val="20"/>
          <w:color w:val="auto"/>
        </w:rPr>
      </w:pPr>
      <w:r>
        <w:rPr>
          <w:rFonts w:ascii="Arial" w:cs="Arial" w:eastAsia="Arial" w:hAnsi="Arial"/>
          <w:sz w:val="16"/>
          <w:szCs w:val="16"/>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41" w:lineRule="exact"/>
        <w:rPr>
          <w:sz w:val="20"/>
          <w:szCs w:val="20"/>
          <w:color w:val="auto"/>
        </w:rPr>
      </w:pPr>
    </w:p>
    <w:p>
      <w:pPr>
        <w:jc w:val="both"/>
        <w:ind w:right="20" w:firstLine="480"/>
        <w:spacing w:after="0" w:line="331" w:lineRule="auto"/>
        <w:rPr>
          <w:sz w:val="20"/>
          <w:szCs w:val="20"/>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w:t>
      </w:r>
    </w:p>
    <w:p>
      <w:pPr>
        <w:spacing w:after="0" w:line="239"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submitting a further proxy by the internet or telephone (only the last proxy submitted by each shareholder of record will be counted), provided that the shareholder does so before 11:59 p.m. Eastern Time on June 3, 2021;</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Name of Broker</w:t>
      </w:r>
    </w:p>
    <w:p>
      <w:pPr>
        <w:spacing w:after="0" w:line="231"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retained Broadridge Financial Solutions as an independent tabulator to receive and tabulate the proxies.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The Company will pay the cost of soliciting proxies for the special general meeting. The Company may solicit by mail, telephone, personal contact and electronic means and arrangements are made with brokerage houses and other custodians, nominees and fiduciaries to send this proxy statement to beneficial owners, but no additional compensation will be paid to them. The Company has engaged D.F. King &amp; Co., Inc. to assist in the solicitation of proxies for the meeting and the Company estimates that it will pay D.F. King &amp; Co., Inc. a fee of approximately $12,500, plus certain costs associated with telephone solicitations, if required, and reimbursement of reasonable and documented costs and expenses, for these services. In addition, the Company may reimburse brokerage firms and other persons representing beneficial owners of the Company common shares or the Company preference shares for their reasonable expenses in forwarding solicitation materials to such beneficial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20" w:firstLine="352"/>
        <w:spacing w:after="0" w:line="369" w:lineRule="auto"/>
        <w:rPr>
          <w:sz w:val="20"/>
          <w:szCs w:val="20"/>
          <w:color w:val="auto"/>
        </w:rPr>
      </w:pPr>
      <w:r>
        <w:rPr>
          <w:rFonts w:ascii="Arial" w:cs="Arial" w:eastAsia="Arial" w:hAnsi="Arial"/>
          <w:sz w:val="15"/>
          <w:szCs w:val="15"/>
          <w:color w:val="auto"/>
        </w:rPr>
        <w:t>You should not send documents representing Company common shares or Company preference shares with the proxy card. If the merger is completed, the paying agent for the merger will send you a letter of transmittal and instructions for exchanging your Company common shares for the merger consideration.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SPECIAL FACTORS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The discussion of the merger in this proxy statement is qualified in its entirety by reference to the original merger agreement and Amendment No. 1 thereof, a copy of which are attached to this proxy statement as Annex A-1 and Annex A-2, respectively, and incorporated by reference into this proxy statement, the statutory merger agreement, a copy of which is attached as Annex B to this proxy statement, and the rollover agreement, a copy of which is attached as Annex C to this proxy statement. You should read the merger agreement, the statutory merger agreement and the rollover agreement carefully as they are the legal documents that govern the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of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additional rolling shareholder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automatically convert into one authorized, validly issued, fully paid and nonassessable common share, par value $0.01 per share, of the surviving company (each, a “surviving company common share”);</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automatically convert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w:t>
      </w:r>
    </w:p>
    <w:p>
      <w:pPr>
        <w:spacing w:after="0" w:line="21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will remain outstanding and automatically convert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ind w:left="1080"/>
        <w:spacing w:after="0" w:line="268" w:lineRule="auto"/>
        <w:rPr>
          <w:sz w:val="20"/>
          <w:szCs w:val="20"/>
          <w:color w:val="auto"/>
        </w:rPr>
      </w:pPr>
      <w:r>
        <w:rPr>
          <w:rFonts w:ascii="Arial" w:cs="Arial" w:eastAsia="Arial" w:hAnsi="Arial"/>
          <w:sz w:val="18"/>
          <w:szCs w:val="18"/>
          <w:color w:val="auto"/>
        </w:rPr>
        <w:t>that the fair value of such dissenting common share as appraised by the Supreme Court of Bermuda under the Bermuda Companies Act is greater than the merger consideration, be entitled to receive such difference; and</w:t>
      </w:r>
    </w:p>
    <w:p>
      <w:pPr>
        <w:spacing w:after="0" w:line="199" w:lineRule="exact"/>
        <w:rPr>
          <w:sz w:val="20"/>
          <w:szCs w:val="20"/>
          <w:color w:val="auto"/>
        </w:rPr>
      </w:pPr>
    </w:p>
    <w:p>
      <w:pPr>
        <w:jc w:val="both"/>
        <w:ind w:left="1080" w:hanging="532"/>
        <w:spacing w:after="0" w:line="254"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Promptly after completion of the merger, the Company common shares will be delisted from the NYSE. The Company preference shares, as well as the common and preference units of GasLog Partners LP (the “Partnership”) are expected to remain outstanding and continue to trade on the NYSE immediately following the completion of the merger.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Company equity-based awards, upon consummation of the merger:</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as applicable, of each such award is greater than the merger consideration;</w:t>
      </w:r>
    </w:p>
    <w:p>
      <w:pPr>
        <w:spacing w:after="0" w:line="179"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RSU award; and</w:t>
      </w:r>
    </w:p>
    <w:p>
      <w:pPr>
        <w:spacing w:after="0" w:line="210"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(as defined below) or pursuant to applicable law.</w:t>
      </w:r>
    </w:p>
    <w:p>
      <w:pPr>
        <w:spacing w:after="0" w:line="197" w:lineRule="exact"/>
        <w:rPr>
          <w:sz w:val="20"/>
          <w:szCs w:val="20"/>
          <w:color w:val="auto"/>
        </w:rPr>
      </w:pPr>
    </w:p>
    <w:p>
      <w:pPr>
        <w:jc w:val="both"/>
        <w:ind w:firstLine="381"/>
        <w:spacing w:after="0" w:line="254" w:lineRule="auto"/>
        <w:rPr>
          <w:sz w:val="20"/>
          <w:szCs w:val="20"/>
          <w:color w:val="auto"/>
        </w:rPr>
      </w:pPr>
      <w:r>
        <w:rPr>
          <w:rFonts w:ascii="Arial" w:cs="Arial" w:eastAsia="Arial" w:hAnsi="Arial"/>
          <w:sz w:val="18"/>
          <w:szCs w:val="18"/>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each case in accordance with the surviving company’s organizational documents or the shareholder agreement.</w:t>
      </w:r>
    </w:p>
    <w:p>
      <w:pPr>
        <w:spacing w:after="0" w:line="225"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Certain factors considered by the special committee and the board of directors of the Company, including the potential benefits and detriments of the transactions to the Company and the public shareholders, in connection with their respective evaluations of the merger can be found in the section entitled “— Reasons for the Merger” beginning on page 42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Net Book Value and Net Earnings</w:t>
      </w:r>
    </w:p>
    <w:p>
      <w:pPr>
        <w:spacing w:after="0" w:line="231"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table below sets out each of the rolling shareholders’, Parent’s and Merger Sub’s interests in the Company’s net book value and net earnings attributable to holders of Company common shares before and after the proposed merger, based on the historical net book value of the Company as of December 31, 2020, the net loss attributable to the owners of the Company and its subsidiaries for the year ended December 31, 2020 and 95,389,062 Company common shares outstanding as of April 30, 2021.</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20" w:type="dxa"/>
            <w:vAlign w:val="bottom"/>
            <w:tcBorders>
              <w:bottom w:val="single" w:sz="8" w:color="auto"/>
            </w:tcBorders>
            <w:gridSpan w:val="7"/>
          </w:tcPr>
          <w:p>
            <w:pPr>
              <w:ind w:left="720"/>
              <w:spacing w:after="0"/>
              <w:rPr>
                <w:sz w:val="20"/>
                <w:szCs w:val="20"/>
                <w:color w:val="auto"/>
              </w:rPr>
            </w:pPr>
            <w:r>
              <w:rPr>
                <w:rFonts w:ascii="Arial" w:cs="Arial" w:eastAsia="Arial" w:hAnsi="Arial"/>
                <w:sz w:val="13"/>
                <w:szCs w:val="13"/>
                <w:b w:val="1"/>
                <w:bCs w:val="1"/>
                <w:color w:val="auto"/>
              </w:rPr>
              <w:t>Ownership Prior to the Merger</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tcBorders>
              <w:bottom w:val="single" w:sz="8" w:color="auto"/>
            </w:tcBorders>
            <w:gridSpan w:val="7"/>
          </w:tcPr>
          <w:p>
            <w:pPr>
              <w:ind w:left="780"/>
              <w:spacing w:after="0"/>
              <w:rPr>
                <w:sz w:val="20"/>
                <w:szCs w:val="20"/>
                <w:color w:val="auto"/>
              </w:rPr>
            </w:pPr>
            <w:r>
              <w:rPr>
                <w:rFonts w:ascii="Arial" w:cs="Arial" w:eastAsia="Arial" w:hAnsi="Arial"/>
                <w:sz w:val="13"/>
                <w:szCs w:val="13"/>
                <w:b w:val="1"/>
                <w:bCs w:val="1"/>
                <w:color w:val="auto"/>
              </w:rPr>
              <w:t>Ownership After the Merger</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1720" w:type="dxa"/>
            <w:vAlign w:val="bottom"/>
            <w:gridSpan w:val="4"/>
          </w:tcPr>
          <w:p>
            <w:pPr>
              <w:jc w:val="right"/>
              <w:ind w:right="500"/>
              <w:spacing w:after="0" w:line="142" w:lineRule="exact"/>
              <w:rPr>
                <w:sz w:val="20"/>
                <w:szCs w:val="20"/>
                <w:color w:val="auto"/>
              </w:rPr>
            </w:pPr>
            <w:r>
              <w:rPr>
                <w:rFonts w:ascii="Arial" w:cs="Arial" w:eastAsia="Arial" w:hAnsi="Arial"/>
                <w:sz w:val="13"/>
                <w:szCs w:val="13"/>
                <w:b w:val="1"/>
                <w:bCs w:val="1"/>
                <w:color w:val="auto"/>
              </w:rPr>
              <w:t>Net Book Value</w:t>
            </w:r>
          </w:p>
        </w:tc>
        <w:tc>
          <w:tcPr>
            <w:tcW w:w="110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rPr>
              <w:t>Earnings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ind w:left="320"/>
              <w:spacing w:after="0" w:line="142" w:lineRule="exact"/>
              <w:rPr>
                <w:sz w:val="20"/>
                <w:szCs w:val="20"/>
                <w:color w:val="auto"/>
              </w:rPr>
            </w:pPr>
            <w:r>
              <w:rPr>
                <w:rFonts w:ascii="Arial" w:cs="Arial" w:eastAsia="Arial" w:hAnsi="Arial"/>
                <w:sz w:val="13"/>
                <w:szCs w:val="13"/>
                <w:b w:val="1"/>
                <w:bCs w:val="1"/>
                <w:color w:val="auto"/>
              </w:rPr>
              <w:t>Net Book Value</w:t>
            </w:r>
          </w:p>
        </w:tc>
        <w:tc>
          <w:tcPr>
            <w:tcW w:w="1100" w:type="dxa"/>
            <w:vAlign w:val="bottom"/>
            <w:gridSpan w:val="3"/>
          </w:tcPr>
          <w:p>
            <w:pPr>
              <w:ind w:left="500"/>
              <w:spacing w:after="0" w:line="142" w:lineRule="exact"/>
              <w:rPr>
                <w:sz w:val="20"/>
                <w:szCs w:val="20"/>
                <w:color w:val="auto"/>
              </w:rPr>
            </w:pPr>
            <w:r>
              <w:rPr>
                <w:rFonts w:ascii="Arial" w:cs="Arial" w:eastAsia="Arial" w:hAnsi="Arial"/>
                <w:sz w:val="13"/>
                <w:szCs w:val="13"/>
                <w:b w:val="1"/>
                <w:bCs w:val="1"/>
                <w:color w:val="auto"/>
              </w:rPr>
              <w:t>Earnings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20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Blenheim Holdings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r>
      <w:tr>
        <w:trPr>
          <w:trHeight w:val="208"/>
        </w:trPr>
        <w:tc>
          <w:tcPr>
            <w:tcW w:w="2280" w:type="dxa"/>
            <w:vAlign w:val="bottom"/>
          </w:tcPr>
          <w:p>
            <w:pPr>
              <w:ind w:left="20"/>
              <w:spacing w:after="0"/>
              <w:rPr>
                <w:sz w:val="20"/>
                <w:szCs w:val="20"/>
                <w:color w:val="auto"/>
              </w:rPr>
            </w:pPr>
            <w:r>
              <w:rPr>
                <w:rFonts w:ascii="Arial" w:cs="Arial" w:eastAsia="Arial" w:hAnsi="Arial"/>
                <w:sz w:val="18"/>
                <w:szCs w:val="18"/>
                <w:color w:val="auto"/>
              </w:rPr>
              <w:t>Blenheim Special</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28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Olympic</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2280" w:type="dxa"/>
            <w:vAlign w:val="bottom"/>
          </w:tcPr>
          <w:p>
            <w:pPr>
              <w:ind w:left="20"/>
              <w:spacing w:after="0"/>
              <w:rPr>
                <w:sz w:val="20"/>
                <w:szCs w:val="20"/>
                <w:color w:val="auto"/>
              </w:rPr>
            </w:pPr>
            <w:r>
              <w:rPr>
                <w:rFonts w:ascii="Arial" w:cs="Arial" w:eastAsia="Arial" w:hAnsi="Arial"/>
                <w:sz w:val="18"/>
                <w:szCs w:val="18"/>
                <w:color w:val="auto"/>
              </w:rPr>
              <w:t>GEPIF III</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r>
        <w:trPr>
          <w:trHeight w:val="222"/>
        </w:trPr>
        <w:tc>
          <w:tcPr>
            <w:tcW w:w="2280" w:type="dxa"/>
            <w:vAlign w:val="bottom"/>
          </w:tcPr>
          <w:p>
            <w:pPr>
              <w:ind w:left="20"/>
              <w:spacing w:after="0"/>
              <w:rPr>
                <w:sz w:val="20"/>
                <w:szCs w:val="20"/>
                <w:color w:val="auto"/>
              </w:rPr>
            </w:pPr>
            <w:r>
              <w:rPr>
                <w:rFonts w:ascii="Arial" w:cs="Arial" w:eastAsia="Arial" w:hAnsi="Arial"/>
                <w:sz w:val="18"/>
                <w:szCs w:val="18"/>
                <w:color w:val="auto"/>
              </w:rPr>
              <w:t>Merger Sub</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on the Company if the Merger Is Not Completed</w:t>
      </w:r>
    </w:p>
    <w:p>
      <w:pPr>
        <w:spacing w:after="0" w:line="231"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If the merger agreement and the statutory merger agreement are not approved pursuant to the required approvals of the Company shareholders or if the merger is not completed for any other reason, the public shareholders will not receive any payment for their Company common shares in connection with the merger. Instead, the Company will remain a stand-alone public company and Company common shares will continue to be listed and traded on the NYSE. In addition, if the merger is not completed, the Company shareholders will continue to be subject to the same risks and opportunities to which they are currently subject, including, without limitation, risks related to the industry in which the Company operates, market volatility and adverse economic conditions.</w:t>
      </w:r>
    </w:p>
    <w:p>
      <w:pPr>
        <w:spacing w:after="0" w:line="169"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Furthermore, if the merger is not completed, and depending on the circumstances that would have caused the merger not to be completed, it is likely that the price of Company common shares will decline significantly. If that were to occur, it is uncertain when, if ever, the price of Company common shares would return to the price at which it trades as of the date of this proxy statement.</w:t>
      </w:r>
    </w:p>
    <w:p>
      <w:pPr>
        <w:spacing w:after="0" w:line="194"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Accordingly, if the merger is not completed, there can be no assurance as to the effect of these risks and opportunities on the future value of your Company common shares. If the merger agreement and statutory merger agreement are not approved pursuant to the required approvals of the Company shareholders or if the merger is not completed for any other reason, there can be no assurance that any other transaction acceptable to the Company will be offered or that the Company’s business, prospects or results of operation will not be adversely impacted.</w:t>
      </w:r>
    </w:p>
    <w:p>
      <w:pPr>
        <w:spacing w:after="0" w:line="166"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In addition, the Company has agreed to pay to Parent a termination fee of $13 million if the merger agreement is terminated under certain circumstances. If the merger agreement is terminated pursuant to a non-approval termination, then the Company has also agreed to pay to Parent or its designee all of the documented out-of-pocket fees and expenses incurred by Parent, Merger Sub or any of their affiliates in connection with the merger agreement and the transactions up to a maximum amount of $3 million. See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section entitled “The Merger Agreement—Termination Fees and Expense Reimbursement” beginning on page 90 of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the Company after the Merger</w:t>
      </w:r>
    </w:p>
    <w:p>
      <w:pPr>
        <w:spacing w:after="0" w:line="231" w:lineRule="exact"/>
        <w:rPr>
          <w:sz w:val="20"/>
          <w:szCs w:val="20"/>
          <w:color w:val="auto"/>
        </w:rPr>
      </w:pPr>
    </w:p>
    <w:p>
      <w:pPr>
        <w:jc w:val="both"/>
        <w:ind w:firstLine="474"/>
        <w:spacing w:after="0" w:line="254" w:lineRule="auto"/>
        <w:rPr>
          <w:sz w:val="20"/>
          <w:szCs w:val="20"/>
          <w:color w:val="auto"/>
        </w:rPr>
      </w:pPr>
      <w:r>
        <w:rPr>
          <w:rFonts w:ascii="Arial" w:cs="Arial" w:eastAsia="Arial" w:hAnsi="Arial"/>
          <w:sz w:val="18"/>
          <w:szCs w:val="18"/>
          <w:color w:val="auto"/>
        </w:rPr>
        <w:t>The Company, the rolling shareholders and Parent anticipate that the Company’s operations will, after the effective time of the merger, be conducted substantially as they are currently being conducted, except that the Company common shares will cease to be publicly traded and the Company, certain of the rolling shareholders and Parent will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(the “shareholder agreement”).</w:t>
      </w:r>
    </w:p>
    <w:p>
      <w:pPr>
        <w:spacing w:after="0" w:line="201"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Other than as described in this proxy statement and transactions already under consideration by the Company, there are no present plans or proposals that relate to or would result in an extraordinary corporate transaction involving the Company’s corporate structure or business, such as a merger, reorganization, liquidation, relocation of any material operations, or purchase, sale or transfer of a material amount of assets of the Company or any of its subsidiaries. However, the Company, the rolling shareholders and Parent will continue to evaluate the Company’s entire business and operations from time to time. At this time, however, no actual agreement or understanding as to the particulars of any abovementioned plans has been determined or agreed upon.</w:t>
      </w:r>
    </w:p>
    <w:p>
      <w:pPr>
        <w:spacing w:after="0" w:line="169" w:lineRule="exact"/>
        <w:rPr>
          <w:sz w:val="20"/>
          <w:szCs w:val="20"/>
          <w:color w:val="auto"/>
        </w:rPr>
      </w:pPr>
    </w:p>
    <w:p>
      <w:pPr>
        <w:jc w:val="both"/>
        <w:ind w:right="20" w:firstLine="381"/>
        <w:spacing w:after="0" w:line="331" w:lineRule="auto"/>
        <w:rPr>
          <w:sz w:val="20"/>
          <w:szCs w:val="20"/>
          <w:color w:val="auto"/>
        </w:rPr>
      </w:pPr>
      <w:r>
        <w:rPr>
          <w:rFonts w:ascii="Arial" w:cs="Arial" w:eastAsia="Arial" w:hAnsi="Arial"/>
          <w:sz w:val="16"/>
          <w:szCs w:val="16"/>
          <w:color w:val="auto"/>
        </w:rPr>
        <w:t>Subsequent to the completion of the merger, the anticipated deregistration of the Company common shares and delisting of the Company common shares from the NYSE, the Company may experience positive effects on profitability as a result of cost savings and increased access to growth capital.</w:t>
      </w:r>
    </w:p>
    <w:p>
      <w:pPr>
        <w:spacing w:after="0" w:line="14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board of directors of the Company, the special committee or Parent, or the representatives of each company, their respective advisors or any other persons.</w:t>
      </w:r>
    </w:p>
    <w:p>
      <w:pPr>
        <w:spacing w:after="0" w:line="194"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board of directors of the Company regularly evaluates the Company’s historical performance, future growth prospects and long-term strategic plan and considers various strategic opportunities available to the Company as well as ways to enhance shareholder value and the Company’s performance and prospects, including in light of the business, competitive, regulatory, financing and economic environment and developments in the Company’s industry. These reviews have included discussions as to whether the Company should continue to execute on its strategy as a stand-alone company, pursue various acquisitions, seek to improve its capital structure, pursue equity investments or a take-private transaction or pursue a sale of the entire company or certain of its assets. As part of these reviews, the board of directors of the Company has considered from time to time what would offer the best avenue to enhance shareholder value along with the potential benefits and risks of any potential alternative.</w:t>
      </w:r>
    </w:p>
    <w:p>
      <w:pPr>
        <w:spacing w:after="0" w:line="172"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From time to time over the past several years, representatives of the Company and representatives of BlackRock’s Global Energy &amp; Power Infrastructure team (“GEPIF”) and certain of its affiliates discussed various potential commercial transactions, including potential preferred equity investments by GEPIF in the Company or the Partnership and possible joint ventures involving new lines of business, none of which were ultimately pursued by the Company or GEPIF, as acceptable terms on which to proceed with such potential transactions could not be mutually agreed.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jc w:val="both"/>
        <w:ind w:firstLine="504"/>
        <w:spacing w:after="0" w:line="254" w:lineRule="auto"/>
        <w:rPr>
          <w:sz w:val="20"/>
          <w:szCs w:val="20"/>
          <w:color w:val="auto"/>
        </w:rPr>
      </w:pPr>
      <w:r>
        <w:rPr>
          <w:rFonts w:ascii="Arial" w:cs="Arial" w:eastAsia="Arial" w:hAnsi="Arial"/>
          <w:sz w:val="18"/>
          <w:szCs w:val="18"/>
          <w:color w:val="auto"/>
        </w:rPr>
        <w:t>On November 5, 2020, the board of directors of the Company received an unsolicited non-binding indication of interest from GEPIF proposing the potential acquisition by GEPIF of the outstanding Company common shares not owned by certain existing shareholders of the Company, including Blenheim Holdings, at a preliminary valuation representing a 20-30% premium to the volume weighted average share price of the Company common shares over the 30 days prior to November 3, 2020 (the “GEPIF Initial Proposal”), which equated to a proposed purchase price range of approximately $3.18 - $3.45 per share at that time.</w:t>
      </w:r>
    </w:p>
    <w:p>
      <w:pPr>
        <w:spacing w:after="0" w:line="20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On November 6, 2020, the board of directors of the Company convened a video conference meeting to discuss the GEPIF Initial Proposal. The board of directors of the Company determined to further discuss the GEPIF Initial Proposal in greater detail at the regularly scheduled meeting of the board of directors of the Company on November 9, 2020.</w:t>
      </w:r>
    </w:p>
    <w:p>
      <w:pPr>
        <w:spacing w:after="0" w:line="194"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At the regularly scheduled meeting of the board of directors of the Company on November 9, 2020, the board of directors of the Company determined that it was consistent with its fiduciary responsibilities to further investigate the GEPIF Initial Proposal and authorized the creation of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“special committee”). The board of directors of the Company authorized the special committee to lead the review, evaluation and negotiation of any 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 a standalone public company, and, if appropriate, to make a recommendation to the board of directors of the Company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board of directors of the Company resolved that it would not approve or implement any potential transaction or submit any such potential transaction for the approval of the Company’s shareholders, unless the special committee had, in its sole discretion, provided a prior recommendation in favor of such potential transaction and such recommendation shall not have been revoked or withdrawn.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The formation of the special committee, together with its mandate and authority, were each ratified by the board of directors of the Company pursuant to a unanimous written consent signed by each of the members of the board of directors of the Company on November 18, 2020 and were deemed to be effective from November 9, 2020.</w:t>
      </w:r>
    </w:p>
    <w:p>
      <w:pPr>
        <w:spacing w:after="0" w:line="182"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Also on November 9, 2020, the special committee held a video conference meeting with representatives of Cravath, Swaine &amp; Moore LLP (“Cravath”) and management to discuss the process for engaging with GEPIF and other third parties with respect to a potential transaction and the potential engagement of a financial advisor in connection therewith. Pursuant to the authority granted to the special committee by the board of directors of the Company with respect to the engagement of advisors, the special committee engaged Cravath as its legal counsel based, in part, on Cravath’s credentials and its experience in transactions in the LNG and shipping industries.</w:t>
      </w:r>
    </w:p>
    <w:p>
      <w:pPr>
        <w:spacing w:after="0" w:line="201"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November 12, 2020, the special committee held a video conference meeting with Peter G. Livanos and Anthony Papadimitriou, each in their capacity as representatives of Blenheim Holdings and Olympic,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respectively, to discuss the GEPIF Initial Proposal. During this meeting, Messrs. Livanos and Papadimitriou notified the special committee that Blenheim Holdings and Olympic would only support a potential transaction in which both Blenheim Holdings and Olympic would retain their existing combined majority ownership stake in the Company. Further, Messrs. Livanos and Papadimitriou noted that Blenheim Holdings and Olympic would only consider supporting a potential transaction in which the counterparty shared the Company’s values, particularly with respect to safety and environmental matters, and was aligned on the Company’s long-term strategic direction.</w:t>
      </w:r>
    </w:p>
    <w:p>
      <w:pPr>
        <w:spacing w:after="0" w:line="201"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6"/>
          <w:szCs w:val="16"/>
          <w:color w:val="auto"/>
        </w:rPr>
        <w:t>Also on November 12, 2020, the special committee held a video conference meeting with representatives of Cravath and management to discuss its meeting with Messrs. Livanos and Papadimitriou, the engagement of a financial advisor in advance of formulating a response to the GEPIF Initial Proposal and the possibility of reaching out to other potential counterparties. During such meeting, the special committee discussed potentially engaging Evercore Group L.L.C. (“Evercore”) as its financial advisor based, in part, on Evercore’s credentials and its experience in transactions in the LNG and shipping industries.</w:t>
      </w:r>
    </w:p>
    <w:p>
      <w:pPr>
        <w:spacing w:after="0" w:line="166"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On November 13, 2020, the special committee held a video conference meeting with representatives of Cravath, management and Evercore to discuss Evercore’s experience, credentials and industry relationships (including with GEPIF) and the potential engagement of Evercore as the special committee’s financial advisor. Later that day, the special committee verbally engaged Evercore as its financial advisor, with such engagement being formalized in a written engagement letter dated December 14, 2020. Also on November 13, 2020, the special committee met with, and subsequently engaged, Appleby (Bermuda) Limited (“Appleby”) as Bermuda legal counsel to the special committee based, in part, on Appleby’s credentials and its expertise in public company transactions under Bermuda law.</w:t>
      </w:r>
    </w:p>
    <w:p>
      <w:pPr>
        <w:spacing w:after="0" w:line="198"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On November 17, 2020, the special committee held a video conference meeting with representatives of Cravath, management and Evercore to further discuss the GEPIF Initial Proposal and potential next steps. Representatives of Evercore reviewed with the special committee its preliminary analyses of the Company’s valuation, based largely on publicly available information, and noted that it would further refine its analyses based on management’s financial projections for the Company. The special committee and representatives of Cravath and Evercore then discussed the process for responding to GEPIF and approaching other potential counterparties to gauge their interest in a potential transaction. At the conclusion of the discussion, the special committee instructed Cravath to provide to GEPIF a draft non-disclosure agreement to facilitate further discussions and directed Evercore to instruct GEPIF that the GEPIF Initial Proposal was not acceptable to the special committee and that GEPIF would need to significantly increase its offer. The special committee determined to finalize its decision regarding outreach to other potential counterparties after Evercore had provided the special committee with additional information regarding the universe of potential counterparties.</w:t>
      </w:r>
    </w:p>
    <w:p>
      <w:pPr>
        <w:spacing w:after="0" w:line="173"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8"/>
          <w:szCs w:val="18"/>
          <w:color w:val="auto"/>
        </w:rPr>
        <w:t>Later that day on November 17, 2020, representatives of Cravath sent a draft non-disclosure agreement to representatives of GEPIF, and Evercore communicated with representatives of GEPIF in accordance with the special committee’s direction.</w:t>
      </w:r>
    </w:p>
    <w:p>
      <w:pPr>
        <w:spacing w:after="0" w:line="186"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On November 18, 2020, the special committee, together with representatives of Cravath, Evercore and management, held a video conference meeting with Mr. Livanos, in his capacity as representative of Blenheim Holdings, to discuss Mr. Livanos’ views regarding any potential transaction. Representatives of Cravath explained to Mr. Livanos that it would be useful for the special committee and its advisors to understand the types of potential transactions that Blenheim Holdings and Olympic would be willing to support as majority shareholders, including their willingness to sell all or a portion of their common shares in a potential transaction, and any governance-related matters that Blenheim Holdings and Olympic considered to be key to their determination on whether to support a potential transaction if Blenheim Holdings and Olympic were to retain a majority, or significant minority, ownership stake in the Company. Mr. Livanos noted that neither Blenheim Holdings and Olympic intended to sell any of their common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jc w:val="both"/>
        <w:spacing w:after="0" w:line="294" w:lineRule="auto"/>
        <w:rPr>
          <w:sz w:val="20"/>
          <w:szCs w:val="20"/>
          <w:color w:val="auto"/>
        </w:rPr>
      </w:pPr>
      <w:r>
        <w:rPr>
          <w:rFonts w:ascii="Arial" w:cs="Arial" w:eastAsia="Arial" w:hAnsi="Arial"/>
          <w:sz w:val="16"/>
          <w:szCs w:val="16"/>
          <w:color w:val="auto"/>
        </w:rPr>
        <w:t>shares in a potential transaction or to give up their combined controlling interest in the Company, and that while both Blenheim Holdings and Olympic were not necessarily determined to pursue any potential transaction, they were open to considering any potential transaction with a long-term partner—whether GEPIF or another party—that was in the best interests of the Company’s current shareholders and so long as Blenheim Holdings and Olympic retained majority control of the Company post-closing. Mr. Livanos confirmed that Blenheim Holdings and Olympic understood and supported that the special committee would pursue the process in the manner deemed appropriate by the special committee.</w:t>
      </w:r>
    </w:p>
    <w:p>
      <w:pPr>
        <w:spacing w:after="0" w:line="169"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On November 19, 2020, the special committee held a video conference meeting with representatives of Cravath, Evercore and management to discuss Evercore’s discussions with GEPIF following the prior special committee meeting on November 17, 2020. Representatives of Evercore noted that it had relayed the message to GEPIF that the Initial GEPIF Proposal was insufficient and that GEPIF would need to provide a substantially improved price within the following two weeks in order for the special committee to engage in further discussions with GEPIF regarding a potential transaction. Evercore also noted that GEPIF had indicated that it may take as long as six weeks for GEPIF to provide an improved bid, and that it would need to receive a management presentation with respect to the Company in order for GEPIF to be able to confirm whether it would be able to increase its bid.</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On November 20, 2020, the special committee, together with representatives of Cravath, Evercore and management, held a video conference meeting with Messrs. Livanos and Papadimitriou, each in their capacity as representatives of Blenheim Holdings and Olympic, respectively, to solicit their views regarding the ongoing process for the special committee’s evaluation of a potential transaction, including the relevant potential benefits and risks of pursuing a potential transaction with GEPIF or another party at this time. Following such discussion, the special committee convened a separate meeting of the special committee, at which representatives of Cravath were present, and determined to continue its evaluation of a potential transaction.</w:t>
      </w:r>
    </w:p>
    <w:p>
      <w:pPr>
        <w:spacing w:after="0" w:line="16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Later that day on November 20, 2020, the special committee held a video conference meeting with representatives of Cravath, Evercore and management to discuss next steps with respect to the special committee’s evaluation of a potential transaction. At the conclusion of the discussion, the special committee directed Evercore to contact representatives of GEPIF to reiterate the need for GEPIF to provide an improved bid, including further details with respect to proposed post-closing governance matters, as soon as possible, and to start scheduling a management presentation. The special committee also further discussed with Evercore and Cravath the plan for contacting other potential counterparties to gauge their interest in a potential transaction.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Between November 17, 2020 and November 24, 2020, representatives of Cravath and GEPIF negotiated the terms of the draft non-disclosure agreement.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November 24, 2020, the Company and GEPIF entered into a non-disclosure agreement with respect to a potential transaction.</w:t>
      </w:r>
    </w:p>
    <w:p>
      <w:pPr>
        <w:spacing w:after="0" w:line="225"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On November 25, 2020, the special committee and representatives of Cravath, Evercore and management discussed a non-binding five-slide PowerPoint presentation sent by representatives of Party A to the Company’s Chief Executive Officer and Chief Financial Officer earlier that month. Such presentation described the terms of a proposed joint venture in which a newly formed entity—to be owned 49% by Blenheim Holdings and Olympic and 51% by Party A— would acquire the entire Company for no premium to the $2.38 closing stock price of Company common shares as of November 2, 2020. Such proposal was based on a number of assumptions and was subject to completion of due diligence and mutual agreement on definitive terms. The special committee determined that, notwithstanding the nature of the economic and governance terms set forth in Party A’s initial proposal, Party A would be considered as a potential counterparty in the special committee’s process.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jc w:val="both"/>
        <w:ind w:firstLine="430"/>
        <w:spacing w:after="0" w:line="259" w:lineRule="auto"/>
        <w:rPr>
          <w:sz w:val="20"/>
          <w:szCs w:val="20"/>
          <w:color w:val="auto"/>
        </w:rPr>
      </w:pPr>
      <w:r>
        <w:rPr>
          <w:rFonts w:ascii="Arial" w:cs="Arial" w:eastAsia="Arial" w:hAnsi="Arial"/>
          <w:sz w:val="18"/>
          <w:szCs w:val="18"/>
          <w:color w:val="auto"/>
        </w:rPr>
        <w:t>Also on November 25, 2020, representatives of Cravath and representatives of Simpson Thacher &amp; Bartlett LLP (“Simpson”), legal counsel to GEPIF, discussed the potential transaction, including the expectation that a condition to the potential transaction would be obtaining a “majority of the minority” approval by the public shareholders of the Company receiving cash consideration.</w:t>
      </w:r>
    </w:p>
    <w:p>
      <w:pPr>
        <w:spacing w:after="0" w:line="194"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8"/>
          <w:szCs w:val="18"/>
          <w:color w:val="auto"/>
        </w:rPr>
        <w:t>On December 1, 2020, management of the Company and Mr. Livanos, in his capacity as the Chairman of the board of directors of the Company, participated in a management presentation with representatives of GEPIF, with members of the special committee and representatives of Cravath and Evercore in attendance.</w:t>
      </w:r>
    </w:p>
    <w:p>
      <w:pPr>
        <w:spacing w:after="0" w:line="194"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On December 3, 2020, the special committee held a video conference meeting with representatives of Cravath, Evercore and management to discuss the management presentation for GEPIF that was held on December 1, 2020 and the process for outreach to other potential counterparties with respect to a potential transaction.</w:t>
      </w:r>
    </w:p>
    <w:p>
      <w:pPr>
        <w:spacing w:after="0" w:line="194"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On December 8, 2020, the special committee received a revised non-binding indication of interest from GEPIF at a valuation of $4.10 per Company common share (the “GEPIF Dec. 8th Proposal”), which also included a term sheet containing GEPIF’s proposed post-closing governance terms. Later that day on December 8, 2020, the special committee held a video conference meeting with representatives of Cravath, Evercore and management to discuss the GEPIF Dec. 8th Proposal and next steps with regards to the ongoing process regarding a potential transaction.</w:t>
      </w:r>
    </w:p>
    <w:p>
      <w:pPr>
        <w:spacing w:after="0" w:line="166"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On December 10, 2020, the special committee, together with representatives of Cravath and management, held a video conference meeting with Messrs. Livanos and Papadimitriou, each in their capacity as representatives of Blenheim Holdings and Olympic, respectively, to discuss the proposed governance terms in the GEPIF Dec. 8th Proposal.</w:t>
      </w:r>
    </w:p>
    <w:p>
      <w:pPr>
        <w:spacing w:after="0" w:line="194" w:lineRule="exact"/>
        <w:rPr>
          <w:sz w:val="20"/>
          <w:szCs w:val="20"/>
          <w:color w:val="auto"/>
        </w:rPr>
      </w:pPr>
    </w:p>
    <w:p>
      <w:pPr>
        <w:jc w:val="both"/>
        <w:ind w:firstLine="381"/>
        <w:spacing w:after="0" w:line="290" w:lineRule="auto"/>
        <w:rPr>
          <w:sz w:val="20"/>
          <w:szCs w:val="20"/>
          <w:color w:val="auto"/>
        </w:rPr>
      </w:pPr>
      <w:r>
        <w:rPr>
          <w:rFonts w:ascii="Arial" w:cs="Arial" w:eastAsia="Arial" w:hAnsi="Arial"/>
          <w:sz w:val="16"/>
          <w:szCs w:val="16"/>
          <w:color w:val="auto"/>
        </w:rPr>
        <w:t>On December 10, 2020, the special committee held a video conference meeting with representatives of Cravath, Evercore and management to discuss the meeting with Messrs. Livanos and Papadimitriou, each in their capacity as representatives of Blenheim Holdings and Olympic, respectively, the status of due diligence preparations and the outreach to other potential counterparties. Following such discussion, the special committee directed Evercore to reach out to Party A and six other potential counterparties (Parties B, C, D, E, F and G) to gauge their interest in a potential transaction and to offer a draft non-disclosure agreement to facilitate the sharing of additional information. The list of counterparties for the initial outreach was determined based in part on Evercore’s views on the parties who were active investors in the infrastructure sector that would be the most likely to be interested in making a minority investment of the contemplated size in the Company, and balanced against the risks to the Company’s business of potential public leaks.</w:t>
      </w:r>
    </w:p>
    <w:p>
      <w:pPr>
        <w:spacing w:after="0" w:line="172"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From December 11, 2020 through December 15, 2020, representatives of Evercore had discussions with representatives of Parties A, B, C, D, E, F and G to gauge their interest in a potential transaction and to offer a draft non-disclosure agreement to facilitate the sharing of additional information. Parties C, D, E, F and G declined to participate in the process.</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On December 14, 2020, Messrs. Livanos and Papadimitriou, each in their capacity as representatives of Blenheim Holdings and Olympic, respectively, held a video conference meeting with representatives of GEPIF to discuss GEPIF’s proposed governance terms as set forth in the GEPIF Dec. 8th Proposal, with representatives of the Company, Cravath and Simpson in attendance.</w:t>
      </w:r>
    </w:p>
    <w:p>
      <w:pPr>
        <w:spacing w:after="0" w:line="194"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Also on December 14, 2020, representatives of Cravath had a discussion with Simpson regarding next steps for GEPIF’s evaluation of a potential transaction.</w:t>
      </w:r>
    </w:p>
    <w:p>
      <w:pPr>
        <w:spacing w:after="0" w:line="186" w:lineRule="exact"/>
        <w:rPr>
          <w:sz w:val="20"/>
          <w:szCs w:val="20"/>
          <w:color w:val="auto"/>
        </w:rPr>
      </w:pPr>
    </w:p>
    <w:p>
      <w:pPr>
        <w:jc w:val="both"/>
        <w:ind w:right="20" w:firstLine="431"/>
        <w:spacing w:after="0" w:line="331" w:lineRule="auto"/>
        <w:rPr>
          <w:sz w:val="20"/>
          <w:szCs w:val="20"/>
          <w:color w:val="auto"/>
        </w:rPr>
      </w:pPr>
      <w:r>
        <w:rPr>
          <w:rFonts w:ascii="Arial" w:cs="Arial" w:eastAsia="Arial" w:hAnsi="Arial"/>
          <w:sz w:val="16"/>
          <w:szCs w:val="16"/>
          <w:color w:val="auto"/>
        </w:rPr>
        <w:t>Also on December 14, 2020, the Company made a virtual dataroom for the potential transaction available to GEPIF and its representatives, containing information and documents relating to GEPIF’s due diligence requests. Between December 14, 2020 and the signing of the merger agreement 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February 21, 2021, GEPIF and its representatives submitted further confirmatory due diligence requests and engaged in numerous discussions with the Company and its representatives relating thereto, and the Company continued to make additional responsive information and documents available to facilitate GEPIF’s due diligence exercise.</w:t>
      </w:r>
    </w:p>
    <w:p>
      <w:pPr>
        <w:spacing w:after="0" w:line="194"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On December 15, 2020, the special committee held a video conference meeting with representatives of Cravath, Evercore and management to discuss Evercore’s outreach to potential counterparties.</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On December 17, 2020, the special committee held a series of video conference meetings with representatives of Cravath, Evercore and management to discuss Evercore’s outreach to potential counterparties, outreach to additional potential counterparties and the continued engagement with GEPIF with respect to a potential transaction. Following such discussions and in light of the number of the potential counterparties included in the initial outreach that declined to participate in the process, the special committee directed Evercore to contact Party H and Party I, who were identified by Evercore as active investors in the infrastructure sector, to gauge their interest in pursuing a potential transaction and to offer a draft non-disclosure agreement to facilitate the sharing of additional information, which Evercore did.</w:t>
      </w:r>
    </w:p>
    <w:p>
      <w:pPr>
        <w:spacing w:after="0" w:line="198"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The Company and Party B entered into a non-disclosure agreement on December 21, 2020, following which Party B received access to the virtual dataroom, including the due diligence materials.</w:t>
      </w:r>
    </w:p>
    <w:p>
      <w:pPr>
        <w:spacing w:after="0" w:line="186"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On December 22, 2020, the special committee held a video conference meeting with representatives of Cravath, Evercore and management to discuss the ongoing engagement with GEPIF and the outreach to potential counterparties with respect to a potential transaction. Following such discussion, the special committee directed Evercore to reach out to Party J, to gauge its interest in a potential transaction and to offer a draft non-disclosure agreement to facilitate the sharing of additional information, which Evercore did. Party J declined to participate in the process.</w:t>
      </w:r>
    </w:p>
    <w:p>
      <w:pPr>
        <w:spacing w:after="0" w:line="166" w:lineRule="exact"/>
        <w:rPr>
          <w:sz w:val="20"/>
          <w:szCs w:val="20"/>
          <w:color w:val="auto"/>
        </w:rPr>
      </w:pPr>
    </w:p>
    <w:p>
      <w:pPr>
        <w:jc w:val="both"/>
        <w:ind w:firstLine="540"/>
        <w:spacing w:after="0" w:line="331" w:lineRule="auto"/>
        <w:rPr>
          <w:sz w:val="20"/>
          <w:szCs w:val="20"/>
          <w:color w:val="auto"/>
        </w:rPr>
      </w:pPr>
      <w:r>
        <w:rPr>
          <w:rFonts w:ascii="Arial" w:cs="Arial" w:eastAsia="Arial" w:hAnsi="Arial"/>
          <w:sz w:val="16"/>
          <w:szCs w:val="16"/>
          <w:color w:val="auto"/>
        </w:rPr>
        <w:t>On December 23, 2020, GEPIF submitted a revised term sheet with respect to proposed governance arrangements for the Company following the consummation of the potential transaction, which reflected changes from the proposed terms attached to the GEPIF Dec. 8th Proposal.</w:t>
      </w:r>
    </w:p>
    <w:p>
      <w:pPr>
        <w:spacing w:after="0" w:line="141"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On December 28, 2020, management of the Company and Mr. Livanos, in his capacity as the Chairman of the board of directors of the Company, participated in a management presentation with representatives of Party B, with representatives of Cravath in attendance.</w:t>
      </w:r>
    </w:p>
    <w:p>
      <w:pPr>
        <w:spacing w:after="0" w:line="186"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On January 1, 2021, the Company and Party H entered into a non-disclosure agreement with respect to a potential transaction, following which Party H received access to the virtual dataroom, including the due diligence materials.</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On January 4, 2021, the same auction draft of the merger agreement was posted to the virtual dataroom for each of the potential counterparties that had signed a non-disclosure agreement to date, which consisted of GEPIF, Party B and Party H.</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Also on January 4, 2021, Evercore sent a process letter to Party B and Party H requesting a preliminary non-binding bid letter on or before January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Also on January 4, 2021, representatives of Party A sent an indication of interest letter to Evercore setting forth a preliminary non-binding proposal to acquire the publicly traded Company common shares not held by Blenheim Holdings or Olympic at a valuation of $4.15-$4.30 per share, which represented an approximate 12%-16% premium to the closing price on the most recent trading day at that time.</w:t>
      </w:r>
    </w:p>
    <w:p>
      <w:pPr>
        <w:spacing w:after="0" w:line="19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On January 6, 2021, the Company and Party I entered into a non-disclosure agreement with respect to a potential transaction, and Party I subsequently received the process letter previously sent to Party B and Party H on January 4, 2021 and Party I received access to the virtual dataroom, including the due diligence materials and the auction draft of the merger agreement.</w:t>
      </w:r>
    </w:p>
    <w:p>
      <w:pPr>
        <w:spacing w:after="0" w:line="194"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On January 8, 2021, Messrs. Livanos and Papadimitriou, each in their capacity as representatives of Blenheim Holdings and Olympic, respectively, participated in a video conference meeting with representatives of Party B with respect to proposed governance arrangements for the Company following the consummation of the potential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jc w:val="both"/>
        <w:ind w:firstLine="397"/>
        <w:spacing w:after="0" w:line="259" w:lineRule="auto"/>
        <w:rPr>
          <w:sz w:val="20"/>
          <w:szCs w:val="20"/>
          <w:color w:val="auto"/>
        </w:rPr>
      </w:pPr>
      <w:r>
        <w:rPr>
          <w:rFonts w:ascii="Arial" w:cs="Arial" w:eastAsia="Arial" w:hAnsi="Arial"/>
          <w:sz w:val="18"/>
          <w:szCs w:val="18"/>
          <w:color w:val="auto"/>
        </w:rPr>
        <w:t>Also on January 8, 2021, the same auction draft of the rollover agreement and the same auction draft of the shareholders agreement were each posted to the virtual dataroom for each of the potential counterparties that had signed a non-disclosure agreement to date, which consisted of GEPIF, Party B, Party H and Party I.</w:t>
      </w:r>
    </w:p>
    <w:p>
      <w:pPr>
        <w:spacing w:after="0" w:line="19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On January 11, 2021, the Company and Party A entered into a non-disclosure agreement with respect to a potential transaction, and Party A subsequently received the process letter previously sent to Party B, Party H and Party I, and Party A received access to the virtual dataroom, including the due diligence materials and the auction drafts of the merger agreement, rollover agreement and shareholders agreement.</w:t>
      </w:r>
    </w:p>
    <w:p>
      <w:pPr>
        <w:spacing w:after="0" w:line="160"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Between January 11, 2021 and February 3, 2021, the date on which Party A notified Evercore that it would no longer be participating in the process with respect to the potential transaction, Party A and its representatives submitted further confirmatory due diligence requests and engaged in numerous discussions with the Company and its representatives relating thereto, and the Company continued to make additional responsive information and documents available to facilitate Party A’s due diligence exercise.</w:t>
      </w:r>
    </w:p>
    <w:p>
      <w:pPr>
        <w:spacing w:after="0" w:line="197" w:lineRule="exact"/>
        <w:rPr>
          <w:sz w:val="20"/>
          <w:szCs w:val="20"/>
          <w:color w:val="auto"/>
        </w:rPr>
      </w:pPr>
    </w:p>
    <w:p>
      <w:pPr>
        <w:jc w:val="both"/>
        <w:ind w:firstLine="557"/>
        <w:spacing w:after="0" w:line="268" w:lineRule="auto"/>
        <w:rPr>
          <w:sz w:val="20"/>
          <w:szCs w:val="20"/>
          <w:color w:val="auto"/>
        </w:rPr>
      </w:pPr>
      <w:r>
        <w:rPr>
          <w:rFonts w:ascii="Arial" w:cs="Arial" w:eastAsia="Arial" w:hAnsi="Arial"/>
          <w:sz w:val="18"/>
          <w:szCs w:val="18"/>
          <w:color w:val="auto"/>
        </w:rPr>
        <w:t>On January 13, 2021, management of the Company and Mr. Livanos, in his capacity as the Chairman of the board of directors of the Company, participated in a management presentation with representatives of Party A.</w:t>
      </w:r>
    </w:p>
    <w:p>
      <w:pPr>
        <w:spacing w:after="0" w:line="18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On January 14, 2021, representatives of Party A indicated to representatives of Evercore that Party A was not yet ready to submit a bid, but expected to do so in the coming days; representatives of Party B indicated to representatives of Evercore that Party B would not be submitting a bid, in part because Party B did not expect to be able to bid materially in excess of $4.00 per share, which was substantially lower than the then-current trading price of the Company common shares; representatives of Party H indicated to representatives of Evercore that Party H would not be submitting a bid; and representatives of Party I indicated to representatives of Evercore that Party I would not be submitting a bid. Each of Party H and Party I indicated that it would not be submitting a bid due to alternative investment opportunities that each such party was pursuing at the time.</w:t>
      </w:r>
    </w:p>
    <w:p>
      <w:pPr>
        <w:spacing w:after="0" w:line="17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On January 16, 2021, Messrs. Livanos and Papadimitriou, each in their capacity as representatives of Blenheim Holdings and Olympic, respectively, participated in a video conference meeting with representatives of Party A with respect to proposed governance arrangements for the Company following the completion of a potential transaction.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On January 17, 2021, Evercore, on behalf of the special committee, received a non-binding preliminary proposal from Party A regarding the potential acquisition by Party A of the public shareholders’ interests (assumed by Party A to represent approximately 42% of the outstanding Company common shares) at a valuation of $6.25—$6.75 per share, which represented an approximate 6%-15% premium to the closing price on the most recent trading day at that time.</w:t>
      </w:r>
    </w:p>
    <w:p>
      <w:pPr>
        <w:spacing w:after="0" w:line="160"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On January 20, 2021, the special committee, representatives of Cravath, Evercore and management and Messrs. Livanos and Papadimitriou, each in their capacity as representatives of Blenheim Holdings and Olympic, respectively, participated in a video conference meeting with representatives of GEPIF during which representatives of Evercore notified GEPIF that the special committee had engaged with other potential counterparties and that GEPIF would need to significantly increase the price reflected in the GEPIF Dec. 8th Proposal for the special committee to consider recommending a potential transaction with GEPIF. GEPIF indicated that it was continuing to complete its due diligence and, subject to receiving internal approvals, expected to submit an improved offer by the end of January.</w:t>
      </w:r>
    </w:p>
    <w:p>
      <w:pPr>
        <w:spacing w:after="0" w:line="198"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On January 22, 2021 and January 25, 2021, Evercore sent a process letter to Party A and GEPIF, respectively, requesting that each such party submit a definitive proposal with respect to a potential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jc w:val="both"/>
        <w:ind w:right="20"/>
        <w:spacing w:after="0" w:line="268" w:lineRule="auto"/>
        <w:rPr>
          <w:sz w:val="20"/>
          <w:szCs w:val="20"/>
          <w:color w:val="auto"/>
        </w:rPr>
      </w:pPr>
      <w:r>
        <w:rPr>
          <w:rFonts w:ascii="Arial" w:cs="Arial" w:eastAsia="Arial" w:hAnsi="Arial"/>
          <w:sz w:val="18"/>
          <w:szCs w:val="18"/>
          <w:color w:val="auto"/>
        </w:rPr>
        <w:t>transaction on or before February 8, 2021 and full markups of auction drafts of the merger agreement, rollover agreement and shareholders agreement on or before February 1, 2021.</w:t>
      </w:r>
    </w:p>
    <w:p>
      <w:pPr>
        <w:spacing w:after="0" w:line="186"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On January 26, 2021, Mr. Livanos, in his capacity as representative of Blenheim Holdings, participated in a video conference meeting with representatives of Party A regarding Party A’s interest in pursuing a potential transaction, including potential governance arrangements for the Company following the completion of a potential transaction, with representatives of Cravath and Evercore in attendance.</w:t>
      </w:r>
    </w:p>
    <w:p>
      <w:pPr>
        <w:spacing w:after="0" w:line="194"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On January 26, 2021, the auction draft of Annex A to the shareholders agreement setting forth certain minority investor approval rights was posted to the virtual dataroom for GEPIF and Party A.</w:t>
      </w:r>
    </w:p>
    <w:p>
      <w:pPr>
        <w:spacing w:after="0" w:line="186"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January 29, 2021, Party A submitted a markup of Annex A to the shareholders agreement, and on February 1, 2021, submitted markups of the merger agreement, the rollover agreement and the shareholders agreement.</w:t>
      </w:r>
    </w:p>
    <w:p>
      <w:pPr>
        <w:spacing w:after="0" w:line="186"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Also on February 1, 2021, GEPIF submitted markups of the merger agreement, the rollover agreement and the shareholders agreement (including Annex A thereto).</w:t>
      </w:r>
    </w:p>
    <w:p>
      <w:pPr>
        <w:spacing w:after="0" w:line="186" w:lineRule="exact"/>
        <w:rPr>
          <w:sz w:val="20"/>
          <w:szCs w:val="20"/>
          <w:color w:val="auto"/>
        </w:rPr>
      </w:pPr>
    </w:p>
    <w:p>
      <w:pPr>
        <w:jc w:val="both"/>
        <w:ind w:firstLine="429"/>
        <w:spacing w:after="0" w:line="285" w:lineRule="auto"/>
        <w:rPr>
          <w:sz w:val="20"/>
          <w:szCs w:val="20"/>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Messrs. Livanos and Papadimitriou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84" w:lineRule="exact"/>
        <w:rPr>
          <w:sz w:val="20"/>
          <w:szCs w:val="20"/>
          <w:color w:val="auto"/>
        </w:rPr>
      </w:pPr>
    </w:p>
    <w:p>
      <w:pPr>
        <w:jc w:val="both"/>
        <w:ind w:firstLine="354"/>
        <w:spacing w:after="0" w:line="290" w:lineRule="auto"/>
        <w:rPr>
          <w:sz w:val="20"/>
          <w:szCs w:val="20"/>
          <w:color w:val="auto"/>
        </w:rPr>
      </w:pPr>
      <w:r>
        <w:rPr>
          <w:rFonts w:ascii="Arial" w:cs="Arial" w:eastAsia="Arial" w:hAnsi="Arial"/>
          <w:sz w:val="16"/>
          <w:szCs w:val="16"/>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72"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On February 8, 2021, the special committee received a definitive proposal from GEPIF at a valuation of $5.75 per Company common share (the “GEPIF Feb. 8th Proposal”), which included a draft exclusivity agreement and a request for 30 days of exclusivity.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jc w:val="both"/>
        <w:ind w:firstLine="429"/>
        <w:spacing w:after="0" w:line="268" w:lineRule="auto"/>
        <w:rPr>
          <w:sz w:val="20"/>
          <w:szCs w:val="20"/>
          <w:color w:val="auto"/>
        </w:rPr>
      </w:pPr>
      <w:r>
        <w:rPr>
          <w:rFonts w:ascii="Arial" w:cs="Arial" w:eastAsia="Arial" w:hAnsi="Arial"/>
          <w:sz w:val="18"/>
          <w:szCs w:val="18"/>
          <w:color w:val="auto"/>
        </w:rPr>
        <w:t>On February 9, 2021, the special committee held a video conference meeting with representatives of Cravath, Evercore and management to discuss the GEPIF Feb. 8th Proposal.</w:t>
      </w:r>
    </w:p>
    <w:p>
      <w:pPr>
        <w:spacing w:after="0" w:line="186"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Later that day on February 9, 2021, representatives of Evercore communicated with representatives of GEPIF and, at the special committee’s direction, indicated that the special committee would consider granting two weeks of exclusivity if GEPIF increased its bid to $5.85 per Company common share. Subsequently on that day, representatives of GEPIF indicated that GEPIF would increase its bid to $5.80 per Company common share in exchange for grant of exclusivity until February 28, 2021.</w:t>
      </w:r>
    </w:p>
    <w:p>
      <w:pPr>
        <w:spacing w:after="0" w:line="19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On February 10, 2021, the special committee held a video conference meeting with representatives of Cravath, Evercore and management to discuss Evercore’s communications with GEPIF from the previous day. Following such discussion, the special committee determined to grant exclusivity to GEPIF through February 28, 2021 at its proposal of $5.80 per Company common share.</w:t>
      </w:r>
    </w:p>
    <w:p>
      <w:pPr>
        <w:spacing w:after="0" w:line="194"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Later that day on February 10, 2021, Cravath and Simpson exchanged drafts of the exclusivity agreement and the Company and GEPIF entered into the exclusivity agreement. Following the execution of the exclusivity agreement, Cravath sent revised drafts of the merger agreement, rollover agreement and shareholders agreement (including Annex A thereto) to Simpson. Following such time and until the signing of the merger agreement and rollover agreement on February 21, 2021, representatives of Cravath and representatives of Linklaters LLP (“Linklaters”), counsel to Blenheim Holdings, participated in discussions with representatives of Simpson with respect thereto, including on February 10, 14 and 18, and exchanged multiple drafts of each of the merger agreement, the rollover agreement and the shareholders agreement (including Annex A thereto).</w:t>
      </w:r>
    </w:p>
    <w:p>
      <w:pPr>
        <w:spacing w:after="0" w:line="174" w:lineRule="exact"/>
        <w:rPr>
          <w:sz w:val="20"/>
          <w:szCs w:val="20"/>
          <w:color w:val="auto"/>
        </w:rPr>
      </w:pPr>
    </w:p>
    <w:p>
      <w:pPr>
        <w:jc w:val="both"/>
        <w:ind w:firstLine="553"/>
        <w:spacing w:after="0" w:line="254" w:lineRule="auto"/>
        <w:rPr>
          <w:sz w:val="20"/>
          <w:szCs w:val="20"/>
          <w:color w:val="auto"/>
        </w:rPr>
      </w:pPr>
      <w:r>
        <w:rPr>
          <w:rFonts w:ascii="Arial" w:cs="Arial" w:eastAsia="Arial" w:hAnsi="Arial"/>
          <w:sz w:val="18"/>
          <w:szCs w:val="18"/>
          <w:color w:val="auto"/>
        </w:rPr>
        <w:t>Between February 11, 2021 and until the signing of the merger agreement and rollover agreement on February 21, 2021, members of the special committee and representatives of management, Cravath, Linklaters, Simpson, Blenheim Holdings, Olympic and GEPIF participated in a number of video conference meetings to discuss, among other things, the transaction agreements, post-closing governance arrangements, due diligence matters, the implementation of a post-closing management equity incentive plan and the replacement of the Company’s existing annual incentive plan and other matters relating to the announcement of the transaction.</w:t>
      </w:r>
    </w:p>
    <w:p>
      <w:pPr>
        <w:spacing w:after="0" w:line="20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 February 16, 2021, the Company entered into a non-disclosure agreement with Shareholder A, an existing shareholder of the Company holding approximately 2% of the outstanding Company common shares, to facilitate discussions with respect to the possible participation by Shareholder A as a rolling shareholder in the potential transaction with GEPIF. Shareholder A was identified by Blenheim Holdings and Olympic as potentially being interested in participating in the transaction as a rolling shareholder, and GEPIF was willing to consider such participation by Shareholder A. Shareholder A ultimately decided not to participate as a rolling shareholder, and therefore Company common shares held by Shareholder A will be treated in the same manner as all other public shareholders and converted into the right to receive $5.80 in cash.</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On February 18, 2021, the special committee held a video conference meeting with representatives of Cravath at which representatives of Cravath provided an overview of the current status of negotiations with GEPIF and the state of each of the transaction agreements, as well as an overview of the fiduciary duties of the members of the special committee with respect to a potential transaction.</w:t>
      </w:r>
    </w:p>
    <w:p>
      <w:pPr>
        <w:spacing w:after="0" w:line="194"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8"/>
          <w:szCs w:val="18"/>
          <w:color w:val="auto"/>
        </w:rPr>
        <w:t>On February 19, 2021, the special committee held a video conference meeting with representatives of Cravath, Evercore and management at which representatives of Cravath presented an overview of the key terms of the potential transaction with GEPIF based on the current state of the transaction agreements and representatives of Evercore provided an overview of its preliminary financial analyses. Later that day on February 19, 2021, the board of directors of the Company held a video conference meeting with representatives of Cravath, Evercore and management at which Cravath and Evercore presented the same materials from the earlier meeting of the special committee.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jc w:val="both"/>
        <w:ind w:firstLine="532"/>
        <w:spacing w:after="0" w:line="259" w:lineRule="auto"/>
        <w:rPr>
          <w:sz w:val="20"/>
          <w:szCs w:val="20"/>
          <w:color w:val="auto"/>
        </w:rPr>
      </w:pPr>
      <w:r>
        <w:rPr>
          <w:rFonts w:ascii="Arial" w:cs="Arial" w:eastAsia="Arial" w:hAnsi="Arial"/>
          <w:sz w:val="18"/>
          <w:szCs w:val="18"/>
          <w:color w:val="auto"/>
        </w:rPr>
        <w:t>On February 20, 2021, the special committee held a video conference meeting with representatives of Cravath and Evercore to discuss Evercore’s preliminary financial analyses that had been presented to the special committee on the previous day. Representatives of Cravath also provided an overview of developments in the transaction agreements since the previous day.</w:t>
      </w:r>
    </w:p>
    <w:p>
      <w:pPr>
        <w:spacing w:after="0" w:line="194"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6"/>
          <w:szCs w:val="16"/>
          <w:color w:val="auto"/>
        </w:rPr>
        <w:t>On February 21, 2021, the special committee held a video conference meeting with representatives of Cravath, Evercore and management at which representatives of Cravath reviewed the proposed final terms of the transaction agreements with GEPIF, copies of which had been provided to the special committee. Representatives of Evercore also provided its final financial analyses with respect to the transaction and delivered its oral opinion that, as of such date, the consideration to be received by the public shareholders in the transaction was fair, from a financial point of view, to the public shareholders, which was subsequently confirmed by the delivery of a written opinion dated February 21, 2021. Following a discussion, the special committee unanimously</w:t>
      </w:r>
    </w:p>
    <w:p>
      <w:pPr>
        <w:spacing w:after="0" w:line="2" w:lineRule="exact"/>
        <w:rPr>
          <w:sz w:val="20"/>
          <w:szCs w:val="20"/>
          <w:color w:val="auto"/>
        </w:rPr>
      </w:pPr>
    </w:p>
    <w:p>
      <w:pPr>
        <w:jc w:val="both"/>
        <w:ind w:firstLine="8"/>
        <w:spacing w:after="0" w:line="288" w:lineRule="auto"/>
        <w:tabs>
          <w:tab w:leader="none" w:pos="23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and the holders of Company preference shares and (c) recommended that the board of directors of the Company (i) approve each of the merger agreement and the statutory merger agreement and the transactions, including the merger, and (ii) subject to Section 5.02 of the merger agreement, recommend approval of the merger, the merger agreement and the statutory merger agreement to the public shareholders and the holders of Company preference shares.</w:t>
      </w:r>
    </w:p>
    <w:p>
      <w:pPr>
        <w:spacing w:after="0" w:line="17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Following the conclusion of the special committee meeting, the board of directors of the Company held a video conference meeting with representatives of Cravath, Evercore and management at which the special committee delivered its recommendation to the board of directors of the Company. Following a discussion, the board of directors of the Company, acting upon the recommendation of the special committee, unanimously (a) 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 w:lineRule="exact"/>
        <w:rPr>
          <w:sz w:val="20"/>
          <w:szCs w:val="20"/>
          <w:color w:val="auto"/>
        </w:rPr>
      </w:pPr>
    </w:p>
    <w:p>
      <w:pPr>
        <w:jc w:val="both"/>
        <w:ind w:firstLine="8"/>
        <w:spacing w:after="0" w:line="295" w:lineRule="auto"/>
        <w:tabs>
          <w:tab w:leader="none" w:pos="25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(c) approved the merger agreement, the statutory merger agreement and the transactions, including the merger, and (d) resolved, subject to Section 5.02 of the merger agreement, to recommend approval of the merger, the merger agreement and the statutory agreement to the public shareholders and the holders of Company preference shares.</w:t>
      </w:r>
    </w:p>
    <w:p>
      <w:pPr>
        <w:spacing w:after="0" w:line="169"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Later on February 21, 2021, the Company, Parent and Merger Sub entered into the merger agreement, and the rolling shareholders party thereto, the Company and Parent entered into the rollover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morning of February 22, 2021, the Company publicly announced the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Special Committee</w:t>
      </w:r>
    </w:p>
    <w:p>
      <w:pPr>
        <w:spacing w:after="0" w:line="225"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As described in the section entitled “—Background of the Merger” beginning on page 33 of this proxy statement, the board of directors of the Company duly formed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board of directors of the Company authorized the special committee to lead the review, evaluation and negotiation of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jc w:val="both"/>
        <w:spacing w:after="0" w:line="287" w:lineRule="auto"/>
        <w:rPr>
          <w:sz w:val="20"/>
          <w:szCs w:val="20"/>
          <w:color w:val="auto"/>
        </w:rPr>
      </w:pPr>
      <w:r>
        <w:rPr>
          <w:rFonts w:ascii="Arial" w:cs="Arial" w:eastAsia="Arial" w:hAnsi="Arial"/>
          <w:sz w:val="16"/>
          <w:szCs w:val="16"/>
          <w:color w:val="auto"/>
        </w:rPr>
        <w:t>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remains a standalone public company, and, if appropriate, to make a recommendation to the board of directors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w:t>
      </w:r>
    </w:p>
    <w:p>
      <w:pPr>
        <w:spacing w:after="0" w:line="176"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color w:val="auto"/>
        </w:rPr>
        <w:t>The special committee, acting with the advice and assistance of Evercore Group L.L.C. (“Evercore”), its independent financial advisor, and Cravath, Swaine &amp; Moore LLP (“Cravath”) and Appleby (Bermuda) Limited (“Appleby”), its independent legal counsel, evaluated and negotiated the merger, including the terms and conditions of the merger agreement and the statutory merger agreement, and at the meeting of the special committee on February 21, 2021, after careful consideration, unanimously:</w:t>
      </w:r>
    </w:p>
    <w:p>
      <w:pPr>
        <w:spacing w:after="0" w:line="210" w:lineRule="exact"/>
        <w:rPr>
          <w:sz w:val="20"/>
          <w:szCs w:val="20"/>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and the holders of Company preference shares; and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The special committee consulted with its independent financial and legal advisors and considered many factors in making its determination and approvals, and the related recommendation to the board of directors of the Company. The special committee considered the following material factors to be generally positive or favorable in making its determination and approvals, and the related recommendation to the board of directors of the Company (which are not listed in any relative order of importance):</w:t>
      </w:r>
    </w:p>
    <w:p>
      <w:pPr>
        <w:spacing w:after="0" w:line="210" w:lineRule="exact"/>
        <w:rPr>
          <w:sz w:val="20"/>
          <w:szCs w:val="20"/>
          <w:color w:val="auto"/>
        </w:rPr>
      </w:pPr>
    </w:p>
    <w:p>
      <w:pPr>
        <w:ind w:left="10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to Trading Price. </w:t>
      </w:r>
      <w:r>
        <w:rPr>
          <w:rFonts w:ascii="Arial" w:cs="Arial" w:eastAsia="Arial" w:hAnsi="Arial"/>
          <w:sz w:val="18"/>
          <w:szCs w:val="18"/>
          <w:color w:val="auto"/>
        </w:rPr>
        <w:t>The special committee considered the current and historical market prices of Company common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the merger consideration of $5.80 in cash constituted a premium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approximately 17.2% based on the trading price of $4.95 per share at market close on February 19, 2021, the last trading day before the announcement of the execution of the merger agreement;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approximately 22.4% based on the volume weighted average price of $4.74 per share during the 30 days ended February 19, 2021, the last trading day before the announcement of the execution of the merger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ind w:left="540" w:hanging="532"/>
        <w:spacing w:after="0" w:line="268"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Condition and Prospects. </w:t>
      </w:r>
      <w:r>
        <w:rPr>
          <w:rFonts w:ascii="Arial" w:cs="Arial" w:eastAsia="Arial" w:hAnsi="Arial"/>
          <w:sz w:val="18"/>
          <w:szCs w:val="18"/>
          <w:color w:val="auto"/>
        </w:rPr>
        <w:t>Certain factors related to the Company’s business, financial condition and results of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prospects, including:</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special committee’s understanding of the business, operations, financial condition, earnings and prospects of the Company, including the strategy and prospects (as well as the risks involved in achieving these prospects) of the Company continuing as a standalone publicly traded entity;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nature of the Company’s industry and economic and market conditions, both on a historical and a prospective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Company’s potential near- and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potential risks to the Company of continuing to have publicly traded common shares, including the risks of market volatility;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certain compliance costs and obligations imposed on the Company as a result of having publicly traded common shares;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management forecasts prepared by the Company’s management for, or otherwise made available to, the special committee.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Capital. </w:t>
      </w:r>
      <w:r>
        <w:rPr>
          <w:rFonts w:ascii="Arial" w:cs="Arial" w:eastAsia="Arial" w:hAnsi="Arial"/>
          <w:sz w:val="16"/>
          <w:szCs w:val="16"/>
          <w:color w:val="auto"/>
        </w:rPr>
        <w:t>The special committee considered the fact that the Company may require additional capital in the future to refinance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indebtedness, fund acquisitions and growth capital expenditures or for other purposes and the state of the public equity markets makes it difficult to obtain equity or debt financing on favorable terms, or at all, and that the Company’s leveraged balance sheet could negatively impact the Company’s liquidity position going forward and negatively impact the ability of the Company to refinance existing indebtedness or secure new financing on favorable terms, or at all, all of which may have a negative impact on the trading price of the Company common shares.</w:t>
      </w:r>
    </w:p>
    <w:p>
      <w:pPr>
        <w:spacing w:after="0" w:line="182"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Value of Merger Consideration. </w:t>
      </w:r>
      <w:r>
        <w:rPr>
          <w:rFonts w:ascii="Arial" w:cs="Arial" w:eastAsia="Arial" w:hAnsi="Arial"/>
          <w:sz w:val="18"/>
          <w:szCs w:val="18"/>
          <w:color w:val="auto"/>
        </w:rPr>
        <w:t>The special committee considered the fact that the merger consideration consists solely of cash,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certainty of value and immediate liquidity to the public shareholders, while eliminating long-term business and execution risk for the public shareholders.</w:t>
      </w:r>
    </w:p>
    <w:p>
      <w:pPr>
        <w:spacing w:after="0" w:line="207"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Negotiations with GEPIF. </w:t>
      </w:r>
      <w:r>
        <w:rPr>
          <w:rFonts w:ascii="Arial" w:cs="Arial" w:eastAsia="Arial" w:hAnsi="Arial"/>
          <w:sz w:val="16"/>
          <w:szCs w:val="16"/>
          <w:color w:val="auto"/>
        </w:rPr>
        <w:t>The special committee had been engaged in discussions with GEPIF regarding the merger proposal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special committee’s formation by the board of directors of the Company on November 9, 2020, following the Company’s receipt of the GEPIF Initial Proposal on November 5, 2020. As a result of extensive negotiations, the special committee, in consultation with its financial and legal advisors, was able to secure improved terms and conditions in the merger agreement and the statutory merger agreement, including an approximately 68-82% increase to the per share merger consideration payable to holders of Company common shares compared to the preliminary non-binding range set forth in the GEPIF Initial Proposal. See the section entitled “—Background of the Merger” beginning on page 33 of this proxy statement for more information.</w:t>
      </w:r>
    </w:p>
    <w:p>
      <w:pPr>
        <w:spacing w:after="0" w:line="198"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Process Conducted by the Special Committee. </w:t>
      </w:r>
      <w:r>
        <w:rPr>
          <w:rFonts w:ascii="Arial" w:cs="Arial" w:eastAsia="Arial" w:hAnsi="Arial"/>
          <w:sz w:val="16"/>
          <w:szCs w:val="16"/>
          <w:color w:val="auto"/>
        </w:rPr>
        <w:t>The special committee consists solely of independent and disinterested directors.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board of directors of the Company delegated to the special committee the full power and authority of the board of directors of the Company to consider and negotiate the merger or any alternative transaction, or no transaction. The special committee, together with its financial and legal advisors, conducted an extensive process to consider the transactions and alternatives thereto, including engaging with other potential counterparties, as discussed in more detail in the section entitled “—Background of the Merger” beginning on page 33 of this proxy statement, and each member of the special committee was actively engaged in</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45" w:right="339" w:bottom="1440" w:gutter="0" w:footer="0" w:header="0"/>
        </w:sectPr>
      </w:pPr>
    </w:p>
    <w:bookmarkStart w:id="77" w:name="page78"/>
    <w:bookmarkEnd w:id="77"/>
    <w:p>
      <w:pPr>
        <w:ind w:left="540"/>
        <w:spacing w:after="0" w:line="268" w:lineRule="auto"/>
        <w:rPr>
          <w:sz w:val="20"/>
          <w:szCs w:val="20"/>
          <w:color w:val="auto"/>
        </w:rPr>
      </w:pPr>
      <w:r>
        <w:rPr>
          <w:rFonts w:ascii="Arial" w:cs="Arial" w:eastAsia="Arial" w:hAnsi="Arial"/>
          <w:sz w:val="18"/>
          <w:szCs w:val="18"/>
          <w:color w:val="auto"/>
        </w:rPr>
        <w:t>the process on a regular basis. The special committee recognized that they had no obligation to recommend the approval of the merger or any other alternative transaction.</w:t>
      </w:r>
    </w:p>
    <w:p>
      <w:pPr>
        <w:spacing w:after="0" w:line="199" w:lineRule="exact"/>
        <w:rPr>
          <w:sz w:val="20"/>
          <w:szCs w:val="20"/>
          <w:color w:val="auto"/>
        </w:rPr>
      </w:pPr>
    </w:p>
    <w:p>
      <w:pPr>
        <w:ind w:left="540" w:hanging="532"/>
        <w:spacing w:after="0" w:line="26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of Independent Counsel. </w:t>
      </w:r>
      <w:r>
        <w:rPr>
          <w:rFonts w:ascii="Arial" w:cs="Arial" w:eastAsia="Arial" w:hAnsi="Arial"/>
          <w:sz w:val="18"/>
          <w:szCs w:val="18"/>
          <w:color w:val="auto"/>
        </w:rPr>
        <w:t>The special committee retained Cravath and Appleby as its independent legal counsel to assist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evaluation of the merger and the other transactions and alternatives thereto.</w:t>
      </w:r>
    </w:p>
    <w:p>
      <w:pPr>
        <w:spacing w:after="0" w:line="21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of Independent Financial Advisor; Fairness Opinion. </w:t>
      </w:r>
      <w:r>
        <w:rPr>
          <w:rFonts w:ascii="Arial" w:cs="Arial" w:eastAsia="Arial" w:hAnsi="Arial"/>
          <w:sz w:val="16"/>
          <w:szCs w:val="16"/>
          <w:color w:val="auto"/>
        </w:rPr>
        <w:t>The special committee retained Evercore as its independent financial advisor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assist the special committee in its evaluation of the merger and the other transactions and alternatives thereto. On February 21, 2021, Evercore rendered to the special committee its oral opinion, subsequently confirmed in writing, that, as of that date, and based upon and subject to the factors, procedures, assumptions, qualifications and limitations set forth in its opinion, the merger consideration to be paid to the public shareholders is fair, from a financial point of view, to the public shareholders. For more information, see the sections entitled “—Opinion of Evercore—Financial Advisor to the Special Committee” beginning on page 55 of this proxy statement.</w:t>
      </w:r>
    </w:p>
    <w:p>
      <w:pPr>
        <w:spacing w:after="0" w:line="187"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 Transaction Reasonably Available. </w:t>
      </w:r>
      <w:r>
        <w:rPr>
          <w:rFonts w:ascii="Arial" w:cs="Arial" w:eastAsia="Arial" w:hAnsi="Arial"/>
          <w:sz w:val="16"/>
          <w:szCs w:val="16"/>
          <w:color w:val="auto"/>
        </w:rPr>
        <w:t>The special committee believes that the merger represents the best transaction reasonably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shareholders in light of the foregoing factors as well as, among other things, the fact that (a) the special committee engaged with a number of other potential counterparties to explore alternative transactions and (b) the special committee believes that the merger consideration was the highest price that could be obtained from GEPIF, that the terms of the merger agreement and the statutory merger agreement were the most favorable terms GEPIF would be willing to agree to and that further negotiations would have created a risk of causing GEPIF to abandon the merger altogether or materially delay the entry into a definitive agreement for the transactions.</w:t>
      </w:r>
    </w:p>
    <w:p>
      <w:pPr>
        <w:spacing w:after="0" w:line="187"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Public Shareholder Approvals. </w:t>
      </w:r>
      <w:r>
        <w:rPr>
          <w:rFonts w:ascii="Arial" w:cs="Arial" w:eastAsia="Arial" w:hAnsi="Arial"/>
          <w:sz w:val="18"/>
          <w:szCs w:val="18"/>
          <w:color w:val="auto"/>
        </w:rPr>
        <w:t>The special committee considered the fact that the merger is conditioned upon, among other things,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merger proposal by the affirmative vote of the holders of a majority of the Company common shares held by the public shareholders present (in person or in proxy) at the meeting of the Company shareholders called to approve the merger proposal, sometimes referred to as a “majority of the minority” condition.</w:t>
      </w:r>
    </w:p>
    <w:p>
      <w:pPr>
        <w:spacing w:after="0" w:line="223"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Availability of Appraisal Rights. </w:t>
      </w:r>
      <w:r>
        <w:rPr>
          <w:rFonts w:ascii="Arial" w:cs="Arial" w:eastAsia="Arial" w:hAnsi="Arial"/>
          <w:sz w:val="16"/>
          <w:szCs w:val="16"/>
          <w:color w:val="auto"/>
        </w:rPr>
        <w:t>The special committee considered the availability of appraisal rights to shareholders of 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and Company preference shares who do not vote in favor of the merger proposal, which rights provide eligible shareholders with the opportunity to have a Bermuda court appraise the fair value of their shares in accordance with the provisions set forth in the Bermuda Companies Act. For more information, see below under the heading “Appraisal Rights”.</w:t>
      </w:r>
    </w:p>
    <w:p>
      <w:pPr>
        <w:spacing w:after="0" w:line="179"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Merger Agreement. </w:t>
      </w:r>
      <w:r>
        <w:rPr>
          <w:rFonts w:ascii="Arial" w:cs="Arial" w:eastAsia="Arial" w:hAnsi="Arial"/>
          <w:sz w:val="16"/>
          <w:szCs w:val="16"/>
          <w:color w:val="auto"/>
        </w:rPr>
        <w:t>The terms and conditions of the merger agreement, including the parties’ respective representations,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warranties and covenants, the conditions to their respective obligations to complete the transactions contemplated thereby and their ability to terminate the agreement. The special committee considered the following in connection with its evaluation of the merger agreement:</w:t>
      </w:r>
    </w:p>
    <w:p>
      <w:pPr>
        <w:spacing w:after="0" w:line="389"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merger agreement includes provisions allowing the board of directors of the Company or the special committee to withdraw or change their recommendation in favor of the merger in certain circumstances where the board of directors of the Company or the special committee determines in good faith, after consultation with, and taking into account the advice of, its financial advisor and outside legal counsel, that the failure to take such action would be inconsistent with the directors’ fiduciary duties under applicable law, as described in further detail in the section entitled “The Merger Agreement—Changes in Board of Special Committee Recommendation” beginning on page 82 of this proxy statement;</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78" w:name="page79"/>
    <w:bookmarkEnd w:id="78"/>
    <w:p>
      <w:pPr>
        <w:jc w:val="both"/>
        <w:ind w:left="1620" w:hanging="532"/>
        <w:spacing w:after="0" w:line="288" w:lineRule="auto"/>
        <w:tabs>
          <w:tab w:leader="none" w:pos="1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Company’s ability, subject to compliance with the terms and conditions of the merger agreement, to participate in discussions or negotiations with any person or group making a takeover proposal prior to the receipt of the required Company shareholder approvals so long as such takeover proposal did not result from any breach of the non-solicitation obligations in the merger agreement and the special committee determines in good faith after consultation with its financial advisor and outside legal counsel that such takeover proposal constitutes or would reasonably be expected to lead to a “superior proposal” (as defined in the section entitled “The Merger Agreement —Changes in Board or Special Committee Recommendation” beginning on page 82 of this proxy statement), and to terminate the merger agreement prior to the receipt of the required Company shareholder approvals in order to accept a takeover proposal that is a “superior proposal”;</w:t>
      </w:r>
    </w:p>
    <w:p>
      <w:pPr>
        <w:spacing w:after="0" w:line="204"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fact that the consummation of the merger is not conditioned upon financing and the delivery by Parent of a fully executed equity commitment letter from GEPIF III in the amount of $247 million;</w:t>
      </w:r>
    </w:p>
    <w:p>
      <w:pPr>
        <w:spacing w:after="0" w:line="199" w:lineRule="exact"/>
        <w:rPr>
          <w:rFonts w:ascii="Arial" w:cs="Arial" w:eastAsia="Arial" w:hAnsi="Arial"/>
          <w:sz w:val="18"/>
          <w:szCs w:val="18"/>
          <w:color w:val="auto"/>
        </w:rPr>
      </w:pPr>
    </w:p>
    <w:p>
      <w:pPr>
        <w:ind w:left="1620" w:right="20" w:hanging="532"/>
        <w:spacing w:after="0" w:line="331" w:lineRule="auto"/>
        <w:tabs>
          <w:tab w:leader="none" w:pos="1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probability that the ability of the Company and Parent to consummate the merger is increased by the commitment by the rolling shareholders to vote their Company common shares and Company preference shares in favor of the merger proposal;</w:t>
      </w:r>
    </w:p>
    <w:p>
      <w:pPr>
        <w:spacing w:after="0" w:line="154" w:lineRule="exact"/>
        <w:rPr>
          <w:rFonts w:ascii="Arial" w:cs="Arial" w:eastAsia="Arial" w:hAnsi="Arial"/>
          <w:sz w:val="16"/>
          <w:szCs w:val="16"/>
          <w:color w:val="auto"/>
        </w:rPr>
      </w:pPr>
    </w:p>
    <w:p>
      <w:pPr>
        <w:jc w:val="both"/>
        <w:ind w:left="1620" w:right="20" w:hanging="532"/>
        <w:spacing w:after="0" w:line="306" w:lineRule="auto"/>
        <w:tabs>
          <w:tab w:leader="none" w:pos="1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termination fee of $40 million payable to the Company by Parent (the obligations of which are guaranteed by GEPIF III) upon the termination of the merger agreement by the Company under certain circumstances, as described in further detail in “The Merger Agreement—Termination Fees and Expense Reimbursement” beginning on page 90 of this proxy statement; and</w:t>
      </w:r>
    </w:p>
    <w:p>
      <w:pPr>
        <w:spacing w:after="0" w:line="187"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as discussed in the section entitled “The Merger Agreement” beginning on page 73 of this proxy statement, which the special committee, after consulting with its independent legal counsel, considered to be reasonable.</w:t>
      </w:r>
    </w:p>
    <w:p>
      <w:pPr>
        <w:spacing w:after="0" w:line="194" w:lineRule="exact"/>
        <w:rPr>
          <w:sz w:val="20"/>
          <w:szCs w:val="20"/>
          <w:color w:val="auto"/>
        </w:rPr>
      </w:pPr>
    </w:p>
    <w:p>
      <w:pPr>
        <w:ind w:firstLine="548"/>
        <w:spacing w:after="0" w:line="331" w:lineRule="auto"/>
        <w:rPr>
          <w:sz w:val="20"/>
          <w:szCs w:val="20"/>
          <w:color w:val="auto"/>
        </w:rPr>
      </w:pPr>
      <w:r>
        <w:rPr>
          <w:rFonts w:ascii="Arial" w:cs="Arial" w:eastAsia="Arial" w:hAnsi="Arial"/>
          <w:sz w:val="16"/>
          <w:szCs w:val="16"/>
          <w:color w:val="auto"/>
        </w:rPr>
        <w:t>The special committee also considered certain countervailing factors and risks to the Company and the public shareholders relating to the merger agreement, the statutory merger agreement and the transactions, including the following (which are not listed in any relative order of importance):</w:t>
      </w:r>
    </w:p>
    <w:p>
      <w:pPr>
        <w:spacing w:after="0" w:line="154" w:lineRule="exact"/>
        <w:rPr>
          <w:sz w:val="20"/>
          <w:szCs w:val="20"/>
          <w:color w:val="auto"/>
        </w:rPr>
      </w:pPr>
    </w:p>
    <w:p>
      <w:pPr>
        <w:jc w:val="both"/>
        <w:ind w:left="1080" w:hanging="532"/>
        <w:spacing w:after="0" w:line="290"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Potential Failure to Consummate the Merger. </w:t>
      </w:r>
      <w:r>
        <w:rPr>
          <w:rFonts w:ascii="Arial" w:cs="Arial" w:eastAsia="Arial" w:hAnsi="Arial"/>
          <w:sz w:val="16"/>
          <w:szCs w:val="16"/>
          <w:color w:val="auto"/>
        </w:rPr>
        <w:t>The merger and the other transactions may not be completed for a variety of reasons,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failure of one or more closing conditions to be satisfied, such as the failure of the Company to obtain certain specified third-party consents relating to certain of its existing indebtedness. If the merger and other transactions are not completed, the Company may experience negative consequences, including the potential reduction to the trading price of the Company common shares and erosion of employee or customer confidence in the Company, and the possibility that, under certain circumstances in which the merger agreement is terminated, the Company may be required to pay a termination fee of $13 million, as more fully described in the section entitled “The Merger Agreement—Termination Fees and Expense Reimbursement” beginning on page 90 of this proxy statement;</w:t>
      </w:r>
    </w:p>
    <w:p>
      <w:pPr>
        <w:spacing w:after="0" w:line="185"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the Merger on Company Shareholders. </w:t>
      </w:r>
      <w:r>
        <w:rPr>
          <w:rFonts w:ascii="Arial" w:cs="Arial" w:eastAsia="Arial" w:hAnsi="Arial"/>
          <w:sz w:val="16"/>
          <w:szCs w:val="16"/>
          <w:color w:val="auto"/>
        </w:rPr>
        <w:t>The fact that the public shareholders will have no ongoing equity participation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following the merger, and that the public shareholders would forego the opportunity to participate in the potential future earnings or growth of the Company, if any, and the possibility that, at some future time, the rolling shareholders or Parent could sell some or all of the surviving company or its securities, businesses or assets to one or more purchasers at a valuation higher than available in the merger, and that the public shareholders would not be able to participate in or benefit from such a sale;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Historical Trading Prices. </w:t>
      </w:r>
      <w:r>
        <w:rPr>
          <w:rFonts w:ascii="Arial" w:cs="Arial" w:eastAsia="Arial" w:hAnsi="Arial"/>
          <w:sz w:val="18"/>
          <w:szCs w:val="18"/>
          <w:color w:val="auto"/>
        </w:rPr>
        <w:t>The fact that the trading price of the Company common shares had at times during the 52-week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the date of the merger agreement been higher than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79" w:name="page80"/>
    <w:bookmarkEnd w:id="79"/>
    <w:p>
      <w:pPr>
        <w:jc w:val="both"/>
        <w:ind w:left="1080"/>
        <w:spacing w:after="0" w:line="259" w:lineRule="auto"/>
        <w:rPr>
          <w:sz w:val="20"/>
          <w:szCs w:val="20"/>
          <w:color w:val="auto"/>
        </w:rPr>
      </w:pPr>
      <w:r>
        <w:rPr>
          <w:rFonts w:ascii="Arial" w:cs="Arial" w:eastAsia="Arial" w:hAnsi="Arial"/>
          <w:sz w:val="18"/>
          <w:szCs w:val="18"/>
          <w:color w:val="auto"/>
        </w:rPr>
        <w:t>the merger consideration (with the 52-week high during that period being $6.50 per share on January 15, 2021), although the special committee noted that such historical prices were by their nature not reflective of the most recently available information with respect to the financial condition and prospects of the Company or current industry or market conditions;</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of Directors and Executive Officers. </w:t>
      </w:r>
      <w:r>
        <w:rPr>
          <w:rFonts w:ascii="Arial" w:cs="Arial" w:eastAsia="Arial" w:hAnsi="Arial"/>
          <w:sz w:val="18"/>
          <w:szCs w:val="18"/>
          <w:color w:val="auto"/>
        </w:rPr>
        <w:t>Some directors and executive officers of the Company, although not the members of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have potential interests in the merger that are different from, or in addition to, the interests of the public shareholders. For more information, see the section entitled “—Interests of the Company’s Directors and Executive Officers in the Merger” beginning on page 67 of this proxy statement;</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Diversion of Management. </w:t>
      </w:r>
      <w:r>
        <w:rPr>
          <w:rFonts w:ascii="Arial" w:cs="Arial" w:eastAsia="Arial" w:hAnsi="Arial"/>
          <w:sz w:val="18"/>
          <w:szCs w:val="18"/>
          <w:color w:val="auto"/>
        </w:rPr>
        <w:t>The substantial time and effort of management necessary to complete the merger could result in diverting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attention from, and could have a detrimental impact on, the Company’s business;</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Interim Operating Covenants. </w:t>
      </w:r>
      <w:r>
        <w:rPr>
          <w:rFonts w:ascii="Arial" w:cs="Arial" w:eastAsia="Arial" w:hAnsi="Arial"/>
          <w:sz w:val="16"/>
          <w:szCs w:val="16"/>
          <w:color w:val="auto"/>
        </w:rPr>
        <w:t>The merger agreement restricts the conduct of the Company’s business prior to the completion of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the Company to conduct its business only in the ordinary course and subject to specific limitations, which may (but are not likely to) delay or prevent the Company from undertaking business opportunities that may arise pending completion of the merger;</w:t>
      </w:r>
    </w:p>
    <w:p>
      <w:pPr>
        <w:spacing w:after="0" w:line="17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Litigation. </w:t>
      </w:r>
      <w:r>
        <w:rPr>
          <w:rFonts w:ascii="Arial" w:cs="Arial" w:eastAsia="Arial" w:hAnsi="Arial"/>
          <w:sz w:val="18"/>
          <w:szCs w:val="18"/>
          <w:color w:val="auto"/>
        </w:rPr>
        <w:t>The risk of incurring substantial expenses related to the merger, including in connection with any litigation that may arise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future;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Taxable Transaction. </w:t>
      </w:r>
      <w:r>
        <w:rPr>
          <w:rFonts w:ascii="Arial" w:cs="Arial" w:eastAsia="Arial" w:hAnsi="Arial"/>
          <w:sz w:val="18"/>
          <w:szCs w:val="18"/>
          <w:color w:val="auto"/>
        </w:rPr>
        <w:t>The merger will be a taxable transaction to holders of Company common shares for U.S. federal income tax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may also be taxable under state and local and other tax laws. For more information, see the section entitled “Material U.S. Federal Income Tax Consequences of the Merger” beginning on page 151 of this proxy statement.</w:t>
      </w:r>
    </w:p>
    <w:p>
      <w:pPr>
        <w:spacing w:after="0" w:line="194" w:lineRule="exact"/>
        <w:rPr>
          <w:sz w:val="20"/>
          <w:szCs w:val="20"/>
          <w:color w:val="auto"/>
        </w:rPr>
      </w:pPr>
    </w:p>
    <w:p>
      <w:pPr>
        <w:jc w:val="both"/>
        <w:ind w:firstLine="473"/>
        <w:spacing w:after="0" w:line="253" w:lineRule="auto"/>
        <w:rPr>
          <w:sz w:val="20"/>
          <w:szCs w:val="20"/>
          <w:color w:val="auto"/>
        </w:rPr>
      </w:pPr>
      <w:r>
        <w:rPr>
          <w:rFonts w:ascii="Arial" w:cs="Arial" w:eastAsia="Arial" w:hAnsi="Arial"/>
          <w:sz w:val="18"/>
          <w:szCs w:val="18"/>
          <w:color w:val="auto"/>
        </w:rPr>
        <w:t>The preceding list of factors is not intended to be exhaustive but includes all material factors that the special committee considered in evaluating the merger agreement, the statutory merger agreement and the transactions, including the merger. In view of the complexity and wide variety of factors in connection with the special committee’s evaluation of the merger agreement, the statutory merger agreement and the transactions, including the merger, the members of the special committee did not find it practical to quantify, rank or otherwise assign relative weights to the different factors in reaching their decision. In addition, in considering the factors described above, individual members of the special committee may have given different weight to different factors. The special committee did not undertake to make any specific determination as to whether any factor, or any particular aspect of any factor, supported or did not support their ultimate determinations. The special committee based its recommendation on the totality of the information analyzed and presented to the special committee.</w:t>
      </w:r>
    </w:p>
    <w:p>
      <w:pPr>
        <w:spacing w:after="0" w:line="198"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special committee did not consider the Company’s net book value as an important factor in determining the fairness of the merger consideration to the public shareholders. The special committee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The special committee did not find it practicable to, and did not, appraise the assets of the Company to determine the liquidation value per Company common share for the public shareholders because (a) the special committee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jc w:val="both"/>
        <w:spacing w:after="0" w:line="294" w:lineRule="auto"/>
        <w:rPr>
          <w:sz w:val="20"/>
          <w:szCs w:val="20"/>
          <w:color w:val="auto"/>
        </w:rPr>
      </w:pPr>
      <w:r>
        <w:rPr>
          <w:rFonts w:ascii="Arial" w:cs="Arial" w:eastAsia="Arial" w:hAnsi="Arial"/>
          <w:sz w:val="16"/>
          <w:szCs w:val="16"/>
          <w:color w:val="auto"/>
        </w:rPr>
        <w:t>the merger. The special committee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69"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The special committee did not consider the purchase price paid in the transactions described under “Other Important Information Regarding the Company —Certain Transactions in the Company Shares” beginning on page 110 of this proxy statement as an important factor in determining the fairness of the merger consideration to the public shareholders. The special committee believes that the prices paid in such historical transactions were by their nature not reflective of the most recently available information with respect to the financial condition and prospects of the Company and current industry and market conditions.</w:t>
      </w:r>
    </w:p>
    <w:p>
      <w:pPr>
        <w:spacing w:after="0" w:line="15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special committee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 should be noted that this explanation of the reasoning of the special committee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Board of Directors of the Company</w:t>
      </w:r>
    </w:p>
    <w:p>
      <w:pPr>
        <w:spacing w:after="0" w:line="225" w:lineRule="exact"/>
        <w:rPr>
          <w:sz w:val="20"/>
          <w:szCs w:val="20"/>
          <w:color w:val="auto"/>
        </w:rPr>
      </w:pPr>
    </w:p>
    <w:p>
      <w:pPr>
        <w:jc w:val="both"/>
        <w:ind w:firstLine="430"/>
        <w:spacing w:after="0" w:line="298" w:lineRule="auto"/>
        <w:rPr>
          <w:sz w:val="20"/>
          <w:szCs w:val="20"/>
          <w:color w:val="auto"/>
        </w:rPr>
      </w:pPr>
      <w:r>
        <w:rPr>
          <w:rFonts w:ascii="Arial" w:cs="Arial" w:eastAsia="Arial" w:hAnsi="Arial"/>
          <w:sz w:val="16"/>
          <w:szCs w:val="16"/>
          <w:color w:val="auto"/>
        </w:rPr>
        <w:t>On February 21, 2021, based in part on the unanimous recommendation of the special committee, as well as on the basis of the other factors described above (including, among other factors, the financial analyses reviewed and discussed with the special committee with its financial advisor and provided to the board of directors of the Company by the special committee for the information and benefit of the board of directors of the Company in its capacity as such in connection with its evaluation of the merger), the board of directors of the Company by unanimous resolution:</w:t>
      </w:r>
    </w:p>
    <w:p>
      <w:pPr>
        <w:spacing w:after="0" w:line="180" w:lineRule="exact"/>
        <w:rPr>
          <w:sz w:val="20"/>
          <w:szCs w:val="20"/>
          <w:color w:val="auto"/>
        </w:rPr>
      </w:pPr>
    </w:p>
    <w:p>
      <w:pPr>
        <w:jc w:val="both"/>
        <w:ind w:left="108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the rolling shareholders and the holders of Company preference shares;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recommended approval of the merger, the merger agreement and the statutory merger agreement to the public shareholders and the holders of Company preference shares.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In evaluating the merger agreement and the statutory merger agreement and the transactions contemplated thereby, and in the course of making these determinations, the board of directors of the Company expressly adopted the special committee’s analyses and conclusions described above. Without limiting the foregoing, the board of directors of the Company considered a number of factors,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following material factors and benefits of the merger (which are not listed in any relative order of importance):</w:t>
      </w:r>
    </w:p>
    <w:p>
      <w:pPr>
        <w:spacing w:after="0" w:line="239"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independence and experience of the special committee and the factors relating to procedural safeguards of the special committee process;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unanimous recommendation of the special committee;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factors considered by the special committee, including the benefits, risks and potentially negative factors relating to the merger and other transactions contemplated by the merger agreement and the statutory merger agreement.</w:t>
      </w:r>
    </w:p>
    <w:p>
      <w:pPr>
        <w:spacing w:after="0" w:line="186"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auto"/>
        </w:rPr>
        <w:t>The preceding list of factors is not intended to be exhaustive but includes all material factors that the board of directors of the Company considered in evaluating the merger agreement, the statutory merger agreement and the transactions, including the merger. In view of the complexity and wide variety of factors in connection with the board of directors’ evaluation of the merger agreement, the statutory merger agreement and the transactions, including the merger, the members of the board of directors of the Company did not find it practical to quantify, rank or otherwise assign relative weights to the different factors in reaching their decision. In addition, in considering the factors described above, individual members of the board of directors of the Company may have given different weight to different factors. The board of directors of the Company did not undertake to make any specific determination as to whether any factor, or any particular aspect of any factor, supported or did not support their ultimate determinations. The board of directors of the Company based its recommendation on the totality of the information presented, including discussions with the special committee.</w:t>
      </w:r>
    </w:p>
    <w:p>
      <w:pPr>
        <w:spacing w:after="0" w:line="178"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The board of directors of the Company did not consider the Company’s net book value as an important factor in determining the fairness of the merger consideration to the public shareholders. The board of directors of the Company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69"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The board of directors of the Company did not find it practicable to, and did not, appraise the assets of the Company to determine the liquidation value per Company common share for the public shareholders because (a) the board of directors of the Company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 the merger. The board of directors of the Company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73"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The board of directors of the Company did not consider the purchase price paid in the transactions described under “Other Important Information Regarding the Company—Certain Transactions in the Company Shares” beginning on page 110 of this proxy statement as an important factor in determining the fairness of the merger consideration to the public shareholders. The board of directors of the Company believes that the prices paid in such historical transactions were by their nature not reflective of the most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recently available information with respect to the financial condition and prospects of the Company and current industry and market conditions.</w:t>
      </w:r>
    </w:p>
    <w:p>
      <w:pPr>
        <w:spacing w:after="0" w:line="24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board of directors of the Company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It should be noted that this explanation of the reasoning of the board of directors of the Company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w:t>
      </w:r>
    </w:p>
    <w:p>
      <w:pPr>
        <w:spacing w:after="0" w:line="231"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auto"/>
        </w:rPr>
        <w:t>The Company believes that the interests of the public shareholders were represented by the special committee, which negotiated the terms and conditions of the merger agreement and the statutory merger agreement with the assistance of its independent legal and financial advisors. The special committee was delegated by the board of directors of the Company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this section entitled “—Reasons for the Merger”, the Company believes that the merger is both substantively and procedurally fair to the public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Merger</w:t>
      </w:r>
    </w:p>
    <w:p>
      <w:pPr>
        <w:spacing w:after="0" w:line="231" w:lineRule="exact"/>
        <w:rPr>
          <w:sz w:val="20"/>
          <w:szCs w:val="20"/>
          <w:color w:val="auto"/>
        </w:rPr>
      </w:pPr>
    </w:p>
    <w:p>
      <w:pPr>
        <w:jc w:val="both"/>
        <w:ind w:firstLine="356"/>
        <w:spacing w:after="0" w:line="294" w:lineRule="auto"/>
        <w:rPr>
          <w:sz w:val="20"/>
          <w:szCs w:val="20"/>
          <w:color w:val="auto"/>
        </w:rPr>
      </w:pPr>
      <w:r>
        <w:rPr>
          <w:rFonts w:ascii="Arial" w:cs="Arial" w:eastAsia="Arial" w:hAnsi="Arial"/>
          <w:sz w:val="16"/>
          <w:szCs w:val="16"/>
          <w:color w:val="auto"/>
        </w:rPr>
        <w:t>As noted above, in response to the proposal from GEPIF, the special committee considered potential strategic alternatives, including a potential sale of the Company, with the assistance of the Company’s senior management and advisors. The special committee considered the risks and potential likelihood of achieving greater value for the Company’s public shareholders by pursuing strategic alternatives to the merger, including continuing as a stand-alone public company, relative to the benefits of the merger. For more information on the process behind the special committee’s determination, see the sections entitled “— Background of the Merger” and “—Reasons for the Merger” beginning on page 33 and 42, respectively,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GEPIF Filing Parties’ Reasons for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jc w:val="both"/>
        <w:ind w:right="20" w:firstLine="516"/>
        <w:spacing w:after="0" w:line="331" w:lineRule="auto"/>
        <w:rPr>
          <w:sz w:val="20"/>
          <w:szCs w:val="20"/>
          <w:color w:val="auto"/>
        </w:rPr>
      </w:pPr>
      <w:r>
        <w:rPr>
          <w:rFonts w:ascii="Arial" w:cs="Arial" w:eastAsia="Arial" w:hAnsi="Arial"/>
          <w:sz w:val="16"/>
          <w:szCs w:val="16"/>
          <w:color w:val="auto"/>
        </w:rPr>
        <w:t>For the GEPIF filing parties, the purpose of the merger is to enable Parent to acquire each Company common share that is issued and outstanding immediately prior to the effective time, other than any rollover share, any hook share, any treasury share or any dissenting common share.</w:t>
      </w:r>
    </w:p>
    <w:p>
      <w:pPr>
        <w:spacing w:after="0" w:line="14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GEPIF filing parties determined that structuring the transaction as a merger in the way as set forth in the merger agreement, the statutory merger agreement and the rollover agreement was efficient and appropriate because (a) it will enable Parent to acquire each Company common share that is issued and outstanding immediately prior to the effective time, other than any rollover share, any hook share, any treasury share or any dissenting common share, (b) it will allow holders of Company common shares (other than any rollover share, any hook share, any treasury share or any dissenting common share) to immediately realize the value of their investment in the Company through their receipt of the $5.80 per Company common share merger consideration and</w:t>
      </w:r>
    </w:p>
    <w:p>
      <w:pPr>
        <w:spacing w:after="0" w:line="2" w:lineRule="exact"/>
        <w:rPr>
          <w:sz w:val="20"/>
          <w:szCs w:val="20"/>
          <w:color w:val="auto"/>
        </w:rPr>
      </w:pPr>
    </w:p>
    <w:p>
      <w:pPr>
        <w:jc w:val="both"/>
        <w:ind w:firstLine="8"/>
        <w:spacing w:after="0" w:line="255" w:lineRule="auto"/>
        <w:tabs>
          <w:tab w:leader="none" w:pos="2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is consistent with recent precedent transactions involving NYSE-listed companies incorporated under Bermuda law. Because the transaction structure is consistent with the objectives of the GEPIF filing parties and with market practice, the GEPIF filing parties did not pursue or propose an alternative transaction structure.</w:t>
      </w:r>
    </w:p>
    <w:p>
      <w:pPr>
        <w:spacing w:after="0" w:line="198"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In making this determination, the GEPIF filing parties evaluated both the long-term strategy with respect to the Company and its separate public listing and recent developments with respect to the Company. The GEPIF filing parties have undertaken to pursue the merger at this time for the reasons described above.</w:t>
      </w:r>
    </w:p>
    <w:p>
      <w:pPr>
        <w:spacing w:after="0" w:line="19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Although the GEPIF filing parties believe that there will be certain opportunities associated with their investment in the Company if the merger is completed, the GEPIF filing parties realize that there are also substantial risks (including the risks and uncertainties relating to the prospects of the Company) and that such opportunities may never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GEPIF filing parties believe that the interests of the public shareholders were represented by the special committee, which negotiated the terms and conditions of the merger agreement and the statutory merger agreement with the assistance of its independent legal and financial advisors. Each of the GEPIF filing parties attempted to negotiate a transaction that would be most favorable to the GEPIF filing parties, and not to the public shareholders and, accordingly, did not negotiate the merger agreement with a goal of obtaining terms that were substantively or procedurally fair to the public shareholders. None of the GEPIF filing parties or their respective affiliates participated in the deliberations of the special committee regarding, nor received any advice from the special committee’s independent legal or financial advisors as to, the fairness of the merger to the public shareholders.</w:t>
      </w:r>
    </w:p>
    <w:p>
      <w:pPr>
        <w:spacing w:after="0" w:line="174"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Furthermore, none of the GEPIF filing parties or their respective affiliates undertook an independent evaluation of the fairness of the merger to the public shareholders. No financial advisor provided the GEPIF filing parties or any of their respective affiliates with any analysis or opinion with respect to the fairness of the merger consideration to the public shareholders. The GEPIF filing parties did not receive any independent reports, opinions or appraisals from any third party that is materially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merger in connection with the merger consideration or the fairness of the merger consideration offered to the public shareholders or the fairness of the merger to the Company or its affiliates or to the public shareholders, and thus did not consider any such reports, opinions or appraisals in determining the substantive and procedural fairness of the merger consideration to the public shareholders.</w:t>
      </w:r>
    </w:p>
    <w:p>
      <w:pPr>
        <w:spacing w:after="0" w:line="194" w:lineRule="exact"/>
        <w:rPr>
          <w:sz w:val="20"/>
          <w:szCs w:val="20"/>
          <w:color w:val="auto"/>
        </w:rPr>
      </w:pPr>
    </w:p>
    <w:p>
      <w:pPr>
        <w:jc w:val="both"/>
        <w:ind w:firstLine="415"/>
        <w:spacing w:after="0" w:line="294" w:lineRule="auto"/>
        <w:rPr>
          <w:sz w:val="20"/>
          <w:szCs w:val="20"/>
          <w:color w:val="auto"/>
        </w:rPr>
      </w:pPr>
      <w:r>
        <w:rPr>
          <w:rFonts w:ascii="Arial" w:cs="Arial" w:eastAsia="Arial" w:hAnsi="Arial"/>
          <w:sz w:val="16"/>
          <w:szCs w:val="16"/>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GEPIF filing parties adopt, and the following factors, which are considered material and not listed in any relative order of importance, the GEPIF filing parties believe that the merger is both substantively and procedurally fair to the public shareholders:</w:t>
      </w:r>
    </w:p>
    <w:p>
      <w:pPr>
        <w:spacing w:after="0" w:line="183" w:lineRule="exact"/>
        <w:rPr>
          <w:sz w:val="20"/>
          <w:szCs w:val="20"/>
          <w:color w:val="auto"/>
        </w:rPr>
      </w:pPr>
    </w:p>
    <w:p>
      <w:pPr>
        <w:jc w:val="both"/>
        <w:ind w:left="1080" w:hanging="532"/>
        <w:spacing w:after="0" w:line="294"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pursuant to the merger agreement and the statutory merger agreement, the public shareholders will receive the merger consideration of $5.80 per Company common share, which represents a premium of approximately 17.2% based on the trading price of $4.95 per share at market close on February 19, 2021, the last trading day before the announcement of the execution of the merger agreement and a premium of approximately 22.4% based on the volume weighted average price of $4.74 per share during the 30 days ended February 19, 2021, the last trading day before the announcement of the execution of the merger agreement;</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merger consideration is payable to the public shareholders entirely in cash which provides certainty of value and immediate liquidity to the shareholders of Company common shares;</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that the opinion of Evercore was delivered to the special committee only and none of the GEPIF filing parties or any of their respective affiliates was entitled to rely or relied upon any such opinion, the fact that the special committee received an opinion from Evercore, to the effect that, as of the date of the opinion, and based upon and subject to the procedures followed, assumptions made, matters considered and qualifications and limitations on the review undertaken by Evercore set forth in the written opinion, the merger consideration was fair, from a financial point of view, to the public shareholders;</w:t>
      </w:r>
    </w:p>
    <w:p>
      <w:pPr>
        <w:spacing w:after="0" w:line="214"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special committee was established and given authority to, among other things, review, evaluate and negotiate the terms of the merger and to recommend to the board of directors of the Company what action should be taken by the Company, including not to engage in the merger;</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special committee consists solely of directors independent and disinterested directors who are unaffiliated with the GEPIF filing parties or any member of management of the Company and none of the members of the special committee is or was an employee of the Company or any of its subsidiaries or affiliates;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none of the GEPIF filing parties or their respective affiliates participated in the deliberative process of, or the conclusions reached by, the special committee or the negotiating positions of the special committee;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special committee retained and was advised by its independent legal counsel and financial advisor who are experienced in advising committees such as the special committee in similar transactions;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special committee and the board of directors of the Company, acting upon the unanimous recommendation of the special committee, determined that the merger agreement and the statutory merger agreement and the transactions therein, including the merger, are fair to and in the best interests of the public shareholders;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availability of appraisal rights to Company shareholders who do not vote in favor of the merger proposal provides eligible shareholders with the opportunity to have a Bermuda court appraise the fair value of their shares;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merger agreement requires Parent to pay a reverse termination fee of $40,000,000 as set forth in the merger agreement, if the merger agreement is terminated under certain circumstances, which termination fee is guaranteed by GEPIF III.</w:t>
      </w:r>
    </w:p>
    <w:p>
      <w:pPr>
        <w:spacing w:after="0" w:line="186"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The GEPIF filing parties did not consider the Company’s net book value as an important factor in determining the fairness of the merger consideration to the public shareholders. The GEPIF filing parties believe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GEPIF filing parties did not find it practicable to, and did not, appraise the assets of the Company to determine the liquidation value per Company common share for the public shareholders because (a) the GEPIF filing parties believed that liquidation sales generally result in proceeds that are substantially less than in sales of a going concern, (b) they believed that it was impracticable to determine a liquidation value given the significant execution risk involved in any liquidation, (c) they considered the Company to be a viable going concern and (d) the Company will continue to operate its business following the merger.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GEPIF filing parties are not aware of any firm offer for a merger or asset sale of the Company having been made during the past two years.</w:t>
      </w:r>
    </w:p>
    <w:p>
      <w:pPr>
        <w:spacing w:after="0" w:line="248"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6"/>
          <w:szCs w:val="16"/>
          <w:color w:val="auto"/>
        </w:rPr>
        <w:t>The foregoing discussion of the information and factors considered by the GEPIF filing parties in connection with the fairness of the merger is not intended to be exhaustive, but the GEPIF filing parties believe that it includes all material factors considered by each of them. None of the GEPIF filing parties found it practicable to, and they did not, quantify or otherwise attach relative weights to the foregoing factors in reaching their conclusion as to the fairness of the merger. Rather, the fairness determinations were made by the GEPIF filing parties after considering all the factors as a whole. The sequence in which the factors described above are presented is not intended to reflect their relative importance. The GEPIF filing parties believe that these factors provide a reasonable basis upon which to form its belief that the merger is fair to the public shareholders. This belief should not, however, be construed as a recommendation to any Company shareholder to vote in favor of the merger proposal. As noted above, the GEPIF filing parties are not making any recommendation as to how the Company shareholders should vote their Company common shares or Company preference shares on the merger proposal.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Shareholder Parties’ Reasons for the Merger</w:t>
      </w:r>
    </w:p>
    <w:p>
      <w:pPr>
        <w:spacing w:after="0" w:line="231"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Under the SEC’s rules governing “going-private” transactions, including Rule 13e-3 under the Exchange Act, each rolling shareholder party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6" w:name="page87"/>
    <w:bookmarkEnd w:id="86"/>
    <w:p>
      <w:pPr>
        <w:ind w:firstLine="525"/>
        <w:spacing w:after="0" w:line="268" w:lineRule="auto"/>
        <w:rPr>
          <w:sz w:val="20"/>
          <w:szCs w:val="20"/>
          <w:color w:val="auto"/>
        </w:rPr>
      </w:pPr>
      <w:r>
        <w:rPr>
          <w:rFonts w:ascii="Arial" w:cs="Arial" w:eastAsia="Arial" w:hAnsi="Arial"/>
          <w:sz w:val="18"/>
          <w:szCs w:val="18"/>
          <w:color w:val="auto"/>
        </w:rPr>
        <w:t>For the rolling shareholder parties, the purpose of the merger is to enable to rolling shareholder parties to maintain their existing ownership in the Company while facilitating the acquisition by Parent of all of the Company common shares held by the public shareholders.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Rolling Shareholder Parties determined to support the merger and the other related transactions based on, among other things, the following factors:</w:t>
      </w:r>
    </w:p>
    <w:p>
      <w:pPr>
        <w:spacing w:after="0" w:line="38" w:lineRule="exact"/>
        <w:rPr>
          <w:sz w:val="20"/>
          <w:szCs w:val="20"/>
          <w:color w:val="auto"/>
        </w:rPr>
      </w:pPr>
    </w:p>
    <w:p>
      <w:pPr>
        <w:jc w:val="both"/>
        <w:ind w:firstLine="8"/>
        <w:spacing w:after="0" w:line="290" w:lineRule="auto"/>
        <w:tabs>
          <w:tab w:leader="none" w:pos="25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Company’s potential need for additional capital in the future to refinance existing indebtedness or to fund acquisitions and capital expenditures (and their belief that GEPIF could be helpful in obtaining such additional capital); (b) the potential risks to the Company of continuing as a standalone publicly traded entity given the nature of the Company’s industry and economic and market conditions (including the recent volatility in the trading price of the Company common shares); and (c) extensive negotiations with GEPIF regarding the post-closing governance arrangements for the Company (including the fact that Blenheim Holdings, Olympic and Blenheim Special Investments will appoint the majority of the surviving company’s board of directors in accordance with the shareholder agreement to be entered into at the closing of the merger).</w:t>
      </w:r>
    </w:p>
    <w:p>
      <w:pPr>
        <w:spacing w:after="0" w:line="172"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rolling shareholder parties determined that structuring the transaction as a merger in the way as set forth in the merger agreement, the statutory merger agreement and the rollover agreement was efficient and appropriate because (a) it will enable the Company common shares held by the rolling shareholder parties to remain outstanding at and following the merger, (b) it will allow Parent to acquire all of the outstanding Company common shares held by the public shareholders and (c) it will allow the public shareholders to immediately realize the value of their investment in the Company through their receipt of the merger consideration. Because the transaction structure is consistent with the objectives of the rolling shareholder parties, the rolling shareholder parties did not pursue or propose an alternative transaction structure.</w:t>
      </w:r>
    </w:p>
    <w:p>
      <w:pPr>
        <w:spacing w:after="0" w:line="174"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In making this determination, the rolling shareholder parties evaluated the Company’s long-term strategy as a standalone public company and recent developments and trading performance with respect to the Company and the Company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 Parties as to the Fairness of the Merger</w:t>
      </w:r>
    </w:p>
    <w:p>
      <w:pPr>
        <w:spacing w:after="0" w:line="231"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rolling shareholder party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party is making the statements included in this part of the proxy statement solely for the purpose of complying with the requirements of Rule 13e-3 and other rules under the Exchange Act. No rolling shareholder party is making any recommendation to any Company shareholder as to how that shareholder should vote on the merger proposal, and the rolling shareholder parties’ views as described in this part of the proxy statement should not be so construed as such a recommendation.</w:t>
      </w:r>
    </w:p>
    <w:p>
      <w:pPr>
        <w:spacing w:after="0" w:line="172"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The rolling shareholder parties believe that the interests of the public shareholders were represented by the special committee, which negotiated the terms and conditions of the merger agreement and the statutory merger agreement with the assistance of its independent legal and financial advisors. The rolling shareholder parties did not participate in the negotiations of the merger agreement. None of the rolling shareholder parties, in their capacity as such, participated in the deliberations of the special committee regarding, nor received any advice from the special committee’s independent legal or financial advisors as to, the fairness of the merger to the public shareholders.</w:t>
      </w:r>
    </w:p>
    <w:p>
      <w:pPr>
        <w:spacing w:after="0" w:line="20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Furthermore, none of the rolling shareholder parties, in their capacity as such, undertook an independent evaluation of the fairness of the merger to the public shareholders. No financial advisor provided the rolling shareholder parties, in their capacity as such, with any analysis or opinion with respect to the fairness of the merger consideration to the public shareholders. The rolling shareholder parties did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jc w:val="both"/>
        <w:spacing w:after="0" w:line="256" w:lineRule="auto"/>
        <w:rPr>
          <w:sz w:val="20"/>
          <w:szCs w:val="20"/>
          <w:color w:val="auto"/>
        </w:rPr>
      </w:pPr>
      <w:r>
        <w:rPr>
          <w:rFonts w:ascii="Arial" w:cs="Arial" w:eastAsia="Arial" w:hAnsi="Arial"/>
          <w:sz w:val="18"/>
          <w:szCs w:val="18"/>
          <w:color w:val="auto"/>
        </w:rPr>
        <w:t>not receive any independent reports, opinions or appraisals from any third party that is materially related to the merger in connection with the merger consideration or the fairness of the merger consideration offered to the public shareholders or the fairness of the merger to the Company or to the public shareholders, and thus did not consider any such reports, opinions or appraisals in determining the substantive and procedural fairness of the merger consideration to the public shareholders.</w:t>
      </w:r>
    </w:p>
    <w:p>
      <w:pPr>
        <w:spacing w:after="0" w:line="197"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However,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which factors and findings, as set forth in this proxy statement, the rolling shareholder parties adopt, the rolling shareholder parties believe that the merger is both substantively and procedurally fair to the public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Evercore—Financial Advisor to the Special Committee</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special committee retained Evercore to act as financial advisor to the special committee in connection with evaluating the merger. On February 21, 2021, at a meeting of the special committee and at the request of the special committee, Evercore rendered its oral opinion to the special committee that, as of February 21, 2021, and based upon and subject to the factors, procedures, assumptions, qualifications and limitations set forth in its opinion, the merger consideration to be received by the public shareholders is fair, from a financial point of view, to the public shareholders. Evercore subsequently confirmed its oral opinion on February 21, 2021, in a written opinion executed on February 21, 2021.</w:t>
      </w:r>
    </w:p>
    <w:p>
      <w:pPr>
        <w:spacing w:after="0" w:line="16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Evercore consented to the reference to its opinion and to the inclusion of its opinion in this proxy statement, in each case, in accordance with the terms of Evercore’s written opinion dated February 21, 2021. Evercore’s opinion was addressed to, and provided for 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does not constitute a recommendation to the special committee or to any other persons in respect of the merger, including as to how any Company shareholder should act or vote in respect of the merger. The summary of the Evercore opinion set forth herein is qualified in its entirety by reference to the full text of the opinion included as Annex 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Company;</w:t>
      </w:r>
    </w:p>
    <w:p>
      <w:pPr>
        <w:spacing w:after="0" w:line="223"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Partnership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8" w:name="page89"/>
    <w:bookmarkEnd w:id="88"/>
    <w:p>
      <w:pPr>
        <w:ind w:left="1080" w:hanging="532"/>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Evercore by management of the Company and the Partnership, respectively, as approved for Evercore’s use by the Company (collectively, the “management forecasts”) (for more information on the management forecasts, see the section entitled “—Certain Financial Information” beginning on page 65 of this proxy statement);</w:t>
      </w:r>
    </w:p>
    <w:p>
      <w:pPr>
        <w:spacing w:after="0" w:line="210"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discussed with management of the Company and the Partnership, respectively, their assessment of the past and current operations of the Company and the Partnership, the current financial condition and prospects of the Company and the Partnership and the management forecasts;</w:t>
      </w:r>
    </w:p>
    <w:p>
      <w:pPr>
        <w:spacing w:after="0" w:line="131" w:lineRule="exact"/>
        <w:rPr>
          <w:rFonts w:ascii="Arial" w:cs="Arial" w:eastAsia="Arial" w:hAnsi="Arial"/>
          <w:sz w:val="15"/>
          <w:szCs w:val="15"/>
          <w:color w:val="auto"/>
        </w:rPr>
      </w:pPr>
    </w:p>
    <w:p>
      <w:pPr>
        <w:ind w:left="1080" w:hanging="532"/>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reviewed the reported prices and the historical trading activity of the Company common shares and the common units of the Partnership;</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management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management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 for the purposes of providing the opinion included as Annex D.</w:t>
      </w:r>
    </w:p>
    <w:p>
      <w:pPr>
        <w:spacing w:after="0" w:line="186"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the Company and the Partnership that they were not aware of any facts or circumstances that would make such information inaccurate or misleading. With respect to the management forecasts, Evercore assumed with the Company’s consent that they had been reasonably prepared on bases reflecting the best currently available estimates and good faith judgments of management of the Company and the Partnership as to the future financial performance of the Company and the Partnership and the other matters covered thereby. Evercore expressed no view as to the management forecasts or the assumptions on which they were based.</w:t>
      </w:r>
    </w:p>
    <w:p>
      <w:pPr>
        <w:spacing w:after="0" w:line="178" w:lineRule="exact"/>
        <w:rPr>
          <w:sz w:val="20"/>
          <w:szCs w:val="20"/>
          <w:color w:val="auto"/>
        </w:rPr>
      </w:pPr>
    </w:p>
    <w:p>
      <w:pPr>
        <w:jc w:val="both"/>
        <w:ind w:firstLine="548"/>
        <w:spacing w:after="0" w:line="298" w:lineRule="auto"/>
        <w:rPr>
          <w:sz w:val="20"/>
          <w:szCs w:val="20"/>
          <w:color w:val="auto"/>
        </w:rPr>
      </w:pPr>
      <w:r>
        <w:rPr>
          <w:rFonts w:ascii="Arial" w:cs="Arial" w:eastAsia="Arial" w:hAnsi="Arial"/>
          <w:sz w:val="16"/>
          <w:szCs w:val="16"/>
          <w:color w:val="auto"/>
        </w:rPr>
        <w:t>For purposes of Evercore’s analysis and opinion, Evercore assumed, in all respects material to Evercore’s analysis, that the final executed merger agreement would not differ from the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9" w:name="page90"/>
    <w:bookmarkEnd w:id="89"/>
    <w:p>
      <w:pPr>
        <w:jc w:val="both"/>
        <w:spacing w:after="0" w:line="259" w:lineRule="auto"/>
        <w:rPr>
          <w:sz w:val="20"/>
          <w:szCs w:val="20"/>
          <w:color w:val="auto"/>
        </w:rPr>
      </w:pPr>
      <w:r>
        <w:rPr>
          <w:rFonts w:ascii="Arial" w:cs="Arial" w:eastAsia="Arial" w:hAnsi="Arial"/>
          <w:sz w:val="18"/>
          <w:szCs w:val="18"/>
          <w:color w:val="auto"/>
        </w:rPr>
        <w:t>respects material to Evercore’s analysis, that all governmental, regulatory or other consents, approvals or releases necessary for the consummation of the merger would be obtained without any delay, limitation, restriction or condition that would have an adverse effect on the Company or the consummation of the merger or reduce the contemplated benefits to the Company’s public shareholders of the merger.</w:t>
      </w:r>
    </w:p>
    <w:p>
      <w:pPr>
        <w:spacing w:after="0" w:line="194" w:lineRule="exact"/>
        <w:rPr>
          <w:sz w:val="20"/>
          <w:szCs w:val="20"/>
          <w:color w:val="auto"/>
        </w:rPr>
      </w:pPr>
    </w:p>
    <w:p>
      <w:pPr>
        <w:jc w:val="both"/>
        <w:ind w:firstLine="547"/>
        <w:spacing w:after="0" w:line="253" w:lineRule="auto"/>
        <w:rPr>
          <w:sz w:val="20"/>
          <w:szCs w:val="20"/>
          <w:color w:val="auto"/>
        </w:rPr>
      </w:pPr>
      <w:r>
        <w:rPr>
          <w:rFonts w:ascii="Arial" w:cs="Arial" w:eastAsia="Arial" w:hAnsi="Arial"/>
          <w:sz w:val="18"/>
          <w:szCs w:val="18"/>
          <w:color w:val="auto"/>
        </w:rPr>
        <w:t>Evercore did not conduct a physical inspection of the properties or facilities of the Company or the Partnership and did not make or assume any responsibility for making any independent valuation or appraisal of the assets or liabilities (including any contingent, derivative or other off-balance sheet assets and liabilities) of the Company or the Partnership, nor was Evercore furnished with any such valuations or appraisals, nor did Evercore evaluate the solvency or fair value of the Company or the Partnership under any state or federal laws relating to bankruptcy, insolvency or similar matters. Evercore’s opinion was necessarily based upon information made available to Evercore as of the date of the opinion and financial, economic, market and other conditions as they existed and as could be evaluated on the date of its opinion. Subsequent developments may affect Evercore’s opinion and Evercore does not have any obligation to update, revise or reaffirm its opinion.</w:t>
      </w:r>
    </w:p>
    <w:p>
      <w:pPr>
        <w:spacing w:after="0" w:line="201"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the public shareholders, from a financial point of view, of the merger consideration to be received by the public shareholders. Evercore did not express any view on, and Evercore’s opinion did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the Company, nor did it address the underlying business decision of the Company to engage in the merger. Evercore’s opinion did not constitute a recommendation to the special committee or to any other persons in respect of the merger, including as to how any holder of Company common shares should vote or act in respect of the merger. Evercore did not express any opinion as to the prices at which the Company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Evercore is not a legal, regulatory, accounting or tax expert and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371"/>
        <w:spacing w:after="0" w:line="317" w:lineRule="auto"/>
        <w:rPr>
          <w:sz w:val="20"/>
          <w:szCs w:val="20"/>
          <w:color w:val="auto"/>
        </w:rPr>
      </w:pPr>
      <w:r>
        <w:rPr>
          <w:rFonts w:ascii="Arial" w:cs="Arial" w:eastAsia="Arial" w:hAnsi="Arial"/>
          <w:sz w:val="15"/>
          <w:szCs w:val="15"/>
          <w:color w:val="auto"/>
        </w:rPr>
        <w:t>Set forth below is a summary of the material financial analyses performed by Evercore and reviewed with the special committee on February 21, 2021, in connection with the rendering of Evercore’s opinion to the special committee. Each analysis was provided to the special committee.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February 21, 2021, and is not necessarily indicative of current market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Analysis of the Company Public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Assumptions with Respect to the Company</w:t>
      </w:r>
    </w:p>
    <w:p>
      <w:pPr>
        <w:spacing w:after="0" w:line="225"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Evercore performed a series of analyses to derive indicative valuation ranges for the Company common shares. Evercore performed its analyses utilizing the management forecasts prepared and furnished by management and at the request of the special committee. A summary of the management forecasts is available in the section entitled “—Certain Financial Information” beginning on page 65 of this proxy statement.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 Analysis—Perpetuity Growth and EBITDA Exit Multiple Methodology</w:t>
      </w:r>
    </w:p>
    <w:p>
      <w:pPr>
        <w:spacing w:after="0" w:line="225"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Evercore performed a discounted cash flow analysis of the Company to derive ranges of implied values per share of the Company common shares utilizing the management forecasts based on discounted cash flow analyses of the Company’s directly-held assets and the implied value of the general partner units, common units and class B units of the Partnership owned by the Company based on discounted cash flow analysis of the general partner units, common units and class B units of the Partnership.</w:t>
      </w:r>
    </w:p>
    <w:p>
      <w:pPr>
        <w:spacing w:after="0" w:line="197"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Evercore performed a discounted cash flow analysis of the implied value of the general partner units, common units and class B units of the Partnership owned by the Company by estimating the present value of the unlevered free cash flows that the Partnership was forecasted to generate during the years 2021 through 2025 based on the management forecasts, set forth in the section entitled “—Certain Financial Information” under Partnership Management Forecasts as “Partnership Unlevered Free Cash Flow”. Evercore calculated terminal values for the Partnership by applying a range of estimated EBITDA exit multiples of 8.5x to 9.5x and a range of perpetuity growth rates of 1.75% to 2.25%, to a terminal year estimate of the unlevered free cash flows that the Partnership was forecasted to generate based on the management forecasts. The terminal year estimate of the Partnership’s unlevered free cash flow in the perpetuity growth methodology was further reduced by a capital expenditures reserve of approximately $111.9 million. The unlevered free cash flows and the terminal values in each case were then discounted to present value as of January 1, 2021, using a range of discount rates of 8.5% to 9.5%, based on the Partnership’s weighted average cost of capital (“WACC”), as estimated by Evercore based on the capital asset pricing model (“CAPM”) and the Partnership’s LNG shipping peers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the discounted cash flow analysis utilizing the EBITDA exit multiple methodology to calculate terminal value resulted in an implied equity value range of $130.9 million to $208.2 million of the general partner units, common units and class B units of the Partnership owned by the Company, and the discounted cash flow analysis utilizing the perpetuity growth rate methodology to calculate terminal value resulted in an implied equity value range of $21.2 million to $121.3 million of the general partner units, common units and class B units owned by the Company.</w:t>
      </w:r>
    </w:p>
    <w:p>
      <w:pPr>
        <w:spacing w:after="0" w:line="176" w:lineRule="exact"/>
        <w:rPr>
          <w:sz w:val="20"/>
          <w:szCs w:val="20"/>
          <w:color w:val="auto"/>
        </w:rPr>
      </w:pPr>
    </w:p>
    <w:p>
      <w:pPr>
        <w:jc w:val="both"/>
        <w:ind w:firstLine="451"/>
        <w:spacing w:after="0" w:line="290" w:lineRule="auto"/>
        <w:rPr>
          <w:sz w:val="20"/>
          <w:szCs w:val="20"/>
          <w:color w:val="auto"/>
        </w:rPr>
      </w:pPr>
      <w:r>
        <w:rPr>
          <w:rFonts w:ascii="Arial" w:cs="Arial" w:eastAsia="Arial" w:hAnsi="Arial"/>
          <w:sz w:val="16"/>
          <w:szCs w:val="16"/>
          <w:color w:val="auto"/>
        </w:rPr>
        <w:t>For the discounted cash flow analysis of the Company’s directly-held assets, Evercore calculated ranges of implied enterprise value of the Company’s directly-held assets by estimating the present value of the unlevered free cash flows the Company’s directly-held assets were forecasted to generate during the years 2021 through 2025 based on the management forecasts, set forth in the section entitled “—Certain Financial Information” under Company Management Forecasts as “Company Directly-Held Asset Unlevered Free Cash Flow”. Evercore calculated terminal values for the Company by applying a range of estimated EBITDA exit multiples of 8.5x to 9.5x and a range of perpetuity growth rates of 1.75% to 2.25%, to a terminal year estimate of the unlevered free cash flows that the Company’s directly-held assets were forecasted to generate based on the management forecasts. The terminal year estimate of the Company’s unlevered free cash flow in the perpetuity growth methodology was further reduced by a capital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t>expenditures reserve of approximately $152.7 million. The unlevered free cash flows and the terminal values of the Company’s directly-held assets, in each case were then discounted to present value as of January 1, 2021, using a range of discount rates of 8.0% to 9.0%, based on the Company’s WACC, as estimated by Evercore based on the CAPM and the Company’s LNG shipping peers to derive a range of implied enterprise values for the Company’s directly-held assets.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EBITDA exit multiple methodology to calculate terminal value resulted in a range of implied equity value per share of Company common shares of $3.68 to $8.22, and the discounted cash flow analysis utilizing the perpetuity growth rate methodology to calculate terminal value resulted in a range of implied equity value per share of Company common shares of $1.25 to $8.76.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Flow—Useful Life Methodology</w:t>
      </w:r>
    </w:p>
    <w:p>
      <w:pPr>
        <w:spacing w:after="0" w:line="22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Evercore performed a “sum-of-parts” discounted cash flow analysis of the implied value of the general partner units, common units and Class B units of the Partnership owned by the Company by estimating the present value of the unlevered free cash flows that the Partnership’s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Partnership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calculated an implied equity value range of the general partner units, common units and class B units of the Partnership owned by the Company.</w:t>
      </w:r>
    </w:p>
    <w:p>
      <w:pPr>
        <w:spacing w:after="0" w:line="177" w:lineRule="exact"/>
        <w:rPr>
          <w:sz w:val="20"/>
          <w:szCs w:val="20"/>
          <w:color w:val="auto"/>
        </w:rPr>
      </w:pPr>
    </w:p>
    <w:p>
      <w:pPr>
        <w:jc w:val="both"/>
        <w:ind w:firstLine="362"/>
        <w:spacing w:after="0" w:line="286" w:lineRule="auto"/>
        <w:rPr>
          <w:sz w:val="20"/>
          <w:szCs w:val="20"/>
          <w:color w:val="auto"/>
        </w:rPr>
      </w:pPr>
      <w:r>
        <w:rPr>
          <w:rFonts w:ascii="Arial" w:cs="Arial" w:eastAsia="Arial" w:hAnsi="Arial"/>
          <w:sz w:val="16"/>
          <w:szCs w:val="16"/>
          <w:color w:val="auto"/>
        </w:rPr>
        <w:t>For the “sum-of-parts” discounted cash flow analysis of the Company’s directly-held assets, Evercore calculated a range of implied enterprise value of the Company’s directly-held assets by estimating the present value of the unlevered free cash flows that the Company’s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Company to derive a range of implied enterprise values for the Company.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jc w:val="both"/>
        <w:spacing w:after="0" w:line="256" w:lineRule="auto"/>
        <w:rPr>
          <w:sz w:val="20"/>
          <w:szCs w:val="20"/>
          <w:color w:val="auto"/>
        </w:rPr>
      </w:pPr>
      <w:r>
        <w:rPr>
          <w:rFonts w:ascii="Arial" w:cs="Arial" w:eastAsia="Arial" w:hAnsi="Arial"/>
          <w:sz w:val="18"/>
          <w:szCs w:val="18"/>
          <w:color w:val="auto"/>
        </w:rPr>
        <w:t>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useful life methodology resulted in a range of implied equity value per share of Company common shares of $3.91 to $6.85.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Peer Group Trading Analysis</w:t>
      </w:r>
    </w:p>
    <w:p>
      <w:pPr>
        <w:spacing w:after="0" w:line="225"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Evercore performed a peer group trading analysis of the Company by reviewing and comparing the market values and trading multiples of the following LNG shipping companies and master limited partnership (“MLPs”) that Evercore deemed to have certain characteristics that are similar to those of the Company and the Partnership, including size, business operations, services offered, nature of business and customers, and financial performance:</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Company Peer Group</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Partnership Peer Group</w:t>
            </w:r>
          </w:p>
        </w:tc>
      </w:tr>
      <w:tr>
        <w:trPr>
          <w:trHeight w:val="201"/>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c>
          <w:tcPr>
            <w:tcW w:w="14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Flex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Flex LNG</w:t>
            </w:r>
          </w:p>
        </w:tc>
      </w:tr>
      <w:tr>
        <w:trPr>
          <w:trHeight w:val="222"/>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Hoegh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Hoegh LNG</w:t>
            </w:r>
          </w:p>
        </w:tc>
      </w:tr>
      <w:tr>
        <w:trPr>
          <w:trHeight w:val="453"/>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LNG Shipping MLPs</w:t>
            </w:r>
          </w:p>
        </w:tc>
        <w:tc>
          <w:tcPr>
            <w:tcW w:w="4660" w:type="dxa"/>
            <w:vAlign w:val="bottom"/>
            <w:gridSpan w:val="3"/>
          </w:tcPr>
          <w:p>
            <w:pPr>
              <w:ind w:left="1440"/>
              <w:spacing w:after="0"/>
              <w:rPr>
                <w:sz w:val="20"/>
                <w:szCs w:val="20"/>
                <w:color w:val="auto"/>
              </w:rPr>
            </w:pPr>
            <w:r>
              <w:rPr>
                <w:rFonts w:ascii="Arial" w:cs="Arial" w:eastAsia="Arial" w:hAnsi="Arial"/>
                <w:sz w:val="18"/>
                <w:szCs w:val="18"/>
                <w:b w:val="1"/>
                <w:bCs w:val="1"/>
                <w:i w:val="1"/>
                <w:iCs w:val="1"/>
                <w:color w:val="auto"/>
              </w:rPr>
              <w:t>LNG Shipping MLPs</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Dynagas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Dynagas LNG Partners LP</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GasLog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Hoegh LNG Partners LP</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Hoegh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Teekay LNG Partners LP</w:t>
            </w: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  Teekay LNG Partners LP</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pacing w:after="0" w:line="210"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Although each peer group was compared to the Company and Partnership for purposes of this analysis, no company or MLP used in the peer group analysis is identical or directly comparable to the Company or the Partnership. In order to calculate peer group trading multiples, Evercore relied on publicly available filings with the SEC and equity research analyst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of the peer group companies and MLPs, Evercore calculated the following trading multiples:</w:t>
      </w:r>
    </w:p>
    <w:p>
      <w:pPr>
        <w:spacing w:after="0" w:line="239"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Enterprise Value/2021 EBITDA, which is defined as enterprise value divided by estimated EBITDA for the calendar year 2021;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Enterprise Value/2022 EBITDA, which is defined as enterprise value divided by estimated EBITDA for the calendar year 2022;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Price / Net Asset Value, which is defined as equity value divided by the estimated net asset value.</w:t>
      </w:r>
    </w:p>
    <w:p>
      <w:pPr>
        <w:spacing w:after="0" w:line="22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mean and median trading multiples for each peer group of the Company and the Partnership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5"/>
          </w:tcPr>
          <w:p>
            <w:pPr>
              <w:jc w:val="center"/>
              <w:ind w:right="1840"/>
              <w:spacing w:after="0"/>
              <w:rPr>
                <w:sz w:val="20"/>
                <w:szCs w:val="20"/>
                <w:color w:val="auto"/>
              </w:rPr>
            </w:pPr>
            <w:r>
              <w:rPr>
                <w:rFonts w:ascii="Arial" w:cs="Arial" w:eastAsia="Arial" w:hAnsi="Arial"/>
                <w:sz w:val="13"/>
                <w:szCs w:val="13"/>
                <w:b w:val="1"/>
                <w:bCs w:val="1"/>
                <w:color w:val="auto"/>
                <w:w w:val="96"/>
              </w:rPr>
              <w:t>MLPs (Excluding the</w:t>
            </w:r>
          </w:p>
        </w:tc>
        <w:tc>
          <w:tcPr>
            <w:tcW w:w="0" w:type="dxa"/>
            <w:vAlign w:val="bottom"/>
          </w:tcPr>
          <w:p>
            <w:pPr>
              <w:spacing w:after="0"/>
              <w:rPr>
                <w:sz w:val="1"/>
                <w:szCs w:val="1"/>
                <w:color w:val="auto"/>
              </w:rPr>
            </w:pPr>
          </w:p>
        </w:tc>
      </w:tr>
      <w:tr>
        <w:trPr>
          <w:trHeight w:val="161"/>
        </w:trPr>
        <w:tc>
          <w:tcPr>
            <w:tcW w:w="5260" w:type="dxa"/>
            <w:vAlign w:val="bottom"/>
            <w:gridSpan w:val="3"/>
            <w:vMerge w:val="restart"/>
          </w:tcPr>
          <w:p>
            <w:pPr>
              <w:ind w:left="1700"/>
              <w:spacing w:after="0"/>
              <w:rPr>
                <w:sz w:val="20"/>
                <w:szCs w:val="20"/>
                <w:color w:val="auto"/>
              </w:rPr>
            </w:pPr>
            <w:r>
              <w:rPr>
                <w:rFonts w:ascii="Arial" w:cs="Arial" w:eastAsia="Arial" w:hAnsi="Arial"/>
                <w:sz w:val="13"/>
                <w:szCs w:val="13"/>
                <w:b w:val="1"/>
                <w:bCs w:val="1"/>
                <w:color w:val="auto"/>
              </w:rPr>
              <w:t>Benchmark</w:t>
            </w:r>
          </w:p>
        </w:tc>
        <w:tc>
          <w:tcPr>
            <w:tcW w:w="126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C-Corps</w:t>
            </w:r>
          </w:p>
        </w:tc>
        <w:tc>
          <w:tcPr>
            <w:tcW w:w="180" w:type="dxa"/>
            <w:vAlign w:val="bottom"/>
          </w:tcPr>
          <w:p>
            <w:pPr>
              <w:spacing w:after="0"/>
              <w:rPr>
                <w:sz w:val="14"/>
                <w:szCs w:val="14"/>
                <w:color w:val="auto"/>
              </w:rPr>
            </w:pPr>
          </w:p>
        </w:tc>
        <w:tc>
          <w:tcPr>
            <w:tcW w:w="12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MLPs</w:t>
            </w:r>
          </w:p>
        </w:tc>
        <w:tc>
          <w:tcPr>
            <w:tcW w:w="160" w:type="dxa"/>
            <w:vAlign w:val="bottom"/>
          </w:tcPr>
          <w:p>
            <w:pPr>
              <w:spacing w:after="0"/>
              <w:rPr>
                <w:sz w:val="14"/>
                <w:szCs w:val="14"/>
                <w:color w:val="auto"/>
              </w:rPr>
            </w:pPr>
          </w:p>
        </w:tc>
        <w:tc>
          <w:tcPr>
            <w:tcW w:w="3120" w:type="dxa"/>
            <w:vAlign w:val="bottom"/>
            <w:gridSpan w:val="5"/>
          </w:tcPr>
          <w:p>
            <w:pPr>
              <w:jc w:val="center"/>
              <w:ind w:right="1860"/>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42"/>
        </w:trPr>
        <w:tc>
          <w:tcPr>
            <w:tcW w:w="526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60" w:type="dxa"/>
            <w:vAlign w:val="bottom"/>
          </w:tcPr>
          <w:p>
            <w:pPr>
              <w:spacing w:after="0"/>
              <w:rPr>
                <w:sz w:val="12"/>
                <w:szCs w:val="12"/>
                <w:color w:val="auto"/>
              </w:rPr>
            </w:pPr>
          </w:p>
        </w:tc>
        <w:tc>
          <w:tcPr>
            <w:tcW w:w="52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9.4x</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52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9.6x</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9.7x</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Net Asset Value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0.99x</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1.08x</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Company</w:t>
            </w:r>
          </w:p>
        </w:tc>
        <w:tc>
          <w:tcPr>
            <w:tcW w:w="1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6"/>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8.5x - 10.0x</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Appraisal Net Asset Value</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Price / Research Analyst Net Asset Value</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0.75x - 1.05x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multiples to the Partnership’s EBITDA for each of 2021 and 2022 based on the management forecasts.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derived an implied equity value range of $49.0 million to $157.2 million of the general partner units, common units and class B units owned by the Company based on 2021 EBITDA and a value range of $81.1 million to $194.9 million based on 2022 EBITDA, respectively.</w:t>
      </w:r>
    </w:p>
    <w:p>
      <w:pPr>
        <w:spacing w:after="0" w:line="174"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multiples to the Company’s deconsolidated EBITDA for each of 2021 and 2022 based on the management forecasts, excluding the Company’s share of the net income of the Partnership. Evercore then added the implied values of the general partner units, common units and class B units of the Partnership owned by the Company, derived from the peer group trading analysis of the Partnership, to the implied enterprise value ranges based on the peer group trading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Evercore derived a range of value per share of Company common shares of $2.07 to $8.32 based on 2021 deconsolidated EBITDA and $5.56 to $12.43 based on 2022 deconsolidated EBITDA.</w:t>
      </w:r>
    </w:p>
    <w:p>
      <w:pPr>
        <w:spacing w:after="0" w:line="178" w:lineRule="exact"/>
        <w:rPr>
          <w:sz w:val="20"/>
          <w:szCs w:val="20"/>
          <w:color w:val="auto"/>
        </w:rPr>
      </w:pPr>
    </w:p>
    <w:p>
      <w:pPr>
        <w:jc w:val="both"/>
        <w:ind w:firstLine="553"/>
        <w:spacing w:after="0" w:line="285" w:lineRule="auto"/>
        <w:rPr>
          <w:sz w:val="20"/>
          <w:szCs w:val="20"/>
          <w:color w:val="auto"/>
        </w:rPr>
      </w:pPr>
      <w:r>
        <w:rPr>
          <w:rFonts w:ascii="Arial" w:cs="Arial" w:eastAsia="Arial" w:hAnsi="Arial"/>
          <w:sz w:val="16"/>
          <w:szCs w:val="16"/>
          <w:color w:val="auto"/>
        </w:rPr>
        <w:t>For the peer group trading analysis based on net asset value, Evercore calculated the total implied net asset value of the Company, including the Company’s ownership interest in Partnership, based on (a) an average of appraisals received from Fearnleys and Braemar ACM as of December 2020 and</w:t>
      </w:r>
    </w:p>
    <w:p>
      <w:pPr>
        <w:spacing w:after="0" w:line="1" w:lineRule="exact"/>
        <w:rPr>
          <w:sz w:val="20"/>
          <w:szCs w:val="20"/>
          <w:color w:val="auto"/>
        </w:rPr>
      </w:pPr>
    </w:p>
    <w:p>
      <w:pPr>
        <w:jc w:val="both"/>
        <w:ind w:firstLine="8"/>
        <w:spacing w:after="0" w:line="255" w:lineRule="auto"/>
        <w:tabs>
          <w:tab w:leader="none" w:pos="2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average of reported net asset value from equity research analysts, and applied such average values to the selected multiples to derive an implied equity value range. Evercore then divided the ranges of the implied equity value by the number of Company common shares outstanding as of January 1, 2021, to derive a range of value per share of the Company common shares of $2.92 to $8.32.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Precedent M&amp;A Transaction Analysis</w:t>
      </w:r>
    </w:p>
    <w:p>
      <w:pPr>
        <w:spacing w:after="0" w:line="225"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Evercore reviewed selected transactions that Evercore deemed to have certain characteristics similar to those of the Company and Partnership, including transactions involving LNG shipping vessels and companies.</w:t>
      </w:r>
    </w:p>
    <w:p>
      <w:pPr>
        <w:spacing w:after="0" w:line="186" w:lineRule="exact"/>
        <w:rPr>
          <w:sz w:val="20"/>
          <w:szCs w:val="20"/>
          <w:color w:val="auto"/>
        </w:rPr>
      </w:pPr>
    </w:p>
    <w:p>
      <w:pPr>
        <w:jc w:val="both"/>
        <w:ind w:firstLine="485"/>
        <w:spacing w:after="0" w:line="306" w:lineRule="auto"/>
        <w:rPr>
          <w:sz w:val="20"/>
          <w:szCs w:val="20"/>
          <w:color w:val="auto"/>
        </w:rPr>
      </w:pPr>
      <w:r>
        <w:rPr>
          <w:rFonts w:ascii="Arial" w:cs="Arial" w:eastAsia="Arial" w:hAnsi="Arial"/>
          <w:sz w:val="16"/>
          <w:szCs w:val="16"/>
          <w:color w:val="auto"/>
        </w:rPr>
        <w:t>Evercore reviewed transactions involving LNG shipping announced since January 2018 and selected nine transactions involving assets that Evercore deemed to have certain characteristics that are similar to those of the Partnership and Company’s directly-held assets, including size, business operations, services offered, nature of business and customers, and financial performance, although Evercore noted that none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94" w:name="page95"/>
    <w:bookmarkEnd w:id="94"/>
    <w:p>
      <w:pPr>
        <w:jc w:val="both"/>
        <w:ind w:right="20"/>
        <w:spacing w:after="0" w:line="268" w:lineRule="auto"/>
        <w:rPr>
          <w:sz w:val="20"/>
          <w:szCs w:val="20"/>
          <w:color w:val="auto"/>
        </w:rPr>
      </w:pPr>
      <w:r>
        <w:rPr>
          <w:rFonts w:ascii="Arial" w:cs="Arial" w:eastAsia="Arial" w:hAnsi="Arial"/>
          <w:sz w:val="18"/>
          <w:szCs w:val="18"/>
          <w:color w:val="auto"/>
        </w:rPr>
        <w:t>of the selected transactions or the selected companies or partnerships that participated in the selected transactions were directly comparable to the Partnership and Company’s directly-held assets.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w:t>
            </w:r>
          </w:p>
        </w:tc>
        <w:tc>
          <w:tcPr>
            <w:tcW w:w="8100" w:type="dxa"/>
            <w:vAlign w:val="bottom"/>
          </w:tcPr>
          <w:p>
            <w:pPr>
              <w:spacing w:after="0"/>
              <w:rPr>
                <w:sz w:val="13"/>
                <w:szCs w:val="13"/>
                <w:color w:val="auto"/>
              </w:rPr>
            </w:pPr>
          </w:p>
        </w:tc>
      </w:tr>
      <w:tr>
        <w:trPr>
          <w:trHeight w:val="161"/>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Announced</w:t>
            </w:r>
          </w:p>
        </w:tc>
        <w:tc>
          <w:tcPr>
            <w:tcW w:w="8100" w:type="dxa"/>
            <w:vAlign w:val="bottom"/>
          </w:tcPr>
          <w:p>
            <w:pPr>
              <w:jc w:val="center"/>
              <w:spacing w:after="0"/>
              <w:rPr>
                <w:sz w:val="20"/>
                <w:szCs w:val="20"/>
                <w:color w:val="auto"/>
              </w:rPr>
            </w:pPr>
            <w:r>
              <w:rPr>
                <w:rFonts w:ascii="Arial" w:cs="Arial" w:eastAsia="Arial" w:hAnsi="Arial"/>
                <w:sz w:val="13"/>
                <w:szCs w:val="13"/>
                <w:b w:val="1"/>
                <w:bCs w:val="1"/>
                <w:color w:val="auto"/>
                <w:w w:val="95"/>
              </w:rPr>
              <w:t>Acquiror / Target</w:t>
            </w:r>
          </w:p>
        </w:tc>
      </w:tr>
      <w:tr>
        <w:trPr>
          <w:trHeight w:val="201"/>
        </w:trPr>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7"/>
                <w:szCs w:val="17"/>
                <w:color w:val="auto"/>
              </w:rPr>
            </w:pPr>
          </w:p>
        </w:tc>
        <w:tc>
          <w:tcPr>
            <w:tcW w:w="8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New Fortress Energy Inc. / Hygo Energy Transition Ltd.</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New Fortress Energy Inc. / Golar LNG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10/1/19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Brookfield Business Partners L.P. / Teekay Offshore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8/9/19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1"/>
              </w:rPr>
              <w:t>SPII Holdings Inc. / DryShips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5/27/19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0"/>
              </w:rPr>
              <w:t>Star Bulk Carriers Corp. / 11 Dry Bulk Vessels (Delphin Shipping LLC)</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11/27/18</w:t>
            </w: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DSS Holdings L.P. / Capital Product Partners L.P.</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10/29/18</w:t>
            </w: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Poseidon Containers / Global Ship Lease,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4/20/18</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9"/>
              </w:rPr>
              <w:t>Star Bulk Carriers Corp. / 16 Dry bulk Vessels (Augustea Atlantica SpA &amp; York Capital Management)</w:t>
            </w: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89"/>
              </w:rPr>
              <w:t>3/14/18</w:t>
            </w:r>
          </w:p>
        </w:tc>
        <w:tc>
          <w:tcPr>
            <w:tcW w:w="220" w:type="dxa"/>
            <w:vAlign w:val="bottom"/>
          </w:tcPr>
          <w:p>
            <w:pPr>
              <w:spacing w:after="0"/>
              <w:rPr>
                <w:sz w:val="19"/>
                <w:szCs w:val="19"/>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Seaspan Corporation / 89.0% of Greater China Intermodal Investments LLC</w:t>
            </w:r>
          </w:p>
        </w:tc>
      </w:tr>
    </w:tbl>
    <w:p>
      <w:pPr>
        <w:spacing w:after="0" w:line="210"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The mean and median multiples for each of the relevant transactions are set forth below. The table also includes relevant multiple ranges selected by Evercore based on the resulting range of multiples and certain other considerations related to the specific characteristics of the Company and the Partnership and based on Evercore’s experience and professional judgement.</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88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Mean</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Value/EBITDA</w:t>
            </w: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8"/>
              </w:rPr>
              <w:t>7.9x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Company</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22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Reference Range   Reference Range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Enterprise</w:t>
            </w:r>
          </w:p>
        </w:tc>
        <w:tc>
          <w:tcPr>
            <w:tcW w:w="4900" w:type="dxa"/>
            <w:vAlign w:val="bottom"/>
          </w:tcPr>
          <w:p>
            <w:pPr>
              <w:ind w:left="80"/>
              <w:spacing w:after="0"/>
              <w:rPr>
                <w:sz w:val="20"/>
                <w:szCs w:val="20"/>
                <w:color w:val="auto"/>
              </w:rPr>
            </w:pPr>
            <w:r>
              <w:rPr>
                <w:rFonts w:ascii="Arial" w:cs="Arial" w:eastAsia="Arial" w:hAnsi="Arial"/>
                <w:sz w:val="18"/>
                <w:szCs w:val="18"/>
                <w:color w:val="auto"/>
              </w:rPr>
              <w:t>Value/2021 Run-Rate EBITDA</w:t>
            </w: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7.5x - 9.5x</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7"/>
              </w:rPr>
              <w:t>7.0x - 9.0x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 range to the 2021 run-rate EBITDA generated by the Partnership, calculated for purposes of Evercore’s analysis as annualized July to December 2021 EBITDA.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Partnership’s units owned by the Company as of January 1, 2021, Evercore derived an implied equity value range of negative $67.2 million to $74.7 million of the general partner units, common units and class B units owned by the Company.</w:t>
      </w:r>
    </w:p>
    <w:p>
      <w:pPr>
        <w:spacing w:after="0" w:line="174" w:lineRule="exact"/>
        <w:rPr>
          <w:sz w:val="20"/>
          <w:szCs w:val="20"/>
          <w:color w:val="auto"/>
        </w:rPr>
      </w:pPr>
    </w:p>
    <w:p>
      <w:pPr>
        <w:jc w:val="both"/>
        <w:ind w:firstLine="525"/>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 range to the 2021 run-rate EBITDA generated by the Company, calculated for purposes of Evercore’s analysis as annualized July to December 2021 EBITDA. Evercore then added the implied values of the general partner units, common units and class B units of the Partnership owned by the Company (but assuming a value of $0 million for the low end of the range), derived from the precedent M&amp;A transactions analysis of the Partnership, to the implied enterprise value ranges based on the precedent M&amp;A transactions analysis of the Company’s directly-held assets to derive ranges of the Company’s total enterprise value. Based on this range of implied enterprise values, after adjusting for expected undiscounted remaining new-build capital expenditures, debt and cash as of January 1, 2021 and the liquidation value of the Company’s preferred equity as of January 1, 2021, and based on the number of Company common shares outstanding as of January 1, 2021, Evercore derived a range of value per share of Company common shares of $0.00 to $3.47.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Other Presentations by Evercore</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to the presentation made to the special committee on February 21, 2021, the date on which Evercore delivered its opinion, as described above, Evercore made other written and oral presentations to the special committee on November 17, 2020 and February 19, 2021, which are referred to as the preliminary Evercore presentations. Copies of the preliminary Evercore presentations provided to the special committee by Evercore have been attached as exhibits to the Schedule 13E-3 related to the merger. These written presentations and the written opinion will be available for any interested shareholder of the Company to inspect and copy at the Company’s executive offices during regular business hours.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the preliminary Evercore presentations, alone or together, constitutes an opinion of Evercore with respect to the merger consideration.</w:t>
      </w:r>
    </w:p>
    <w:p>
      <w:pPr>
        <w:spacing w:after="0" w:line="248"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November 17, 2020 materials included (a) an executive summary; (b) an overview of the Company’s current market situation; (c) a review of the management forecasts; and (d) a preliminary valuation of the Company common shares.</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February 19, 2021 materials included (a) an executive summary; (b) a review of GEPIF’s proposal; (c) a review of the marketing process for the transaction; (d) an overview of the Company’s current market situation; (e) a preliminary review of the management forecasts; and (f) a preliminary valuation of the Company common shares.</w:t>
      </w:r>
    </w:p>
    <w:p>
      <w:pPr>
        <w:spacing w:after="0" w:line="194"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Each of the analyses performed in these preliminary Evercore presentations was subject to further updating and subject to the final analyses presented to the special committee on February 21, 2021, by Evercore. Each of these analyses was necessarily based on financial, economic, monetary, market, regulatory and other conditions and circumstances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February 21, 2021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69"/>
        <w:spacing w:after="0" w:line="285" w:lineRule="auto"/>
        <w:rPr>
          <w:sz w:val="20"/>
          <w:szCs w:val="20"/>
          <w:color w:val="auto"/>
        </w:rPr>
      </w:pPr>
      <w:r>
        <w:rPr>
          <w:rFonts w:ascii="Arial" w:cs="Arial" w:eastAsia="Arial" w:hAnsi="Arial"/>
          <w:sz w:val="16"/>
          <w:szCs w:val="16"/>
          <w:color w:val="auto"/>
        </w:rPr>
        <w:t>In connection with the review of the transaction, Evercore performed a variety of financial and comparative analyses for purposes of rendering its opinion to the special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merger consideration. No company or partnership used in the above analyses as a comparison is directly comparable to the Company or the Partnership and no precedent transaction used is directly comparable to the assets of the Company or the Partnership. Furthermore, Evercore’s analyses 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the Company and its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jc w:val="both"/>
        <w:ind w:firstLine="358"/>
        <w:spacing w:after="0" w:line="290" w:lineRule="auto"/>
        <w:rPr>
          <w:sz w:val="20"/>
          <w:szCs w:val="20"/>
          <w:color w:val="auto"/>
        </w:rPr>
      </w:pPr>
      <w:r>
        <w:rPr>
          <w:rFonts w:ascii="Arial" w:cs="Arial" w:eastAsia="Arial" w:hAnsi="Arial"/>
          <w:sz w:val="16"/>
          <w:szCs w:val="16"/>
          <w:color w:val="auto"/>
        </w:rPr>
        <w:t>Evercore prepared these analyses solely for the information and benefit of the special committee and for the purpose of providing an opinion to the special committee as to whether the merger consideration to be received by the public shareholders is fair, from a financial point of view, to the public shareholders.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2" w:lineRule="exact"/>
        <w:rPr>
          <w:sz w:val="20"/>
          <w:szCs w:val="20"/>
          <w:color w:val="auto"/>
        </w:rPr>
      </w:pPr>
    </w:p>
    <w:p>
      <w:pPr>
        <w:jc w:val="both"/>
        <w:ind w:firstLine="430"/>
        <w:spacing w:after="0" w:line="291" w:lineRule="auto"/>
        <w:rPr>
          <w:sz w:val="20"/>
          <w:szCs w:val="20"/>
          <w:color w:val="auto"/>
        </w:rPr>
      </w:pPr>
      <w:r>
        <w:rPr>
          <w:rFonts w:ascii="Arial" w:cs="Arial" w:eastAsia="Arial" w:hAnsi="Arial"/>
          <w:sz w:val="16"/>
          <w:szCs w:val="16"/>
          <w:color w:val="auto"/>
        </w:rPr>
        <w:t>Except as described above, the special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special committee and GEPIF. Evercore did not recommend any specific consideration to the special committee or recommend that any specific consideration constituted the only appropriate consideration in the merger. Evercore’s opinion was only one of many factors considered by the special committee in its evaluation of the merger and should not be viewed as determinative of the views of the special committee with respect to the merger or the merger consideration.</w:t>
      </w:r>
    </w:p>
    <w:p>
      <w:pPr>
        <w:spacing w:after="0" w:line="174"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Under the terms of Evercore’s engagement letter with the Company and the special committee, the Company has agreed to pay Evercore a fee of $1,000,000 upon rendering its opinion and a net transaction fee of $1,750,000 upon consummation of the merger inclusive of crediting the fee upon rendering an opinion against the fee payable upon consummation of the merger. Evercore also received a fee of $250,000 upon execution of its engagement letter with the Company and the special committee. In addition, the Company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2"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Since January 2018, Evercore has provided financial advisory services to (a) the special committee with respect to the Company’s $36 million private placement for which Evercore received $250,000 of aggregate fees and reimbursement of expenses; (b) the conflicts committee of the board of directors of the Partnership with respect to two transactions between the Company and the Partnership, for which Evercore received $780,000 of aggregate fees and reimbursement of expenses; and (c) GEPIF and its affiliates with respect to fewer than 10 transactions, for which Evercore received less than $50 million of aggregate fees and reimbursement of expenses.</w:t>
      </w:r>
    </w:p>
    <w:p>
      <w:pPr>
        <w:spacing w:after="0" w:line="201" w:lineRule="exact"/>
        <w:rPr>
          <w:sz w:val="20"/>
          <w:szCs w:val="20"/>
          <w:color w:val="auto"/>
        </w:rPr>
      </w:pPr>
    </w:p>
    <w:p>
      <w:pPr>
        <w:jc w:val="both"/>
        <w:ind w:firstLine="379"/>
        <w:spacing w:after="0" w:line="253"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Company, the Partnership, GEPIF and its affiliates, the parties to the merger and/or any of their respective affiliates or persons that are competitors, customers or suppliers of the Company, the Partnership or GEPIF and its affiliates.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Certain Financial Information</w:t>
      </w:r>
    </w:p>
    <w:p>
      <w:pPr>
        <w:spacing w:after="0" w:line="231" w:lineRule="exact"/>
        <w:rPr>
          <w:sz w:val="20"/>
          <w:szCs w:val="20"/>
          <w:color w:val="auto"/>
        </w:rPr>
      </w:pPr>
    </w:p>
    <w:p>
      <w:pPr>
        <w:jc w:val="both"/>
        <w:ind w:firstLine="438"/>
        <w:spacing w:after="0" w:line="290" w:lineRule="auto"/>
        <w:rPr>
          <w:sz w:val="20"/>
          <w:szCs w:val="20"/>
          <w:color w:val="auto"/>
        </w:rPr>
      </w:pPr>
      <w:r>
        <w:rPr>
          <w:rFonts w:ascii="Arial" w:cs="Arial" w:eastAsia="Arial" w:hAnsi="Arial"/>
          <w:sz w:val="16"/>
          <w:szCs w:val="16"/>
          <w:color w:val="auto"/>
        </w:rPr>
        <w:t>The Company does not, as a matter of course, publicly disclose detailed financial projections as to future performance, earnings or other results given, among other reasons, the uncertainty, unpredictability and subjectivity of the underlying assumptions and estimates. These and other factors make it difficult to accurately forecast the Company’s performance. However, as further described in the section entitled “—Background of the Merger” beginning on page 33 of this proxy statement, Company management has historically prepared and periodically updated financial projections for use in discussions and reviews with the board of directors of the Company of the Company’s strategic plan. The special committee reviewed financial projections for the Company and the Partnership for fiscal years 2020 through 2025 (the “management forecasts”) in November 2020 following receipt of the GEPIF Initial Proposal and the management forecasts were made available to the special committee and its advisors in connection with their evaluation of the merger.</w:t>
      </w:r>
    </w:p>
    <w:p>
      <w:pPr>
        <w:spacing w:after="0" w:line="172"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This summary of the management forecasts is included solely to provide information on the financial projections that were made available to the special committee and the special committee’s advisors in connection with their evaluation of the merger. The management forecasts may differ materially from published analyst estimates and forecasts and the inclusion of the management forecasts should not be regarded as an indication that the Company, the special committee or the special committee’s advisors or any other person considered, or now considers, the management forecasts to be a reliable prediction of future results. By including the management forecasts, neither the Company nor any other person (or their respective representatives) has made or is making any representation to any person regarding the information included in the management forecasts or the ultimate performance of the Company compared to the management forecasts. Accordingly, the Company has not made any representation to Parent or Merger Sub, in the merger agreement and the statutory merger agreement or otherwise, concerning the management forecasts.</w:t>
      </w:r>
    </w:p>
    <w:p>
      <w:pPr>
        <w:spacing w:after="0" w:line="178"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8"/>
          <w:szCs w:val="18"/>
          <w:color w:val="auto"/>
        </w:rPr>
        <w:t>The management forecasts are subjective in many respects. Although presented with numerical specificity, the management forecasts reflect and are based on numerous varying assumptions and estimates with respect to industry performance, general business, economic, political, market and financial conditions, competitive uncertainties, and other matters, all of which are difficult to predict and beyond the Company’s control. The management forecasts also reflect assumptions as to certain business matters that are subject to change and are beyond the Company’s control, and accordingly these assumptions and the management forecasts are inherently uncertain.</w:t>
      </w:r>
    </w:p>
    <w:p>
      <w:pPr>
        <w:spacing w:after="0" w:line="201" w:lineRule="exact"/>
        <w:rPr>
          <w:sz w:val="20"/>
          <w:szCs w:val="20"/>
          <w:color w:val="auto"/>
        </w:rPr>
      </w:pPr>
    </w:p>
    <w:p>
      <w:pPr>
        <w:jc w:val="both"/>
        <w:ind w:firstLine="415"/>
        <w:spacing w:after="0" w:line="285" w:lineRule="auto"/>
        <w:rPr>
          <w:sz w:val="20"/>
          <w:szCs w:val="20"/>
          <w:color w:val="auto"/>
        </w:rPr>
      </w:pPr>
      <w:r>
        <w:rPr>
          <w:rFonts w:ascii="Arial" w:cs="Arial" w:eastAsia="Arial" w:hAnsi="Arial"/>
          <w:sz w:val="16"/>
          <w:szCs w:val="16"/>
          <w:color w:val="auto"/>
        </w:rPr>
        <w:t>The management forecasts for cash flows metrics reflect certain assumptions, including with respect to: (a) a 98.45% utilization rate for the Company’s fixed vessels for fiscal years 2021 through 2025 and a 98.0% utilization rate thereafter, (b) operating revenues (as described in further detail below), (c) broker commission expenses in a range of 0% to approximately 1.3% of charter revenue based on existing contractual terms, (d) direct operating expenses of the Partnership of $77.2 million, $79.3 million, $80.7 million, $81.4 million and $82.6 million for fiscal years 2021 through 2025, respectively, and direct operating expenses of the Company of $98.6 million, $105.9 million, $108.3 million, $109.8 million and $111.9 million for fiscal years 2021 through 2025, respectively, which included among other operational assumptions an inflation growth of 1.0% for the respective period, (e) general and administrative expenses of the Partnership of $14.1 million, $14.2 million, $14.3 million, $14.4 million and $14.5 million for fiscal years 2021 through 2025, respectively, and general and administrative expenses of the Company of $30.9 million, $31.2 million, $31.5 million, $31.8 million and $32.1 million for fiscal years 2021 through 2025, respectively, which included among other operational assumptions an inflation growth of 1.0% for the respective period, (f) dry-docking costs and other capital expenditures expenses of the Partnership of $28.8 million, $14.3 million, $17.1 million, $8.7 million and $16.8 million for fiscal years 2021 through 2025, respectively, and dry-docking costs and other capital expenditures expenses of the Company of $507.3 million, $5.6 million, $13.8 million, $13.1 million and $28.0 million for fiscal years 2021 through 2025, respectively, which included among other operational assumptions an inflation growth of 1.0% for the respective period, and (g) a scrap value of each vessel of approximately $14 million—$17 million per vessel, depending on its type and size.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jc w:val="both"/>
        <w:ind w:firstLine="448"/>
        <w:spacing w:after="0" w:line="306" w:lineRule="auto"/>
        <w:rPr>
          <w:sz w:val="20"/>
          <w:szCs w:val="20"/>
          <w:color w:val="auto"/>
        </w:rPr>
      </w:pPr>
      <w:r>
        <w:rPr>
          <w:rFonts w:ascii="Arial" w:cs="Arial" w:eastAsia="Arial" w:hAnsi="Arial"/>
          <w:sz w:val="16"/>
          <w:szCs w:val="16"/>
          <w:color w:val="auto"/>
        </w:rPr>
        <w:t>The management forecasts for revenue metrics reflect certain further assumptions, including with respect to: (i) contracted time charter rates up to the expiration of the current contract for each of the Company’s vessels and (ii) estimated time charter rates for the remaining life of each such vessel after the completion of its current contract (excluding days of scheduled off-hire), determined based on the fleet’s historical performance and other internal forecasts.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time charter rates used for non-contracted revenue days after the completion of the current time charter were based on a combination of</w:t>
      </w:r>
    </w:p>
    <w:p>
      <w:pPr>
        <w:spacing w:after="0" w:line="38" w:lineRule="exact"/>
        <w:rPr>
          <w:sz w:val="20"/>
          <w:szCs w:val="20"/>
          <w:color w:val="auto"/>
        </w:rPr>
      </w:pPr>
    </w:p>
    <w:p>
      <w:pPr>
        <w:jc w:val="both"/>
        <w:ind w:firstLine="8"/>
        <w:spacing w:after="0" w:line="295" w:lineRule="auto"/>
        <w:tabs>
          <w:tab w:leader="none" w:pos="31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recent charter market rates, (B) conditions existing in the LNG market as of the assessment date, (C) historical average time charter rates, based on publications by independent third party maritime research services, (D) estimated future time charter rates, based on maritime research publications that provide such forecasts and (E) the Company’s internal assessment of long-term charter rates achievable by each class of vessel. Management did not include any assumptions with respect to inflation nor any other revenue escalation or growth factors in determining forecasted time charter rates.</w:t>
      </w:r>
    </w:p>
    <w:p>
      <w:pPr>
        <w:spacing w:after="0" w:line="169" w:lineRule="exact"/>
        <w:rPr>
          <w:sz w:val="20"/>
          <w:szCs w:val="20"/>
          <w:color w:val="auto"/>
        </w:rPr>
      </w:pPr>
    </w:p>
    <w:p>
      <w:pPr>
        <w:jc w:val="both"/>
        <w:ind w:firstLine="348"/>
        <w:spacing w:after="0" w:line="286" w:lineRule="auto"/>
        <w:rPr>
          <w:sz w:val="20"/>
          <w:szCs w:val="20"/>
          <w:color w:val="auto"/>
        </w:rPr>
      </w:pPr>
      <w:r>
        <w:rPr>
          <w:rFonts w:ascii="Arial" w:cs="Arial" w:eastAsia="Arial" w:hAnsi="Arial"/>
          <w:sz w:val="16"/>
          <w:szCs w:val="16"/>
          <w:color w:val="auto"/>
        </w:rPr>
        <w:t>The management forecasts are forward-looking statements that should be read with caution, and there can be no assurance that the projected results will be realized or that actual results will not be higher or lower than projected (see the section entitled “Caution Regarding Forward-Looking Statements” beginning on page 20 of this proxy statement and the risks described under “Forward-Looking Statements” and “Item 3. Key Information—D. Risk factors” of the Company’s Annual Report on Form 20-F for the year ended December 31, 2020, which may be accessed through the SEC’s website at https://www.sec.gov/edgar, for more information). In addition, since the management forecasts cover multiple years, such information by its nature becomes less reliable with each successive year. The management forecasts were not prepared with a view toward public disclosure or toward complying with IFRS and the Company’s independent registered public accounting firm has not examined or compiled any of the financial projections, expressed any conclusion or provided any form of assurance with respect to the financial projections and, accordingly, assumes no responsibility for them. The management forecasts incorporate certain financial measures, such as EBITDA and unlevered free cash flow, which are not IFRS measures. The Company’s calculations of these financial measures may differ from others in its industry and are not necessarily comparable with information presented under similar captions used by other companies.</w:t>
      </w:r>
    </w:p>
    <w:p>
      <w:pPr>
        <w:spacing w:after="0" w:line="180" w:lineRule="exact"/>
        <w:rPr>
          <w:sz w:val="20"/>
          <w:szCs w:val="20"/>
          <w:color w:val="auto"/>
        </w:rPr>
      </w:pPr>
    </w:p>
    <w:p>
      <w:pPr>
        <w:jc w:val="both"/>
        <w:ind w:firstLine="348"/>
        <w:spacing w:after="0" w:line="307" w:lineRule="auto"/>
        <w:rPr>
          <w:sz w:val="20"/>
          <w:szCs w:val="20"/>
          <w:color w:val="auto"/>
        </w:rPr>
      </w:pPr>
      <w:r>
        <w:rPr>
          <w:rFonts w:ascii="Arial" w:cs="Arial" w:eastAsia="Arial" w:hAnsi="Arial"/>
          <w:sz w:val="15"/>
          <w:szCs w:val="15"/>
          <w:color w:val="auto"/>
        </w:rPr>
        <w:t xml:space="preserve">The management forecasts were prepared by the Company’s management in good faith based on management’s reasonable best estimates and assumptions (subject to the limitations discussed in the descriptions below) with respect to the Company’s future financial performance at the time they were prepared and speak only as of that time. </w:t>
      </w:r>
      <w:r>
        <w:rPr>
          <w:rFonts w:ascii="Arial" w:cs="Arial" w:eastAsia="Arial" w:hAnsi="Arial"/>
          <w:sz w:val="15"/>
          <w:szCs w:val="15"/>
          <w:b w:val="1"/>
          <w:bCs w:val="1"/>
          <w:color w:val="auto"/>
        </w:rPr>
        <w:t>The management forecasts do not take into account any circumstances or events occurring after the date they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prepared, and the Company does not intend to update or otherwise revise the management forecasts, or the specific portions presented, to reflect circumstances existing after the date when they were made or to reflect the occurrence of future events, even in the event that any or all of the assumptions are shown to be in error. </w:t>
      </w:r>
      <w:r>
        <w:rPr>
          <w:rFonts w:ascii="Arial" w:cs="Arial" w:eastAsia="Arial" w:hAnsi="Arial"/>
          <w:sz w:val="15"/>
          <w:szCs w:val="15"/>
          <w:color w:val="auto"/>
        </w:rPr>
        <w:t>For the foregoing reasons, as well as the bases and assumptions on which the management forecasts were compiled,</w:t>
      </w:r>
      <w:r>
        <w:rPr>
          <w:rFonts w:ascii="Arial" w:cs="Arial" w:eastAsia="Arial" w:hAnsi="Arial"/>
          <w:sz w:val="15"/>
          <w:szCs w:val="15"/>
          <w:b w:val="1"/>
          <w:bCs w:val="1"/>
          <w:color w:val="auto"/>
        </w:rPr>
        <w:t xml:space="preserve"> </w:t>
      </w:r>
      <w:r>
        <w:rPr>
          <w:rFonts w:ascii="Arial" w:cs="Arial" w:eastAsia="Arial" w:hAnsi="Arial"/>
          <w:sz w:val="15"/>
          <w:szCs w:val="15"/>
          <w:color w:val="auto"/>
        </w:rPr>
        <w:t>the inclusion of specific portions of the management forecasts in this proxy statement should not be regarded as an indication that such forecasts are an accurate prediction of future events, and they should not be relied on as such. The management forecasts are not included in this proxy statement in order to induce any Company shareholder to vote in favor of the merger proposal and are presented solely to give Company shareholders access to the information that was made available to the special committee and its advisors. For the reasons described above, Company shareholders are cautioned not to place undue, if any, reliance on the management forecasts. The Company has not made any representation in the merger agreement concerning the management forecasts.</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Set forth below is a summary of the management forecasts that the special committee and its advisors considered in their evaluation of the merger.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Company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w w:val="95"/>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Deconsolidated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477.2</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Deconsolidated EBITDA</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the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Directly-Held Asset Deconsolidated EBITDA</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Company Unlevered Free Cash Flow</w:t>
            </w:r>
            <w:r>
              <w:rPr>
                <w:rFonts w:ascii="Arial" w:cs="Arial" w:eastAsia="Arial" w:hAnsi="Arial"/>
                <w:sz w:val="29"/>
                <w:szCs w:val="29"/>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r>
      <w:tr>
        <w:trPr>
          <w:trHeight w:val="257"/>
        </w:trPr>
        <w:tc>
          <w:tcPr>
            <w:tcW w:w="50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Company Directly-Held Asset Unlevered Free Cash Flow</w:t>
            </w:r>
            <w:r>
              <w:rPr>
                <w:rFonts w:ascii="Arial" w:cs="Arial" w:eastAsia="Arial" w:hAnsi="Arial"/>
                <w:sz w:val="29"/>
                <w:szCs w:val="29"/>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r>
      <w:tr>
        <w:trPr>
          <w:trHeight w:val="108"/>
        </w:trPr>
        <w:tc>
          <w:tcPr>
            <w:tcW w:w="23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Deconsolidated EBITDA calculated as revenue, plus the Partnership management fee, plus income from the Partnership, minus direct operating expenses, minus general and administrative expenses.</w:t>
      </w:r>
    </w:p>
    <w:p>
      <w:pPr>
        <w:spacing w:after="0" w:line="90" w:lineRule="exact"/>
        <w:rPr>
          <w:rFonts w:ascii="Arial" w:cs="Arial" w:eastAsia="Arial" w:hAnsi="Arial"/>
          <w:sz w:val="13"/>
          <w:szCs w:val="13"/>
          <w:color w:val="auto"/>
        </w:rPr>
      </w:pPr>
    </w:p>
    <w:p>
      <w:pPr>
        <w:ind w:left="1680" w:hanging="549"/>
        <w:spacing w:after="0"/>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Directly-Held Asset Deconsolidated EBITDA calculated as Deconsolidated EBITDA, minus income from the Partnership.</w:t>
      </w:r>
    </w:p>
    <w:p>
      <w:pPr>
        <w:spacing w:after="0" w:line="134"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Company Unlevered Free Cash Flow calculated as Deconsolidated EBITDA, minus difference in the Partnership distributions compared to net income from the Partnership, minus changes in working capital, minus capital expenditures, plus other immaterial adjustments.</w:t>
      </w:r>
    </w:p>
    <w:p>
      <w:pPr>
        <w:spacing w:after="0" w:line="90"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Company Directly-Held Asset Unlevered Free Cash Flow calculated as Directly-Held Asset Deconsolidated EBITDA, minus changes in working capital, minus capital expenditures, plus other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b w:val="1"/>
                <w:bCs w:val="1"/>
                <w:color w:val="auto"/>
                <w:w w:val="95"/>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3"/>
                <w:szCs w:val="13"/>
                <w:b w:val="1"/>
                <w:bCs w:val="1"/>
                <w:color w:val="auto"/>
                <w:w w:val="95"/>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r>
      <w:tr>
        <w:trPr>
          <w:trHeight w:val="257"/>
        </w:trPr>
        <w:tc>
          <w:tcPr>
            <w:tcW w:w="5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Partnership EBITDA</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36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Partnership Unlevered Free Cash Flow</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197.7</w:t>
            </w:r>
          </w:p>
        </w:tc>
      </w:tr>
      <w:tr>
        <w:trPr>
          <w:trHeight w:val="20"/>
        </w:trPr>
        <w:tc>
          <w:tcPr>
            <w:tcW w:w="23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Partnership EBITDA calculated as revenue, minus direct operating expenses, minus general and administrative expenses.</w:t>
      </w:r>
    </w:p>
    <w:p>
      <w:pPr>
        <w:spacing w:after="0" w:line="134" w:lineRule="exact"/>
        <w:rPr>
          <w:rFonts w:ascii="Arial" w:cs="Arial" w:eastAsia="Arial" w:hAnsi="Arial"/>
          <w:sz w:val="13"/>
          <w:szCs w:val="13"/>
          <w:color w:val="auto"/>
        </w:rPr>
      </w:pPr>
    </w:p>
    <w:p>
      <w:pPr>
        <w:ind w:left="1680" w:hanging="549"/>
        <w:spacing w:after="0"/>
        <w:tabs>
          <w:tab w:leader="none" w:pos="16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Partnership Unlevered Free Cash Flow calculated as Partnership EBITDA, minus changes in working capital, minus capital expenditures, plus other immaterial adjustments.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w:t>
      </w:r>
    </w:p>
    <w:p>
      <w:pPr>
        <w:spacing w:after="0" w:line="231" w:lineRule="exact"/>
        <w:rPr>
          <w:sz w:val="20"/>
          <w:szCs w:val="20"/>
          <w:color w:val="auto"/>
        </w:rPr>
      </w:pPr>
    </w:p>
    <w:p>
      <w:pPr>
        <w:jc w:val="both"/>
        <w:ind w:firstLine="452"/>
        <w:spacing w:after="0" w:line="290"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the holders of Company preference shares approve the merger agreement, the statutory merger agreement and the merger,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in the case of the board of directors of the Company, in deciding to recommend that the Company shareholders and the holders of Company preference shares vote to approve the merger agreement and statutory merger agreement and to approve the merger.</w:t>
      </w:r>
    </w:p>
    <w:p>
      <w:pPr>
        <w:spacing w:after="0" w:line="172" w:lineRule="exact"/>
        <w:rPr>
          <w:sz w:val="20"/>
          <w:szCs w:val="20"/>
          <w:color w:val="auto"/>
        </w:rPr>
      </w:pPr>
    </w:p>
    <w:p>
      <w:pPr>
        <w:jc w:val="both"/>
        <w:ind w:right="20" w:firstLine="385"/>
        <w:spacing w:after="0" w:line="268" w:lineRule="auto"/>
        <w:rPr>
          <w:sz w:val="20"/>
          <w:szCs w:val="20"/>
          <w:color w:val="auto"/>
        </w:rPr>
      </w:pPr>
      <w:r>
        <w:rPr>
          <w:rFonts w:ascii="Arial" w:cs="Arial" w:eastAsia="Arial" w:hAnsi="Arial"/>
          <w:sz w:val="18"/>
          <w:szCs w:val="18"/>
          <w:color w:val="auto"/>
        </w:rPr>
        <w:t>Set forth below are descriptions of the interests of the Company’s directors and executive officers, including interests in equity or Company equity-based awards and other compensation and benefit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Company Common Shares held by the Company’s Directors and Executive Officers</w:t>
      </w:r>
    </w:p>
    <w:p>
      <w:pPr>
        <w:spacing w:after="0" w:line="225"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Each of the Company’s directors and the Company’s executive officers (in their capacity as such, and not in their capacity as affiliates of any rolling shareholders) will be entitled to receive, for each share of Company common shares held by such director or executive officer as of the completion of the merger, the same per-share merger consideration in the same manner as the other holders of Company common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both"/>
        <w:spacing w:after="0" w:line="268" w:lineRule="auto"/>
        <w:rPr>
          <w:sz w:val="20"/>
          <w:szCs w:val="20"/>
          <w:color w:val="auto"/>
        </w:rPr>
      </w:pPr>
      <w:r>
        <w:rPr>
          <w:rFonts w:ascii="Arial" w:cs="Arial" w:eastAsia="Arial" w:hAnsi="Arial"/>
          <w:sz w:val="18"/>
          <w:szCs w:val="18"/>
          <w:color w:val="auto"/>
        </w:rPr>
        <w:t>shares. As of April 30, 2021, the Company’s directors and executive officers held as a group 40,909,105 Company common shares and 12,366 Company preference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Company Equity-Based Awards held by the Company’s Directors and Executive Officers</w:t>
      </w:r>
    </w:p>
    <w:p>
      <w:pPr>
        <w:spacing w:after="0" w:line="225"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under the Company’s 2013 Omnibus Incentive Compensation Plan (the “2013 LTIP”). As more fully described below under the heading “The Merger Agreement— Treatment of the Company Equity-Based Awards” beginning on page 76 of this proxy statement, each outstanding option to acquire a Company common share (a “Company option”) and each stock appreciation right with respect to a Company common share granted under the 2013 LTIP (a “Company SAR”) will be canceled for no consideration (given that the per-share exercise price and base price, respectively, of each such award is greater than the merger consideration) and each restricted stock unit award with respect to a Company common share that is not subject to performance-based vesting conditions granted under the 2013 LTIP (a “Company RSU award”) and each restricted stock unit award with respect to a Company common share that remains subject to performance-based vesting conditions granted under the 2013 LTIP (a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 The estimated aggregate value (based on the merger consideration) of Company RSU awards and Company PSU awards (based on achievement of applicable performance goals at target levels) held by the Chairman of the board of directors of the Company and the Company’s executive officers as of April 30, 2021 is $3,343,557.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239" w:lineRule="exact"/>
        <w:rPr>
          <w:sz w:val="20"/>
          <w:szCs w:val="20"/>
          <w:color w:val="auto"/>
        </w:rPr>
      </w:pPr>
    </w:p>
    <w:p>
      <w:pPr>
        <w:jc w:val="both"/>
        <w:ind w:left="1080" w:hanging="532"/>
        <w:spacing w:after="0" w:line="288"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In lieu of annual equity-based awards in respect of fiscal year 2021, the Company intends to grant long-term fixed cash incentive awards to participants in the 2013 LTIP, including the Chairman of the board of directors of the Company and the Company’s executive officers, with values equal to the target long-term incentive opportunities then in effect for such participants (the “2021 cash LTI awards”). Each 2021 cash LTI award will become payable upon the third anniversary of the grant date, subject to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the participant’s termination of employment (a) due to a qualifying retirement, such award will remain outstanding and continue to vest through the third anniversary of the grant date, (b) due to death or disability, such award will immediately vest and (c) by the Company without “cause” or by the participant for “good reason” (each, as defined under the 2013 LTIP), such award will continue to vest through December 31 of the year following the year of such termination. The aggregate amount of the 2021 cash LTI awards to be granted to the Chairman of the board of directors of the Company and the Company’s executive officers is approximately $1,990,000.</w:t>
      </w:r>
    </w:p>
    <w:p>
      <w:pPr>
        <w:spacing w:after="0" w:line="199"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lieu of annual Partnership equity based awards in respect of fiscal year 2021, the Partnership intends to grant the Company’s CFO a long-term fixed cash incentive award in the amount of $80,000, which will be subject to substantially similar vesting conditions as the 2021 cash LTI awards referenced immediately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Retention Bonus Arrangements</w:t>
      </w:r>
    </w:p>
    <w:p>
      <w:pPr>
        <w:spacing w:after="0" w:line="239" w:lineRule="exact"/>
        <w:rPr>
          <w:sz w:val="20"/>
          <w:szCs w:val="20"/>
          <w:color w:val="auto"/>
        </w:rPr>
      </w:pPr>
    </w:p>
    <w:p>
      <w:pPr>
        <w:jc w:val="both"/>
        <w:ind w:left="1080" w:hanging="532"/>
        <w:spacing w:after="0" w:line="294"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Company intends to grant to the Chairman of the board of directors of the Company and each employee holding canceled Company options or Company SARs, including the Company’s executive officers, a retention bonus. Each retention bonus will become payable upon the first anniversary of the closing of the merger, subject to the individual’s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individual’s employment is terminated due to death, disability or by the Company without “cause” (as defined under the 2013 LTIP), in each case, following the closing of the merger, such retention bonus will become payable upon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ind w:left="1080"/>
        <w:spacing w:after="0" w:line="268" w:lineRule="auto"/>
        <w:rPr>
          <w:sz w:val="20"/>
          <w:szCs w:val="20"/>
          <w:color w:val="auto"/>
        </w:rPr>
      </w:pPr>
      <w:r>
        <w:rPr>
          <w:rFonts w:ascii="Arial" w:cs="Arial" w:eastAsia="Arial" w:hAnsi="Arial"/>
          <w:sz w:val="18"/>
          <w:szCs w:val="18"/>
          <w:color w:val="auto"/>
        </w:rPr>
        <w:t>termination. The aggregate amount of the retention bonuses to be granted to the Chairman of the board of directors of the Company and the Company’s executive officers is approximately $1,414.000.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Post-Closing Management Incentive Plan</w:t>
      </w:r>
    </w:p>
    <w:p>
      <w:pPr>
        <w:spacing w:after="0" w:line="225" w:lineRule="exact"/>
        <w:rPr>
          <w:sz w:val="20"/>
          <w:szCs w:val="20"/>
          <w:color w:val="auto"/>
        </w:rPr>
      </w:pPr>
    </w:p>
    <w:p>
      <w:pPr>
        <w:jc w:val="both"/>
        <w:ind w:firstLine="577"/>
        <w:spacing w:after="0" w:line="290" w:lineRule="auto"/>
        <w:rPr>
          <w:sz w:val="20"/>
          <w:szCs w:val="20"/>
          <w:color w:val="auto"/>
        </w:rPr>
      </w:pPr>
      <w:r>
        <w:rPr>
          <w:rFonts w:ascii="Arial" w:cs="Arial" w:eastAsia="Arial" w:hAnsi="Arial"/>
          <w:sz w:val="16"/>
          <w:szCs w:val="16"/>
          <w:color w:val="auto"/>
        </w:rPr>
        <w:t>Following the completion of the merger, Parent and the Company intend to implement a management incentive plan on the terms set forth in a memorandum of understanding agreed to by Parent, the Company and Peter G. Livanos, as the managers’ representative, in connection with the signing of the merger agreement. The memorandum of understanding provides for the establishment of a pool of equity of Parent for employees, directors and other key service providers of the Company and its subsidiaries, including the ability of such persons to participate in up to 15% of the excess proceeds received by GEPIF III or its affiliates upon the occurrence of certain events where certain specified return hurdles are met. Certain of the Company’s post-closing directors and executive officers are expected to participate in such plan, however, no determinations have been made with respect to the value of awards to be granted under such plan to any particular individuals.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Protections</w:t>
      </w:r>
    </w:p>
    <w:p>
      <w:pPr>
        <w:spacing w:after="0" w:line="225"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employment agreements for the Company’s executive officers generally stipulate that severance pay will be regulated by applicable law, and that each executive officer must be given six months’ notice of termination, or for the Company’s CEO, payment in lieu thereof. The CEO and COO are additionally entitled to repatriation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in the Surviving Company</w:t>
      </w:r>
    </w:p>
    <w:p>
      <w:pPr>
        <w:spacing w:after="0" w:line="225"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6"/>
          <w:szCs w:val="16"/>
          <w:color w:val="auto"/>
        </w:rPr>
        <w:t>Peter G. Livanos, Julian R. Metherell and Anthony S. Papadimitriou are currently members of the board of directors of the Company. 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w:t>
      </w:r>
    </w:p>
    <w:p>
      <w:pPr>
        <w:spacing w:after="0" w:line="16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560"/>
        <w:spacing w:after="0" w:line="254" w:lineRule="auto"/>
        <w:rPr>
          <w:sz w:val="20"/>
          <w:szCs w:val="20"/>
          <w:color w:val="auto"/>
        </w:rPr>
      </w:pPr>
      <w:r>
        <w:rPr>
          <w:rFonts w:ascii="Arial" w:cs="Arial" w:eastAsia="Arial" w:hAnsi="Arial"/>
          <w:sz w:val="18"/>
          <w:szCs w:val="18"/>
          <w:color w:val="auto"/>
        </w:rPr>
        <w:t>The parties estimate that the total amount of funds necessary to pay the aggregate cash consideration to the public shareholders in the merger is approximately $247 million, assuming no exercise of dissenters’ rights by shareholders of the Company. Parent expects to provide the amount of funds necessary to complete the merger and the related transactions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20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sections entitled “The Merger Agreement—Financing of the Merger” beginning on page 86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Clearances and Approvals Required for the Merger</w:t>
      </w:r>
    </w:p>
    <w:p>
      <w:pPr>
        <w:spacing w:after="0" w:line="23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Under the terms of the merger agreement, each of the Company, Merger Sub and Parent agrees to use their respective reasonable best efforts (except where the merger agreement specifies a different standard) to take, or cause to be taken, all actions and to do, or cause to be done, and assist and cooperate with the other parties in doing, all things necessary, proper or advisable to cause the conditions to closing of the merger to be satisfied and to consummate the transactions contemplated by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jc w:val="both"/>
        <w:spacing w:after="0" w:line="256" w:lineRule="auto"/>
        <w:rPr>
          <w:sz w:val="20"/>
          <w:szCs w:val="20"/>
          <w:color w:val="auto"/>
        </w:rPr>
      </w:pPr>
      <w:r>
        <w:rPr>
          <w:rFonts w:ascii="Arial" w:cs="Arial" w:eastAsia="Arial" w:hAnsi="Arial"/>
          <w:sz w:val="18"/>
          <w:szCs w:val="18"/>
          <w:color w:val="auto"/>
        </w:rPr>
        <w:t>as promptly as reasonably practicable, including preparing and filing promptly practicable with any government authority or other third party all documentation to effect all necessary filings and obtaining any specified regulatory approvals and third-party consents. The completion of the merger is not conditioned upon any regulatory approvals having been obtained but is conditioned on certain specified third-party consents relating to certain of the Company’s existing indebtedness being obtained.</w:t>
      </w:r>
    </w:p>
    <w:p>
      <w:pPr>
        <w:spacing w:after="0" w:line="197"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Company does not believe that any material federal or state regulatory approvals, filings or notices are required in connection with effecting the merger other than the approvals, filings or notices required under federal securities laws, and the filing with the Registrar of Companies in Bermuda to register the merger pursuant to the Bermuda Companies Act with respect to the merger and the notification to the Bermuda Monetary Authority regarding the merger, delisting and change in the ultimate beneficial ownership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w:t>
      </w:r>
    </w:p>
    <w:p>
      <w:pPr>
        <w:spacing w:after="0" w:line="1" w:lineRule="exact"/>
        <w:rPr>
          <w:sz w:val="20"/>
          <w:szCs w:val="20"/>
          <w:color w:val="auto"/>
        </w:rPr>
      </w:pPr>
    </w:p>
    <w:p>
      <w:pPr>
        <w:ind w:firstLine="8"/>
        <w:spacing w:after="0" w:line="323" w:lineRule="auto"/>
        <w:tabs>
          <w:tab w:leader="none" w:pos="26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taking such action to obviate the need for such specified third-party consents, including the replacement or refinancing of any indebtedness in a manner permitted by the merger agreement. The completion of the merger is conditioned upon certain specified third-party consents being obtained.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Except as described in the section entitled “The Merger Agreement—Termination Fees and Expense Reimbursement” beginning on page 90 of this proxy statement, whether or not the merger is completed, all fees and expenses incurred in connection with the merger will be paid by the party to the merger agreement incurring those fees and expenses. The Company will pay the costs of printing and mailing this proxy statement and any related solicitation expenses. Total fees and expenses incurred or to be incurred by the Company in connection with the merger are estimated at this time not to exceed the following:</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fees and expenses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Solicitation expenses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It is also expected that Merger Sub, Parent and/or GEPIF III will incur approximately $3,800,000 of legal and other advisory fees in connection with the merger, all of which fees will be the responsibility of the GEPIF filing parties. The GEPIF filing parties do not anticipate incurring any other fees or expenses in connection with the merger.</w:t>
      </w:r>
    </w:p>
    <w:p>
      <w:pPr>
        <w:spacing w:after="0" w:line="194" w:lineRule="exact"/>
        <w:rPr>
          <w:sz w:val="20"/>
          <w:szCs w:val="20"/>
          <w:color w:val="auto"/>
        </w:rPr>
      </w:pPr>
    </w:p>
    <w:p>
      <w:pPr>
        <w:jc w:val="both"/>
        <w:ind w:right="20" w:firstLine="506"/>
        <w:spacing w:after="0" w:line="331" w:lineRule="auto"/>
        <w:rPr>
          <w:sz w:val="20"/>
          <w:szCs w:val="20"/>
          <w:color w:val="auto"/>
        </w:rPr>
      </w:pPr>
      <w:r>
        <w:rPr>
          <w:rFonts w:ascii="Arial" w:cs="Arial" w:eastAsia="Arial" w:hAnsi="Arial"/>
          <w:sz w:val="16"/>
          <w:szCs w:val="16"/>
          <w:color w:val="auto"/>
        </w:rPr>
        <w:t>Total fees and expenses, including legal fees and expenses, incurred or to be incurred by Blenheim Holdings, Blenheim Special Investments, Ceres Shipping and Peter G. Livanos, collectively, in connection with the merger are estimated at this time not to exceed $280,000.</w:t>
      </w:r>
    </w:p>
    <w:p>
      <w:pPr>
        <w:spacing w:after="0" w:line="141"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Total fees and expenses, including legal fees and expenses, incurred or to be incurred by Olympic in connection with the merger are estimated at this time not to exceed $50,000.</w:t>
      </w:r>
    </w:p>
    <w:p>
      <w:pPr>
        <w:spacing w:after="0" w:line="186"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Each of the rolling shareholders and the Company have agreed that, without the written consent of Parent, the Company shall not pay or reimburse the rolling shareholders for any fees and expenses incurred in connection with the rollover agreement or the transactions contemplated thereby in excess of $350,000 in the aggregate.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of this proxy statement entitled “Material U.S. Federal Income Tax Consequences of the Merger” beginning on page 151)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151) in exchange for Company common shares pursuant to the merger will generally not be subject to U.S. federal income tax unless such non-U.S. holder has certain connections to the United States. You should read the section entitled “Material U.S. Federal Income Tax Consequences of the Merger” beginning on page 151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Bermuda Tax Consequences of the Merger</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the Company or by its shareholders in respect of the Company common shares. As a result, other than for persons ordinarily resident in Bermuda, there are no current Bermuda taxation implications resulting from the merger or the transactions contemplated by the merger agreement and the statutory merger agreement.</w:t>
      </w:r>
    </w:p>
    <w:p>
      <w:pPr>
        <w:spacing w:after="0" w:line="197"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6"/>
          <w:szCs w:val="16"/>
          <w:color w:val="auto"/>
        </w:rPr>
        <w:t>The Company has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will not, until March 31, 2035, be applicable to the Company or to any of the Company’s operations or to the Company’s shares, debentures or other obligations except in so far as such tax applies to persons ordinarily resident in Bermuda or is payable by the Company in respect of real property owned or leased by the Company in Bermuda. Given the limited duration of the Minister of Finance’s assurance, the Company can give no assurance that it will not be subject to any Bermuda tax after March 31, 2035. Consequently, other than for persons ordinarily resident in Bermuda, there are no current Bermuda taxation implications for holders of Company common shares resulting from the merger or the transactions contemplated by the merger agreement and the statutory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the Company Common Shares</w:t>
      </w:r>
    </w:p>
    <w:p>
      <w:pPr>
        <w:spacing w:after="0" w:line="231"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The surviving company has agreed to use its reasonable best efforts to cause the Company common shares to be de-listed from the New York Stock Exchange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jc w:val="both"/>
        <w:ind w:firstLine="489"/>
        <w:spacing w:after="0" w:line="290" w:lineRule="auto"/>
        <w:rPr>
          <w:sz w:val="20"/>
          <w:szCs w:val="20"/>
          <w:color w:val="auto"/>
        </w:rPr>
      </w:pPr>
      <w:r>
        <w:rPr>
          <w:rFonts w:ascii="Arial" w:cs="Arial" w:eastAsia="Arial" w:hAnsi="Arial"/>
          <w:sz w:val="16"/>
          <w:szCs w:val="16"/>
          <w:color w:val="auto"/>
        </w:rPr>
        <w:t>Under Bermuda law holders of Company common shares or Company preference shares have rights of appraisal pursuant to which those holders of Company common shares or Company preference shares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and otherwise fully comply with the requirements seeking appraisal under the Bermuda Companies Act (such a person, a “dissenting shareholder”, all Company common shares held by such dissenting shareholder, the “dissenting common shares” and all Company preference shares held by such dissenting shareholder, “dissenting preference shares”). At the effective time, all dissenting common shares will automatically be canceled and, unless otherwise required by applicable law, converted into the right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jc w:val="both"/>
        <w:spacing w:after="0" w:line="288" w:lineRule="auto"/>
        <w:rPr>
          <w:sz w:val="20"/>
          <w:szCs w:val="20"/>
          <w:color w:val="auto"/>
        </w:rPr>
      </w:pPr>
      <w:r>
        <w:rPr>
          <w:rFonts w:ascii="Arial" w:cs="Arial" w:eastAsia="Arial" w:hAnsi="Arial"/>
          <w:sz w:val="16"/>
          <w:szCs w:val="16"/>
          <w:color w:val="auto"/>
        </w:rPr>
        <w:t>receive the merger consideration, and any holder of dissenting common shares will, in the event that the fair value of a dissenting common share as appraised by the Supreme Court of Bermuda under Section 106(6) of the Bermuda Companies Act is greater than the merger consideration, be entitled to receive such difference (the “additional common amount”), in addition to the merger consideration, from the surviving company. Any dissenting shareholder with dissenting preference shares will, unless otherwise required by applicable law, be entitled to retain such dissenting preference shares which will convert automatically into an equivalent number of surviving company preference shares, and such dissenting shareholder will,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“additional amount”), in addition to the surviving company preference shares, from the surviving company.</w:t>
      </w:r>
    </w:p>
    <w:p>
      <w:pPr>
        <w:spacing w:after="0" w:line="178"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If a dissenting shareholder fails to perfect, effectively withdraws or otherwise waives any right to appraisal (an “appraisal withdrawal”), then (a) in the case of dissenting common shares, such dissenting shareholder will have no other rights with respect to such dissenting common shares, other than the right to receive the merger consideration and (b) in the case of dissenting preference shares, such dissenting shareholder will have no other rights with respect to such dissenting preference shares other than to retain such dissenting preference shares which will convert automatically into an equivalent number of surviving company preference shares.</w:t>
      </w:r>
    </w:p>
    <w:p>
      <w:pPr>
        <w:spacing w:after="0" w:line="201" w:lineRule="exact"/>
        <w:rPr>
          <w:sz w:val="20"/>
          <w:szCs w:val="20"/>
          <w:color w:val="auto"/>
        </w:rPr>
      </w:pPr>
    </w:p>
    <w:p>
      <w:pPr>
        <w:jc w:val="both"/>
        <w:ind w:firstLine="372"/>
        <w:spacing w:after="0" w:line="331" w:lineRule="auto"/>
        <w:rPr>
          <w:sz w:val="20"/>
          <w:szCs w:val="20"/>
          <w:color w:val="auto"/>
        </w:rPr>
      </w:pPr>
      <w:r>
        <w:rPr>
          <w:rFonts w:ascii="Arial" w:cs="Arial" w:eastAsia="Arial" w:hAnsi="Arial"/>
          <w:sz w:val="16"/>
          <w:szCs w:val="16"/>
          <w:color w:val="auto"/>
        </w:rPr>
        <w:t>For a more complete description of the available appraisal rights, see the section entitled “Appraisal Rights of Shareholders” beginning on page 97 of this proxy statement. The full text of Section 106 of the Bermuda Companies Act is attached to this proxy statement as Annex E.</w:t>
      </w:r>
    </w:p>
    <w:p>
      <w:pPr>
        <w:spacing w:after="0" w:line="141" w:lineRule="exact"/>
        <w:rPr>
          <w:sz w:val="20"/>
          <w:szCs w:val="20"/>
          <w:color w:val="auto"/>
        </w:rPr>
      </w:pPr>
    </w:p>
    <w:p>
      <w:pPr>
        <w:jc w:val="both"/>
        <w:ind w:firstLine="424"/>
        <w:spacing w:after="0" w:line="288" w:lineRule="auto"/>
        <w:rPr>
          <w:sz w:val="20"/>
          <w:szCs w:val="20"/>
          <w:color w:val="auto"/>
        </w:rPr>
      </w:pPr>
      <w:r>
        <w:rPr>
          <w:rFonts w:ascii="Arial" w:cs="Arial" w:eastAsia="Arial" w:hAnsi="Arial"/>
          <w:sz w:val="16"/>
          <w:szCs w:val="16"/>
          <w:color w:val="auto"/>
        </w:rPr>
        <w:t>Under the merger agreement, the Company has agreed to give Parent (i) prompt written notice of (A) any demands for appraisal of dissenting common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common shares or dissenting preference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common shares or dissenting preference shares will be the obligation of the surviving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jc w:val="both"/>
        <w:ind w:firstLine="406"/>
        <w:spacing w:after="0" w:line="288" w:lineRule="auto"/>
        <w:rPr>
          <w:sz w:val="20"/>
          <w:szCs w:val="20"/>
          <w:color w:val="auto"/>
        </w:rPr>
      </w:pPr>
      <w:r>
        <w:rPr>
          <w:rFonts w:ascii="Arial" w:cs="Arial" w:eastAsia="Arial" w:hAnsi="Arial"/>
          <w:sz w:val="16"/>
          <w:szCs w:val="16"/>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provision of any applicable law restraining, enjoining, prohibiting or otherwise making illegal the consummation of the merger or any of the other transactions contemplated by the merger agreement.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jc w:val="both"/>
        <w:ind w:firstLine="418"/>
        <w:spacing w:after="0" w:line="254" w:lineRule="auto"/>
        <w:rPr>
          <w:sz w:val="20"/>
          <w:szCs w:val="20"/>
          <w:color w:val="auto"/>
        </w:rPr>
      </w:pPr>
      <w:r>
        <w:rPr>
          <w:rFonts w:ascii="Arial" w:cs="Arial" w:eastAsia="Arial" w:hAnsi="Arial"/>
          <w:sz w:val="18"/>
          <w:szCs w:val="18"/>
          <w:i w:val="1"/>
          <w:iCs w:val="1"/>
          <w:color w:val="auto"/>
        </w:rPr>
        <w:t>The following is a summary of the material terms and conditions of the merger agreement. This summary does not purport to be complete and may not contain all of the information about the merger agreement that is important to you. This summary is qualified in its entirety by reference to the complete text of the original merger agreement and Amendment No. 1 thereof, a copy of which are attached to this proxy statement as Annex A-1 and Annex A-2 respectively, and which is incorporated by reference into this proxy statement. We encourage you to read the merger agreement carefully and in its entirety because it is the legal document that governs the merger.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 Regarding the Merger Agreement</w:t>
      </w:r>
    </w:p>
    <w:p>
      <w:pPr>
        <w:spacing w:after="0" w:line="225" w:lineRule="exact"/>
        <w:rPr>
          <w:sz w:val="20"/>
          <w:szCs w:val="20"/>
          <w:color w:val="auto"/>
        </w:rPr>
      </w:pPr>
    </w:p>
    <w:p>
      <w:pPr>
        <w:jc w:val="both"/>
        <w:ind w:firstLine="526"/>
        <w:spacing w:after="0" w:line="286" w:lineRule="auto"/>
        <w:rPr>
          <w:sz w:val="20"/>
          <w:szCs w:val="20"/>
          <w:color w:val="auto"/>
        </w:rPr>
      </w:pPr>
      <w:r>
        <w:rPr>
          <w:rFonts w:ascii="Arial" w:cs="Arial" w:eastAsia="Arial" w:hAnsi="Arial"/>
          <w:sz w:val="16"/>
          <w:szCs w:val="16"/>
          <w:i w:val="1"/>
          <w:iCs w:val="1"/>
          <w:color w:val="auto"/>
        </w:rPr>
        <w:t>The following summary is included in this proxy statement only to provide you with information regarding the terms and conditions of the merger agreement, and not to provide any factual information about the Company or its subsidiaries or affiliates. Accordingly, the following summary is not intended to modify or supplement any factual disclosures about the Company in its public reports filed with the SEC. In particular, the merger agreement and the related summary are not intended to be, and should not be relied upon as, disclosures regarding any facts and circumstances relating to the company or any of its subsidiaries or affiliates. The merger agreement contains representations and warranties by the Company, Parent and Merger Sub which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the disclosure schedules to the merger agreement; were made for the purposes of allocating contractual risk between the parties to the merger agreement instead of establishing these matters as facts; and may apply contractual standards of materiality or material adverse effect that generally differ from those applicable to investors. In addition, information concerning the subject matter of the representations, warranties and covenants may change after the date of the merger agreement, which subsequent information may or may not be fully reflected in the Company’s public disclosures.</w:t>
      </w:r>
    </w:p>
    <w:p>
      <w:pPr>
        <w:spacing w:after="0" w:line="180"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Additional information about the Company may be found elsewhere in this proxy statement and the Company’s other public filings. See the section entitled “Where You Can Find More Information,” beginning on page 156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03"/>
        <w:spacing w:after="0" w:line="306" w:lineRule="auto"/>
        <w:rPr>
          <w:sz w:val="20"/>
          <w:szCs w:val="20"/>
          <w:color w:val="auto"/>
        </w:rPr>
      </w:pPr>
      <w:r>
        <w:rPr>
          <w:rFonts w:ascii="Arial" w:cs="Arial" w:eastAsia="Arial" w:hAnsi="Arial"/>
          <w:sz w:val="16"/>
          <w:szCs w:val="16"/>
          <w:color w:val="auto"/>
        </w:rPr>
        <w:t>Upon the terms and subject to the conditions set forth in the merger agreement and the statutory merger agreement, and pursuant to Section 104H of the Bermuda Companies Act, at the effective time of the merger, Merger Sub will be merged with and into the Company. As a result of the merger, the separate corporate existence of Merger Sub will cease and the Company will be the surviving company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 of the Merger</w:t>
      </w:r>
    </w:p>
    <w:p>
      <w:pPr>
        <w:spacing w:after="0" w:line="231"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 xml:space="preserve">Unless another place, time or date is mutually agreed by the Company and Parent, the closing of the merger will take place on the third business day following the satisfaction of, or, to the extent permitted, waiver by the party or parties entitled to the benefits thereof of, the closing conditions set forth in the merger agreement and described in the section entitled “—Conditions to Completion of the Merger” beginning on page 87 of this proxy statement (other than conditions that by their nature are to be satisfied at the closing, but subject to the satisfaction or, to the extent permissible, waiver of each of those conditions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on the date on which the required Company shareholder approvals are obtained there are any closing conditions that have not been satisfied or waived at least 12 business days prior to such date (other than those conditions that by their nature are to be satisfied at the closing), then the closing will occur on the 12th business day following the first date on which all such other conditions are satisfied or waived (other than those conditions that by their nature 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jc w:val="both"/>
        <w:spacing w:after="0" w:line="306" w:lineRule="auto"/>
        <w:rPr>
          <w:sz w:val="20"/>
          <w:szCs w:val="20"/>
          <w:color w:val="auto"/>
        </w:rPr>
      </w:pPr>
      <w:r>
        <w:rPr>
          <w:rFonts w:ascii="Arial" w:cs="Arial" w:eastAsia="Arial" w:hAnsi="Arial"/>
          <w:sz w:val="16"/>
          <w:szCs w:val="16"/>
          <w:color w:val="auto"/>
        </w:rPr>
        <w:t>to be satisfied at the closing, but subject to the satisfaction or (to the extent permitted) waiver of each of those conditions at such time). Parent and Merger Sub have agreed to use commercially reasonable efforts to minimize or eliminate any such delay described in the proviso in the preceding sentence, including by accessing any credit facilities of GEPIF III, if any, that have sufficient available capacity to borrow the aggregate merger consideration.</w:t>
      </w:r>
    </w:p>
    <w:p>
      <w:pPr>
        <w:spacing w:after="0" w:line="160"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The merger will become effective upon the issuance of the certificate of merger by the Registrar of Companies in Bermuda at the time and date shown on the certificate of merger. The parties have agreed that they will request that the Registrar of Companies in Bermuda provide in the certificate of merger that the effective time of the merger will be 10:00 a.m., Bermuda time (or such other time mutually agreed by the Company and Parent), on the closing date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or pursuant to applicable law.</w:t>
      </w:r>
    </w:p>
    <w:p>
      <w:pPr>
        <w:spacing w:after="0" w:line="19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0"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ind w:left="1080"/>
        <w:spacing w:after="0"/>
        <w:rPr>
          <w:sz w:val="20"/>
          <w:szCs w:val="20"/>
          <w:color w:val="auto"/>
        </w:rPr>
      </w:pPr>
      <w:r>
        <w:rPr>
          <w:rFonts w:ascii="Arial" w:cs="Arial" w:eastAsia="Arial" w:hAnsi="Arial"/>
          <w:sz w:val="18"/>
          <w:szCs w:val="18"/>
          <w:color w:val="auto"/>
        </w:rPr>
        <w:t>company in accordance with the Company Act 1981 of Bermuda (as amended) (the “Bermuda Companies Act”);</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the Bermuda Companies Act is greater than the merger consideration, be entitled to receive such difference; and</w:t>
      </w:r>
    </w:p>
    <w:p>
      <w:pPr>
        <w:spacing w:after="0" w:line="214"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5" w:lineRule="exact"/>
        <w:rPr>
          <w:sz w:val="20"/>
          <w:szCs w:val="20"/>
          <w:color w:val="auto"/>
        </w:rPr>
      </w:pPr>
    </w:p>
    <w:p>
      <w:pPr>
        <w:jc w:val="both"/>
        <w:ind w:right="20" w:firstLine="466"/>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Company Common Shares</w:t>
      </w:r>
    </w:p>
    <w:p>
      <w:pPr>
        <w:spacing w:after="0" w:line="23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Not less than ten business days prior to the anticipated closing date of the merger, Parent will designate a bank or trust company reasonably acceptable to the Company to act as agent (the “paying agent”) for the payment and delivery of the aggregate merger consideration payable to holders of Company common shares. At or prior to the effective time, Parent or Merger Sub will deposit or cause to be deposited with the paying agent an amount in cash sufficient to pay the aggregate merger consideration.</w:t>
      </w:r>
    </w:p>
    <w:p>
      <w:pPr>
        <w:spacing w:after="0" w:line="19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If you hold your Company common shares in certificated form, as soon as practicable after the effective time of the merger (but in no event later than three business days thereafter), the surviving company or Parent will cause the paying agent to mail to you, as the holder of record, a letter of transmittal and instructions setting forth the procedures by which you may receive the merger consideration you are entitled to.</w:t>
      </w:r>
    </w:p>
    <w:p>
      <w:pPr>
        <w:spacing w:after="0" w:line="160"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Upon the completion of the applicable procedures set forth in the letter of transmittal and the surrender by a holder of share certificates, and without any action by any holder of record of Company common shares that are uncertificated and represented by book-entry (“book-entry shares”), the paying agent will deliver to you cash in an amount equal to the number of Company common shares owned by you multiplied by the merger consideration, and such certificates or book-entry shares will forthwith be canceled. Until satisfaction of the procedures set forth by the paying agent, each Company common share certificate or book-entry share will be deemed after the effective time to represent only the right to receive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the merger consideration. No interest will be paid or will accrue on the cash payable with respect to such Company common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3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If you have lost your Company common share certificate, or if it has been stolen or destroyed, you will have to provide an affidavit of that fact and, if required by the surviving company or Parent, post a bond in such reasonable amount as the surviving company or Parent may direct, as indemnity against any claim that may be made against it with respect to such share certificate. Upon the posting of such bond, the surviving company will cause the paying agent to pay you the applicable merger consideration in exchange for such lost, stolen or destroyed share certificate.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31"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Merger Sub, the surviving company and the paying agent (without duplication) will be entitled to deduct and withhold from the merger consideration any amounts required to be deducted and withheld with respect to any applicable withholding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93" w:lineRule="exact"/>
        <w:rPr>
          <w:rFonts w:ascii="Arial" w:cs="Arial" w:eastAsia="Arial" w:hAnsi="Arial"/>
          <w:sz w:val="16"/>
          <w:szCs w:val="16"/>
          <w:color w:val="auto"/>
        </w:rPr>
      </w:pPr>
    </w:p>
    <w:p>
      <w:pPr>
        <w:jc w:val="both"/>
        <w:ind w:left="1080" w:hanging="532"/>
        <w:spacing w:after="0" w:line="284"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(a) the merger consideration and (b) the number of Company common shares subject to such Company RSU award.</w:t>
      </w:r>
    </w:p>
    <w:p>
      <w:pPr>
        <w:spacing w:after="0" w:line="232"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Dissenting Holders</w:t>
      </w:r>
    </w:p>
    <w:p>
      <w:pPr>
        <w:spacing w:after="0" w:line="231" w:lineRule="exact"/>
        <w:rPr>
          <w:sz w:val="20"/>
          <w:szCs w:val="20"/>
          <w:color w:val="auto"/>
        </w:rPr>
      </w:pPr>
    </w:p>
    <w:p>
      <w:pPr>
        <w:jc w:val="both"/>
        <w:ind w:firstLine="391"/>
        <w:spacing w:after="0" w:line="314" w:lineRule="auto"/>
        <w:rPr>
          <w:sz w:val="20"/>
          <w:szCs w:val="20"/>
          <w:color w:val="auto"/>
        </w:rPr>
      </w:pPr>
      <w:r>
        <w:rPr>
          <w:rFonts w:ascii="Arial" w:cs="Arial" w:eastAsia="Arial" w:hAnsi="Arial"/>
          <w:sz w:val="15"/>
          <w:szCs w:val="15"/>
          <w:color w:val="auto"/>
        </w:rPr>
        <w:t>Company common shares issued and outstanding immediately prior to effective time of the merger and held by a shareholder who does not vote in favor of the merger, who complies with all of the provisions of the Bermuda Companies Act concerning the right of holders of Company common shares to require appraisal of their Company common shares pursuant to the Bermuda Companies Act and who does not fail to perfect, effectively withdraw or otherwise waive any right to appraisal, will automatically be canceled and, unless otherwise required by applicable law, converted into the right to receive the merger consideration, and any holder of dissenting common shares will, in the event that the fair value of such dissenting common share as appraised by the Supreme Court of Bermuda under Section 106(6) of the Bermuda Companies Act is greater than the merger consideration, be entitled to receive such difference,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jc w:val="both"/>
        <w:spacing w:after="0" w:line="268" w:lineRule="auto"/>
        <w:rPr>
          <w:sz w:val="20"/>
          <w:szCs w:val="20"/>
          <w:color w:val="auto"/>
        </w:rPr>
      </w:pPr>
      <w:r>
        <w:rPr>
          <w:rFonts w:ascii="Arial" w:cs="Arial" w:eastAsia="Arial" w:hAnsi="Arial"/>
          <w:sz w:val="18"/>
          <w:szCs w:val="18"/>
          <w:color w:val="auto"/>
        </w:rPr>
        <w:t>in addition to the merger consideration, as further described in the section entitled “Appraisal Rights of Shareholders” beginning on page 97 of this proxy statement.</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Company preference shares issued and outstanding immediately prior to the effective time of the merger and held by a shareholder who does not vote in favor of the merger, who complies with all of the provisions of the Bermuda Companies Act concerning the rights of holders of the Company preference shares to require appraisal of their Company preference shares pursuant to the Bermuda Companies Act and who does not fail to perfect, effectively withdraw or otherwise waive any right to appraisal,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a surviving company preference share, will be entitled to receive such difference, in addition to a surviving company preference share, as further described in the section entitled “Appraisal Rights of Shareholders” beginning on page 97 of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the merger agreement, the Company has made customary representations and warranties to Parent and Merger Sub, which are qualified by information set forth in a confidential disclosure letter of the Company provided to Parent and Merger Sub in connection with the execution of the merger agreement and certain disclosures in the SEC filings of the Company and the Partnership since January 1, 2019 and publicly available prior to the date of the merger agreement, including representations and warranties relating to, among other things:</w:t>
      </w:r>
    </w:p>
    <w:p>
      <w:pPr>
        <w:spacing w:after="0" w:line="210"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authority; special committee recommendation and board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contracts and applicable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Company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 filings, financial statements, undisclosed liabilities and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conduct of the business since January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any material adverse effect since September 30, 2020;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anti-corruption, sanctions and anti-money laundering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employee benefits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any anti-takeover statutes applying to the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opinion of the special committee’s financial advisor;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brokers’ fees payable in connection with the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vessels and maritime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title to properties and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joint venture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6"/>
          <w:szCs w:val="16"/>
          <w:color w:val="auto"/>
        </w:rPr>
        <w:t>Many of the representations and warranties in the merger agreement made by the Company are qualified as to “materiality” or “material adverse effect”. For purposes of the merger agreement, a “material adverse effect”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including the merger, in accordance with the terms of the merger agreement; or (b) has had or would reasonably be expected to have a material adverse effect on the business, properties, assets, liabilities, financial condition or results of operations of the Company and its subsidiaries, taken as a whole. However, for purposes of clause (b) of the immediately preceding sentence,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except in the case of clauses (i), (ii), (vi), (vii), (viii) and (ix) below, to the extent that such fact, circumstance, effect, change, event or development has a disproportionate adverse effect on the Company and its subsidiaries, taken as a whole, compared to other companies in the industries in which the Company and its subsidiaries operate, in which case the incremental disproportionate impact may be taken into account in determining whether there has been, or would be, a “material adverse effect”:</w:t>
      </w:r>
    </w:p>
    <w:p>
      <w:pPr>
        <w:spacing w:after="0" w:line="191" w:lineRule="exact"/>
        <w:rPr>
          <w:sz w:val="20"/>
          <w:szCs w:val="20"/>
          <w:color w:val="auto"/>
        </w:rPr>
      </w:pPr>
    </w:p>
    <w:p>
      <w:pPr>
        <w:ind w:left="1080" w:hanging="532"/>
        <w:spacing w:after="0" w:line="331"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14"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announcement, execution or delivery of the merger agreement or the pendency of the merger (other than for purposes of the representations and warranties made by the Company relating to non-contravention of applicable law and orders and the Company’s organizational documents and contracts, including the condition to closing relating to the accuracy of such representations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1" w:name="page112"/>
    <w:bookmarkEnd w:id="111"/>
    <w:p>
      <w:pPr>
        <w:jc w:val="both"/>
        <w:ind w:left="1080"/>
        <w:spacing w:after="0" w:line="256" w:lineRule="auto"/>
        <w:rPr>
          <w:sz w:val="20"/>
          <w:szCs w:val="20"/>
          <w:color w:val="auto"/>
        </w:rPr>
      </w:pPr>
      <w:r>
        <w:rPr>
          <w:rFonts w:ascii="Arial" w:cs="Arial" w:eastAsia="Arial" w:hAnsi="Arial"/>
          <w:sz w:val="18"/>
          <w:szCs w:val="18"/>
          <w:color w:val="auto"/>
        </w:rPr>
        <w:t>and warranties), including (A) any action taken by the Company or any of its subsidiaries that is consented to in writing by Parent or Merger Sub, (B) any shareholder litigation arising out of or related to the merger agreement, (C) any adverse change in supplier, employee, financing source, shareholder, regulatory, partner or similar relationships resulting therefrom or (D) any change that arises out of or relates to the identity of Parent or any of its affiliates as the acquirer of the Company;</w:t>
      </w:r>
    </w:p>
    <w:p>
      <w:pPr>
        <w:spacing w:after="0" w:line="210" w:lineRule="exact"/>
        <w:rPr>
          <w:sz w:val="20"/>
          <w:szCs w:val="20"/>
          <w:color w:val="auto"/>
        </w:rPr>
      </w:pPr>
    </w:p>
    <w:p>
      <w:pPr>
        <w:jc w:val="both"/>
        <w:ind w:left="1080" w:hanging="532"/>
        <w:spacing w:after="0" w:line="254"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shares of Company common shares on the NYSE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change in applicable law, regulation or IFRS (or authoritative interpretation thereof);</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214"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occurrence or worsening of any pandemic, epidemic, public health emergency or disease outbreak (including COVID-19); or</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231"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The merger agreement provides that, during the period from the date of the merger agreement until the effective time (or, if earlier, until the valid termination of the merger agreement) (the “pre-closing period”), except (a) as set forth in the confidential disclosure letter of the Company provided to Parent and Merger Sub in connection with the execution of the merger agreement, (b) as required by applicable law or judgment, (c) as expressly required by the merger agreement or (d) as expressly consented to in writing by Parent (which consent will not be unreasonably withheld, conditioned or delayed), the Company will, and will cause each of its subsidiaries to, use commercially reasonable efforts to:</w:t>
      </w:r>
    </w:p>
    <w:p>
      <w:pPr>
        <w:spacing w:after="0" w:line="183"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carry on its business in all material respects in the ordinary course of business; and</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preserve intact in all material respects the business organizations, existing relations with key customers, suppliers and other persons with whom the Company or its subsidiaries have significant business relationships and the goodwill and reputation of its businesses.</w:t>
      </w:r>
    </w:p>
    <w:p>
      <w:pPr>
        <w:spacing w:after="0" w:line="141" w:lineRule="exact"/>
        <w:rPr>
          <w:sz w:val="20"/>
          <w:szCs w:val="20"/>
          <w:color w:val="auto"/>
        </w:rPr>
      </w:pPr>
    </w:p>
    <w:p>
      <w:pPr>
        <w:ind w:firstLine="409"/>
        <w:spacing w:after="0" w:line="268" w:lineRule="auto"/>
        <w:rPr>
          <w:sz w:val="20"/>
          <w:szCs w:val="20"/>
          <w:color w:val="auto"/>
        </w:rPr>
      </w:pPr>
      <w:r>
        <w:rPr>
          <w:rFonts w:ascii="Arial" w:cs="Arial" w:eastAsia="Arial" w:hAnsi="Arial"/>
          <w:sz w:val="18"/>
          <w:szCs w:val="18"/>
          <w:color w:val="auto"/>
        </w:rPr>
        <w:t>The merger agreement also contains specific covenants pursuant to which the Company has agreed not to, and cause each of its subsidiaries not to, take certain actions during the pre-closing period (subject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to the same exceptions listed above and certain additional exceptions specified in the merger agreement), including,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w:t>
      </w:r>
    </w:p>
    <w:p>
      <w:pPr>
        <w:spacing w:after="0" w:line="223"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Company common shares or other equity or voting interests of the Company or any rights, warrants or options to acquire any Company common shares or other equity or voting interests of the Company or its subsidiaries;</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Company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shares or other equity or voting interests of the Company, the Partnership or any non-wholly owned subsidiaries of the Company or the Partnership;</w:t>
      </w:r>
    </w:p>
    <w:p>
      <w:pPr>
        <w:spacing w:after="0" w:line="21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amend organizational documents of the Company or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w:t>
      </w:r>
    </w:p>
    <w:p>
      <w:pPr>
        <w:spacing w:after="0" w:line="199"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fail to file any reports, returns, declarations, claims for refunds, statements or other information supplied or required to be supplied to a governmental authority relating to taxes or any amendment thereof or schedule or attachment thereto (or attachment thereof) where such failure itself would preclude the Company from claiming any available exclusion from gross income under Section 883 of the U.S. Internal Revenue Code of 1986 (the “Code”) for all income described in Section 883(a)(1) of the Code;</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take any action which, if taken following the closing, would require the consent of Parent pursuant to Annex A of the shareholder agreement;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jc w:val="both"/>
        <w:ind w:right="20" w:firstLine="538"/>
        <w:spacing w:after="0" w:line="268" w:lineRule="auto"/>
        <w:rPr>
          <w:sz w:val="20"/>
          <w:szCs w:val="20"/>
          <w:color w:val="auto"/>
        </w:rPr>
      </w:pPr>
      <w:r>
        <w:rPr>
          <w:rFonts w:ascii="Arial" w:cs="Arial" w:eastAsia="Arial" w:hAnsi="Arial"/>
          <w:sz w:val="18"/>
          <w:szCs w:val="18"/>
          <w:color w:val="auto"/>
        </w:rPr>
        <w:t>Notwithstanding the foregoing, nothing in the merger agreement is intended to give Parent, directly or indirectly, the right to control or direct the Company’s or its subsidiaries’ operations prior to the effective time.</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auto"/>
        </w:rPr>
        <w:t xml:space="preserve">Further, notwithstanding anything to the contrary in the merger agreement, the Company may, and may permit or cause any subsidiary to, take actions as may be reasonably necessary with respect to (a) any operational or maritime emergencies and (b) the actual or anticipated effects of COVID-19 or any quarantine, “shelter in place”, “stay at home”, workforce reduction, social distancing, shut down, closure, sequester, safety or similar law, injunction, order, judgment, ruling, decree or writ of any governmental authority, guideline or recommendation promulgated by any relevant industry group or any governmental authority (each, a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will promptly notify Parent and Merger Sub of any such emergency situation or COVID-19 measure to the extent it involves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any immediate and material threat to the health or safety of natural persons, property, vessels or the environment and any actions taken in response thereto.</w:t>
      </w:r>
    </w:p>
    <w:p>
      <w:pPr>
        <w:spacing w:after="0" w:line="248"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6"/>
          <w:szCs w:val="16"/>
          <w:color w:val="auto"/>
        </w:rPr>
        <w:t>The Company’s obligation to cause the Partnership and its subsidiaries to take or omit to take any action will be deemed to be performed in full so long as the Company directs, and takes all reasonable actions in its power to cause, the Partnership and its subsidiaries to take or omit to take any such actions, and the foregoing will not require the Company to cause any director of the Partnership to take any actions that would reasonably be expected to violate his or her fiduciary duties under the organizational documents of the Partnership or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w:t>
      </w:r>
    </w:p>
    <w:p>
      <w:pPr>
        <w:spacing w:after="0" w:line="23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The Company has agreed that it will and will cause each of its subsidiaries and its and their officers, employees and directors to, and will use its reasonable best efforts to cause its other representatives to, immediately cease any discussions or negotiations with any persons that may have been ongoing with respect to a “takeover proposal” (as defined below).</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Company has also agreed that it will and will cause each of its subsidiaries and its and their officers, employees and directors to, and will use its reasonable best efforts to cause its other representatives to, during the pre-closing period, not, directly or indirectly:</w:t>
      </w:r>
    </w:p>
    <w:p>
      <w:pPr>
        <w:spacing w:after="0" w:line="199"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solicit, initiate or knowingly encourage or knowingly facilitate the making of a takeover proposal;</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 of encouraging or facilitating, a takeover proposal; 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enter into any letter of intent, memorandum of understanding, agreement in principle, merger agreement, acquisition agreement, amalgamation agreement or other similar agreement relating to any takeover proposal (other than any acceptable confidentiality agreement permitted to be entered into under the terms of the merger agreement) (each, a “Company acquisition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agreed that:</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it will promptly request that each person (other than Parent, Merger Sub and their representatives) that has, on or prior to the date of the merger agreement,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of the merger agreement and terminate access to all data rooms furnished in connection therewith; and</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neither it nor any of its subsidiaries will terminate, waive, amend, release or modify any provision of any existing standstill or similar agreement to which it or one of its subsidiaries is a party, except that prior to obtaining the required approvals of the Company shareholders, if after consultation with, and taking into account the advice of, outside legal counsel, the board of directors of the Company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board of directors of the Company, a takeover proposal, or to permit any discussions or negotiations permitted by the merger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ind w:firstLine="455"/>
        <w:spacing w:after="0" w:line="268" w:lineRule="auto"/>
        <w:rPr>
          <w:sz w:val="20"/>
          <w:szCs w:val="20"/>
          <w:color w:val="auto"/>
        </w:rPr>
      </w:pPr>
      <w:r>
        <w:rPr>
          <w:rFonts w:ascii="Arial" w:cs="Arial" w:eastAsia="Arial" w:hAnsi="Arial"/>
          <w:sz w:val="18"/>
          <w:szCs w:val="18"/>
          <w:color w:val="auto"/>
        </w:rPr>
        <w:t>Notwithstanding the above restrictions, if at any time prior to obtaining the required approvals of the Company shareholders, the Company receives a takeover proposal that did not result from any breach of such restrictions, then:</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board of directors of the Company or the special committee determines in good faith after consultation with, and taking into account the advice of, its financial advisor and outside legal counsel, that such takeover proposal constitutes or would reasonably be expected to lead to a “superior proposal” (as defined below), then the Company and its representatives may: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enter into a confidentiality agreement in accordance with the terms of the merger agreement with the third party making the takeover proposal and furnish pursuant thereto information (including non-public information) with respect to the Company and its subsidiaries to such third party and its representatives and financing sources (and the Company further agreed that it will promptly provide to Parent any non-public information concerning the Company or any of its subsidiaries that is provided to any third party given such access that was not previously provided to Parent or its representatives); and</w:t>
      </w:r>
    </w:p>
    <w:p>
      <w:pPr>
        <w:spacing w:after="0" w:line="182"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third party making such takeover proposal and its or their representatives and financing sources, including to solicit the making of a revised takeover proposal.</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must promptly (and in any event within 24 hours) notify Parent in the event it receives a takeover proposal and disclose to Parent the material terms and conditions of such takeover proposal (and copies of any written takeover proposal, including proposed agreements) and the identity of the person or group making such takeover proposal, and keep parent reasonably informed on a prompt and timely basis of any material developments with respect to any such takeover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below, the Company has agreed that neither its board of directors, the special committee nor any other committee thereof will:</w:t>
      </w:r>
    </w:p>
    <w:p>
      <w:pPr>
        <w:spacing w:after="0" w:line="262" w:lineRule="exact"/>
        <w:rPr>
          <w:sz w:val="20"/>
          <w:szCs w:val="20"/>
          <w:color w:val="auto"/>
        </w:rPr>
      </w:pPr>
    </w:p>
    <w:p>
      <w:pPr>
        <w:ind w:left="10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Parent), or publicly propose to withhold or withdraw (or modify in a manner adverse to Parent), the recommendation that the Company shareholders approve the merger proposal;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recommend, approve or adopt, or publicly propose to recommend, approve or adopt, any takeover proposal;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fail to include its recommendation that the Company shareholders approve the merger proposal in this proxy statement.</w:t>
      </w:r>
    </w:p>
    <w:p>
      <w:pPr>
        <w:spacing w:after="0" w:line="225" w:lineRule="exact"/>
        <w:rPr>
          <w:sz w:val="20"/>
          <w:szCs w:val="20"/>
          <w:color w:val="auto"/>
        </w:rPr>
      </w:pPr>
    </w:p>
    <w:p>
      <w:pPr>
        <w:ind w:firstLine="633"/>
        <w:spacing w:after="0" w:line="268" w:lineRule="auto"/>
        <w:rPr>
          <w:sz w:val="20"/>
          <w:szCs w:val="20"/>
          <w:color w:val="auto"/>
        </w:rPr>
      </w:pPr>
      <w:r>
        <w:rPr>
          <w:rFonts w:ascii="Arial" w:cs="Arial" w:eastAsia="Arial" w:hAnsi="Arial"/>
          <w:sz w:val="18"/>
          <w:szCs w:val="18"/>
          <w:color w:val="auto"/>
        </w:rPr>
        <w:t>Any of the actions by the Company described in the immediately preceding paragraph are referred to in this proxy statement as an “adverse recommendation change”.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Company has also agreed that it will not, and will not cause or permit its subsidiaries to, execute or enter into any Company acquisition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ind w:firstLine="445"/>
        <w:spacing w:after="0" w:line="331" w:lineRule="auto"/>
        <w:rPr>
          <w:sz w:val="20"/>
          <w:szCs w:val="20"/>
          <w:color w:val="auto"/>
        </w:rPr>
      </w:pPr>
      <w:r>
        <w:rPr>
          <w:rFonts w:ascii="Arial" w:cs="Arial" w:eastAsia="Arial" w:hAnsi="Arial"/>
          <w:sz w:val="16"/>
          <w:szCs w:val="16"/>
          <w:color w:val="auto"/>
        </w:rPr>
        <w:t>For purposes of the merger agreement,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jc w:val="both"/>
        <w:ind w:left="1080" w:hanging="532"/>
        <w:spacing w:after="0" w:line="25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20% or more of the assets (based on the fair market value thereof, as determined in good faith by the board of directors of the Company, the special committee or any other committee thereof), revenues or net income of the Company and its subsidiaries, taken as a whole;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acquisition of 20% or more of the outstanding Company common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tender offer or exchange offer that if consummated would result in any person or group having beneficial ownership of 20% or more of the outstanding Company common shares;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or similar transaction pursuant to which any person or group (or the shareholders of any person) would acquire 20% of more of the aggregate voting power of the Company or the surviving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than, in each case:</w:t>
      </w:r>
    </w:p>
    <w:p>
      <w:pPr>
        <w:spacing w:after="0" w:line="252"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resulting from the acquisition of Company common shares by one or more of the rolling shareholders solely from the transfer or other disposition of Company common shares by another rolling shareholder as expressly contemplated by the rollover agreement.</w:t>
      </w:r>
    </w:p>
    <w:p>
      <w:pPr>
        <w:spacing w:after="0" w:line="194"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However, prior to the time the required approvals of the Company shareholders are obtained, the board of directors of the Company or the special committee may, if the board or the special committee determines in good faith, after consultation with, and taking into account the advice of, its financial advisor and outside legal counsel, that failure to take such action would be inconsistent with the directors’ fiduciary duties under applicable law:</w:t>
      </w:r>
    </w:p>
    <w:p>
      <w:pPr>
        <w:spacing w:after="0" w:line="174"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an adverse recommendation change in response to an “intervening event” (as defined below), so long as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delivers to Parent a written notice advising Parent that the Company intends to take such action and specifying the reasons therefor and a reasonably detailed description of the underlying facts giving rise thereto; and</w:t>
      </w:r>
    </w:p>
    <w:p>
      <w:pPr>
        <w:spacing w:after="0" w:line="199"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intervening event would cease to warrant an adverse recommendation change;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a “superior proposal” (as defined below) is received by the Company that did not result from, any breach of its non-solicitation obligations, as described under the section entitled “—Restrictions on Solicitations of Takeover Proposals”, make an adverse recommendation change or terminate the merger agreement to enter into an acquisition agreement with respect to such superior proposal, so long as the Company:</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620" w:hanging="532"/>
        <w:spacing w:after="0" w:line="298" w:lineRule="auto"/>
        <w:tabs>
          <w:tab w:leader="none" w:pos="16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delivers to Parent a written notice advising Parent that the Company intends to take such action and specifying the reasons therefor and a reasonably detailed description of the underlying facts giving rise thereto, including (a) the material terms and conditions of such takeover proposal and the identity of the person or group of persons making such takeover proposal and (b) a copy of the most current version of the Company acquisition agreement (if any) with respect to such superior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jc w:val="both"/>
        <w:ind w:left="1620" w:hanging="532"/>
        <w:spacing w:after="0" w:line="259" w:lineRule="auto"/>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takeover proposal ceases to constitute a superior proposal; and</w:t>
      </w:r>
    </w:p>
    <w:p>
      <w:pPr>
        <w:spacing w:after="0" w:line="220"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board of directors of the Company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notice and a new two business day period for further engagement with Parent).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merger agreement:</w:t>
      </w:r>
    </w:p>
    <w:p>
      <w:pPr>
        <w:spacing w:after="0" w:line="239" w:lineRule="exact"/>
        <w:rPr>
          <w:sz w:val="20"/>
          <w:szCs w:val="20"/>
          <w:color w:val="auto"/>
        </w:rPr>
      </w:pPr>
    </w:p>
    <w:p>
      <w:pPr>
        <w:jc w:val="both"/>
        <w:ind w:left="1080" w:hanging="532"/>
        <w:spacing w:after="0" w:line="287"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“intervening event” means any event, change, effect, condition, development, fact or circumstance with respect to the Company and its subsidiaries or their respective businesses that (a) is neither known by, nor reasonably foreseeable (with respect to magnitude or material consequences) by the board of directors of the Company or the special committee as of the date of the merger agreement and (b) does not relate to 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foregoing will constitute an intervening event: (i)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(ii) any change in and of itself in the market price, credit rating or trading volume of Company common shares on the NYSE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 and</w:t>
      </w:r>
    </w:p>
    <w:p>
      <w:pPr>
        <w:spacing w:after="0" w:line="189" w:lineRule="exact"/>
        <w:rPr>
          <w:rFonts w:ascii="Arial" w:cs="Arial" w:eastAsia="Arial" w:hAnsi="Arial"/>
          <w:sz w:val="16"/>
          <w:szCs w:val="16"/>
          <w:color w:val="auto"/>
        </w:rPr>
      </w:pPr>
    </w:p>
    <w:p>
      <w:pPr>
        <w:jc w:val="both"/>
        <w:ind w:left="1080" w:hanging="532"/>
        <w:spacing w:after="0" w:line="286" w:lineRule="auto"/>
        <w:tabs>
          <w:tab w:leader="none" w:pos="10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“superior proposal” means any bona fide written takeover proposal that the board of directors of the Company, the special committee or any other committee thereof has determined in its good faith judgment, after consultation with, and taking into account the advice of, its financial advisor and outside legal counsel, and taking into account all relevant legal, regulatory, financial and other aspects, including the risk and timing of consummation of such proposal and any changes to the terms of the merger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clause (a) of the definition of takeover proposal will be deemed to be a reference to 50%, (b) the references to “20% or more of the outstanding Company common shares” in clauses (b) and (c) of the definition of takeover proposal will be deemed to be references to “no less than all of the outstanding Company common shares not owned by the rolling shareholders and their affiliates” and (c) the reference to “20% or more of the aggregate voting power” in clause (d) of the definition of takeover proposal will be deemed to be a reference to “no less than the percentage of the aggregate voting power of the outstanding Company common shares not owned by the rolling shareholders and their affiliates prior to such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Shareholder Approvals</w:t>
      </w:r>
    </w:p>
    <w:p>
      <w:pPr>
        <w:spacing w:after="0" w:line="231"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color w:val="auto"/>
        </w:rPr>
        <w:t>As soon as reasonably practicable after the SEC confirms that it has no further comments on the Rule 13E-3 transaction statement on Schedule 13E-3 relating to the adoption of the merger agreement by the Company shareholders and this proxy statement, the Company has agreed to take all necessary actions in accordance with applicable law, the organizational documents of the Company and the rules of the NYSE to call, give notice of, convene and hold a meeting of its shareholders for the purpose of obtaining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the required approvals of Company shareholders, consisting of the affirmative vote (in person or by proxy) of:</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holders of a majority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holders of a majority of the Company common shares held by the public shareholders and present (in person or in proxy) at a meeting of the Company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in favor of the approval of the merger agreement, the merger and the statutory merger agreement.</w:t>
      </w:r>
    </w:p>
    <w:p>
      <w:pPr>
        <w:spacing w:after="0" w:line="225"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Subject to terms of the merger agreement, the Company has agreed to use its reasonable best efforts to obtain the required approvals from the holders of outstanding Company common shares and Company preference shares, and to keep Parent and its representatives reasonably apprised following the mailing of this proxy statement and prior to the date of the special general meeting as to the aggregate tally of proxies received by the Company with respect to the required approvals of such Company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231"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Subject to the terms of the merger agreement, each of the Company, Parent and Merger Sub have agreed to cooperate with the other parties to the merger agreement and use (and to cause their respective subsidiaries to use) their respective reasonable best efforts (unless another standard of performance is expressly provided for in the merger agreement) to promptly:</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take, or cause to be taken, all actions, and do, or cause to be done, and assist and cooperate with the other parties hereto in doing, all things necessary, proper or advisable to cause the conditions to closing applicable to such party to be satisfied as promptly as reasonably practicable and to consummate and make effective, in the most expeditious manner reasonably practicable, the transactions contemplated by the merger agreement, including:</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taking all such actions contemplated by the terms of the statutory merger agreement;</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otherwise preparing and filing promptly and fully all documentation to effect all necessary filings, notices, petitions, statements, registrations, submissions of information, applications and other documents;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executing and delivering any additional instruments necessary to consummate the transactions contemplated by the merger agreement;</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obtain all consents from any governmental authority or third-party necessary, proper or advisable to consummate the transactions contemplated by the merger agreement, including any such consents required under applicable antitrust laws,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take all steps that are necessary, proper or advisable to avoid any actions by any governmental authorities with respect to the merger agreement or the transactions contemplated thereby;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defend or contest in good faith any action by any third party (excluding any governmental authority), whether judicial or administrative, challenging the merger agreement or that could otherwise prevent or impede, interfere with, hinder or delay in any material respect the consummation of the transactions contemplated by the merger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The Company has also agreed to use its commercially reasonable efforts to obtain certain specified third-party consents with respect to certain of its existing indebtedness in connection with the consummation of the transactions contemplated by the merger agreement, and Parent has agreed to use its commercially reasonable efforts to cooperate with the Company, in each case with respect to:</w:t>
      </w:r>
    </w:p>
    <w:p>
      <w:pPr>
        <w:spacing w:after="0" w:line="207"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obtaining such specified third-party consents; or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taking such action to obviate the need for such specified third-party consents, including the replacement or refinancing of any indebtedness in a manner permitted by the merger agreement.</w:t>
      </w:r>
    </w:p>
    <w:p>
      <w:pPr>
        <w:spacing w:after="0" w:line="186"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The parties further agreed that no party to the merger agreement would be required to pay (and the Company and its subsidiaries have agreed not to pay or agree to pay any amounts in excess of a specified amount without the prior written consent of Parent (such consent not to be unreasonably withheld, conditioned or delayed)) any fee, penalty or other consideration to any third-party for any such specified third-party consents or for any other consent or approval required for the consummation of the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Parent has delivered to the Company a true and complete copy of a fully executed equity commitment letter, dated as of the date of the merger agreement from GEPIF III to Parent that provides for an equity investment in Parent, subject to the terms and conditions therein, in the aggregate amount of $247 million. The obligation of GEPIF III 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 as described in section “—Termination Fees and Expense Reimbursement” of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 among other things: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cooperation between the Company, on the one hand, and Parent and Merger Sub, on the other hand, in the preparation of the Schedule 13E-3 and this proxy statement;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consultation between the Company, on the one hand, and Parent and Merger Sub, on the other hand, in connection with public statements with respect to the transactions contemplated by the merger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confidentiality and access by Parent to certain information regarding the Company;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party notifying the other party of any litigation commenced, or to the knowledge of such party, threatened, relating to the merger agreement, the statutory merger agreement or the transactions contemplated by the merger agreement, and giving the other party the opportunity to participate in the defense and settlement of any such litigation;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ind w:left="1080" w:right="2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Parent, in its capacity as the sole shareholder of Merger Sub, approving the merger agreement, the statutory merger agreement and the transactions contemplated by the merger agreement;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surviving company using reasonable best efforts to cause the Company common shares to be de-listed from the NYSE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We expect to complete the merger in the second quarter of 2021. The respective obligations of the Company, Parent and Merger Sub to effect the merger are subject to the satisfaction (or written waiver by the Company and Parent, if permissible under applicable law) at or prior to the closing of the following conditions:</w:t>
      </w:r>
    </w:p>
    <w:p>
      <w:pPr>
        <w:spacing w:after="0" w:line="207" w:lineRule="exact"/>
        <w:rPr>
          <w:sz w:val="20"/>
          <w:szCs w:val="20"/>
          <w:color w:val="auto"/>
        </w:rPr>
      </w:pPr>
    </w:p>
    <w:p>
      <w:pPr>
        <w:jc w:val="both"/>
        <w:ind w:left="1080" w:hanging="532"/>
        <w:spacing w:after="0" w:line="290"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 (b) the holders of a majority of the Company common shares held by the public shareholders and present (in person or by proxy) at the special general meeting; and</w:t>
      </w:r>
    </w:p>
    <w:p>
      <w:pPr>
        <w:spacing w:after="0" w:line="18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94" w:lineRule="exact"/>
        <w:rPr>
          <w:sz w:val="20"/>
          <w:szCs w:val="20"/>
          <w:color w:val="auto"/>
        </w:rPr>
      </w:pPr>
    </w:p>
    <w:p>
      <w:pPr>
        <w:ind w:firstLine="499"/>
        <w:spacing w:after="0" w:line="268" w:lineRule="auto"/>
        <w:rPr>
          <w:sz w:val="20"/>
          <w:szCs w:val="20"/>
          <w:color w:val="auto"/>
        </w:rPr>
      </w:pPr>
      <w:r>
        <w:rPr>
          <w:rFonts w:ascii="Arial" w:cs="Arial" w:eastAsia="Arial" w:hAnsi="Arial"/>
          <w:sz w:val="18"/>
          <w:szCs w:val="18"/>
          <w:color w:val="auto"/>
        </w:rPr>
        <w:t>In addition, the obligations of Parent and Merger Sub to consummate the merger are also subject to the satisfaction (or written waiver by Parent, if permissible under applicable law) at or prior to the closing of the merger of the following conditions:</w:t>
      </w:r>
    </w:p>
    <w:p>
      <w:pPr>
        <w:spacing w:after="0" w:line="213"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with respect to (i) the absence of any material adverse effect since September 30, 2020,</w:t>
      </w:r>
    </w:p>
    <w:p>
      <w:pPr>
        <w:spacing w:after="0" w:line="38" w:lineRule="exact"/>
        <w:rPr>
          <w:rFonts w:ascii="Arial" w:cs="Arial" w:eastAsia="Arial" w:hAnsi="Arial"/>
          <w:sz w:val="16"/>
          <w:szCs w:val="16"/>
          <w:color w:val="auto"/>
        </w:rPr>
      </w:pPr>
    </w:p>
    <w:p>
      <w:pPr>
        <w:jc w:val="both"/>
        <w:ind w:left="1080" w:firstLine="8"/>
        <w:spacing w:after="0" w:line="300" w:lineRule="auto"/>
        <w:tabs>
          <w:tab w:leader="none" w:pos="1342"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the requisite approval of the Company shareholders to consummate the merger and (iii) the absence of a Surrender Election (as such term is defined in the Seventh Amended and Restated Agreement of Limited Partnership of the Partnership, dated as of August 5, 2020) with respect to the Partnership must be true and correct in all respects as of the closing date (except to the extent made as of an earlier date, in which case as of such date); (b) the representations and warranties of the Company with respect to (i) the number of Company common shares issued and outstanding and issuable in respect of outstanding Company equity-based awards, (ii) the absence of any other shares of capital stock or rights to receive shares of capital stock of the Company and (iii) the ownership of Company common shares by the rolling shareholders and the additional rolling shareholders must be true and correct in all but de minimis respects as of the closing date (except to the extent made as of an earlier date, in which case as of such date); (c) the representations and warranties of the Company with respect to (i) organization and standing;</w:t>
      </w:r>
    </w:p>
    <w:p>
      <w:pPr>
        <w:spacing w:after="0" w:line="3" w:lineRule="exact"/>
        <w:rPr>
          <w:rFonts w:ascii="Arial" w:cs="Arial" w:eastAsia="Arial" w:hAnsi="Arial"/>
          <w:sz w:val="15"/>
          <w:szCs w:val="15"/>
          <w:color w:val="auto"/>
        </w:rPr>
      </w:pPr>
    </w:p>
    <w:p>
      <w:pPr>
        <w:jc w:val="both"/>
        <w:ind w:left="1080" w:firstLine="8"/>
        <w:spacing w:after="0" w:line="292" w:lineRule="auto"/>
        <w:tabs>
          <w:tab w:leader="none" w:pos="134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other capitalization matters; (iii) corporate authority and board and special committee approvals; (iv) absence of any anti-takeover statutes applying to the merger; (v) opinion of the special committee’s financial advisor; (vi) the absence of undisclosed brokers’ fees in connection with the transactions contemplated by the merger agreement and (vii) ownership by the Company of Partnership units must be true and correct in all material respects as of the closing date (except to the extent made as of an earlier date, in which case as of such date); and (d) all other representations and warranties of the Company must be true and correct (disregarding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0" w:name="page121"/>
    <w:bookmarkEnd w:id="120"/>
    <w:p>
      <w:pPr>
        <w:jc w:val="both"/>
        <w:ind w:left="1080"/>
        <w:spacing w:after="0" w:line="306" w:lineRule="auto"/>
        <w:rPr>
          <w:sz w:val="20"/>
          <w:szCs w:val="20"/>
          <w:color w:val="auto"/>
        </w:rPr>
      </w:pPr>
      <w:r>
        <w:rPr>
          <w:rFonts w:ascii="Arial" w:cs="Arial" w:eastAsia="Arial" w:hAnsi="Arial"/>
          <w:sz w:val="16"/>
          <w:szCs w:val="16"/>
          <w:color w:val="auto"/>
        </w:rPr>
        <w:t>qualifications or limitations as to “materiality”,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have a material adverse effect;</w:t>
      </w:r>
    </w:p>
    <w:p>
      <w:pPr>
        <w:spacing w:after="0" w:line="174" w:lineRule="exact"/>
        <w:rPr>
          <w:sz w:val="20"/>
          <w:szCs w:val="20"/>
          <w:color w:val="auto"/>
        </w:rPr>
      </w:pPr>
    </w:p>
    <w:p>
      <w:pPr>
        <w:ind w:left="10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the obligations and agreements required to be performed or complied by with it under the merger agreement at or prior to the effective time of the merger;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Parent must have received certificates signed on behalf of the Company by an executive officer of the Company to the effect that the conditions described in the two immediately preceding bullets have been satisfied;</w:t>
      </w:r>
    </w:p>
    <w:p>
      <w:pPr>
        <w:spacing w:after="0" w:line="199"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rolling shareholders must have performed or complied in all material respects with certain of its obligations and agreements required to be performed by it under the rollover agreement, including with respect to the rollover of its Company common shares and Company preference shares in the merger, the voting of its Company common shares and Company preference shares in favor of the merger proposal, the entry into the shareholder agreement and transfer and non-solicitation restrictions (the “specified rollover obligations”), as described in further detail in the section entitled “Rollover Agreement” of this proxy statement beginning on page 94;</w:t>
      </w:r>
    </w:p>
    <w:p>
      <w:pPr>
        <w:spacing w:after="0" w:line="18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Peter G. Livanos must be employed, engaged or retained by the Company or its affiliates in substantially the same capacity as he served the Company immediately prior to the date of the merger agreement;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must have received and delivered to Parent and Merger Sub all specified third-party consents, and all such third-party consents will remain in full force and effect.</w:t>
      </w:r>
    </w:p>
    <w:p>
      <w:pPr>
        <w:spacing w:after="0" w:line="186"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Furthermore, the obligations of the Company to consummate the merger are also subject to the satisfaction (or written waiver by the Company, if permissible under applicable law) at or prior to the closing of the following conditions:</w:t>
      </w:r>
    </w:p>
    <w:p>
      <w:pPr>
        <w:spacing w:after="0" w:line="199" w:lineRule="exact"/>
        <w:rPr>
          <w:sz w:val="20"/>
          <w:szCs w:val="20"/>
          <w:color w:val="auto"/>
        </w:rPr>
      </w:pPr>
    </w:p>
    <w:p>
      <w:pPr>
        <w:jc w:val="both"/>
        <w:ind w:left="1080" w:hanging="532"/>
        <w:spacing w:after="0" w:line="288"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the representations and warranties of Parent and Merger Sub with respect to organization and standing, corporate authority, approvals and absence of broker and the absence of undisclosed brokers’ fees in connection with the transactions contemplated by the merger agreement must be true and correct in all material respects as of the closing date (except to the extent made as of an earlier date, in which case as of such date) and (b) all other representations and warranties of Parent and Merger Sub must be true and correct (disregarding all qualifications or limitations as to “materiality” or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prevent or materially delay, interfere with, hinder or impair the consummation by Parent or Merger Sub or any of the transactions in accordance with the merger agreement;</w:t>
      </w:r>
    </w:p>
    <w:p>
      <w:pPr>
        <w:spacing w:after="0" w:line="19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Parent and Merger Sub must have performed or complied in all material respects with the obligations and agreements required to be performed or complied by with them under the merger agreement at or prior to the effective time of the merger;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must have received certificates signed on behalf of Parent and Merger Sub by an executive officer of Parent to the effect that the conditions described in the two immediately preceding bullets have been satisfied.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07"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the merger has not have been consummated on or prior to September 30, 2021 (the “outside date”), except that the right to terminate the merger agreement pursuant to the provision described in this bullet will not available to any party if the breach by such party of its representations and warranties or the failure by such party to perform any of its obligations under the merger agreement or to act in good faith or use reasonable best efforts to consummate the transactions has been a principal cause of or resulted in the failure of the merger to be consummated on or before such date (an “outside date termination”);</w:t>
      </w:r>
    </w:p>
    <w:p>
      <w:pPr>
        <w:spacing w:after="0" w:line="182" w:lineRule="exact"/>
        <w:rPr>
          <w:rFonts w:ascii="Arial" w:cs="Arial" w:eastAsia="Arial" w:hAnsi="Arial"/>
          <w:sz w:val="16"/>
          <w:szCs w:val="16"/>
          <w:color w:val="auto"/>
        </w:rPr>
      </w:pPr>
    </w:p>
    <w:p>
      <w:pPr>
        <w:jc w:val="both"/>
        <w:ind w:left="1620" w:hanging="532"/>
        <w:spacing w:after="0" w:line="291" w:lineRule="auto"/>
        <w:tabs>
          <w:tab w:leader="none" w:pos="16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except that the party seeking to terminate the merger agreement pursuant to the provision described in this bullet must have performed in all material respects its obligations under the merger agreement, acted in good faith and used reasonable best efforts to prevent the entry of and to remove such injunction, order, judgment, ruling, decree or writ in accordance with its obligations under the merger agreement;</w:t>
      </w:r>
    </w:p>
    <w:p>
      <w:pPr>
        <w:spacing w:after="0" w:line="200"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the Company has breached any of its representations or warranties or failed to perform any of its obligations or agreements in the merger agreement, or if the rolling shareholders have breached any of the specified rollover obligations, which breach or failure to perform (a) would give rise to the failure of certain conditions to the obligations of Parent and Merger Sub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the Company of written notice thereof stating Parent’s intention to terminate the merger agreement pursuant to the provision described in this bullet and the basis for such termination, except that Parent may not terminate the merger agreement under this provision if it is then in material breach of any of its representations, warranties, obligations or agreements under the merger agreement (a “Company breach termination”); or</w:t>
      </w:r>
    </w:p>
    <w:p>
      <w:pPr>
        <w:spacing w:after="0" w:line="199"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(a) an adverse recommendation change has occurred, (b) following the commencement of a tender offer or exchange offer that constitutes a takeover proposal, the Company has not published, sent or given to Company shareholders, within a 10-business day period after such tender offer or exchange offer is first made, a statement recommending that Company shareholders reject such tender offer or exchange offer and affirming the recommendation of the board of directors of the merger proposal, or (c) the board of directors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ind w:left="1620" w:right="20"/>
        <w:spacing w:after="0" w:line="268" w:lineRule="auto"/>
        <w:rPr>
          <w:sz w:val="20"/>
          <w:szCs w:val="20"/>
          <w:color w:val="auto"/>
        </w:rPr>
      </w:pPr>
      <w:r>
        <w:rPr>
          <w:rFonts w:ascii="Arial" w:cs="Arial" w:eastAsia="Arial" w:hAnsi="Arial"/>
          <w:sz w:val="18"/>
          <w:szCs w:val="18"/>
          <w:color w:val="auto"/>
        </w:rPr>
        <w:t>the special committee or any other committee thereof has resolved to effect or publicly announced an intention to effect any of the foregoing (an “adverse recommendation termination”);</w:t>
      </w:r>
    </w:p>
    <w:p>
      <w:pPr>
        <w:spacing w:after="0" w:line="19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2"/>
        <w:spacing w:after="0" w:line="288" w:lineRule="auto"/>
        <w:tabs>
          <w:tab w:leader="none" w:pos="16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Parent or Merger Sub has breached any of its representations or warranties or failed to perform any of its obligations or agreements in the merger agreement, which breach or failure to perform (a) would give rise to the failure of certain conditions to the obligations of the Company to effect the merger described under “—Conditions to Completion of the Merger” beginning on page 87 of this proxy statement and (b) is not reasonably capable of being cured prior to the outside date, or if reasonably capable of being cured, has not been cured within 30 calendar days following receipt by Parent of written notice thereof stating the Company’s intention to terminate the merger agreement pursuant to the provision described in this bullet and the basis for such termination, except that the Company may not terminate the merger agreement under this provision if it is then in material breach of any of its representations, warranties, obligations or agreements under the merger agreement (a “Parent breach termination”);</w:t>
      </w:r>
    </w:p>
    <w:p>
      <w:pPr>
        <w:spacing w:after="0" w:line="191" w:lineRule="exact"/>
        <w:rPr>
          <w:rFonts w:ascii="Arial" w:cs="Arial" w:eastAsia="Arial" w:hAnsi="Arial"/>
          <w:sz w:val="16"/>
          <w:szCs w:val="16"/>
          <w:color w:val="auto"/>
        </w:rPr>
      </w:pPr>
    </w:p>
    <w:p>
      <w:pPr>
        <w:jc w:val="both"/>
        <w:ind w:left="1620" w:hanging="532"/>
        <w:spacing w:after="0" w:line="294" w:lineRule="auto"/>
        <w:tabs>
          <w:tab w:leader="none" w:pos="16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prior to obtaining the required approvals of the Company shareholders of the merger proposal, in connection with entering into a Company acquisition agreement with respect to a superior proposal as described under “—Changes in Board or Special Committee Recommendation” beginning on page 82 of this proxy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prior to or concurrently with such termination pays the Company termination fee as described under “—Termination Fees and Expense Reimbursement” beginning on page 90 of this proxy statement (a “superior proposal termination”); or</w:t>
      </w:r>
    </w:p>
    <w:p>
      <w:pPr>
        <w:spacing w:after="0" w:line="182"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all other conditions to the Parent and Merger Sub’s obligations to effect the merger have been satisfied (other than those conditions that by their nature are to be satisfied by actions taken at the closing so long as such conditions would be satisfied as of the date of termination) and the merger is required to be consummated but Parent or Merger Sub fail to consummate the merger after the receipt by Parent of notice thereof (“failure to close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 Reimbursement</w:t>
      </w:r>
    </w:p>
    <w:p>
      <w:pPr>
        <w:spacing w:after="0" w:line="23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In the event of the termination of the merger agreement in accordance with its terms by a party, written notice of such termination will be given to the other party specifying the provision thereof pursuant to which such termination is made, and the merger agreement will forthwith become null and void (other than certain sections that survive termination of the merger agreement, including those relating to the termination fees and expense reimbursement, the guarantee and confidentiality) without liability on the part of any party or its directors, officers and affiliates, other than, as liability may exist pursuant to the provisions that will survive the termination of the merger agreement. In addition, no termination will relieve any party to the merger agreement from liability for any willful breach.</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be obligated to pay Parent a termination fee of $13 million (the “Company termination fee”):</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within two business days following the termination of the merger agreement (a) by Parent in connection with an adverse recommendation termination or (b) by Parent or the Company in connection with an outside date termination or non-approval termination at a time at which the merger agreement was terminable by Parent in connection with an adverse recommendation termination, in each case as described under “— Termination of the Merger Agreement” beginning on page 89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ind w:left="1080" w:right="2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by the Company in connection with a superior proposal termination as described under “—Termination of the Merger Agreement” beginning on page 89 of this proxy statement;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within two business days after the earlier of entry into a Company acquisition agreement or consummation of any triggering takeover proposal (as defined below) if each of the following occurs: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merger agreement is terminated by the Company or Parent in connection with (a) an outside date termination, (b) a non-approval termination or (c) a Company breach termination;</w:t>
      </w:r>
    </w:p>
    <w:p>
      <w:pPr>
        <w:spacing w:after="0" w:line="199" w:lineRule="exact"/>
        <w:rPr>
          <w:rFonts w:ascii="Arial" w:cs="Arial" w:eastAsia="Arial" w:hAnsi="Arial"/>
          <w:sz w:val="18"/>
          <w:szCs w:val="18"/>
          <w:color w:val="auto"/>
        </w:rPr>
      </w:pPr>
    </w:p>
    <w:p>
      <w:pPr>
        <w:jc w:val="both"/>
        <w:ind w:left="1620" w:hanging="532"/>
        <w:spacing w:after="0" w:line="290" w:lineRule="auto"/>
        <w:tabs>
          <w:tab w:leader="none" w:pos="16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at any time after the date of the merger agreement but prior to, (a) in the case of clause (a) of the immediately preceding bullet, the date of such termination, (b) in the case of clause (b) of the immediately preceding bullet, the date of the meeting of the Company shareholders at which the required approvals of the Company shareholders for the merger proposal were not obtained and (c) in the case of clause (c) of the immediately preceding bullet, the occurrence the breach giving rise to the right of such termination, a bona fide triggering takeover proposal has been made or proposed (and, in the case of a non-approval termination, such triggering takeover proposal must have been publicly made or proposed and not withdrawn at least three business days prior to the meeting of Company shareholders called to approve the merger proposal);</w:t>
      </w:r>
    </w:p>
    <w:p>
      <w:pPr>
        <w:spacing w:after="0" w:line="198"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at the time of such termination, the Company was not entitled to terminate the merger agreement in connection with a failure to close termination, as described under “—Termination of the Merger Agreement” beginning on page 89 of this proxy statement, and neither Parent nor Merger Sub was then in material breach of its representations, warranties, covenants or obligations under the merger agreement; and</w:t>
      </w:r>
    </w:p>
    <w:p>
      <w:pPr>
        <w:spacing w:after="0" w:line="210"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within nine months of the date of the merger agreement is terminated, the Company consummations a triggering takeover proposal or consummates a Company acquisition agreement with respect to a triggering takeover proposal.</w:t>
      </w:r>
    </w:p>
    <w:p>
      <w:pPr>
        <w:spacing w:after="0" w:line="186" w:lineRule="exact"/>
        <w:rPr>
          <w:sz w:val="20"/>
          <w:szCs w:val="20"/>
          <w:color w:val="auto"/>
        </w:rPr>
      </w:pPr>
    </w:p>
    <w:p>
      <w:pPr>
        <w:ind w:firstLine="389"/>
        <w:spacing w:after="0" w:line="331" w:lineRule="auto"/>
        <w:rPr>
          <w:sz w:val="20"/>
          <w:szCs w:val="20"/>
          <w:color w:val="auto"/>
        </w:rPr>
      </w:pPr>
      <w:r>
        <w:rPr>
          <w:rFonts w:ascii="Arial" w:cs="Arial" w:eastAsia="Arial" w:hAnsi="Arial"/>
          <w:sz w:val="16"/>
          <w:szCs w:val="16"/>
          <w:color w:val="auto"/>
        </w:rPr>
        <w:t>For purposes of the merger agreement, a “triggering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ind w:left="1080" w:hanging="532"/>
        <w:spacing w:after="0" w:line="268"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50% or more of the assets, revenues or net income of the Company and its subsidiaries, taken as a whole;</w:t>
      </w:r>
    </w:p>
    <w:p>
      <w:pPr>
        <w:spacing w:after="0" w:line="212" w:lineRule="exact"/>
        <w:rPr>
          <w:rFonts w:ascii="Arial" w:cs="Arial" w:eastAsia="Arial" w:hAnsi="Arial"/>
          <w:sz w:val="18"/>
          <w:szCs w:val="18"/>
          <w:color w:val="auto"/>
        </w:rPr>
      </w:pPr>
    </w:p>
    <w:p>
      <w:pPr>
        <w:jc w:val="both"/>
        <w:ind w:left="1080" w:hanging="532"/>
        <w:spacing w:after="0" w:line="369" w:lineRule="auto"/>
        <w:tabs>
          <w:tab w:leader="none" w:pos="10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acquisition of Company common shares representing 40% or more of the outstanding common shares or acquisition of not less than all of the outstanding Company common shares not owned by the rolling shareholders, any employee of the Company or any of their respective affiliates;</w:t>
      </w:r>
    </w:p>
    <w:p>
      <w:pPr>
        <w:spacing w:after="0" w:line="131" w:lineRule="exact"/>
        <w:rPr>
          <w:rFonts w:ascii="Arial" w:cs="Arial" w:eastAsia="Arial" w:hAnsi="Arial"/>
          <w:sz w:val="15"/>
          <w:szCs w:val="15"/>
          <w:color w:val="auto"/>
        </w:rPr>
      </w:pPr>
    </w:p>
    <w:p>
      <w:pPr>
        <w:jc w:val="both"/>
        <w:ind w:left="1080" w:hanging="532"/>
        <w:spacing w:after="0" w:line="306"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tender offer or exchange offer that if consummated would result in any person or group having beneficial ownership of Company common shares representing 40% or more of the outstanding Company common shares or not less than all of the outstanding Company common shares not owned by the rolling shareholders, any employee of the Company or any of their respective affiliates;</w:t>
      </w:r>
    </w:p>
    <w:p>
      <w:pPr>
        <w:spacing w:after="0" w:line="173"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4" w:name="page125"/>
    <w:bookmarkEnd w:id="124"/>
    <w:p>
      <w:pPr>
        <w:jc w:val="both"/>
        <w:ind w:left="1080"/>
        <w:spacing w:after="0" w:line="306" w:lineRule="auto"/>
        <w:rPr>
          <w:sz w:val="20"/>
          <w:szCs w:val="20"/>
          <w:color w:val="auto"/>
        </w:rPr>
      </w:pPr>
      <w:r>
        <w:rPr>
          <w:rFonts w:ascii="Arial" w:cs="Arial" w:eastAsia="Arial" w:hAnsi="Arial"/>
          <w:sz w:val="16"/>
          <w:szCs w:val="16"/>
          <w:color w:val="auto"/>
        </w:rPr>
        <w:t>aggregate voting power of all of the outstanding Company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or</w:t>
      </w:r>
    </w:p>
    <w:p>
      <w:pPr>
        <w:spacing w:after="0" w:line="174" w:lineRule="exact"/>
        <w:rPr>
          <w:sz w:val="20"/>
          <w:szCs w:val="20"/>
          <w:color w:val="auto"/>
        </w:rPr>
      </w:pPr>
    </w:p>
    <w:p>
      <w:pPr>
        <w:ind w:left="108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similar transaction that would have constituted a triggering takeover proposal but for the parties structuring the transaction with the primary purpose of such structure being to avoid the payment of the Company termination fee;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of clauses (a) through (c), other than the transactions contemplated by the merger agreement.</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In addition, the Company will be obligated to pay to Parent all of the documented out-of-pocket fees and expenses incurred by Parent, Merger Sub or any of their affiliates in connection with the merger agreement and the transactions contemplated by the merger agreement in an amount not to exceed $3 million within two business days following the termination of the merger agreement by the Company or Parent pursuant to a non-approval termination described in “— Termination of the Merger Agreement” beginning on page 89 of this proxy statement.</w:t>
      </w:r>
    </w:p>
    <w:p>
      <w:pPr>
        <w:spacing w:after="0" w:line="197"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Furthermore, Parent will be obligated to pay the Company a termination fee of $40 million (the “Parent termination fee”), within two business days after such termination, upon:</w:t>
      </w:r>
    </w:p>
    <w:p>
      <w:pPr>
        <w:spacing w:after="0" w:line="213" w:lineRule="exact"/>
        <w:rPr>
          <w:sz w:val="20"/>
          <w:szCs w:val="20"/>
          <w:color w:val="auto"/>
        </w:rPr>
      </w:pPr>
    </w:p>
    <w:p>
      <w:pPr>
        <w:jc w:val="both"/>
        <w:ind w:left="1080" w:hanging="532"/>
        <w:spacing w:after="0" w:line="298"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termination of the merger agreement by the Company in connection with a Parent breach termination (so long as at the time of such termination there is no state of facts or circumstances that would reasonably be expected to cause the failure of certain conditions to the obligations of Parent and Merger Sub to effect the merger described under “—Conditions to Completion of the Merger” beginning on page 87 of this proxy statement, other than those resulting from a breach of the merger agreement by Parent or Merger Sub); or</w:t>
      </w:r>
    </w:p>
    <w:p>
      <w:pPr>
        <w:spacing w:after="0" w:line="179"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termination by the Company in connection with a failure to close termination or the termination by either party pursuant to an outside date termination at a time when the merger agreement is terminable by the Company in connection with a failure to close termination, in each case as described under “—Conditions to Completion of the Merger” beginning on page 87 of this proxy statement.</w:t>
      </w:r>
    </w:p>
    <w:p>
      <w:pPr>
        <w:spacing w:after="0" w:line="160"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 xml:space="preserve">In the event that Parent fails to pay the Parent termination fee when due and, in order to obtain such payment, the Company commences an action that results in a judgment against Parent for the Parent termination fee, the Parent will be required to pay the Parent termination fee,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on the Parent termination fee from the date of termination of the merger agreement at a rate per annum equal to the prime rate as published in the Wall Street Journal, in effect on the date of termination of the merger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reasonable fees, costs and expenses incurred by the Company and its affiliates in connection therewith, up to a maximum amount of $10 million.</w:t>
      </w:r>
    </w:p>
    <w:p>
      <w:pPr>
        <w:spacing w:after="0" w:line="16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Except as set forth in the section “—Termination Fees and Expense Reimbursement” beginning on page 90 of this proxy statement, all fees and expenses incurred in connection with the merger agreement and the transactions contemplated by the merger agreement will be paid by the party incurring or required to incur such fees or expenses.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Amendments and Waivers</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At any time prior to the effective time of the merger agreement, the merger agreement may be amended, modified or supplemented in any and all respects, whether before or after receipt of the required approvals of the Company shareholders of the merger proposal, only by written agreement of the parties thereto, except that following receipt of the required approvals of the Company shareholders of the merger proposal, the parties will not amend or change the provisions of the merger agreement which by applicable law would require further approval by the Company shareholders without such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Jurisdiction</w:t>
      </w:r>
    </w:p>
    <w:p>
      <w:pPr>
        <w:spacing w:after="0" w:line="231" w:lineRule="exact"/>
        <w:rPr>
          <w:sz w:val="20"/>
          <w:szCs w:val="20"/>
          <w:color w:val="auto"/>
        </w:rPr>
      </w:pPr>
    </w:p>
    <w:p>
      <w:pPr>
        <w:jc w:val="both"/>
        <w:ind w:right="20" w:firstLine="422"/>
        <w:spacing w:after="0" w:line="259" w:lineRule="auto"/>
        <w:rPr>
          <w:sz w:val="20"/>
          <w:szCs w:val="20"/>
          <w:color w:val="auto"/>
        </w:rPr>
      </w:pPr>
      <w:r>
        <w:rPr>
          <w:rFonts w:ascii="Arial" w:cs="Arial" w:eastAsia="Arial" w:hAnsi="Arial"/>
          <w:sz w:val="18"/>
          <w:szCs w:val="18"/>
          <w:color w:val="auto"/>
        </w:rPr>
        <w:t>The merger agreement is governed by, and construed in accordance with, the laws of the state of Delaware, regardless of the laws that might otherwise govern under any applicable conflict of laws principles, except to the extent the provisions of the laws of Bermuda are mandatorily applicable to the statutory merger agreement and the merger.</w:t>
      </w:r>
    </w:p>
    <w:p>
      <w:pPr>
        <w:spacing w:after="0" w:line="19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parties have agreed to submit to the jurisdiction and venue of the Bermuda courts in any actions and proceedings arising out of or relating to the merger agreement or the transactions contemplated by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w:t>
      </w:r>
    </w:p>
    <w:p>
      <w:pPr>
        <w:spacing w:after="0" w:line="231"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The parties recognized and agreed in the merger agreement that irreparable damage for which monetary relief, even if available, would not be an adequate remedy, would occur in the event that any provision of the merger agreement is not performed in accordance with its specific terms or is otherwise breached. Accordingly, each of the parties to the merger agreement agreed that, in addition to all other remedies to which it may be entitled, each of the parties to the merger agreement is entitled to an injunction or injunctions, specific performance or other equitable relief to prevent breaches of the merger agreement and to enforce specifically the terms and provisions thereof without the necessity of posting a bond or other security in connection therewith. The parties agreed not to assert that a remedy of specific enforcement is unenforceable, invalid, contrary to law or inequitable for any reason, and not to assert that a remedy of monetary damages would provide an adequate remedy.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THE ROLLOVER AGREEMENT</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The following is a summary of the material terms and conditions of the rollover agreement. This summary does not purport to be complete and may not contain all of the information about the rollover agreement that is important to you. This summary is qualified in its entirety by reference to the complete text of the rollover agreement, a copy of which is attached to this proxy statement as Annex C, and which is incorporated by reference into this proxy statement. We encourage you to read the rollover agreement carefully and in its entirety before making any decisions regarding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and Shareholder Agreement</w:t>
      </w:r>
    </w:p>
    <w:p>
      <w:pPr>
        <w:spacing w:after="0" w:line="231"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8"/>
          <w:szCs w:val="18"/>
          <w:color w:val="auto"/>
        </w:rPr>
        <w:t>Pursuant to the rollover agreement, each rolling shareholder has agreed that (a) each Company common share that is issued and outstanding prior to the effective time of the merger and owned by it will remain outstanding and convert automatically into one duly authorized, validly issued and fully paid and nonassessable surviving company common share and (b) each Company preference share that is issued and outstanding prior to the effective time of the merger and owned by it will remain outstanding and convert automatically into a surviving company preference share, and has waived any claim to receive the merger consideration with respect to any Company common share owned by it and any rights of appraisal or rights to dissent from the merger and the other transactions.</w:t>
      </w:r>
    </w:p>
    <w:p>
      <w:pPr>
        <w:spacing w:after="0" w:line="198" w:lineRule="exact"/>
        <w:rPr>
          <w:sz w:val="20"/>
          <w:szCs w:val="20"/>
          <w:color w:val="auto"/>
        </w:rPr>
      </w:pPr>
    </w:p>
    <w:p>
      <w:pPr>
        <w:jc w:val="both"/>
        <w:ind w:firstLine="429"/>
        <w:spacing w:after="0" w:line="288" w:lineRule="auto"/>
        <w:rPr>
          <w:sz w:val="20"/>
          <w:szCs w:val="20"/>
          <w:color w:val="auto"/>
        </w:rPr>
      </w:pPr>
      <w:r>
        <w:rPr>
          <w:rFonts w:ascii="Arial" w:cs="Arial" w:eastAsia="Arial" w:hAnsi="Arial"/>
          <w:sz w:val="16"/>
          <w:szCs w:val="16"/>
          <w:color w:val="auto"/>
        </w:rPr>
        <w:t>In addition, in connection with the transactions contemplated by the rollover agreement and the merger agreement, concurrently with the closing of the merger, each of Blenheim Holdings, Olympic and Blenheim Special Investments (the “continuing rolling shareholders”), Parent and the Company have agreed to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Pursuant to the shareholder agreement and following the consummation of the merger, the continuing rolling shareholders will appoint the majority of the surviving company’s board of directors in accordance with the shareholder agreement. In addition, Peter G. Livanos, following the consummation of the merger, will hold a proxy to vote the Company common shares of the rolling shareholders under the terms of the shareholder agreement and, as a result of such proxy, will control more than a majority of the shares in the voting stock of the surviving company and will control the right to appoint a majority of the board of the surviving company.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w:t>
      </w:r>
    </w:p>
    <w:p>
      <w:pPr>
        <w:spacing w:after="0" w:line="231"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Pursuant to the rollover agreement, each rolling shareholder has agreed that it will, at any meeting of the Company shareholders called to approve the merger proposal:</w:t>
      </w:r>
    </w:p>
    <w:p>
      <w:pPr>
        <w:spacing w:after="0" w:line="199" w:lineRule="exact"/>
        <w:rPr>
          <w:sz w:val="20"/>
          <w:szCs w:val="20"/>
          <w:color w:val="auto"/>
        </w:rPr>
      </w:pPr>
    </w:p>
    <w:p>
      <w:pPr>
        <w:ind w:left="1080" w:right="2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when such meeting of Company shareholders is held, appear at such meeting or otherwise cause its shares to be counted as present thereat for purposes of establishing a quorum;</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approving the merger agreement, the statutory merger agreement, the merger and any other actions contemplated by the merger agreement or the statutory merger agreement in respect of which Company shareholder approval is requested or required and for any other matters necessary or reasonably requested by the Company for consummation of the merger and the other transactions contemplated by the merger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any proposal to adjourn or postpone any such meeting to a later date if there are not sufficient votes to approve the merger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takeover proposal or any other proposal made in opposition to, in competition with, or inconsistent with the merger proposal;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jc w:val="both"/>
        <w:ind w:left="1080" w:hanging="532"/>
        <w:spacing w:after="0" w:line="298"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vote or caused to be voted at any such meeting its shares against any other action or agreement that would (a) result in a breach of any representation, warranty, covenant or other obligation or agreement of the Company under the merger agreement, (b) result in the conditions to the consummation of the merger agreement not being fulfilled or (c) impede, frustrate, interfere with, delay, postpone or adversely affect the merger and the other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Other than as provided below, each rolling shareholder has also agreed to certain restrictions on the transfer of its shares prior to obtaining shareholder approval of the merger. Each rolling shareholder has agreed not to, directly or indirectly, transfer, pledge, assign, exchange, encumber or otherwise dispose of, or enter into any contract, option or other arrangement or understanding with respect to the sale, transfer, pledge, assignment, exchange, encumbrance or other disposition of any of the Company common shares or Company preference shares owned by it, deposit any such shares into a voting trust or similar arrangement, or acquire beneficial or record ownership of additional Company equity securities.</w:t>
      </w:r>
    </w:p>
    <w:p>
      <w:pPr>
        <w:spacing w:after="0" w:line="169"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Notwithstanding the foregoing, prior to the record date for the meeting of the Company shareholders called to approve the merger proposal, certain rolling shareholders and the additional rolling shareholders may transfer the Company common shares and Company preference shares owned by it to Blenheim Special Investments, and Blenheim Special Investments may acquire such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Additionally, each rolling shareholder has agreed, subject to certain exceptions, that it will not, and will cause its officers, employees and directors not to, and use its reasonable best efforts to cause its other representatives and affiliates not to, directly or indirectly:</w:t>
      </w:r>
    </w:p>
    <w:p>
      <w:pPr>
        <w:spacing w:after="0" w:line="213"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solicit, initiate or knowingly encourage and knowingly facilitate the making of a takeover proposal;</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purposes of encouraging or facilitating, a takeover proposal;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enter into any Company acquisition agreement.</w:t>
      </w:r>
    </w:p>
    <w:p>
      <w:pPr>
        <w:spacing w:after="0" w:line="225" w:lineRule="exact"/>
        <w:rPr>
          <w:sz w:val="20"/>
          <w:szCs w:val="20"/>
          <w:color w:val="auto"/>
        </w:rPr>
      </w:pPr>
    </w:p>
    <w:p>
      <w:pPr>
        <w:jc w:val="both"/>
        <w:ind w:firstLine="679"/>
        <w:spacing w:after="0" w:line="259" w:lineRule="auto"/>
        <w:rPr>
          <w:sz w:val="20"/>
          <w:szCs w:val="20"/>
          <w:color w:val="auto"/>
        </w:rPr>
      </w:pPr>
      <w:r>
        <w:rPr>
          <w:rFonts w:ascii="Arial" w:cs="Arial" w:eastAsia="Arial" w:hAnsi="Arial"/>
          <w:sz w:val="18"/>
          <w:szCs w:val="18"/>
          <w:color w:val="auto"/>
        </w:rPr>
        <w:t>Notwithstanding the foregoing or any other provision of the rollover agreement, the rolling shareholders, their affiliates and their respective representatives are permitted to furnish information to, and engage and participate in discussions or negotiations with, a person making a takeover proposal to the same extent that the Company is permitted to do so under the terms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rollover agreement terminates automatically upon the earliest of:</w:t>
      </w:r>
    </w:p>
    <w:p>
      <w:pPr>
        <w:spacing w:after="0" w:line="252"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effective time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w:t>
      </w:r>
    </w:p>
    <w:p>
      <w:pPr>
        <w:spacing w:after="0" w:line="238"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with respect to any rolling shareholder, the entry without the prior written consent of such rolling shareholder into any amendment or modification to the merger agreement that results in (a) each Company common share owned by it immediately prior to the effective time of the merger not remaining outstanding and converting automatically into one duly authorized, validly issued, fully paid and nonassessable surviving company common share immediately following the effective time of the merger or (b) increasing the total number of surviving company common shares that will be outstanding immediately following the effective time; and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respect to any rolling shareholder, the mutual written agreement of such rolling shareholder, the Company and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PROVISIONS FOR PUBLIC SHAREHOLDERS</w:t>
      </w:r>
    </w:p>
    <w:p>
      <w:pPr>
        <w:spacing w:after="0" w:line="231" w:lineRule="exact"/>
        <w:rPr>
          <w:sz w:val="20"/>
          <w:szCs w:val="20"/>
          <w:color w:val="auto"/>
        </w:rPr>
      </w:pPr>
    </w:p>
    <w:p>
      <w:pPr>
        <w:ind w:firstLine="366"/>
        <w:spacing w:after="0" w:line="331" w:lineRule="auto"/>
        <w:rPr>
          <w:sz w:val="20"/>
          <w:szCs w:val="20"/>
          <w:color w:val="auto"/>
        </w:rPr>
      </w:pPr>
      <w:r>
        <w:rPr>
          <w:rFonts w:ascii="Arial" w:cs="Arial" w:eastAsia="Arial" w:hAnsi="Arial"/>
          <w:sz w:val="16"/>
          <w:szCs w:val="16"/>
          <w:color w:val="auto"/>
        </w:rPr>
        <w:t>No provision has been made (a) to grant the public shareholders access to the corporate files of the Company, any other party to the merger or any of their respective affiliates, or (b) to obtain counsel or appraisal services at the expense of the Company, or any other such party or affiliate.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APPRAISAL RIGHTS OF SHAREHOLDERS</w:t>
      </w:r>
    </w:p>
    <w:p>
      <w:pPr>
        <w:spacing w:after="0" w:line="231"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board of directors of the Company considers the fair value for each Company common share to be $5.80, without interest, and the fair value for each Company preference share to be the automatic conversion of each Company preference share into a surviving company preference share.</w:t>
      </w:r>
    </w:p>
    <w:p>
      <w:pPr>
        <w:spacing w:after="0" w:line="166" w:lineRule="exact"/>
        <w:rPr>
          <w:sz w:val="20"/>
          <w:szCs w:val="20"/>
          <w:color w:val="auto"/>
        </w:rPr>
      </w:pPr>
    </w:p>
    <w:p>
      <w:pPr>
        <w:jc w:val="both"/>
        <w:ind w:firstLine="341"/>
        <w:spacing w:after="0" w:line="308" w:lineRule="auto"/>
        <w:rPr>
          <w:sz w:val="20"/>
          <w:szCs w:val="20"/>
          <w:color w:val="auto"/>
        </w:rPr>
      </w:pPr>
      <w:r>
        <w:rPr>
          <w:rFonts w:ascii="Arial" w:cs="Arial" w:eastAsia="Arial" w:hAnsi="Arial"/>
          <w:sz w:val="15"/>
          <w:szCs w:val="15"/>
          <w:color w:val="auto"/>
        </w:rPr>
        <w:t>Any of the Company shareholders who is not satisfied that it has been offered fair value for its Company common shares or its Company preference shares and whose shares are not voted in favor of the merger proposal may exercise its appraisal rights under the Bermuda Companies Act to have the fair value of its shares appraised by the Supreme Court of Bermuda. Persons owning beneficial interests in Company common shares or Company preference shares but who are not shareholders of record should note that only persons who are shareholders of record are entitled to make an application for appraisal. Any holder of Company common shares or Company preference shares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limited decisions of the Supreme Court of Bermuda prescribing in detail the operation of the provisions of the Bermuda Companies Act governing appraisal rights that are set forth in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1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If a the Company shareholder votes in favor of the merger proposal at the special general meeting, such shareholder will have no right to apply to the Supreme Court of Bermuda to appraise the fair value of its Company common shares or Company preference shares, and instead, if the merger is consummated, and as discussed in the section of this proxy statement titled “The Merger Agreement—Effects of the Merger” on page 74, each Company common share held by such shareholder will be canceled and converted into the right to receive the merger consideration and each Company preference share held by such shareholder will be automatically converted into a surviving company preference share. Voting against the merger, or not voting, will not in itself satisfy the requirements under the Bermuda Companies Act for a shareholder to exercise such shareholder’s right to apply for appraisal of the fair value of its shares.</w:t>
      </w:r>
    </w:p>
    <w:p>
      <w:pPr>
        <w:spacing w:after="0" w:line="201"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194" w:lineRule="exact"/>
        <w:rPr>
          <w:sz w:val="20"/>
          <w:szCs w:val="20"/>
          <w:color w:val="auto"/>
        </w:rPr>
      </w:pPr>
    </w:p>
    <w:p>
      <w:pPr>
        <w:jc w:val="both"/>
        <w:ind w:firstLine="388"/>
        <w:spacing w:after="0" w:line="317" w:lineRule="auto"/>
        <w:rPr>
          <w:sz w:val="20"/>
          <w:szCs w:val="20"/>
          <w:color w:val="auto"/>
        </w:rPr>
      </w:pPr>
      <w:r>
        <w:rPr>
          <w:rFonts w:ascii="Arial" w:cs="Arial" w:eastAsia="Arial" w:hAnsi="Arial"/>
          <w:sz w:val="15"/>
          <w:szCs w:val="15"/>
          <w:color w:val="auto"/>
        </w:rPr>
        <w:t>In any case where a registered holder of Company common shares has made an appraisal application, in respect of the Company common shares held by such dissenting shareholder, and the merger has been made effective under Bermuda law before the Supreme Court of Bermuda’s appraisal of the fair value of such dissenting shares, then the dissenting shareholder shall be entitled to receive the merger consideration and, if the fair value of the Company common shares as appraised by the Supreme Court of Bermuda under Section 106(6) of the Bermuda Companies Act is greater than the merger consideration, such dissenting shareholder will be paid such difference by the surviving company within one month of the Supreme Court of Bermuda’s appraisal.</w:t>
      </w:r>
    </w:p>
    <w:p>
      <w:pPr>
        <w:spacing w:after="0" w:line="157"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In the case where a registered holder of Company preference shares has made an appraisal application, in respect of the Company preference shares held by such dissenting shareholder, and the merger has been made effective under Bermuda law before the Supreme Court of Bermuda’s appraisal of the fair value of such dissenting shares and in the event that the fair value of the Company preference shares as appraised by the Supreme Court of Bermuda under Section 106(6) of the Bermuda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0" w:name="page131"/>
    <w:bookmarkEnd w:id="130"/>
    <w:p>
      <w:pPr>
        <w:jc w:val="both"/>
        <w:spacing w:after="0" w:line="259" w:lineRule="auto"/>
        <w:rPr>
          <w:sz w:val="20"/>
          <w:szCs w:val="20"/>
          <w:color w:val="auto"/>
        </w:rPr>
      </w:pPr>
      <w:r>
        <w:rPr>
          <w:rFonts w:ascii="Arial" w:cs="Arial" w:eastAsia="Arial" w:hAnsi="Arial"/>
          <w:sz w:val="18"/>
          <w:szCs w:val="18"/>
          <w:color w:val="auto"/>
        </w:rPr>
        <w:t>Act is greater than the value of such surviving company preference shares, such dissenting shareholder will be paid by the surviving company within one month of the Supreme Court of Bermuda’s appraisal, such difference, in addition to retaining the dissenting preference shares which will convert automatically into an equivalent number of surviving company preference shares.</w:t>
      </w:r>
    </w:p>
    <w:p>
      <w:pPr>
        <w:spacing w:after="0" w:line="194" w:lineRule="exact"/>
        <w:rPr>
          <w:sz w:val="20"/>
          <w:szCs w:val="20"/>
          <w:color w:val="auto"/>
        </w:rPr>
      </w:pPr>
    </w:p>
    <w:p>
      <w:pPr>
        <w:jc w:val="both"/>
        <w:ind w:firstLine="357"/>
        <w:spacing w:after="0" w:line="317" w:lineRule="auto"/>
        <w:rPr>
          <w:sz w:val="20"/>
          <w:szCs w:val="20"/>
          <w:color w:val="auto"/>
        </w:rPr>
      </w:pPr>
      <w:r>
        <w:rPr>
          <w:rFonts w:ascii="Arial" w:cs="Arial" w:eastAsia="Arial" w:hAnsi="Arial"/>
          <w:sz w:val="15"/>
          <w:szCs w:val="15"/>
          <w:color w:val="auto"/>
        </w:rPr>
        <w:t>In any case where the value of the dissenting shares held by a dissenting shareholder is appraised by the Supreme Court of Bermuda before the merger has been made effective under Bermuda law, then the Company will be required to pay the dissenting shareholder within one month of the Supreme Court of Bermuda’s appraisal an amount equal to the value of the dissenting shares appraised by the Supreme Court of Bermuda, unless the merger is terminated under the terms of the merger agreement, in which case no payment will be made. However, it is anticipated that, subject to having obtained the requisite shareholder approval at the special general meeting of the Company, the merger would have proceeded prior to the appraisal by the Supreme Court of Bermuda.</w:t>
      </w:r>
    </w:p>
    <w:p>
      <w:pPr>
        <w:spacing w:after="0" w:line="15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relevant portion of Section 106 of the Bermuda Companies Act in relation to appraisal rights is as follows:</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 Any shareholder who did not vote in favor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(6A) Subject to subsection (6B), within one month of the Court appraising the fair value of any shares under subsection (6) the company will be entitled either—(a) to pay to the dissenting shareholder an amount equal to the value of his shares as appraised by the Court; or (b) to terminate the amalgamation or merger in accordance with subsection (7).</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will pay to such shareholder the difference between the amount paid to him and the value appraised by the Court.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(6C) No appeal will lie from an appraisal by the Court under this section.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(6D) The costs of any application to the Court under this section will be in the discretion of the Court.</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COMPANY COMMON SHARES. A PERSON HAVING A BENEFICIAL INTEREST IN SHARES HELD OF RECORD IN THE NAME OF ANOTHER PERSON, SUCH AS A BANK, BROKERAGE FIRM AND OTHER NOMINEE MUST ACT PROMPTLY TO CAUSE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RECORD HOLDER TO FOLLOW PROPERLY AND IN A TIMELY MANNER THE STEPS NECESSARY TO PERFECT APPRAISAL RIGHTS.</w:t>
      </w:r>
    </w:p>
    <w:p>
      <w:pPr>
        <w:spacing w:after="0" w:line="248" w:lineRule="exact"/>
        <w:rPr>
          <w:sz w:val="20"/>
          <w:szCs w:val="20"/>
          <w:color w:val="auto"/>
        </w:rPr>
      </w:pPr>
    </w:p>
    <w:p>
      <w:pPr>
        <w:ind w:firstLine="359"/>
        <w:spacing w:after="0" w:line="268" w:lineRule="auto"/>
        <w:rPr>
          <w:sz w:val="20"/>
          <w:szCs w:val="20"/>
          <w:color w:val="auto"/>
        </w:rPr>
      </w:pPr>
      <w:r>
        <w:rPr>
          <w:rFonts w:ascii="Arial" w:cs="Arial" w:eastAsia="Arial" w:hAnsi="Arial"/>
          <w:sz w:val="18"/>
          <w:szCs w:val="18"/>
          <w:color w:val="auto"/>
        </w:rPr>
        <w:t>A shareholder who elects to exercise appraisal rights under Section 106(6) of the Bermuda Companies Act should, in addition to making an application to the Supreme Court of Bermuda, mail or deliver a written demand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2" w:name="page133"/>
    <w:bookmarkEnd w:id="132"/>
    <w:p>
      <w:pPr>
        <w:ind w:left="2800"/>
        <w:spacing w:after="0"/>
        <w:rPr>
          <w:sz w:val="20"/>
          <w:szCs w:val="20"/>
          <w:color w:val="auto"/>
        </w:rPr>
      </w:pPr>
      <w:r>
        <w:rPr>
          <w:rFonts w:ascii="Arial" w:cs="Arial" w:eastAsia="Arial" w:hAnsi="Arial"/>
          <w:sz w:val="18"/>
          <w:szCs w:val="18"/>
          <w:b w:val="1"/>
          <w:bCs w:val="1"/>
          <w:color w:val="auto"/>
        </w:rPr>
        <w:t>OTHER IMPORTANT INFORMATION REGARDING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Company</w:t>
      </w:r>
    </w:p>
    <w:p>
      <w:pPr>
        <w:spacing w:after="0" w:line="231" w:lineRule="exact"/>
        <w:rPr>
          <w:sz w:val="20"/>
          <w:szCs w:val="20"/>
          <w:color w:val="auto"/>
        </w:rPr>
      </w:pPr>
    </w:p>
    <w:p>
      <w:pPr>
        <w:jc w:val="both"/>
        <w:ind w:firstLine="377"/>
        <w:spacing w:after="0" w:line="290" w:lineRule="auto"/>
        <w:rPr>
          <w:sz w:val="20"/>
          <w:szCs w:val="20"/>
          <w:color w:val="auto"/>
        </w:rPr>
      </w:pPr>
      <w:r>
        <w:rPr>
          <w:rFonts w:ascii="Arial" w:cs="Arial" w:eastAsia="Arial" w:hAnsi="Arial"/>
          <w:sz w:val="16"/>
          <w:szCs w:val="16"/>
          <w:color w:val="auto"/>
        </w:rPr>
        <w:t>Under the SEC rules governing “going private” transactions, the Company may be deemed the “subject company” in the “going private” transaction. 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 owning subsidiaries and through its vessel management services subsidiary. The Company is a Bermuda exempted company. The Company’s principal executive office is located at c/o GasLog LNG Services Ltd., 69 Akti Miaouli, 18537 Piraeus, Greece. The Company’s telephone number is +30 210 459 1000. The Company common shares are listed and trade on the New York Stock Exchange (the “NYSE”) under the symbol “GLOG”. The Company preference shares are listed and trade on the NYSE under the symbol “GLOG PR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Company</w:t>
      </w:r>
    </w:p>
    <w:p>
      <w:pPr>
        <w:spacing w:after="0" w:line="231"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names and material occupations, positions, offices or employment during the past five years of the Company’s directors and executive officers are set forth below. During the past five years, none of the Company nor any of the Company’s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the Company and each of the Company’s listed directors and executive officers is c/o GasLog LNG Services Ltd., 69 Akti Miaouli, 18537 Piraeus, Greece, and the phone number for the Company and each of the Company’s listed directors and executive officers is +30 210 459 1000.</w:t>
      </w:r>
    </w:p>
    <w:p>
      <w:pPr>
        <w:sectPr>
          <w:pgSz w:w="11900" w:h="16838" w:orient="portrait"/>
          <w:cols w:equalWidth="0" w:num="1">
            <w:col w:w="11240"/>
          </w:cols>
          <w:pgMar w:left="320" w:top="341" w:right="3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r>
      <w:tr>
        <w:trPr>
          <w:trHeight w:val="161"/>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Directors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57"/>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Peter G. Livanos</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Ceres Monaco SAM</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Greece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Chairman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w w:val="99"/>
              </w:rPr>
              <w:t>Gildo Pastor Centre, 7, rue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du Gabian, 98000 Monaco</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68"/>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Ceres Shipping Ltd.,</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Chairman, Chief Executive</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 xml:space="preserve">Officer </w:t>
            </w:r>
            <w:r>
              <w:rPr>
                <w:rFonts w:ascii="Arial" w:cs="Arial" w:eastAsia="Arial" w:hAnsi="Arial"/>
                <w:sz w:val="13"/>
                <w:szCs w:val="13"/>
                <w:color w:val="auto"/>
              </w:rPr>
              <w:t>and</w:t>
            </w:r>
            <w:r>
              <w:rPr>
                <w:rFonts w:ascii="Arial" w:cs="Arial" w:eastAsia="Arial" w:hAnsi="Arial"/>
                <w:sz w:val="13"/>
                <w:szCs w:val="13"/>
                <w:i w:val="1"/>
                <w:iCs w:val="1"/>
                <w:color w:val="auto"/>
              </w:rPr>
              <w:t xml:space="preserve"> sole</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shareholder</w:t>
            </w:r>
            <w:r>
              <w:rPr>
                <w:rFonts w:ascii="Arial" w:cs="Arial" w:eastAsia="Arial" w:hAnsi="Arial"/>
                <w:sz w:val="13"/>
                <w:szCs w:val="13"/>
                <w:color w:val="auto"/>
              </w:rPr>
              <w:t>, Clarendon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House 2 Church Street,</w:t>
            </w: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HM11 Hamilton, Bermuda</w:t>
            </w:r>
          </w:p>
        </w:tc>
      </w:tr>
      <w:tr>
        <w:trPr>
          <w:trHeight w:val="368"/>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Principal</w:t>
      </w:r>
    </w:p>
    <w:p>
      <w:pPr>
        <w:spacing w:after="0" w:line="12"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Business of</w:t>
      </w:r>
    </w:p>
    <w:p>
      <w:pPr>
        <w:jc w:val="center"/>
        <w:ind w:left="-99"/>
        <w:spacing w:after="0"/>
        <w:rPr>
          <w:sz w:val="20"/>
          <w:szCs w:val="20"/>
          <w:color w:val="auto"/>
        </w:rPr>
      </w:pPr>
      <w:r>
        <w:rPr>
          <w:rFonts w:ascii="Arial" w:cs="Arial" w:eastAsia="Arial" w:hAnsi="Arial"/>
          <w:sz w:val="13"/>
          <w:szCs w:val="13"/>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9944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International owner, operator and manager of LNG carriers.</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Holding Company that has interests in international operators, owners and managers of LNG carriers and Dry Bulk carriers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See above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Material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Occupations or</w:t>
      </w:r>
    </w:p>
    <w:p>
      <w:pPr>
        <w:jc w:val="center"/>
        <w:spacing w:after="0"/>
        <w:rPr>
          <w:sz w:val="20"/>
          <w:szCs w:val="20"/>
          <w:color w:val="auto"/>
        </w:rPr>
      </w:pPr>
      <w:r>
        <w:rPr>
          <w:rFonts w:ascii="Arial" w:cs="Arial" w:eastAsia="Arial" w:hAnsi="Arial"/>
          <w:sz w:val="13"/>
          <w:szCs w:val="13"/>
          <w:b w:val="1"/>
          <w:bCs w:val="1"/>
          <w:color w:val="auto"/>
        </w:rPr>
        <w:t>Positions During</w:t>
      </w:r>
    </w:p>
    <w:p>
      <w:pPr>
        <w:jc w:val="center"/>
        <w:spacing w:after="0"/>
        <w:rPr>
          <w:sz w:val="20"/>
          <w:szCs w:val="20"/>
          <w:color w:val="auto"/>
        </w:rPr>
      </w:pPr>
      <w:r>
        <w:rPr>
          <w:rFonts w:ascii="Arial" w:cs="Arial" w:eastAsia="Arial" w:hAnsi="Arial"/>
          <w:sz w:val="13"/>
          <w:szCs w:val="13"/>
          <w:b w:val="1"/>
          <w:bCs w:val="1"/>
          <w:color w:val="auto"/>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9944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260"/>
        <w:spacing w:after="0" w:line="317" w:lineRule="auto"/>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w:t>
      </w:r>
      <w:r>
        <w:rPr>
          <w:rFonts w:ascii="Arial" w:cs="Arial" w:eastAsia="Arial" w:hAnsi="Arial"/>
          <w:sz w:val="12"/>
          <w:szCs w:val="12"/>
          <w:color w:val="auto"/>
        </w:rPr>
        <w:t xml:space="preserve"> (2003 - current)</w:t>
      </w:r>
    </w:p>
    <w:p>
      <w:pPr>
        <w:spacing w:after="0" w:line="324"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 xml:space="preserve">Ceres Shipping Ltd., </w:t>
      </w:r>
      <w:r>
        <w:rPr>
          <w:rFonts w:ascii="Arial" w:cs="Arial" w:eastAsia="Arial" w:hAnsi="Arial"/>
          <w:sz w:val="12"/>
          <w:szCs w:val="12"/>
          <w:i w:val="1"/>
          <w:iCs w:val="1"/>
          <w:color w:val="auto"/>
        </w:rPr>
        <w:t xml:space="preserve">Chairman </w:t>
      </w:r>
      <w:r>
        <w:rPr>
          <w:rFonts w:ascii="Arial" w:cs="Arial" w:eastAsia="Arial" w:hAnsi="Arial"/>
          <w:sz w:val="12"/>
          <w:szCs w:val="12"/>
          <w:color w:val="auto"/>
        </w:rPr>
        <w:t>(2010 - current)</w:t>
      </w:r>
      <w:r>
        <w:rPr>
          <w:rFonts w:ascii="Arial" w:cs="Arial" w:eastAsia="Arial" w:hAnsi="Arial"/>
          <w:sz w:val="12"/>
          <w:szCs w:val="12"/>
          <w:i w:val="1"/>
          <w:iCs w:val="1"/>
          <w:color w:val="auto"/>
        </w:rPr>
        <w:t xml:space="preserve">, Chief Executive Officer </w:t>
      </w:r>
      <w:r>
        <w:rPr>
          <w:rFonts w:ascii="Arial" w:cs="Arial" w:eastAsia="Arial" w:hAnsi="Arial"/>
          <w:sz w:val="12"/>
          <w:szCs w:val="12"/>
          <w:color w:val="auto"/>
        </w:rPr>
        <w:t xml:space="preserve">(2017 - current) and </w:t>
      </w:r>
      <w:r>
        <w:rPr>
          <w:rFonts w:ascii="Arial" w:cs="Arial" w:eastAsia="Arial" w:hAnsi="Arial"/>
          <w:sz w:val="12"/>
          <w:szCs w:val="12"/>
          <w:i w:val="1"/>
          <w:iCs w:val="1"/>
          <w:color w:val="auto"/>
        </w:rPr>
        <w:t>sole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shareholder </w:t>
      </w:r>
      <w:r>
        <w:rPr>
          <w:rFonts w:ascii="Arial" w:cs="Arial" w:eastAsia="Arial" w:hAnsi="Arial"/>
          <w:sz w:val="12"/>
          <w:szCs w:val="12"/>
          <w:color w:val="auto"/>
        </w:rPr>
        <w:t>(December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2001 - current)</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(2013 -</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current) and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(2015 - current)</w:t>
      </w:r>
    </w:p>
    <w:p>
      <w:pPr>
        <w:spacing w:after="0" w:line="190" w:lineRule="exact"/>
        <w:rPr>
          <w:sz w:val="20"/>
          <w:szCs w:val="20"/>
          <w:color w:val="auto"/>
        </w:rPr>
      </w:pPr>
    </w:p>
    <w:p>
      <w:pPr>
        <w:sectPr>
          <w:pgSz w:w="11900" w:h="16838" w:orient="portrait"/>
          <w:cols w:equalWidth="0" w:num="3">
            <w:col w:w="7360" w:space="380"/>
            <w:col w:w="1440" w:space="500"/>
            <w:col w:w="15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31"/>
        </w:trPr>
        <w:tc>
          <w:tcPr>
            <w:tcW w:w="9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11"/>
                <w:szCs w:val="11"/>
                <w:color w:val="auto"/>
              </w:rPr>
            </w:pPr>
          </w:p>
        </w:tc>
        <w:tc>
          <w:tcPr>
            <w:tcW w:w="15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International owner,</w:t>
            </w:r>
          </w:p>
        </w:tc>
        <w:tc>
          <w:tcPr>
            <w:tcW w:w="38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operator and manager of</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LNG carriers</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Bruce L. Blythe</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Minera Mews London</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U.S.A.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Director</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SW1W 9JD, United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rPr>
              <w:t xml:space="preserve">Ceres Shipping Ltd., </w:t>
            </w:r>
            <w:r>
              <w:rPr>
                <w:rFonts w:ascii="Arial" w:cs="Arial" w:eastAsia="Arial" w:hAnsi="Arial"/>
                <w:sz w:val="13"/>
                <w:szCs w:val="13"/>
                <w:i w:val="1"/>
                <w:iCs w:val="1"/>
                <w:color w:val="auto"/>
              </w:rPr>
              <w:t>Vice-</w:t>
            </w:r>
          </w:p>
        </w:tc>
        <w:tc>
          <w:tcPr>
            <w:tcW w:w="0" w:type="dxa"/>
            <w:vAlign w:val="bottom"/>
          </w:tcPr>
          <w:p>
            <w:pPr>
              <w:spacing w:after="0"/>
              <w:rPr>
                <w:sz w:val="1"/>
                <w:szCs w:val="1"/>
                <w:color w:val="auto"/>
              </w:rPr>
            </w:pPr>
          </w:p>
        </w:tc>
      </w:tr>
      <w:tr>
        <w:trPr>
          <w:trHeight w:val="13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Chairman </w:t>
            </w:r>
            <w:r>
              <w:rPr>
                <w:rFonts w:ascii="Arial" w:cs="Arial" w:eastAsia="Arial" w:hAnsi="Arial"/>
                <w:sz w:val="13"/>
                <w:szCs w:val="13"/>
                <w:color w:val="auto"/>
              </w:rPr>
              <w:t>(2010 -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Ford Motor Company,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6"/>
              </w:rPr>
              <w:t xml:space="preserve">Advisor to Chairman </w:t>
            </w:r>
            <w:r>
              <w:rPr>
                <w:rFonts w:ascii="Arial" w:cs="Arial" w:eastAsia="Arial" w:hAnsi="Arial"/>
                <w:sz w:val="13"/>
                <w:szCs w:val="13"/>
                <w:color w:val="auto"/>
                <w:w w:val="96"/>
              </w:rPr>
              <w:t>(1993-</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570"/>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Kristin H. Holth</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Tyveholmen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Norway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7"/>
              </w:rPr>
              <w:t>Advisory Services including</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kontorfellesskap AS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Non-Executive Director</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w w:val="97"/>
              </w:rPr>
              <w:t>Tjuvholmen Alle 19, 7. floor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Positions</w:t>
            </w: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N-0252 Oslo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The Drilling Company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1972 A/S,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(2020 -</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Maersk Tankers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(2021 -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Hitec Vision AS, </w:t>
            </w:r>
            <w:r>
              <w:rPr>
                <w:rFonts w:ascii="Arial" w:cs="Arial" w:eastAsia="Arial" w:hAnsi="Arial"/>
                <w:sz w:val="13"/>
                <w:szCs w:val="13"/>
                <w:i w:val="1"/>
                <w:iCs w:val="1"/>
                <w:color w:val="auto"/>
              </w:rPr>
              <w:t>Director</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Moelven Industrier, A.S.A,</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Asset Buyout Partner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DNB Bank ASA, </w:t>
            </w:r>
            <w:r>
              <w:rPr>
                <w:rFonts w:ascii="Arial" w:cs="Arial" w:eastAsia="Arial" w:hAnsi="Arial"/>
                <w:sz w:val="13"/>
                <w:szCs w:val="13"/>
                <w:i w:val="1"/>
                <w:iCs w:val="1"/>
                <w:color w:val="auto"/>
              </w:rPr>
              <w:t>Executive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Vice President </w:t>
            </w:r>
            <w:r>
              <w:rPr>
                <w:rFonts w:ascii="Arial" w:cs="Arial" w:eastAsia="Arial" w:hAnsi="Arial"/>
                <w:sz w:val="13"/>
                <w:szCs w:val="13"/>
                <w:color w:val="auto"/>
              </w:rPr>
              <w:t>and</w:t>
            </w:r>
            <w:r>
              <w:rPr>
                <w:rFonts w:ascii="Arial" w:cs="Arial" w:eastAsia="Arial" w:hAnsi="Arial"/>
                <w:sz w:val="13"/>
                <w:szCs w:val="13"/>
                <w:i w:val="1"/>
                <w:iCs w:val="1"/>
                <w:color w:val="auto"/>
              </w:rPr>
              <w:t xml:space="preserve"> 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Ocean Industries</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(2017 - 2020) and </w:t>
            </w:r>
            <w:r>
              <w:rPr>
                <w:rFonts w:ascii="Arial" w:cs="Arial" w:eastAsia="Arial" w:hAnsi="Arial"/>
                <w:sz w:val="13"/>
                <w:szCs w:val="13"/>
                <w:i w:val="1"/>
                <w:iCs w:val="1"/>
                <w:color w:val="auto"/>
              </w:rPr>
              <w:t>Global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Shipping,</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Offshore &amp; Logistics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(2013 - 2017)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
        </w:trPr>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42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Donald J. Kintzer</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1 Tappan Lane, Orinda, CA,</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U.S.A.</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(2014</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94563-1310, USA</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(2014 - 2015)</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California Bank of</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Commerce,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(2013 -</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Lawrence Livermore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National Security LLC,</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Governor, </w:t>
            </w:r>
            <w:r>
              <w:rPr>
                <w:rFonts w:ascii="Arial" w:cs="Arial" w:eastAsia="Arial" w:hAnsi="Arial"/>
                <w:sz w:val="13"/>
                <w:szCs w:val="13"/>
                <w:color w:val="auto"/>
              </w:rPr>
              <w:t>(2012—current)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Los Alamos National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Security, LLC,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(2021 - 2018)</w:t>
            </w:r>
          </w:p>
        </w:tc>
      </w:tr>
      <w:tr>
        <w:trPr>
          <w:trHeight w:val="36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Julian R. Metherell</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81 Kings Road, London,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MW&amp;L Capital, 81 Kings</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Investment</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Vice-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8"/>
              </w:rPr>
              <w:t>SW3 4NX, United Kingdom</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Road, London, SW3 4NX,</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Chairman and 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((2011 -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MW&amp;L Capital,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(2017 - current)</w:t>
            </w:r>
          </w:p>
        </w:tc>
      </w:tr>
      <w:tr>
        <w:trPr>
          <w:trHeight w:val="422"/>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Anthony S. Papadimitriou</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367 Syngrou Av. Paleo</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ASOFIN Management S.A.,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Consulting company</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Alexander S. Onassis</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Faliro 17564 Athens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8 Zephyrou Str.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Foundation, </w:t>
            </w:r>
            <w:r>
              <w:rPr>
                <w:rFonts w:ascii="Arial" w:cs="Arial" w:eastAsia="Arial" w:hAnsi="Arial"/>
                <w:sz w:val="13"/>
                <w:szCs w:val="13"/>
                <w:i w:val="1"/>
                <w:iCs w:val="1"/>
                <w:color w:val="auto"/>
              </w:rPr>
              <w:t>President</w:t>
            </w:r>
            <w:r>
              <w:rPr>
                <w:rFonts w:ascii="Arial" w:cs="Arial" w:eastAsia="Arial" w:hAnsi="Arial"/>
                <w:sz w:val="13"/>
                <w:szCs w:val="13"/>
                <w:color w:val="auto"/>
              </w:rPr>
              <w:t xml:space="preserve"> and</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Paleo Faliro 17564 Athens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Treasurer </w:t>
            </w:r>
            <w:r>
              <w:rPr>
                <w:rFonts w:ascii="Arial" w:cs="Arial" w:eastAsia="Arial" w:hAnsi="Arial"/>
                <w:sz w:val="13"/>
                <w:szCs w:val="13"/>
                <w:color w:val="auto"/>
              </w:rPr>
              <w:t>(2005 -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and </w:t>
            </w:r>
            <w:r>
              <w:rPr>
                <w:rFonts w:ascii="Arial" w:cs="Arial" w:eastAsia="Arial" w:hAnsi="Arial"/>
                <w:sz w:val="13"/>
                <w:szCs w:val="13"/>
                <w:i w:val="1"/>
                <w:iCs w:val="1"/>
                <w:color w:val="auto"/>
                <w:w w:val="95"/>
              </w:rPr>
              <w:t>Board Member</w:t>
            </w:r>
            <w:r>
              <w:rPr>
                <w:rFonts w:ascii="Arial" w:cs="Arial" w:eastAsia="Arial" w:hAnsi="Arial"/>
                <w:sz w:val="13"/>
                <w:szCs w:val="13"/>
                <w:color w:val="auto"/>
                <w:w w:val="95"/>
              </w:rPr>
              <w:t xml:space="preserve"> (1988—</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 January</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A.S. Papadimitriou and</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Partners Law Firm,</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Founding Partner </w:t>
            </w:r>
            <w:r>
              <w:rPr>
                <w:rFonts w:ascii="Arial" w:cs="Arial" w:eastAsia="Arial" w:hAnsi="Arial"/>
                <w:sz w:val="13"/>
                <w:szCs w:val="13"/>
                <w:color w:val="auto"/>
              </w:rPr>
              <w:t>(2005 -</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current), Domboli 14, 11636</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Athens</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Officers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See above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See above</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Executive Officer</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Achilleas Tasioulas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Ltd.,</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Financial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Chief Financial Officer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(2020 - current); </w:t>
            </w:r>
            <w:r>
              <w:rPr>
                <w:rFonts w:ascii="Arial" w:cs="Arial" w:eastAsia="Arial" w:hAnsi="Arial"/>
                <w:sz w:val="13"/>
                <w:szCs w:val="13"/>
                <w:i w:val="1"/>
                <w:iCs w:val="1"/>
                <w:color w:val="auto"/>
              </w:rPr>
              <w:t>Deputy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CFO </w:t>
            </w:r>
            <w:r>
              <w:rPr>
                <w:rFonts w:ascii="Arial" w:cs="Arial" w:eastAsia="Arial" w:hAnsi="Arial"/>
                <w:sz w:val="13"/>
                <w:szCs w:val="13"/>
                <w:color w:val="auto"/>
              </w:rPr>
              <w:t>(2019-2020);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5"/>
              </w:rPr>
              <w:t>Chief Risk Officer, Financial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8"/>
              </w:rPr>
              <w:t xml:space="preserve">Controller </w:t>
            </w:r>
            <w:r>
              <w:rPr>
                <w:rFonts w:ascii="Arial" w:cs="Arial" w:eastAsia="Arial" w:hAnsi="Arial"/>
                <w:sz w:val="13"/>
                <w:szCs w:val="13"/>
                <w:color w:val="auto"/>
                <w:w w:val="98"/>
              </w:rPr>
              <w:t>and</w:t>
            </w:r>
            <w:r>
              <w:rPr>
                <w:rFonts w:ascii="Arial" w:cs="Arial" w:eastAsia="Arial" w:hAnsi="Arial"/>
                <w:sz w:val="13"/>
                <w:szCs w:val="13"/>
                <w:i w:val="1"/>
                <w:iCs w:val="1"/>
                <w:color w:val="auto"/>
                <w:w w:val="98"/>
              </w:rPr>
              <w:t xml:space="preserve"> Head of Tax</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(2017 - 2019); </w:t>
            </w:r>
            <w:r>
              <w:rPr>
                <w:rFonts w:ascii="Arial" w:cs="Arial" w:eastAsia="Arial" w:hAnsi="Arial"/>
                <w:sz w:val="13"/>
                <w:szCs w:val="13"/>
                <w:i w:val="1"/>
                <w:iCs w:val="1"/>
                <w:color w:val="auto"/>
              </w:rPr>
              <w:t>Financial</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Controller </w:t>
            </w:r>
            <w:r>
              <w:rPr>
                <w:rFonts w:ascii="Arial" w:cs="Arial" w:eastAsia="Arial" w:hAnsi="Arial"/>
                <w:sz w:val="13"/>
                <w:szCs w:val="13"/>
                <w:color w:val="auto"/>
              </w:rPr>
              <w:t>(2014 - 2017)</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Financial Officer </w:t>
            </w:r>
            <w:r>
              <w:rPr>
                <w:rFonts w:ascii="Arial" w:cs="Arial" w:eastAsia="Arial" w:hAnsi="Arial"/>
                <w:sz w:val="13"/>
                <w:szCs w:val="13"/>
                <w:color w:val="auto"/>
              </w:rPr>
              <w:t>(2020 -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Paolo Enoizi</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Italy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Operating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w w:val="95"/>
              </w:rPr>
              <w:t xml:space="preserve">Stolt Tankers BV, </w:t>
            </w:r>
            <w:r>
              <w:rPr>
                <w:rFonts w:ascii="Arial" w:cs="Arial" w:eastAsia="Arial" w:hAnsi="Arial"/>
                <w:sz w:val="13"/>
                <w:szCs w:val="13"/>
                <w:i w:val="1"/>
                <w:iCs w:val="1"/>
                <w:color w:val="auto"/>
                <w:w w:val="95"/>
              </w:rPr>
              <w:t>Managing</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(2015- 2019)</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31" w:lineRule="exact"/>
        <w:rPr>
          <w:sz w:val="20"/>
          <w:szCs w:val="20"/>
          <w:color w:val="auto"/>
        </w:rPr>
      </w:pPr>
    </w:p>
    <w:p>
      <w:pPr>
        <w:jc w:val="both"/>
        <w:ind w:firstLine="519"/>
        <w:spacing w:after="0" w:line="294" w:lineRule="auto"/>
        <w:rPr>
          <w:sz w:val="20"/>
          <w:szCs w:val="20"/>
          <w:color w:val="auto"/>
        </w:rPr>
      </w:pPr>
      <w:r>
        <w:rPr>
          <w:rFonts w:ascii="Arial" w:cs="Arial" w:eastAsia="Arial" w:hAnsi="Arial"/>
          <w:sz w:val="16"/>
          <w:szCs w:val="16"/>
          <w:color w:val="auto"/>
        </w:rPr>
        <w:t>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The audited consolidated financial statements of the Company for the two years ended December 31, 2020 and 2019 are incorporated herein by reference to the Company’s Form 20-F for the year ended December 31, 2020, originally filed on March 5, 2021 (see page F-1 and the following pages).</w:t>
      </w:r>
    </w:p>
    <w:p>
      <w:pPr>
        <w:spacing w:after="0" w:line="169" w:lineRule="exact"/>
        <w:rPr>
          <w:sz w:val="20"/>
          <w:szCs w:val="20"/>
          <w:color w:val="auto"/>
        </w:rPr>
      </w:pPr>
    </w:p>
    <w:p>
      <w:pPr>
        <w:jc w:val="both"/>
        <w:ind w:right="20" w:firstLine="534"/>
        <w:spacing w:after="0" w:line="306" w:lineRule="auto"/>
        <w:rPr>
          <w:sz w:val="20"/>
          <w:szCs w:val="20"/>
          <w:color w:val="auto"/>
        </w:rPr>
      </w:pPr>
      <w:r>
        <w:rPr>
          <w:rFonts w:ascii="Arial" w:cs="Arial" w:eastAsia="Arial" w:hAnsi="Arial"/>
          <w:sz w:val="16"/>
          <w:szCs w:val="16"/>
          <w:color w:val="auto"/>
        </w:rPr>
        <w:t>The following tables present selected consolidated financial information for the Company. The Company’s summary of consolidated statements of financial position presented below for the years ended December 31, 2020 and 2019 and the Company’s summary of consolidated statements of profit or loss presented below as of December 31, 2020 and 2019 have been derived from the Company’s audited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6" w:name="page137"/>
    <w:bookmarkEnd w:id="136"/>
    <w:p>
      <w:pPr>
        <w:jc w:val="both"/>
        <w:spacing w:after="0" w:line="268" w:lineRule="auto"/>
        <w:rPr>
          <w:sz w:val="20"/>
          <w:szCs w:val="20"/>
          <w:color w:val="auto"/>
        </w:rPr>
      </w:pPr>
      <w:r>
        <w:rPr>
          <w:rFonts w:ascii="Arial" w:cs="Arial" w:eastAsia="Arial" w:hAnsi="Arial"/>
          <w:sz w:val="18"/>
          <w:szCs w:val="18"/>
          <w:color w:val="auto"/>
        </w:rPr>
        <w:t>consolidated financial statements, which are included in the Company’s Form 20-F for the year ended December 31, 2020, originally filed on March 5, 2021 (see page F-1 and the following pages).</w:t>
      </w:r>
    </w:p>
    <w:p>
      <w:pPr>
        <w:spacing w:after="0" w:line="186"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The Company’s historical results do not necessarily indicate results expected for any future periods. The selected consolidated financial information below should be read in conjunction with, and is qualified in its entirety by reference to, the Company’s audited consolidated financial statements and the related notes and other financial information, including “Item 5. Operating and Financial Review and Prospects,” in the Company’s annual report on Form 20-F for the year ended December 31, 2020, which are also incorporated into this proxy statement by reference. See “Where You Can Find More Information” beginning on page 156 of this proxy statement for a description of how to obtain a copy of such Annual Report. The net book value per Company common share as of December 31, 2020 was $5.57 based on 95,176,443 outstanding Company common shares as of that date.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Statements of Financial Position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(All amounts expressed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226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4,907,399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5,419,229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315,796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437,534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Preference shares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74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Contributed surplus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760,671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759,822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16,799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Treasury shares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Equity attributable to owners of the Company and its subsidiaries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688,335</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961,518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951,768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1,649,853</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1,597,137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437,538</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459,349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3,135,804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3,800,277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5,223,195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5,856,763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104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jc w:val="center"/>
        <w:ind w:right="20"/>
        <w:spacing w:after="0" w:line="262" w:lineRule="auto"/>
        <w:rPr>
          <w:sz w:val="20"/>
          <w:szCs w:val="20"/>
          <w:color w:val="auto"/>
        </w:rPr>
      </w:pPr>
      <w:r>
        <w:rPr>
          <w:rFonts w:ascii="Arial" w:cs="Arial" w:eastAsia="Arial" w:hAnsi="Arial"/>
          <w:sz w:val="18"/>
          <w:szCs w:val="18"/>
          <w:b w:val="1"/>
          <w:bCs w:val="1"/>
          <w:color w:val="auto"/>
        </w:rPr>
        <w:t>Summary of Consolidated Statements of Profit or Loss For the years ended December 31, 2019 and 2020 (All amounts expressed in thousands of U.S. Dollars, except per share data)</w:t>
      </w:r>
    </w:p>
    <w:p>
      <w:pPr>
        <w:spacing w:after="0" w:line="24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668,637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674,089</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Net pool allocation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Voyage expenses and commissions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Vessel operating and supervision costs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(139,662)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(148,235)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(177,213)</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Impairment loss on vessels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(162,149)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(28,627)</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non-current assets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(47,385)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from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123,364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250,310</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color w:val="auto"/>
              </w:rPr>
              <w:t>Financial costs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(190,481)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Loss on derivatives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(84,658)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profit of associates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0"/>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 net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(238,977)</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(247,021)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(Loss)/profit for the year</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color w:val="auto"/>
              </w:rPr>
              <w:t>Attributable to:</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Owners of the Company and its subsidiaries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(44,948)</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(14,952)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(115,613)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3,289</w:t>
            </w:r>
          </w:p>
        </w:tc>
        <w:tc>
          <w:tcPr>
            <w:tcW w:w="0" w:type="dxa"/>
            <w:vAlign w:val="bottom"/>
          </w:tcPr>
          <w:p>
            <w:pPr>
              <w:spacing w:after="0"/>
              <w:rPr>
                <w:sz w:val="1"/>
                <w:szCs w:val="1"/>
                <w:color w:val="auto"/>
              </w:rPr>
            </w:pPr>
          </w:p>
        </w:tc>
      </w:tr>
      <w:tr>
        <w:trPr>
          <w:trHeight w:val="20"/>
        </w:trPr>
        <w:tc>
          <w:tcPr>
            <w:tcW w:w="7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(Loss)/earnings per share—basic</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20" w:type="dxa"/>
            <w:vAlign w:val="bottom"/>
            <w:vMerge w:val="continue"/>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(1.37)</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(Loss)/earnings per share—diluted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and Dividends</w:t>
      </w:r>
    </w:p>
    <w:p>
      <w:pPr>
        <w:spacing w:after="0" w:line="231"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The Company common shares are listed on the NYSE under the symbol “GLOG”. At the close of business in New York City on April 30, 2021, there were 5 holders of record of Company common shares. A number of the Company shareholders have their shares in street name; therefore, the Company believes that there are substantially more beneficial owners of Company common shares.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ind w:firstLine="426"/>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common shares as reported in published financial sources for each quarter during the past two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17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2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(through April 30, 2021)</w:t>
            </w:r>
          </w:p>
        </w:tc>
        <w:tc>
          <w:tcPr>
            <w:tcW w:w="3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430"/>
        </w:trPr>
        <w:tc>
          <w:tcPr>
            <w:tcW w:w="17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60" w:type="dxa"/>
            <w:vAlign w:val="bottom"/>
          </w:tcPr>
          <w:p>
            <w:pPr>
              <w:jc w:val="right"/>
              <w:ind w:right="21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jc w:val="both"/>
        <w:ind w:firstLine="484"/>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28,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30,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if earlier, until the valid termination of the merger agreement), it will not issue dividends with respect to the Company common shares other than regular quarterly cash distributions paid during the first and second quarters of 2021 that do not exceed $0.05 per Company common share, in each case with customary declaration, record and payment dates consistent with past practice and the corresponding dividend equivalent in respect of each Company RSU award or Company PSU award. In addition, certain of the Company’s credit facilities impose limitations on the Company’s ability to pay dividends. Our board of directors will determine the timing and amount of all dividend payments based on various factors, including our earnings, financial condition, cash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jc w:val="both"/>
        <w:spacing w:after="0" w:line="259" w:lineRule="auto"/>
        <w:rPr>
          <w:sz w:val="20"/>
          <w:szCs w:val="20"/>
          <w:color w:val="auto"/>
        </w:rPr>
      </w:pPr>
      <w:r>
        <w:rPr>
          <w:rFonts w:ascii="Arial" w:cs="Arial" w:eastAsia="Arial" w:hAnsi="Arial"/>
          <w:sz w:val="18"/>
          <w:szCs w:val="18"/>
          <w:color w:val="auto"/>
        </w:rPr>
        <w:t>requirements and availability, restrictions in our credit facilities and the provisions of Bermuda law. Accordingly, we cannot guarantee that we will be able to pay quarterly dividends. Additionally, following consummation of the merger, the Company, the rolling shareholders and Parent may make material changes to the Company’s dividend rate or policy.</w:t>
      </w:r>
    </w:p>
    <w:p>
      <w:pPr>
        <w:spacing w:after="0" w:line="194" w:lineRule="exact"/>
        <w:rPr>
          <w:sz w:val="20"/>
          <w:szCs w:val="20"/>
          <w:color w:val="auto"/>
        </w:rPr>
      </w:pPr>
    </w:p>
    <w:p>
      <w:pPr>
        <w:jc w:val="both"/>
        <w:ind w:firstLine="386"/>
        <w:spacing w:after="0" w:line="306" w:lineRule="auto"/>
        <w:rPr>
          <w:sz w:val="20"/>
          <w:szCs w:val="20"/>
          <w:color w:val="auto"/>
        </w:rPr>
      </w:pPr>
      <w:r>
        <w:rPr>
          <w:rFonts w:ascii="Arial" w:cs="Arial" w:eastAsia="Arial" w:hAnsi="Arial"/>
          <w:sz w:val="16"/>
          <w:szCs w:val="16"/>
          <w:color w:val="auto"/>
        </w:rPr>
        <w:t>The closing price of Company common shares on the NYSE on April 30, 2021, the most recent practicable date prior to the date of this proxy statement, was $5.81 per share. As of April 30, 2021, there were 95,389,062 Company common shares outstanding. You are encouraged to obtain current market prices of Company common shares in connection with voting your Company common shares and Company preference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Preference Shares and Dividends</w:t>
      </w:r>
    </w:p>
    <w:p>
      <w:pPr>
        <w:spacing w:after="0" w:line="231"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The Company preference shares are listed on the NYSE under the symbol “GLOG PR”. At the close of business in New York City on April 30, 2021, there was 1 holder of record of Company preference shares. A number of the Company shareholders have their shares in street name; therefore, the Company believes that there are substantially more beneficial owners of Company preference shares.</w:t>
      </w:r>
    </w:p>
    <w:p>
      <w:pPr>
        <w:spacing w:after="0" w:line="19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preference shares as reported in published financial sources for each quarter during the past two years.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(through April 30, 2021)</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Fiscal Year 2020</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2019</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26.10</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Dividends on Company preference shares are payable quarterly on each of January 1, April 1, July 1 and October 1, or the next succeeding business day, as and if declared by our board of directors out of legally available funds for such purpose. The dividend rate for the Company preference shares is 8.75% per annum per $25.00 of liquidation preference per share (equal to $2.18750 per annum per share). The dividend rates are not subject to adjustment. We paid dividends to holders of the Company preference shares of $0.546875 per share on January 2, 2019, April 1, 2019, July 1, 2019, October 1, 2019, January 2, 2020, April 1, 2020, July 1, 2020, October 1, 2020 and January 4, 2021. The Company preference shares dividend payment obligations impact our future liquidity needs.</w:t>
      </w:r>
    </w:p>
    <w:p>
      <w:pPr>
        <w:spacing w:after="0" w:line="198" w:lineRule="exact"/>
        <w:rPr>
          <w:sz w:val="20"/>
          <w:szCs w:val="20"/>
          <w:color w:val="auto"/>
        </w:rPr>
      </w:pPr>
    </w:p>
    <w:p>
      <w:pPr>
        <w:jc w:val="both"/>
        <w:ind w:firstLine="357"/>
        <w:spacing w:after="0" w:line="306" w:lineRule="auto"/>
        <w:rPr>
          <w:sz w:val="20"/>
          <w:szCs w:val="20"/>
          <w:color w:val="auto"/>
        </w:rPr>
      </w:pPr>
      <w:r>
        <w:rPr>
          <w:rFonts w:ascii="Arial" w:cs="Arial" w:eastAsia="Arial" w:hAnsi="Arial"/>
          <w:sz w:val="16"/>
          <w:szCs w:val="16"/>
          <w:color w:val="auto"/>
        </w:rPr>
        <w:t>The closing price of Company preference shares on the NYSE on April 30, 2021, the most recent practicable date prior to the date of this proxy statement, was $25.21 per share. As of April 30, 2021, there were 4,600,000 Company preference shares outstanding. You are encouraged to obtain current market prices of Company preference shares in connection with voting your Company common shares and Company preference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Security Ownership of Company Common Shares and Company Preference Shares</w:t>
      </w:r>
    </w:p>
    <w:p>
      <w:pPr>
        <w:spacing w:after="0" w:line="231" w:lineRule="exact"/>
        <w:rPr>
          <w:sz w:val="20"/>
          <w:szCs w:val="20"/>
          <w:color w:val="auto"/>
        </w:rPr>
      </w:pPr>
    </w:p>
    <w:p>
      <w:pPr>
        <w:ind w:right="20" w:firstLine="568"/>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the outstanding Company common shares and Company preference shares as of April 30, 2021.</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rPr>
              <w:t>SHARES BENEFICIALLY OWNED</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1"/>
                <w:szCs w:val="1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OF TOTAL</w:t>
            </w:r>
          </w:p>
        </w:tc>
      </w:t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COMMON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PREFERENCE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VOTING</w:t>
            </w:r>
          </w:p>
        </w:tc>
      </w:tr>
      <w:tr>
        <w:trPr>
          <w:trHeight w:val="17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960" w:type="dxa"/>
            <w:vAlign w:val="bottom"/>
            <w:gridSpan w:val="2"/>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r>
      <w:tr>
        <w:trPr>
          <w:trHeight w:val="20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Directors and Officers of the Company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0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39,511,801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Paul A. Wogan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115,827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Bruce L. Blythe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1,200,000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Paolo Enoizi</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14,592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Donald J. Kintzer</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Julian R. Metherell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Anthony S. Papadimitriou</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Achillaes Tasioulas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18,993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40,909,105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12,366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5.0% Beneficial Owners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64"/>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11,164,904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of the Company common shares and Company preference shares, voting together as a single class (with each Company common share and Company preference share carrying a single vote).</w:t>
      </w:r>
    </w:p>
    <w:p>
      <w:pPr>
        <w:spacing w:after="0" w:line="90" w:lineRule="exact"/>
        <w:rPr>
          <w:rFonts w:ascii="Arial" w:cs="Arial" w:eastAsia="Arial" w:hAnsi="Arial"/>
          <w:sz w:val="13"/>
          <w:szCs w:val="13"/>
          <w:color w:val="auto"/>
        </w:rPr>
      </w:pPr>
    </w:p>
    <w:p>
      <w:pPr>
        <w:jc w:val="both"/>
        <w:ind w:left="1680" w:hanging="549"/>
        <w:spacing w:after="0" w:line="244" w:lineRule="auto"/>
        <w:tabs>
          <w:tab w:leader="none" w:pos="168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By virtue of Company common shares held (a) directly, (b) indirectly through Blenheim Holdings Ltd.,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 and the vesting of 92,257 Restricted Stock Units in April 2021.</w:t>
      </w:r>
    </w:p>
    <w:p>
      <w:pPr>
        <w:spacing w:after="0" w:line="110" w:lineRule="exact"/>
        <w:rPr>
          <w:rFonts w:ascii="Arial" w:cs="Arial" w:eastAsia="Arial" w:hAnsi="Arial"/>
          <w:sz w:val="13"/>
          <w:szCs w:val="13"/>
          <w:color w:val="auto"/>
        </w:rPr>
      </w:pPr>
    </w:p>
    <w:p>
      <w:pPr>
        <w:jc w:val="both"/>
        <w:ind w:left="1680" w:hanging="549"/>
        <w:spacing w:after="0" w:line="256" w:lineRule="auto"/>
        <w:tabs>
          <w:tab w:leader="none" w:pos="168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By virtue of Company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1680" w:hanging="549"/>
        <w:spacing w:after="0"/>
        <w:tabs>
          <w:tab w:leader="none" w:pos="168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Offerings</w:t>
      </w:r>
    </w:p>
    <w:p>
      <w:pPr>
        <w:spacing w:after="0" w:line="231"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On April 4, 2012, we completed our initial public offering, or “IPO”, and the Company common shares began trading on the NYSE on March 30, 2012 under the ticker symbol “GLOG”. On January 22, 2014, the Company completed a follow on public offering of 10,925,000 Company common shares (including 1,425,000 Company common shares in relation to the over allotment option exercised in full by the underwriters) and a concurrent private placement of 2,317,460 Company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Methane Services Limited, a subsidiary of Shell (“MSL”), in 2014. On April 16, 2014, the Company completed a second follow on public offering of 4,887,500 Company common shares (including 637,500 Company common shares in relation to the over allotment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jc w:val="both"/>
        <w:spacing w:after="0" w:line="268" w:lineRule="auto"/>
        <w:rPr>
          <w:sz w:val="20"/>
          <w:szCs w:val="20"/>
          <w:color w:val="auto"/>
        </w:rPr>
      </w:pPr>
      <w:r>
        <w:rPr>
          <w:rFonts w:ascii="Arial" w:cs="Arial" w:eastAsia="Arial" w:hAnsi="Arial"/>
          <w:sz w:val="18"/>
          <w:szCs w:val="18"/>
          <w:color w:val="auto"/>
        </w:rPr>
        <w:t>option exercised in full by the underwriters). The offering resulted in net proceeds of $109.9 million which were used to partially finance the acquisition of the additional three ships acquired from MSL in 2014.</w:t>
      </w:r>
    </w:p>
    <w:p>
      <w:pPr>
        <w:spacing w:after="0" w:line="186" w:lineRule="exact"/>
        <w:rPr>
          <w:sz w:val="20"/>
          <w:szCs w:val="20"/>
          <w:color w:val="auto"/>
        </w:rPr>
      </w:pPr>
    </w:p>
    <w:p>
      <w:pPr>
        <w:jc w:val="both"/>
        <w:ind w:firstLine="422"/>
        <w:spacing w:after="0" w:line="298" w:lineRule="auto"/>
        <w:rPr>
          <w:sz w:val="20"/>
          <w:szCs w:val="20"/>
          <w:color w:val="auto"/>
        </w:rPr>
      </w:pPr>
      <w:r>
        <w:rPr>
          <w:rFonts w:ascii="Arial" w:cs="Arial" w:eastAsia="Arial" w:hAnsi="Arial"/>
          <w:sz w:val="16"/>
          <w:szCs w:val="16"/>
          <w:color w:val="auto"/>
        </w:rPr>
        <w:t>On April 7, 2015, the Company completed a public offering of 4,600,000 Company preference shares, par value $0.01 per share, liquidation preference $25.00 per share and priced at $25.00 per share, including 600,000 shares issued upon the exercise in full by the underwriters of their option to purchase additional Company preference shares. The net proceeds from the offering after deducting underwriting discounts, commissions and other offering expenses were $110.7 million to be used for general corporate purposes. The Company preference shares are listed on the NYSE under the symbol “GLOG PR A”.</w:t>
      </w:r>
    </w:p>
    <w:p>
      <w:pPr>
        <w:spacing w:after="0" w:line="166"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On June 29, 2020, the Company completed the sale of 14,400,000 Company common shares at a price of $2.50 per share for total gross proceeds of $36.0 million through a private placement of unregistered Company common shares (“the Private Placement”). The net proceeds were used for general corporate purposes. Approximately 75% of shares issued in the Private Placement were purchased by the Company’s directors and affiliates, including 6,500,000 Company common shares purchased by Blenheim Holdings Ltd., wholly owned by the Livanos family, and 4,000,000 Company common shares purchased by a wholly owned affiliate of the Onassis Foundation.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in the Company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During the Past 60 Days</w:t>
      </w:r>
    </w:p>
    <w:p>
      <w:pPr>
        <w:spacing w:after="0" w:line="225" w:lineRule="exact"/>
        <w:rPr>
          <w:sz w:val="20"/>
          <w:szCs w:val="20"/>
          <w:color w:val="auto"/>
        </w:rPr>
      </w:pPr>
    </w:p>
    <w:p>
      <w:pPr>
        <w:jc w:val="both"/>
        <w:ind w:firstLine="430"/>
        <w:spacing w:after="0" w:line="335" w:lineRule="auto"/>
        <w:rPr>
          <w:sz w:val="20"/>
          <w:szCs w:val="20"/>
          <w:color w:val="auto"/>
        </w:rPr>
      </w:pPr>
      <w:r>
        <w:rPr>
          <w:rFonts w:ascii="Arial" w:cs="Arial" w:eastAsia="Arial" w:hAnsi="Arial"/>
          <w:sz w:val="15"/>
          <w:szCs w:val="15"/>
          <w:color w:val="auto"/>
        </w:rPr>
        <w:t>Except as described elsewhere in this proxy statement, other than the merger agreement and the agreements entered into in connection with the merger agreement, there have been no transactions in the Company common shares or Company preference shares during the past 60 days by any of the Company, the GEPIF filing parties, the rolling shareholder parties or their directors or officers, respectively, or any associate or majority-owned subsidiary of the foregoing.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Company and the Rolling Shareholder Parties During the Past Two Years</w:t>
      </w:r>
    </w:p>
    <w:p>
      <w:pPr>
        <w:spacing w:after="0" w:line="225"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 of up to $50 million of the Company’s common shares covering the period from January 1, 2019 to December 31, 2021. Under the terms of the repurchase program,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 to repurchase any specific dollar amount or number of common shares, and the repurchase program may be modified, suspended or discontinued at any time or never utilized. Any Company common shares repurchased by the Company under the program will be held in treasury. 536,030 Company common shares had been repurchased by the Company between January 1, 2019 and December 31,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ind w:left="360"/>
        <w:spacing w:after="0"/>
        <w:rPr>
          <w:sz w:val="20"/>
          <w:szCs w:val="20"/>
          <w:color w:val="auto"/>
        </w:rPr>
      </w:pPr>
      <w:r>
        <w:rPr>
          <w:rFonts w:ascii="Arial" w:cs="Arial" w:eastAsia="Arial" w:hAnsi="Arial"/>
          <w:sz w:val="18"/>
          <w:szCs w:val="18"/>
          <w:color w:val="auto"/>
        </w:rPr>
        <w:t>Set forth below are all purchases of our common shares by us and the rolling shareholder parties for the past two years: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3"/>
              </w:rPr>
              <w:t>Range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Price Paid</w:t>
            </w:r>
          </w:p>
        </w:tc>
        <w:tc>
          <w:tcPr>
            <w:tcW w:w="0" w:type="dxa"/>
            <w:vAlign w:val="bottom"/>
          </w:tcPr>
          <w:p>
            <w:pPr>
              <w:spacing w:after="0"/>
              <w:rPr>
                <w:sz w:val="1"/>
                <w:szCs w:val="1"/>
                <w:color w:val="auto"/>
              </w:rPr>
            </w:pPr>
          </w:p>
        </w:tc>
      </w:tr>
      <w:tr>
        <w:trPr>
          <w:trHeight w:val="161"/>
        </w:trPr>
        <w:tc>
          <w:tcPr>
            <w:tcW w:w="402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Prices Paid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per 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March 2019</w:t>
            </w:r>
            <w:r>
              <w:rPr>
                <w:rFonts w:ascii="Arial" w:cs="Arial" w:eastAsia="Arial" w:hAnsi="Arial"/>
                <w:sz w:val="28"/>
                <w:szCs w:val="28"/>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$17.52 to $17.85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May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$13.17 - $13.95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78,012</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November 2019</w:t>
            </w:r>
            <w:r>
              <w:rPr>
                <w:rFonts w:ascii="Arial" w:cs="Arial" w:eastAsia="Arial" w:hAnsi="Arial"/>
                <w:sz w:val="29"/>
                <w:szCs w:val="2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185,945</w:t>
            </w:r>
          </w:p>
        </w:tc>
        <w:tc>
          <w:tcPr>
            <w:tcW w:w="14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$8.94 - $11.02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February 2020</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$6.06 to $6.22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September 2020</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11,456,475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4" w:lineRule="auto"/>
        <w:tabs>
          <w:tab w:leader="none" w:pos="22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tabs>
          <w:tab w:leader="none" w:pos="224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Entities controlled by Peter Livanos, for his own benefit and the benefit of his immediate family members, acquired these shares in open-market transactions.</w:t>
      </w:r>
    </w:p>
    <w:p>
      <w:pPr>
        <w:spacing w:after="0" w:line="145" w:lineRule="exact"/>
        <w:rPr>
          <w:rFonts w:ascii="Arial" w:cs="Arial" w:eastAsia="Arial" w:hAnsi="Arial"/>
          <w:sz w:val="12"/>
          <w:szCs w:val="12"/>
          <w:color w:val="auto"/>
        </w:rPr>
      </w:pPr>
    </w:p>
    <w:p>
      <w:pPr>
        <w:ind w:left="2240" w:hanging="547"/>
        <w:spacing w:after="0" w:line="274" w:lineRule="auto"/>
        <w:tabs>
          <w:tab w:leader="none" w:pos="22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open-market transactions.</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a private placement.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GEPIF Filing Parties in the Company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past two years, none of the GEPIF filing parties have purchased or acquired any Company common shares or Company preference shares.</w:t>
      </w:r>
    </w:p>
    <w:p>
      <w:pPr>
        <w:spacing w:after="0" w:line="248"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Negotiations or Material Contacts</w:t>
      </w:r>
    </w:p>
    <w:p>
      <w:pPr>
        <w:spacing w:after="0" w:line="23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during the past two years, the Company has engaged in discussions with respect to strategic alternatives but has never pursued a potential transaction similar to this one until the receipt of the initial indication of interest from GEPIF, as discussed in more detail in the section entitled “Special Factors—Background of the Merger” beginning on page 33 of this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ind w:left="2260"/>
        <w:spacing w:after="0"/>
        <w:rPr>
          <w:sz w:val="20"/>
          <w:szCs w:val="20"/>
          <w:color w:val="auto"/>
        </w:rPr>
      </w:pPr>
      <w:r>
        <w:rPr>
          <w:rFonts w:ascii="Arial" w:cs="Arial" w:eastAsia="Arial" w:hAnsi="Arial"/>
          <w:sz w:val="18"/>
          <w:szCs w:val="18"/>
          <w:b w:val="1"/>
          <w:bCs w:val="1"/>
          <w:color w:val="auto"/>
        </w:rPr>
        <w:t>OTHER IMPORTANT INFORMATION REGARDING THE GEPIF FILING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GEPIF Filing Parties</w:t>
      </w:r>
    </w:p>
    <w:p>
      <w:pPr>
        <w:spacing w:after="0" w:line="23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Under the SEC rules governing “going private” transactions, the GEPIF filing parties (as defined below) may each be deemed “affiliates” (as defined under Rule 13e-3 of the Exchange Act) of the Company engaged in the “going private” transaction. The GEPIF filing parties own no shares of Company common shares or Company preference shares as of April 30, 2021.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“GEPIF filing parties” means:</w:t>
      </w:r>
    </w:p>
    <w:p>
      <w:pPr>
        <w:spacing w:after="0" w:line="225" w:lineRule="exact"/>
        <w:rPr>
          <w:sz w:val="20"/>
          <w:szCs w:val="20"/>
          <w:color w:val="auto"/>
        </w:rPr>
      </w:pPr>
    </w:p>
    <w:p>
      <w:pPr>
        <w:jc w:val="both"/>
        <w:ind w:left="540" w:firstLine="383"/>
        <w:spacing w:after="0" w:line="298" w:lineRule="auto"/>
        <w:tabs>
          <w:tab w:leader="none" w:pos="126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Global Energy &amp; Power Infrastructure Fund III, L.P., a Cayman Islands exempted limited partnership (“GEPIF III”). GEPIF III is engaged in the business of making private equity and other types of investments in energy infrastructure businesses and assets. GEPIF III’s principal executive office is located at One Lafayette Place, Greenwich, CT 06830, U.S.A. GEPIF III’s telephone number is +1 203 863 6000. See the section entitled “The Parties Involved in the Merger—GEPIF III” beginning on page 22 of this proxy statement.</w:t>
      </w:r>
    </w:p>
    <w:p>
      <w:pPr>
        <w:spacing w:after="0" w:line="166" w:lineRule="exact"/>
        <w:rPr>
          <w:rFonts w:ascii="Arial" w:cs="Arial" w:eastAsia="Arial" w:hAnsi="Arial"/>
          <w:sz w:val="16"/>
          <w:szCs w:val="16"/>
          <w:color w:val="auto"/>
        </w:rPr>
      </w:pPr>
    </w:p>
    <w:p>
      <w:pPr>
        <w:jc w:val="both"/>
        <w:ind w:left="540" w:right="20" w:firstLine="495"/>
        <w:spacing w:after="0" w:line="256" w:lineRule="auto"/>
        <w:tabs>
          <w:tab w:leader="none" w:pos="142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GEPIF III Crown Bidco L.P., a Cayman Islands exempted limited partnership (“Parent”). The principal business of Parent is to own an interest in the Company and to make other related investments. Parent’s principal executive office is located at One Lafayette Place, Greenwich, CT 06830, U.S.A. Parent’s telephone number is +1 203 863 6000. See the section entitled “The Parties Involved in the Merger—GEPIF III” beginning on page 22 of this proxy statement.</w:t>
      </w:r>
    </w:p>
    <w:p>
      <w:pPr>
        <w:spacing w:after="0" w:line="196" w:lineRule="exact"/>
        <w:rPr>
          <w:rFonts w:ascii="Arial" w:cs="Arial" w:eastAsia="Arial" w:hAnsi="Arial"/>
          <w:sz w:val="18"/>
          <w:szCs w:val="18"/>
          <w:color w:val="auto"/>
        </w:rPr>
      </w:pPr>
    </w:p>
    <w:p>
      <w:pPr>
        <w:jc w:val="both"/>
        <w:ind w:left="540" w:firstLine="437"/>
        <w:spacing w:after="0" w:line="294" w:lineRule="auto"/>
        <w:tabs>
          <w:tab w:leader="none" w:pos="13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GEPIF III Crown MergerCo Limited, a Bermuda exempted company (“Merger Sub”).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 Merger Sub’s principal executive office is located at One Lafayette Place, Greenwich, CT 06830, U.S.A. Merger Sub’s telephone number is +1 203 863 6000. See the section entitled “The Parties Involved in the Merger—Merger Sub” beginning on page 22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GEPIF Filing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GEPIF III and Parent</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GEPIF III is a Cayman Islands exempted limited partnership principally engaged in the business of making private equity and other types of investments in energy infrastructure businesses and assets.</w:t>
      </w:r>
    </w:p>
    <w:p>
      <w:pPr>
        <w:spacing w:after="0" w:line="186"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8"/>
          <w:szCs w:val="18"/>
          <w:color w:val="auto"/>
        </w:rPr>
        <w:t>Parent is a Cayman Islands exempted limited partnership whose principal business is to own an interest in the Company and to make other related investments.</w:t>
      </w:r>
    </w:p>
    <w:p>
      <w:pPr>
        <w:spacing w:after="0" w:line="186" w:lineRule="exact"/>
        <w:rPr>
          <w:sz w:val="20"/>
          <w:szCs w:val="20"/>
          <w:color w:val="auto"/>
        </w:rPr>
      </w:pPr>
    </w:p>
    <w:p>
      <w:pPr>
        <w:jc w:val="both"/>
        <w:ind w:firstLine="547"/>
        <w:spacing w:after="0" w:line="268" w:lineRule="auto"/>
        <w:rPr>
          <w:sz w:val="20"/>
          <w:szCs w:val="20"/>
          <w:color w:val="auto"/>
        </w:rPr>
      </w:pPr>
      <w:r>
        <w:rPr>
          <w:rFonts w:ascii="Arial" w:cs="Arial" w:eastAsia="Arial" w:hAnsi="Arial"/>
          <w:sz w:val="18"/>
          <w:szCs w:val="18"/>
          <w:color w:val="auto"/>
        </w:rPr>
        <w:t>The address for GEPIF III and Parent is One Lafayette Place, Greenwich, CT 06830, U.S.A., and the phone number for GEPIF III and Parent is +1 203 863 6000.</w:t>
      </w:r>
    </w:p>
    <w:p>
      <w:pPr>
        <w:spacing w:after="0" w:line="186"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GEPIF III (GenPar), LLC (“GEPIF III (GenPar)”) is the general partner of GEPIF III and Parent. GEPIF III (GenPar) is a Delaware limited liability company, the principal business of which is acting as general partner of GEPIF III and related funds and Parent.</w:t>
      </w:r>
    </w:p>
    <w:p>
      <w:pPr>
        <w:spacing w:after="0" w:line="186" w:lineRule="exact"/>
        <w:rPr>
          <w:sz w:val="20"/>
          <w:szCs w:val="20"/>
          <w:color w:val="auto"/>
        </w:rPr>
      </w:pPr>
    </w:p>
    <w:p>
      <w:pPr>
        <w:jc w:val="both"/>
        <w:ind w:right="20" w:firstLine="377"/>
        <w:spacing w:after="0" w:line="259" w:lineRule="auto"/>
        <w:rPr>
          <w:sz w:val="20"/>
          <w:szCs w:val="20"/>
          <w:color w:val="auto"/>
        </w:rPr>
      </w:pPr>
      <w:r>
        <w:rPr>
          <w:rFonts w:ascii="Arial" w:cs="Arial" w:eastAsia="Arial" w:hAnsi="Arial"/>
          <w:sz w:val="18"/>
          <w:szCs w:val="18"/>
          <w:color w:val="auto"/>
        </w:rPr>
        <w:t>BlackRock Infrastructure Master Carry, L.P.—GEPIF III Series (“GEPIF III Master Carry”) is the sole member of GEPIF III (GenPar). GEPIF III Master Carry is a Delaware series limited partnership, the principal business of which is to offer a range of investment solutions from fundamental and quantitative active management to indexing strategies designed to gain broad exposure to the world’s capital markets.</w:t>
      </w:r>
    </w:p>
    <w:p>
      <w:pPr>
        <w:spacing w:after="0" w:line="194"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BlackRock Financial Management, Inc. (“BFM”) is the general partner of GEPIF III Master Carry. BFM is a Delaware corporation, the principal business of which is to offer a range of investment solutions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from fundamental and quantitative active management to indexing strategies designed to gain broad exposure to the world’s capital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BlackRock Holdco 2 Inc. (“Holdco 2”) is a Delaware corporation and the sole stockholder of BFM.</w:t>
      </w:r>
    </w:p>
    <w:p>
      <w:pPr>
        <w:spacing w:after="0" w:line="225" w:lineRule="exact"/>
        <w:rPr>
          <w:sz w:val="20"/>
          <w:szCs w:val="20"/>
          <w:color w:val="auto"/>
        </w:rPr>
      </w:pPr>
    </w:p>
    <w:p>
      <w:pPr>
        <w:jc w:val="both"/>
        <w:ind w:firstLine="563"/>
        <w:spacing w:after="0" w:line="288" w:lineRule="auto"/>
        <w:rPr>
          <w:sz w:val="20"/>
          <w:szCs w:val="20"/>
          <w:color w:val="auto"/>
        </w:rPr>
      </w:pPr>
      <w:r>
        <w:rPr>
          <w:rFonts w:ascii="Arial" w:cs="Arial" w:eastAsia="Arial" w:hAnsi="Arial"/>
          <w:sz w:val="16"/>
          <w:szCs w:val="16"/>
          <w:color w:val="auto"/>
        </w:rPr>
        <w:t>BlackRock, Inc. (“BlackRock”) is the sole stockholder of Holdco 2.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 mutual funds, iShares®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w:t>
      </w:r>
    </w:p>
    <w:p>
      <w:pPr>
        <w:spacing w:after="0" w:line="17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business address for each of GEPIF III (GenPar), GEPIF III Master Carry, BFM, Holdco 2 and BlackRock is 55 East 52nd Street, New York, NY 10055 and the phone number for GEPIF III (GenPar), GEPIF III Master Carry, BFM, Holdco 2 and BlackRock and each of BlackRock’s listed directors and executive officers is +1 212 810 5300.</w:t>
      </w:r>
    </w:p>
    <w:p>
      <w:pPr>
        <w:spacing w:after="0" w:line="194"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BlackRock’s directors and executive officers are set forth below. Except as set forth below, during the past five years, none of BFM, Holdco 2 or BlackRock nor any of BFM’s, Holdco 2’s or BlackRock’s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98"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On January 17, 2017, BlackRock reached an agreement with the SEC,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16"/>
        </w:trPr>
        <w:tc>
          <w:tcPr>
            <w:tcW w:w="11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7"/>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Mr. Fink is founder,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Chairman and Chief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also leads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firm’s 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responsible for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development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succession planning,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defining and reinforcing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vision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culture, and engaging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relationships with key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strategic clients, industry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 regulators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policy makers. Mr. Fink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and under 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the firm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grown into a global leader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investment management,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risk management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advisory services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and retail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42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Mr. Kapito has been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w w:val="96"/>
              </w:rPr>
              <w:t>55 East 52nd Street New York,</w:t>
            </w:r>
          </w:p>
        </w:tc>
        <w:tc>
          <w:tcPr>
            <w:tcW w:w="16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President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President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2007 and is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BlackRock’s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Committee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Committee.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serves as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Inc. Mr. Kapito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He is responsible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day-to-day oversight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key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units including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Strategies,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Technology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and Risk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Quantitative Analysis.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2007, Mr. Kapito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Vice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Gary S. Shedlin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Director and Chief Financial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2013.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Vice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 Banking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Managing Director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Morgan Stanley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from 2010 to 2013.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Mr. Shedlin worked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from 2004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where 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Group.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the Co-Head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Financial Institutions</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Lazard Ltd.</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L. Goldstein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2014 and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Chief Operating Officer &amp;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been the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Head of BlackRock Solutions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Solutions,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which leverages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unique risk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capabilities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capital markets insights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deliver unbiased advice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expertise to other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since 2009.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led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Mr. Goldstein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spent his entire career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beginning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1994 as an analyst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J. Richard</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Kushel</w:t>
            </w: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Multi-</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 xml:space="preserve">NY 10055; </w:t>
            </w:r>
            <w:r>
              <w:rPr>
                <w:rFonts w:ascii="Arial" w:cs="Arial" w:eastAsia="Arial" w:hAnsi="Arial"/>
                <w:sz w:val="18"/>
                <w:szCs w:val="18"/>
                <w:i w:val="1"/>
                <w:iCs w:val="1"/>
                <w:color w:val="auto"/>
                <w:w w:val="94"/>
              </w:rPr>
              <w:t>Senior Managing 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Asset Strategies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w w:val="89"/>
              </w:rPr>
              <w:t>and Head of the Portfolio Management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Fixed Income since 2018.</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Group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Kushel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Officer and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Strategic Product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from 2014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Deputy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Head of the Portfolio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2012 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platform from 2009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Mr. Kushel has been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with BlackRock since</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1991.</w:t>
            </w: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Rachel Lord</w:t>
            </w:r>
          </w:p>
        </w:tc>
        <w:tc>
          <w:tcPr>
            <w:tcW w:w="680" w:type="dxa"/>
            <w:vAlign w:val="bottom"/>
          </w:tcPr>
          <w:p>
            <w:pPr>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BlackRock, Inc. Drapers Gardens</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2"/>
              </w:rPr>
              <w:t>Kingdom</w:t>
            </w: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12 Throgmorton Avenue London</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EMEA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 xml:space="preserve">EC2N 2DL United Kingdom;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2017. Ms. Lord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Managing Director and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chairs the EMEA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Europe, Middle East and Africa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and is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Executive Sponsor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the Women’s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Network. From 2013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she was EMEA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iShares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Clients,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Lord joined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November 2013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where she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Equity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gridSpan w:val="2"/>
          </w:tcPr>
          <w:p>
            <w:pPr>
              <w:jc w:val="right"/>
              <w:ind w:right="1057"/>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Mark S. McCombe</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and Chief Client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Americas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to 2019, Global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Alternative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Investors from 2015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Institutional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 Business from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2016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Asia Pacific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region from 2012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Before joining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McCombe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for HSBC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to 2012.</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J. Meade</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Legal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Chief Legal Officer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and General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General Counsel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2015. Before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Meade was the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of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partner with the law firm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Wilmer Cutler Pickering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Hale and Dorr. Earlier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his career, Mr. Meade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a law clerk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Justice John Paul Stevens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U.S. Supreme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Judge Harry 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Edwards of the U.S.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Appeals for the D.C.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Circuit.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Manish Mehta</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w w:val="93"/>
              </w:rPr>
              <w:t>BlackRock, Inc. 400 Howard Street</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8"/>
              </w:rPr>
              <w:t xml:space="preserve">San Francisco, CA 94105;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Managing Director, Global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Human Resources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Human Resources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Prior to this,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Mehta was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Markets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Investments for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to 2019,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&amp; Markets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from 2015 to 2016</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for iShares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2011 to 2015. Mr. Mehta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joined BlackRock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part of the acquisition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Barclays Global Investors,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where he was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Strategy and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Development and Chief of</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Staff to the CEO.</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 Wiedman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International and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Head of International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Strategy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of Corporate Strategy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From 2011 to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Head of iShares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2004 to help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start what became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Markets Advisory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 to the 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Secretary for Domestic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Finance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Treasury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consultant at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McKinsey &amp; Company.</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Bader M. Alsaad</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Kuwait</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Alsaad has served as a</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Kuwait Investment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Authority—Former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Authority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since 2003. 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Managing Director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from December 2003</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April 2017.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his appointment at KIA,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one of the leading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companies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Financial Center.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is currently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Advisory Council of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America,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Fund for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supervisory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board of Daimler AG.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served as the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Deputy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International Forum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Sovereign Wealth Funds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its inception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October 2015.</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Daimler AG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Name/Address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Principal Employer and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6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Mathis Cabiallavetta</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Switzerland</w:t>
            </w:r>
          </w:p>
        </w:tc>
        <w:tc>
          <w:tcPr>
            <w:tcW w:w="16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Cabiallavetta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55 East 52nd Street New York,</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UBS—Former Chairman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Swiss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Reinsurance Company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from 2008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2016 and as the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its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between 2009 and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Cabiallavetta retired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Chairman, Office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Marsh &amp; McLennan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in 2008.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joining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 Inc.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 1999, Mr. Cabiallavetta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was 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directors of Union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Switzerland (UBS A.G.).</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(2008 - 2016)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0"/>
              </w:rPr>
              <w:t>2009 - 2015)</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2"/>
          </w:tcPr>
          <w:p>
            <w:pPr>
              <w:jc w:val="right"/>
              <w:ind w:right="1022"/>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79"/>
              </w:rPr>
              <w:t>Pamela Daley</w:t>
            </w: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Ms. Daley retired from</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Electric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General Electric</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 in January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Company—Former Senior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having most recently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President of Corporate Business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a Senior Advisor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its Chairman from April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to January 2014.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this role, Ms. Daley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GE’s Senior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2004 to 2013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and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Counsel for Transactions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1991 to 2004.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Daley was responsible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GE’s mergers,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acquisitions and divestiture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activities worldwide.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Previously, Ms. Daley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Partner of Morgan,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Lewis &amp; Bockius, a large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law firm, where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specialized in domestic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cross-border tax-oriented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financings and commercial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transactions.</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BP p.l.c. (2018 -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SecureWorks Corp.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 Patheon N.V.</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(2016 - 2017)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BG Group p.l.c.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(2014 - 2016)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Jessica Einhorn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Ms. Einhorn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Dean of the Paul H. Nitze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Paul H. Nitze School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School of Advanced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7"/>
              </w:rPr>
              <w:t>Advanced International Studies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Studies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Johns Hopkins University—Former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Johns Hopkins University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2002 until June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Prior to becoming Dean,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 was a consultant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Clark &amp; Weinstock,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consulting firm.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Einhorn also spent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nearly 20 years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concluding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Managing Director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Between 1998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1999, Ms. Einhorn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Visiting Fellow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Monetary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Fund. Prior to joining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in 1978,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positions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Treasury, the U.S.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Department and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Cooperation Agency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United States. Ms. Einhorn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Bureau of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Research and was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Director of the Peterson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Institute for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Economics. As of July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Ms. Einhorn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resident at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in Washington, D.C.,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is a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 and longstanding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Advisory Board.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Time Warner, Inc. (2005 -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William E.</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Ford</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3"/>
              </w:rPr>
              <w:t>General Atlantic Park Avenue Plaza</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Private</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Mr. Ford has served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55 East 52nd Street, 33rd Fl New</w:t>
            </w:r>
          </w:p>
        </w:tc>
        <w:tc>
          <w:tcPr>
            <w:tcW w:w="1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4"/>
              </w:rPr>
              <w:t xml:space="preserve">York, NY 10055; </w:t>
            </w:r>
            <w:r>
              <w:rPr>
                <w:rFonts w:ascii="Arial" w:cs="Arial" w:eastAsia="Arial" w:hAnsi="Arial"/>
                <w:sz w:val="18"/>
                <w:szCs w:val="18"/>
                <w:i w:val="1"/>
                <w:iCs w:val="1"/>
                <w:color w:val="auto"/>
                <w:w w:val="94"/>
              </w:rPr>
              <w:t>General Atlantic—</w:t>
            </w: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Investments</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Atlantic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2007. Mr. Ford is actively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involved with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educational and not-for-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profit organizations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serves on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Committee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Partnership for New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York City,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on United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States-China Relations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 member of The Council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 Foreign Relations.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a member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Steering Committee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Action for Diversity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Inclusion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Ford has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on the boards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First Republic Bank, NYSE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Euronext, E*Trade,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Priceline, NYMEX</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Holdings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Computershare.</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IHS Markit Ltd.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Axel Springer (2016 - April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124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Fabrizio Freda</w:t>
            </w: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Italy &amp;</w:t>
            </w:r>
          </w:p>
        </w:tc>
        <w:tc>
          <w:tcPr>
            <w:tcW w:w="160" w:type="dxa"/>
            <w:vAlign w:val="bottom"/>
            <w:vMerge w:val="continue"/>
          </w:tcPr>
          <w:p>
            <w:pPr>
              <w:spacing w:after="0"/>
              <w:rPr>
                <w:sz w:val="17"/>
                <w:szCs w:val="17"/>
                <w:color w:val="auto"/>
              </w:rPr>
            </w:pPr>
          </w:p>
        </w:tc>
        <w:tc>
          <w:tcPr>
            <w:tcW w:w="2380" w:type="dxa"/>
            <w:vAlign w:val="bottom"/>
          </w:tcPr>
          <w:p>
            <w:pPr>
              <w:ind w:left="20"/>
              <w:spacing w:after="0" w:line="201" w:lineRule="exact"/>
              <w:rPr>
                <w:sz w:val="20"/>
                <w:szCs w:val="20"/>
                <w:color w:val="auto"/>
              </w:rPr>
            </w:pPr>
            <w:r>
              <w:rPr>
                <w:rFonts w:ascii="Arial" w:cs="Arial" w:eastAsia="Arial" w:hAnsi="Arial"/>
                <w:sz w:val="18"/>
                <w:szCs w:val="18"/>
                <w:color w:val="auto"/>
              </w:rPr>
              <w:t>Estée Lauder Companies</w:t>
            </w:r>
          </w:p>
        </w:tc>
        <w:tc>
          <w:tcPr>
            <w:tcW w:w="160" w:type="dxa"/>
            <w:vAlign w:val="bottom"/>
            <w:vMerge w:val="continue"/>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9"/>
              </w:rPr>
              <w:t>Manufacturers and</w:t>
            </w:r>
          </w:p>
        </w:tc>
        <w:tc>
          <w:tcPr>
            <w:tcW w:w="160" w:type="dxa"/>
            <w:vAlign w:val="bottom"/>
            <w:vMerge w:val="continue"/>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99"/>
              </w:rPr>
              <w:t>Mr. Freda has served as</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U.S.A.</w:t>
            </w:r>
          </w:p>
        </w:tc>
        <w:tc>
          <w:tcPr>
            <w:tcW w:w="2380" w:type="dxa"/>
            <w:vAlign w:val="bottom"/>
          </w:tcPr>
          <w:p>
            <w:pPr>
              <w:ind w:left="20"/>
              <w:spacing w:after="0"/>
              <w:rPr>
                <w:sz w:val="20"/>
                <w:szCs w:val="20"/>
                <w:color w:val="auto"/>
              </w:rPr>
            </w:pPr>
            <w:r>
              <w:rPr>
                <w:rFonts w:ascii="Arial" w:cs="Arial" w:eastAsia="Arial" w:hAnsi="Arial"/>
                <w:sz w:val="18"/>
                <w:szCs w:val="18"/>
                <w:color w:val="auto"/>
                <w:w w:val="96"/>
              </w:rPr>
              <w:t>767 Fifth Avenue, 40th Fl New</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7"/>
              </w:rPr>
              <w:t>marketers of skin</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 xml:space="preserve">York, NY 10153; </w:t>
            </w:r>
            <w:r>
              <w:rPr>
                <w:rFonts w:ascii="Arial" w:cs="Arial" w:eastAsia="Arial" w:hAnsi="Arial"/>
                <w:sz w:val="18"/>
                <w:szCs w:val="18"/>
                <w:i w:val="1"/>
                <w:iCs w:val="1"/>
                <w:color w:val="auto"/>
              </w:rPr>
              <w:t>The Estée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makeup,</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as a member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Lauder Companies Inc.—</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fragrance and hair</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w w:val="97"/>
              </w:rPr>
              <w:t>President and Chief Executive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(Estée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Lauder) since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Freda previously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Estée Lauder’s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Officer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March 2008 to July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is a global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 in beauty with more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than 25 brands and over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40,000 employees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Prior to joining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various senior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positions at Procter &amp;</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Gamble Company over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span of 20 years.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1986 to 1988,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directed marketing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planning for Gucci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(2009 -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Murry S. Gerber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Gerber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EQT Corporation—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EQT Corporation,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Former Executive 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integrated energy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 President and CEO</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production company,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until May 2011,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2000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as its President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to 2007 and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1998 to 2000.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joining EQT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Gerber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of Coral Energy (now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Shell Trading North</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America) from 1995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He is also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the board of trustees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Pittsburgh Cultural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 Mr. Gerber currently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serves as BlackRock’s Lead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Independent Director.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Steel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Halliburton Company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94"/>
              </w:rPr>
              <w:t>Margaret L.</w:t>
            </w:r>
          </w:p>
        </w:tc>
        <w:tc>
          <w:tcPr>
            <w:tcW w:w="1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Johnson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Magic Leap, Inc. 7500 W. Sunrise</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Augmented</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4"/>
              </w:rPr>
              <w:t>Ms. Johnson has been an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Blvd. Plantation, FL 33322; </w:t>
            </w:r>
            <w:r>
              <w:rPr>
                <w:rFonts w:ascii="Arial" w:cs="Arial" w:eastAsia="Arial" w:hAnsi="Arial"/>
                <w:sz w:val="18"/>
                <w:szCs w:val="18"/>
                <w:i w:val="1"/>
                <w:iCs w:val="1"/>
                <w:color w:val="auto"/>
              </w:rPr>
              <w:t>Magic</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Reality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w w:val="98"/>
              </w:rPr>
              <w:t>Leap Inc.—Chief Executive Officer</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Microsoft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since September 2014.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responsible for driving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business deals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partnerships across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industries.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joined Microsoft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 Incorporated,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served in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leadership positions across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engineering, sales,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marketing and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She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Technologies, Inc.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Global Market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an Advisor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Huntington’s Disease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Society of America, San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Diego Chapter.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Live Nation Entertainment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 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127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Cheryl D. Mills</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20" w:type="dxa"/>
            <w:vAlign w:val="bottom"/>
          </w:tcPr>
          <w:p>
            <w:pPr>
              <w:ind w:left="20"/>
              <w:spacing w:after="0" w:line="201" w:lineRule="exact"/>
              <w:rPr>
                <w:sz w:val="20"/>
                <w:szCs w:val="20"/>
                <w:color w:val="auto"/>
              </w:rPr>
            </w:pPr>
            <w:r>
              <w:rPr>
                <w:rFonts w:ascii="Arial" w:cs="Arial" w:eastAsia="Arial" w:hAnsi="Arial"/>
                <w:sz w:val="18"/>
                <w:szCs w:val="18"/>
                <w:color w:val="auto"/>
                <w:w w:val="93"/>
              </w:rPr>
              <w:t>BlackIvy Group LLC 2300 N Street</w:t>
            </w:r>
          </w:p>
        </w:tc>
        <w:tc>
          <w:tcPr>
            <w:tcW w:w="16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9"/>
              </w:rPr>
              <w:t>Logistics and</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9"/>
              </w:rPr>
              <w:t>Ms. Mills is Founder and</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NW Suite 630 Washington DC</w:t>
            </w: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Infrastructure</w:t>
            </w: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2"/>
              </w:rPr>
              <w:t xml:space="preserve">20037; </w:t>
            </w:r>
            <w:r>
              <w:rPr>
                <w:rFonts w:ascii="Arial" w:cs="Arial" w:eastAsia="Arial" w:hAnsi="Arial"/>
                <w:sz w:val="18"/>
                <w:szCs w:val="18"/>
                <w:i w:val="1"/>
                <w:iCs w:val="1"/>
                <w:color w:val="auto"/>
                <w:w w:val="92"/>
              </w:rPr>
              <w:t>BlackIvy Group LLC—Chief</w:t>
            </w: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Solutions</w:t>
            </w:r>
          </w:p>
        </w:tc>
        <w:tc>
          <w:tcPr>
            <w:tcW w:w="3100" w:type="dxa"/>
            <w:vAlign w:val="bottom"/>
            <w:gridSpan w:val="2"/>
          </w:tcPr>
          <w:p>
            <w:pPr>
              <w:spacing w:after="0"/>
              <w:rPr>
                <w:sz w:val="20"/>
                <w:szCs w:val="20"/>
                <w:color w:val="auto"/>
              </w:rPr>
            </w:pPr>
            <w:r>
              <w:rPr>
                <w:rFonts w:ascii="Arial" w:cs="Arial" w:eastAsia="Arial" w:hAnsi="Arial"/>
                <w:sz w:val="18"/>
                <w:szCs w:val="18"/>
                <w:color w:val="auto"/>
              </w:rPr>
              <w:t>the BlackIvy Group,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private holding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grows and builds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in Sub-Saharan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Africa. Previously,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Chief of Staff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former Secretary of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Hillary Clinton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Counselor to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State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to 2013. Ms. Mills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with New York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University from 2002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where she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Senior Vice President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Administration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and as Secretary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Trustees.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served as Deputy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to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Clinton and as the White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House Associate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Mills previously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boards of Cendant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Corporation (now Avis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Budget Group, Inc.),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consumer real estate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travel conglomerate,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Orion Power,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independent electric power</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generating company.</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gridSpan w:val="2"/>
          </w:tcPr>
          <w:p>
            <w:pPr>
              <w:jc w:val="right"/>
              <w:ind w:right="1021"/>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Gordon M.</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Nixon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Mr. Nixon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Royal Bank of Canada—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Former President, CEO and Board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Member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Royal Bank of Canada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from 2001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first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in 1979,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he held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positions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December 1999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2001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RBC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Capital Markets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successor company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Mr. Nixon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has served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BCE Inc.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and was named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upon his re-election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2016. He is also 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advisory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Kingsett Capital.</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BCE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George Weston Limited</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Charles H.</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Robbins</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7"/>
              </w:rPr>
              <w:t>Cisco Systems, Inc. 170 West Tasman</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2"/>
              </w:rPr>
              <w:t>Mr. Robbins serves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Drive San Jose, CA 95134; </w:t>
            </w:r>
            <w:r>
              <w:rPr>
                <w:rFonts w:ascii="Arial" w:cs="Arial" w:eastAsia="Arial" w:hAnsi="Arial"/>
                <w:sz w:val="18"/>
                <w:szCs w:val="18"/>
                <w:i w:val="1"/>
                <w:iCs w:val="1"/>
                <w:color w:val="auto"/>
              </w:rPr>
              <w:t>Cisco</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i w:val="1"/>
                <w:iCs w:val="1"/>
                <w:color w:val="auto"/>
                <w:w w:val="87"/>
              </w:rPr>
              <w:t>Systems, Inc.—Chief Executive Officer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Cisco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and Board Member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Systems, Inc. (Cisco).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assuming this role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July 2015,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of Cisco’s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Field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Operations and led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Sales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 Organization where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helped drive and execute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many of Cisco’s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areas and strategy shifts.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serves as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U.S.- Japan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Council, Chair of the 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Governors Steering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for the World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 Forum and is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Council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Economic Forum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Mr. Robbins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for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and is a Trustee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the Ford Foundation.</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Cisco Systems, Inc. (2015 -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130</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Occupation</w:t>
            </w:r>
          </w:p>
        </w:tc>
      </w:tr>
      <w:tr>
        <w:trPr>
          <w:trHeight w:val="195"/>
        </w:trPr>
        <w:tc>
          <w:tcPr>
            <w:tcW w:w="21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Marco Antonio Slim</w:t>
            </w:r>
          </w:p>
        </w:tc>
        <w:tc>
          <w:tcPr>
            <w:tcW w:w="820" w:type="dxa"/>
            <w:vAlign w:val="bottom"/>
          </w:tcPr>
          <w:p>
            <w:pPr>
              <w:spacing w:after="0" w:line="195" w:lineRule="exact"/>
              <w:rPr>
                <w:sz w:val="20"/>
                <w:szCs w:val="20"/>
                <w:color w:val="auto"/>
              </w:rPr>
            </w:pPr>
            <w:r>
              <w:rPr>
                <w:rFonts w:ascii="Arial" w:cs="Arial" w:eastAsia="Arial" w:hAnsi="Arial"/>
                <w:sz w:val="18"/>
                <w:szCs w:val="18"/>
                <w:color w:val="auto"/>
              </w:rPr>
              <w:t>Mexico</w:t>
            </w:r>
          </w:p>
        </w:tc>
        <w:tc>
          <w:tcPr>
            <w:tcW w:w="16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w w:val="92"/>
              </w:rPr>
              <w:t>Grupo Financiero Inbursa Av. Paseo de</w:t>
            </w:r>
          </w:p>
        </w:tc>
      </w:tr>
      <w:tr>
        <w:trPr>
          <w:trHeight w:val="222"/>
        </w:trPr>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Domit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0"/>
              </w:rPr>
              <w:t>las Palmas, #736 Floor 1 Colonia Lomas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87"/>
              </w:rPr>
              <w:t>de Chapultepec C.P. 11000, México D.F.;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w w:val="88"/>
              </w:rPr>
              <w:t>Grupo Financiero Inbursa, S.A.B. de C.V.</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Banking</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Slim has been</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Chairman of the board of</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w w:val="90"/>
              </w:rPr>
              <w:t>Finance</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directors of Grupo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Financiero Inbursa,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since 1997 and</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previously served as its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from 1997 until April 2012.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3"/>
              </w:rPr>
              <w:t>Mr. Slim is also a member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of 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and Chairman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Carlos Slim Health</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5"/>
              </w:rPr>
              <w:t>Institute and of Impulsora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del Desarrollo y el Empleo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4"/>
              </w:rPr>
              <w:t>en América Latina,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(IDEAL), an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infrastructure company.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Mr. Slim was a member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Teléfonos de México,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color w:val="auto"/>
                <w:w w:val="93"/>
              </w:rPr>
              <w:t>S.A.B. de C.V. from 1995</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until April 2014.</w:t>
            </w:r>
          </w:p>
        </w:tc>
      </w:tr>
      <w:tr>
        <w:trPr>
          <w:trHeight w:val="184"/>
        </w:trPr>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40" w:type="dxa"/>
            <w:vAlign w:val="bottom"/>
          </w:tcPr>
          <w:p>
            <w:pPr>
              <w:spacing w:after="0"/>
              <w:rPr>
                <w:sz w:val="15"/>
                <w:szCs w:val="15"/>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(1991 - 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Financiero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Inbursa,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1997 -</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Impulsora del Desarrollo 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el Empleo en América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Latina,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2012 -</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bl>
    <w:p>
      <w:pPr>
        <w:sectPr>
          <w:pgSz w:w="11900" w:h="16838" w:orient="portrait"/>
          <w:cols w:equalWidth="0" w:num="2">
            <w:col w:w="6080" w:space="160"/>
            <w:col w:w="2779"/>
          </w:cols>
          <w:pgMar w:left="1440" w:top="126"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Susan L. Wagner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9"/>
              </w:rPr>
              <w:t>Ms. Wagner retired as Vice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89"/>
              </w:rPr>
              <w:t xml:space="preserve">NY 10055; </w:t>
            </w:r>
            <w:r>
              <w:rPr>
                <w:rFonts w:ascii="Arial" w:cs="Arial" w:eastAsia="Arial" w:hAnsi="Arial"/>
                <w:sz w:val="18"/>
                <w:szCs w:val="18"/>
                <w:i w:val="1"/>
                <w:iCs w:val="1"/>
                <w:color w:val="auto"/>
                <w:w w:val="89"/>
              </w:rPr>
              <w:t>BlackRock—Former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after serving in that role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2006 to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also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Committee.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previously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as Head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Strategy. She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trustees of Wellesley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College. Ms. Wagner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Color Genomics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(privately-held).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Apple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 (2014 -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5" w:name="page166"/>
    <w:bookmarkEnd w:id="165"/>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86"/>
              </w:rPr>
              <w:t>Mark Wilson</w:t>
            </w:r>
          </w:p>
        </w:tc>
        <w:tc>
          <w:tcPr>
            <w:tcW w:w="1180" w:type="dxa"/>
            <w:vAlign w:val="bottom"/>
          </w:tcPr>
          <w:p>
            <w:pPr>
              <w:spacing w:after="0"/>
              <w:rPr>
                <w:sz w:val="17"/>
                <w:szCs w:val="17"/>
                <w:color w:val="auto"/>
              </w:rPr>
            </w:pPr>
          </w:p>
        </w:tc>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Mr. Wilson served as the</w:t>
            </w:r>
          </w:p>
        </w:tc>
        <w:tc>
          <w:tcPr>
            <w:tcW w:w="2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Zealand</w:t>
            </w:r>
          </w:p>
        </w:tc>
        <w:tc>
          <w:tcPr>
            <w:tcW w:w="274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3"/>
              </w:rPr>
              <w:t>Management</w:t>
            </w: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Chief Executive Officer of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Aviva plc—Former CEO</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Aviva plc (Aviva), 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multinational insurance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company headquartered in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the UK, from January 2013</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to October 2018. Prior to</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joining Aviva, Mr. Wilson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worked in Asia for</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88"/>
              </w:rPr>
              <w:t>14 years, including as Chief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Executive Officer of AIA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Group Limited, a leading</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pan-Asian company.</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Mr. Wilson is recognized</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for his leadership 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2"/>
              </w:rPr>
              <w:t>sustainability issues and is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 member of the UN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4"/>
              </w:rPr>
              <w:t>Business and Sustainable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Development Commission.</w:t>
            </w:r>
          </w:p>
        </w:tc>
      </w:tr>
      <w:tr>
        <w:trPr>
          <w:trHeight w:val="184"/>
        </w:trPr>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60" w:type="dxa"/>
            <w:vAlign w:val="bottom"/>
            <w:gridSpan w:val="2"/>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Aviva plc (2013 - October</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8"/>
          <w:szCs w:val="18"/>
          <w:color w:val="auto"/>
        </w:rPr>
        <w:t>The names and material occupations, positions, offices or employment during the past five years of Merger Sub’s directors and executive officers are set forth below. During the past five years, none of Merger Sub nor any of Merger Sub’s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Merger Sub is One Lafayette Place, Greenwich, CT 06830, U.S.A., and the phone number for Merger Sub and each of Merger Sub’s listed directors and executive officers is +1 203 863 6000.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6" w:name="page167"/>
    <w:bookmarkEnd w:id="166"/>
    <w:tbl>
      <w:tblPr>
        <w:tblLayout w:type="fixed"/>
        <w:tblInd w:w="11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4"/>
              </w:rPr>
              <w:t>Name/Address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of Principal</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Director/Officer/Control Person</w:t>
            </w: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w w:val="97"/>
              </w:rPr>
              <w:t>Citizenship</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8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James Berner</w:t>
            </w:r>
          </w:p>
        </w:tc>
        <w:tc>
          <w:tcPr>
            <w:tcW w:w="80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1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Mr. Berner, Managing Director, is a</w:t>
            </w:r>
          </w:p>
        </w:tc>
        <w:tc>
          <w:tcPr>
            <w:tcW w:w="2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55 East 52nd Street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Senior Investment Professional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5"/>
              </w:rPr>
              <w:t>New York, NY 10055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dedicated to the Global Energy &amp;</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Power Infrastructure Fund (GEPIF)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team at BlackRock, investing in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power, midstream, utility and other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areas in the energy sector across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three funds. Prior to joining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BlackRock in 2017, Mr. Berner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was a Managing Director on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1"/>
              </w:rPr>
              <w:t>Energy Infrastructure team at First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Reserve where he executed over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$700 million of equity investments.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Prior to joining First Reserve in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2011, Mr. Berner was a Managing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Director at General Electric Capital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Corporation in the Energy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Financial Services division focused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on energy investing and lending,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and worked in the USA, UK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Singapore. Prior to General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Electric Capital Corporation, 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was a Vice President, Project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Structured Finance, at Deutsche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Bank Securities Inc. focused on US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and Latin American project finance</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and advisory.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jc w:val="both"/>
        <w:ind w:firstLine="437"/>
        <w:spacing w:after="0" w:line="310" w:lineRule="auto"/>
        <w:rPr>
          <w:sz w:val="20"/>
          <w:szCs w:val="20"/>
          <w:color w:val="auto"/>
        </w:rPr>
      </w:pPr>
      <w:r>
        <w:rPr>
          <w:rFonts w:ascii="Arial" w:cs="Arial" w:eastAsia="Arial" w:hAnsi="Arial"/>
          <w:sz w:val="15"/>
          <w:szCs w:val="15"/>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the GEPIF filing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the GEPIF filing parties, (iii) none of the Company’s executive officers, directors or affiliates that is a natural person entered into any transaction during the past two years with an aggregate value (in respect of such transaction or series of similar transactions with that person) exceeding $60,000 with the GEPIF filing parties and (iv) there were no agreements, arrangements, or understanding, between the GEPIF filing parties and any other person with respect to any Company common shares or Company preference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Past Transactions and Contracts with the Rolling Shareholder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8" w:name="page169"/>
    <w:bookmarkEnd w:id="168"/>
    <w:p>
      <w:pPr>
        <w:ind w:left="1740"/>
        <w:spacing w:after="0"/>
        <w:rPr>
          <w:sz w:val="20"/>
          <w:szCs w:val="20"/>
          <w:color w:val="auto"/>
        </w:rPr>
      </w:pPr>
      <w:r>
        <w:rPr>
          <w:rFonts w:ascii="Arial" w:cs="Arial" w:eastAsia="Arial" w:hAnsi="Arial"/>
          <w:sz w:val="18"/>
          <w:szCs w:val="18"/>
          <w:b w:val="1"/>
          <w:bCs w:val="1"/>
          <w:color w:val="auto"/>
        </w:rPr>
        <w:t>OTHER IMPORTANT INFORMATION REGARDING THE ROLLING SHAREHOLDER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Rolling Shareholder Parties</w:t>
      </w:r>
    </w:p>
    <w:p>
      <w:pPr>
        <w:spacing w:after="0" w:line="23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Under the SEC rules governing “going private” transactions, the rolling shareholder parties and their affiliates may each be deemed each “affiliates” (as defined under Rule 13e-3 of the Exchange Act) of the Company engaged in the “going private” transaction.</w:t>
      </w:r>
    </w:p>
    <w:p>
      <w:pPr>
        <w:spacing w:after="0" w:line="186"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6"/>
          <w:szCs w:val="16"/>
          <w:color w:val="auto"/>
        </w:rPr>
        <w:t>Blenheim Holdings Ltd. (“Blenheim Holdings”) is a Bermuda exempted company incorporated in Bermuda on May 25, 2011, with registration number 45429. The principal business of Blenheim Holdings is acting as an investment holding company. Blenheim Holdings’ principal executive office is located at c/o Ceres Monaco S.A.M., Gildo Pastor Center, 7 rue du Gabian, MC 98000, Monte Carlo, Principality of Monaco. Blenheim Holdings’ telephone number is +377 9797 0606. As of the date of this proxy statement, Blenheim Holdings holds 30,800,000 Company common shares.</w:t>
      </w:r>
    </w:p>
    <w:p>
      <w:pPr>
        <w:spacing w:after="0" w:line="166"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incorporated in Bermuda on November 8, 2017, with registration number 53039. The principal business of Blenheim Special Investments is acting as a segregated accounts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 In accordance with the Rollover Agreement, as of the date of this proxy statement, Blenheim Special Investments will hold 10,660,198 Company common shares and 9,366 Company preference shares.</w:t>
      </w:r>
    </w:p>
    <w:p>
      <w:pPr>
        <w:spacing w:after="0" w:line="174"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Ceres Shipping Ltd. (“Ceres Shipping”) is an exempted company incorporated in Bermuda on December 31, 2001, with registration number 31517 and the principal business of Ceres Shipping is acting as a holding company that has interests in international operators, owners and managers of LNG carriers and dry bulk carrier vessels. Ceres Shipping does not directly own any Company common shares but beneficially owns a majority of the share capital of Blenheim Holdings. Ceres Shipping’s principal executive office is located at c/o Ceres Monaco S.A.M., Gildo Pastor Center, 7 rue du Gabian, MC 98000, Monte Carlo, Principality of Monaco, and the phone number for Ceres Shipping is +377 9797 0606.</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Peter G. Livanos is the Chairman of the board of directors of the Company and beneficially owns 100% of the share capital of Ceres Shipping. Peter G. Livanos’ principal office is located at Ceres Monaco S.A.M., Gildo Pastor Center, 7 rue du Gabian, MC 98000, Monte Carlo, Principality of Monaco, and the phone number for Peter G. Livanos is +377 9797 0606.</w:t>
      </w:r>
    </w:p>
    <w:p>
      <w:pPr>
        <w:spacing w:after="0" w:line="19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Olympic LNG Investments Ltd. (“Olympic”) is a Bermuda exempted company. The principal business of Olympic is acting as an investment company. Olympic’s registered address is Conyers Corporate Services (Bermuda) Limited, Clarendon House, 2 Church Street, Hamilton, HM11, Bermuda and its agency office and principal executive office is located at c/o ASOFIN Management AG, Heiligkreuz 2, FL-9490 Vaduz, Liechtenstein. Olympic’s telephone number is +423-237 48 03. As of the date of this proxy statement, Olympic holds 11,164,904 Company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Directors and Executive Officers of the Rolling Shareholder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Blenheim Entities</w:t>
      </w:r>
    </w:p>
    <w:p>
      <w:pPr>
        <w:spacing w:after="0" w:line="225" w:lineRule="exact"/>
        <w:rPr>
          <w:sz w:val="20"/>
          <w:szCs w:val="20"/>
          <w:color w:val="auto"/>
        </w:rPr>
      </w:pPr>
    </w:p>
    <w:p>
      <w:pPr>
        <w:ind w:firstLine="402"/>
        <w:spacing w:after="0" w:line="285"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Holdings’ directors and executive officers are set forth below. During the past five years, none of Blenheim Holdings nor any of Blenheim Holdings’ directors or executive officers have been</w:t>
      </w:r>
    </w:p>
    <w:p>
      <w:pPr>
        <w:spacing w:after="0" w:line="1" w:lineRule="exact"/>
        <w:rPr>
          <w:sz w:val="20"/>
          <w:szCs w:val="20"/>
          <w:color w:val="auto"/>
        </w:rPr>
      </w:pPr>
    </w:p>
    <w:p>
      <w:pPr>
        <w:jc w:val="both"/>
        <w:ind w:firstLine="8"/>
        <w:spacing w:after="0" w:line="253" w:lineRule="auto"/>
        <w:tabs>
          <w:tab w:leader="none" w:pos="24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Holdings is c/o Ceres Monaco S.A.M., Gildo Pastor Center, 7 rue du Gabian, MC 98000, Monte Carlo, Principality of Monaco, and the phone number for Blenheim Holdings is +377 9797 0606.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w w:val="90"/>
              </w:rPr>
              <w:t>c/o Ceres Monaco</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Greece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SAM Gildo Pastor</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owner, operator</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(2003 -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Centre,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and manager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LNG carriers.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Holding Company</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that has interests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Chairman, Chief</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 international</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operators, owners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r>
              <w:rPr>
                <w:rFonts w:ascii="Arial" w:cs="Arial" w:eastAsia="Arial" w:hAnsi="Arial"/>
                <w:sz w:val="18"/>
                <w:szCs w:val="18"/>
                <w:i w:val="1"/>
                <w:iCs w:val="1"/>
                <w:color w:val="auto"/>
              </w:rPr>
              <w:t>,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6"/>
              </w:rPr>
              <w:t>and managers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Officer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shareholder</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LNG carriers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Clarendon House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Dry 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2 Church Street,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shareholder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HM11 Hamilton,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2001 -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Bermuda</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Ceres Shipping</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ind w:left="20"/>
              <w:spacing w:after="0" w:line="170" w:lineRule="exact"/>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Stanislao Faina</w:t>
            </w:r>
          </w:p>
        </w:tc>
        <w:tc>
          <w:tcPr>
            <w:tcW w:w="1340" w:type="dxa"/>
            <w:vAlign w:val="bottom"/>
          </w:tcPr>
          <w:p>
            <w:pPr>
              <w:spacing w:after="0"/>
              <w:rPr>
                <w:sz w:val="20"/>
                <w:szCs w:val="20"/>
                <w:color w:val="auto"/>
              </w:rPr>
            </w:pPr>
            <w:r>
              <w:rPr>
                <w:rFonts w:ascii="Arial" w:cs="Arial" w:eastAsia="Arial" w:hAnsi="Arial"/>
                <w:sz w:val="18"/>
                <w:szCs w:val="18"/>
                <w:color w:val="auto"/>
              </w:rPr>
              <w:t>c/o C Transport</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 Transport</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 Transport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Maritime S.A.M.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7"/>
              </w:rPr>
              <w:t>Maritime S.A.M.,</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operator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Maritime S.A.M.,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Gildo Pastor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and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manager of dry</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Legal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Center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8"/>
              </w:rPr>
              <w:t>Corporate</w:t>
            </w:r>
            <w:r>
              <w:rPr>
                <w:rFonts w:ascii="Arial" w:cs="Arial" w:eastAsia="Arial" w:hAnsi="Arial"/>
                <w:sz w:val="18"/>
                <w:szCs w:val="18"/>
                <w:color w:val="auto"/>
                <w:w w:val="98"/>
              </w:rPr>
              <w:t>, Gildo</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(2004 -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Monte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Carlo 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40" w:type="dxa"/>
            <w:vAlign w:val="bottom"/>
            <w:gridSpan w:val="4"/>
          </w:tcPr>
          <w:p>
            <w:pPr>
              <w:jc w:val="right"/>
              <w:ind w:right="1195"/>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6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50"/>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Livanos,</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6, Parthenonos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General Manager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(2014 -</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0"/>
              </w:rPr>
              <w:t xml:space="preserve">current) and </w:t>
            </w:r>
            <w:r>
              <w:rPr>
                <w:rFonts w:ascii="Arial" w:cs="Arial" w:eastAsia="Arial" w:hAnsi="Arial"/>
                <w:sz w:val="18"/>
                <w:szCs w:val="18"/>
                <w:i w:val="1"/>
                <w:iCs w:val="1"/>
                <w:color w:val="auto"/>
                <w:w w:val="90"/>
              </w:rPr>
              <w:t>Chief</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dry bulk 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 Ceres</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Gildo Pastor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Center 7 rue du</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Gabian 98000,</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w:t>
            </w:r>
          </w:p>
        </w:tc>
      </w:tr>
      <w:tr>
        <w:trPr>
          <w:trHeight w:val="453"/>
        </w:trPr>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Blenheim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Holdings Ltd.,</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13, Terpsihoris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of dry</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w w:val="94"/>
              </w:rPr>
              <w:t>Clarendon House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Resident</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20"/>
                <w:szCs w:val="20"/>
                <w:color w:val="auto"/>
              </w:rPr>
            </w:pPr>
            <w:r>
              <w:rPr>
                <w:rFonts w:ascii="Arial" w:cs="Arial" w:eastAsia="Arial" w:hAnsi="Arial"/>
                <w:sz w:val="18"/>
                <w:szCs w:val="18"/>
                <w:color w:val="auto"/>
              </w:rPr>
              <w:t>2 Church Street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representatives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20"/>
                <w:szCs w:val="20"/>
                <w:color w:val="auto"/>
              </w:rPr>
            </w:pPr>
            <w:r>
              <w:rPr>
                <w:rFonts w:ascii="Arial" w:cs="Arial" w:eastAsia="Arial" w:hAnsi="Arial"/>
                <w:sz w:val="18"/>
                <w:szCs w:val="18"/>
                <w:color w:val="auto"/>
                <w:w w:val="98"/>
              </w:rPr>
              <w:t>Hamilton, HM 11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Special Investments’ directors and executive officers are set forth below. During the past five years, none of Blenheim Special Investments nor any of Blenheim Special Investments’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Special Investments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1" w:name="page172"/>
    <w:bookmarkEnd w:id="171"/>
    <w:p>
      <w:pPr>
        <w:jc w:val="both"/>
        <w:spacing w:after="0" w:line="268" w:lineRule="auto"/>
        <w:rPr>
          <w:sz w:val="20"/>
          <w:szCs w:val="20"/>
          <w:color w:val="auto"/>
        </w:rPr>
      </w:pPr>
      <w:r>
        <w:rPr>
          <w:rFonts w:ascii="Arial" w:cs="Arial" w:eastAsia="Arial" w:hAnsi="Arial"/>
          <w:sz w:val="18"/>
          <w:szCs w:val="18"/>
          <w:color w:val="auto"/>
        </w:rPr>
        <w:t>c/o Ceres Monaco S.A.M., Gildo Pastor Center, 7 rue du Gabian, MC 98000, Monte Carlo, Principality of Monaco, and the phone number for Blenheim Special Investments is +377 9797 0606.</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Thanopoulos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6"/>
              </w:rPr>
              <w:t xml:space="preserve">Director </w:t>
            </w:r>
            <w:r>
              <w:rPr>
                <w:rFonts w:ascii="Arial" w:cs="Arial" w:eastAsia="Arial" w:hAnsi="Arial"/>
                <w:sz w:val="18"/>
                <w:szCs w:val="18"/>
                <w:color w:val="auto"/>
                <w:w w:val="96"/>
              </w:rPr>
              <w:t>(2017 to</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(2006 -</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2"/>
              </w:rPr>
              <w:t>Deputy Chairman</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9"/>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7"/>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Livanos and Ceres Shipping</w:t>
      </w:r>
    </w:p>
    <w:p>
      <w:pPr>
        <w:spacing w:after="0" w:line="225" w:lineRule="exact"/>
        <w:rPr>
          <w:sz w:val="20"/>
          <w:szCs w:val="20"/>
          <w:color w:val="auto"/>
        </w:rPr>
      </w:pPr>
    </w:p>
    <w:p>
      <w:pPr>
        <w:jc w:val="both"/>
        <w:ind w:firstLine="39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Peter G. Livanos and Ceres Shipping’s directors and executive officers are set forth below. During the past five years, none of Peter G. Livanos, Ceres Shipping nor any of Ceres Shipping’s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Peter G. Livanos and Ceres Shipping is c/o Ceres Monaco S.A.M., Gildo Pastor Center, 7 rue du Gabian, MC 98000, Monte Carlo,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Principality of Monaco, and the phone number for Peter G. Livanos and Ceres Shipping is +377 9797 0606.</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6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 Blythe</w:t>
            </w:r>
          </w:p>
        </w:tc>
        <w:tc>
          <w:tcPr>
            <w:tcW w:w="1340" w:type="dxa"/>
            <w:vAlign w:val="bottom"/>
          </w:tcPr>
          <w:p>
            <w:pPr>
              <w:spacing w:after="0"/>
              <w:rPr>
                <w:sz w:val="20"/>
                <w:szCs w:val="20"/>
                <w:color w:val="auto"/>
              </w:rPr>
            </w:pPr>
            <w:r>
              <w:rPr>
                <w:rFonts w:ascii="Arial" w:cs="Arial" w:eastAsia="Arial" w:hAnsi="Arial"/>
                <w:sz w:val="18"/>
                <w:szCs w:val="18"/>
                <w:color w:val="auto"/>
              </w:rPr>
              <w:t>Minera Mews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U.S.A.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London</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SW1W 9JD,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Vice-Chairman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(2010 -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Ford Motor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 xml:space="preserve">Company, </w:t>
            </w:r>
            <w:r>
              <w:rPr>
                <w:rFonts w:ascii="Arial" w:cs="Arial" w:eastAsia="Arial" w:hAnsi="Arial"/>
                <w:sz w:val="18"/>
                <w:szCs w:val="18"/>
                <w:i w:val="1"/>
                <w:iCs w:val="1"/>
                <w:color w:val="auto"/>
                <w:w w:val="88"/>
              </w:rPr>
              <w:t>Advisor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to Chairman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(1993 - 2019)</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Livanos,</w:t>
            </w:r>
            <w:r>
              <w:rPr>
                <w:rFonts w:ascii="Arial" w:cs="Arial" w:eastAsia="Arial" w:hAnsi="Arial"/>
                <w:sz w:val="18"/>
                <w:szCs w:val="18"/>
                <w:b w:val="1"/>
                <w:bCs w:val="1"/>
                <w:i w:val="1"/>
                <w:iCs w:val="1"/>
                <w:color w:val="auto"/>
                <w:w w:val="99"/>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Chief Executive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Blythe,</w:t>
            </w:r>
            <w:r>
              <w:rPr>
                <w:rFonts w:ascii="Arial" w:cs="Arial" w:eastAsia="Arial" w:hAnsi="Arial"/>
                <w:sz w:val="18"/>
                <w:szCs w:val="18"/>
                <w:b w:val="1"/>
                <w:bCs w:val="1"/>
                <w:i w:val="1"/>
                <w:iCs w:val="1"/>
                <w:color w:val="auto"/>
              </w:rPr>
              <w:t>Vice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Olympic</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names and material occupations, positions, offices or employment during the past five years of Olympic’s directors and executive officers are set forth below. During the past five years, none of Olympic nor any of Olympic’s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ectPr>
          <w:pgSz w:w="11900" w:h="16838" w:orient="portrait"/>
          <w:cols w:equalWidth="0" w:num="1">
            <w:col w:w="11240"/>
          </w:cols>
          <w:pgMar w:left="320" w:top="131"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3" w:name="page174"/>
    <w:bookmarkEnd w:id="173"/>
    <w:p>
      <w:pPr>
        <w:spacing w:after="0" w:line="268" w:lineRule="auto"/>
        <w:rPr>
          <w:sz w:val="20"/>
          <w:szCs w:val="20"/>
          <w:color w:val="auto"/>
        </w:rPr>
      </w:pPr>
      <w:r>
        <w:rPr>
          <w:rFonts w:ascii="Arial" w:cs="Arial" w:eastAsia="Arial" w:hAnsi="Arial"/>
          <w:sz w:val="18"/>
          <w:szCs w:val="18"/>
          <w:color w:val="auto"/>
        </w:rPr>
        <w:t>The address for Olympic is c/o ASOFIN Management AG, Heiligkreuz 2, FL-9490 Vaduz, Liechtenstein, and the phone number for Olympic is +423-237 48 03.</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Name/Address of</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Employer and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Occupation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c/o Center for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1320" w:type="dxa"/>
            <w:vAlign w:val="bottom"/>
          </w:tcPr>
          <w:p>
            <w:pPr>
              <w:spacing w:after="0"/>
              <w:rPr>
                <w:sz w:val="20"/>
                <w:szCs w:val="20"/>
                <w:color w:val="auto"/>
              </w:rPr>
            </w:pPr>
            <w:r>
              <w:rPr>
                <w:rFonts w:ascii="Arial" w:cs="Arial" w:eastAsia="Arial" w:hAnsi="Arial"/>
                <w:sz w:val="18"/>
                <w:szCs w:val="18"/>
                <w:color w:val="auto"/>
              </w:rPr>
              <w:t>University</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520" w:type="dxa"/>
            <w:vAlign w:val="bottom"/>
            <w:gridSpan w:val="2"/>
          </w:tcPr>
          <w:p>
            <w:pPr>
              <w:spacing w:after="0"/>
              <w:rPr>
                <w:sz w:val="20"/>
                <w:szCs w:val="20"/>
                <w:color w:val="auto"/>
              </w:rPr>
            </w:pPr>
            <w:r>
              <w:rPr>
                <w:rFonts w:ascii="Arial" w:cs="Arial" w:eastAsia="Arial" w:hAnsi="Arial"/>
                <w:sz w:val="18"/>
                <w:szCs w:val="18"/>
                <w:color w:val="auto"/>
              </w:rPr>
              <w:t>Shipping, Trade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and Finance CASS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7"/>
              </w:rPr>
              <w:t>and Finance CASS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and Finance CASS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SCHOOL CITY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UNIVERSITY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 106</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Bunhill Row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Professor</w:t>
            </w:r>
            <w:r>
              <w:rPr>
                <w:rFonts w:ascii="Arial" w:cs="Arial" w:eastAsia="Arial" w:hAnsi="Arial"/>
                <w:sz w:val="18"/>
                <w:szCs w:val="18"/>
                <w:color w:val="auto"/>
              </w:rPr>
              <w:t>, 106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4"/>
              </w:rPr>
              <w:t xml:space="preserve">Professor </w:t>
            </w:r>
            <w:r>
              <w:rPr>
                <w:rFonts w:ascii="Arial" w:cs="Arial" w:eastAsia="Arial" w:hAnsi="Arial"/>
                <w:sz w:val="18"/>
                <w:szCs w:val="18"/>
                <w:color w:val="auto"/>
                <w:w w:val="94"/>
              </w:rPr>
              <w:t>(1984 -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Bunhill Row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EC1Y 8TZ, U.K.</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EC1Y 8TZ, U.K.</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Foundation, </w:t>
            </w:r>
            <w:r>
              <w:rPr>
                <w:rFonts w:ascii="Arial" w:cs="Arial" w:eastAsia="Arial" w:hAnsi="Arial"/>
                <w:sz w:val="18"/>
                <w:szCs w:val="18"/>
                <w:i w:val="1"/>
                <w:iCs w:val="1"/>
                <w:color w:val="auto"/>
                <w:w w:val="89"/>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(1995 -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Stefanos</w:t>
            </w:r>
          </w:p>
        </w:tc>
        <w:tc>
          <w:tcPr>
            <w:tcW w:w="1520" w:type="dxa"/>
            <w:vAlign w:val="bottom"/>
            <w:gridSpan w:val="2"/>
          </w:tcPr>
          <w:p>
            <w:pPr>
              <w:spacing w:after="0"/>
              <w:rPr>
                <w:sz w:val="20"/>
                <w:szCs w:val="20"/>
                <w:color w:val="auto"/>
              </w:rPr>
            </w:pPr>
            <w:r>
              <w:rPr>
                <w:rFonts w:ascii="Arial" w:cs="Arial" w:eastAsia="Arial" w:hAnsi="Arial"/>
                <w:sz w:val="18"/>
                <w:szCs w:val="18"/>
                <w:color w:val="auto"/>
              </w:rPr>
              <w:t>27, Artemisiou</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20" w:type="dxa"/>
            <w:vAlign w:val="bottom"/>
          </w:tcPr>
          <w:p>
            <w:pPr>
              <w:spacing w:after="0"/>
              <w:rPr>
                <w:sz w:val="20"/>
                <w:szCs w:val="20"/>
                <w:color w:val="auto"/>
              </w:rPr>
            </w:pPr>
            <w:r>
              <w:rPr>
                <w:rFonts w:ascii="Arial" w:cs="Arial" w:eastAsia="Arial" w:hAnsi="Arial"/>
                <w:sz w:val="18"/>
                <w:szCs w:val="18"/>
                <w:color w:val="auto"/>
              </w:rPr>
              <w:t>Self-Employed</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Tamvakis</w:t>
            </w:r>
          </w:p>
        </w:tc>
        <w:tc>
          <w:tcPr>
            <w:tcW w:w="1520" w:type="dxa"/>
            <w:vAlign w:val="bottom"/>
            <w:gridSpan w:val="2"/>
          </w:tcPr>
          <w:p>
            <w:pPr>
              <w:spacing w:after="0"/>
              <w:rPr>
                <w:sz w:val="20"/>
                <w:szCs w:val="20"/>
                <w:color w:val="auto"/>
              </w:rPr>
            </w:pPr>
            <w:r>
              <w:rPr>
                <w:rFonts w:ascii="Arial" w:cs="Arial" w:eastAsia="Arial" w:hAnsi="Arial"/>
                <w:sz w:val="18"/>
                <w:szCs w:val="18"/>
                <w:color w:val="auto"/>
              </w:rPr>
              <w:t>Str, GR15234</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Chalandri, Athens,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4"/>
              </w:rPr>
              <w:t xml:space="preserve">Foundation, </w:t>
            </w:r>
            <w:r>
              <w:rPr>
                <w:rFonts w:ascii="Arial" w:cs="Arial" w:eastAsia="Arial" w:hAnsi="Arial"/>
                <w:sz w:val="18"/>
                <w:szCs w:val="18"/>
                <w:i w:val="1"/>
                <w:iCs w:val="1"/>
                <w:color w:val="auto"/>
                <w:w w:val="94"/>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89"/>
              </w:rPr>
              <w:t>executive Member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(2003 - 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Edward Rance</w:t>
            </w:r>
          </w:p>
        </w:tc>
        <w:tc>
          <w:tcPr>
            <w:tcW w:w="1520" w:type="dxa"/>
            <w:vAlign w:val="bottom"/>
            <w:gridSpan w:val="2"/>
          </w:tcPr>
          <w:p>
            <w:pPr>
              <w:spacing w:after="0"/>
              <w:rPr>
                <w:sz w:val="20"/>
                <w:szCs w:val="20"/>
                <w:color w:val="auto"/>
              </w:rPr>
            </w:pPr>
            <w:r>
              <w:rPr>
                <w:rFonts w:ascii="Arial" w:cs="Arial" w:eastAsia="Arial" w:hAnsi="Arial"/>
                <w:sz w:val="18"/>
                <w:szCs w:val="18"/>
                <w:color w:val="auto"/>
              </w:rPr>
              <w:t>Clarendon House</w:t>
            </w:r>
          </w:p>
        </w:tc>
        <w:tc>
          <w:tcPr>
            <w:tcW w:w="1340" w:type="dxa"/>
            <w:vAlign w:val="bottom"/>
          </w:tcPr>
          <w:p>
            <w:pPr>
              <w:spacing w:after="0"/>
              <w:rPr>
                <w:sz w:val="20"/>
                <w:szCs w:val="20"/>
                <w:color w:val="auto"/>
              </w:rPr>
            </w:pPr>
            <w:r>
              <w:rPr>
                <w:rFonts w:ascii="Arial" w:cs="Arial" w:eastAsia="Arial" w:hAnsi="Arial"/>
                <w:sz w:val="18"/>
                <w:szCs w:val="18"/>
                <w:color w:val="auto"/>
              </w:rPr>
              <w:t>UK</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8"/>
              </w:rPr>
              <w:t>Conyers Corporate</w:t>
            </w:r>
          </w:p>
        </w:tc>
        <w:tc>
          <w:tcPr>
            <w:tcW w:w="1320" w:type="dxa"/>
            <w:vAlign w:val="bottom"/>
          </w:tcPr>
          <w:p>
            <w:pPr>
              <w:spacing w:after="0"/>
              <w:rPr>
                <w:sz w:val="20"/>
                <w:szCs w:val="20"/>
                <w:color w:val="auto"/>
              </w:rPr>
            </w:pPr>
            <w:r>
              <w:rPr>
                <w:rFonts w:ascii="Arial" w:cs="Arial" w:eastAsia="Arial" w:hAnsi="Arial"/>
                <w:sz w:val="18"/>
                <w:szCs w:val="18"/>
                <w:color w:val="auto"/>
              </w:rPr>
              <w:t>Law Firm</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Conyers Corporate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 Church Street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Hamilton, HM 11,</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Clarendon House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2 Church Street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Hamilton, HM 11,</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Olympic LNG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6"/>
              </w:rPr>
              <w:t>Investments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520" w:type="dxa"/>
            <w:vAlign w:val="bottom"/>
            <w:gridSpan w:val="2"/>
          </w:tcPr>
          <w:p>
            <w:pPr>
              <w:spacing w:after="0"/>
              <w:rPr>
                <w:sz w:val="20"/>
                <w:szCs w:val="20"/>
                <w:color w:val="auto"/>
              </w:rPr>
            </w:pPr>
            <w:r>
              <w:rPr>
                <w:rFonts w:ascii="Arial" w:cs="Arial" w:eastAsia="Arial" w:hAnsi="Arial"/>
                <w:sz w:val="18"/>
                <w:szCs w:val="18"/>
                <w:color w:val="auto"/>
              </w:rPr>
              <w:t>8 Zephyrou Str.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ASOFIN</w:t>
            </w:r>
          </w:p>
        </w:tc>
        <w:tc>
          <w:tcPr>
            <w:tcW w:w="1320" w:type="dxa"/>
            <w:vAlign w:val="bottom"/>
          </w:tcPr>
          <w:p>
            <w:pPr>
              <w:spacing w:after="0"/>
              <w:rPr>
                <w:sz w:val="20"/>
                <w:szCs w:val="20"/>
                <w:color w:val="auto"/>
              </w:rPr>
            </w:pPr>
            <w:r>
              <w:rPr>
                <w:rFonts w:ascii="Arial" w:cs="Arial" w:eastAsia="Arial" w:hAnsi="Arial"/>
                <w:sz w:val="18"/>
                <w:szCs w:val="18"/>
                <w:color w:val="auto"/>
              </w:rPr>
              <w:t>Consulting</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Paleo Faliro 17564</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Management S.A.,</w:t>
            </w:r>
          </w:p>
        </w:tc>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Athens 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 xml:space="preserve">Director </w:t>
            </w:r>
            <w:r>
              <w:rPr>
                <w:rFonts w:ascii="Arial" w:cs="Arial" w:eastAsia="Arial" w:hAnsi="Arial"/>
                <w:sz w:val="18"/>
                <w:szCs w:val="18"/>
                <w:color w:val="auto"/>
                <w:w w:val="90"/>
              </w:rPr>
              <w:t>(February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2019 - August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Zephyrou Str.</w:t>
            </w: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9"/>
              </w:rPr>
              <w:t>Paleo Faliro 17564</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Athens Greece</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companies (2009 -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4" w:name="page175"/>
    <w:bookmarkEnd w:id="174"/>
    <w:tbl>
      <w:tblPr>
        <w:tblLayout w:type="fixed"/>
        <w:tblInd w:w="1132"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1"/>
              </w:rPr>
              <w:t>Address of</w:t>
            </w:r>
          </w:p>
        </w:tc>
        <w:tc>
          <w:tcPr>
            <w:tcW w:w="1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8"/>
              </w:rPr>
              <w:t>Principal</w:t>
            </w:r>
          </w:p>
        </w:tc>
        <w:tc>
          <w:tcPr>
            <w:tcW w:w="15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400" w:type="dxa"/>
            <w:vAlign w:val="bottom"/>
          </w:tcPr>
          <w:p>
            <w:pPr>
              <w:spacing w:after="0"/>
              <w:rPr>
                <w:sz w:val="12"/>
                <w:szCs w:val="12"/>
                <w:color w:val="auto"/>
              </w:rPr>
            </w:pP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Office/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Country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spacing w:after="0"/>
              <w:rPr>
                <w:sz w:val="12"/>
                <w:szCs w:val="12"/>
                <w:color w:val="auto"/>
              </w:rPr>
            </w:pP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Business or</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Citizenship /</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Residence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Jurisdiction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w w:val="95"/>
              </w:rPr>
              <w:t>During Past</w:t>
            </w:r>
          </w:p>
        </w:tc>
      </w:tr>
      <w:tr>
        <w:trPr>
          <w:trHeight w:val="174"/>
        </w:trPr>
        <w:tc>
          <w:tcPr>
            <w:tcW w:w="1400" w:type="dxa"/>
            <w:vAlign w:val="bottom"/>
          </w:tcPr>
          <w:p>
            <w:pPr>
              <w:spacing w:after="0"/>
              <w:rPr>
                <w:sz w:val="20"/>
                <w:szCs w:val="20"/>
                <w:color w:val="auto"/>
              </w:rPr>
            </w:pPr>
            <w:r>
              <w:rPr>
                <w:rFonts w:ascii="Arial" w:cs="Arial" w:eastAsia="Arial" w:hAnsi="Arial"/>
                <w:sz w:val="13"/>
                <w:szCs w:val="13"/>
                <w:b w:val="1"/>
                <w:bCs w:val="1"/>
                <w:u w:val="single" w:color="auto"/>
                <w:color w:val="auto"/>
              </w:rPr>
              <w:t>Director/Officer</w:t>
            </w: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Address</w:t>
            </w:r>
          </w:p>
        </w:tc>
        <w:tc>
          <w:tcPr>
            <w:tcW w:w="15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Incorporation</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-7620</wp:posOffset>
            </wp:positionV>
            <wp:extent cx="47320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sectPr>
      </w:pPr>
    </w:p>
    <w:p>
      <w:pPr>
        <w:ind w:left="1132"/>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Anthony S.</w:t>
      </w:r>
    </w:p>
    <w:p>
      <w:pPr>
        <w:spacing w:after="0" w:line="10"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Papadimitriou</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Marianna</w:t>
      </w:r>
    </w:p>
    <w:p>
      <w:pPr>
        <w:spacing w:after="0" w:line="21" w:lineRule="exact"/>
        <w:rPr>
          <w:sz w:val="20"/>
          <w:szCs w:val="20"/>
          <w:color w:val="auto"/>
        </w:rPr>
      </w:pPr>
    </w:p>
    <w:p>
      <w:pPr>
        <w:ind w:left="1132"/>
        <w:spacing w:after="0"/>
        <w:rPr>
          <w:sz w:val="20"/>
          <w:szCs w:val="20"/>
          <w:color w:val="auto"/>
        </w:rPr>
      </w:pPr>
      <w:r>
        <w:rPr>
          <w:rFonts w:ascii="Arial" w:cs="Arial" w:eastAsia="Arial" w:hAnsi="Arial"/>
          <w:sz w:val="16"/>
          <w:szCs w:val="16"/>
          <w:b w:val="1"/>
          <w:bCs w:val="1"/>
          <w:color w:val="auto"/>
        </w:rPr>
        <w:t>Moschou,</w:t>
      </w:r>
      <w:r>
        <w:rPr>
          <w:rFonts w:ascii="Arial" w:cs="Arial" w:eastAsia="Arial" w:hAnsi="Arial"/>
          <w:sz w:val="16"/>
          <w:szCs w:val="16"/>
          <w:b w:val="1"/>
          <w:bCs w:val="1"/>
          <w:i w:val="1"/>
          <w:iCs w:val="1"/>
          <w:color w:val="auto"/>
        </w:rPr>
        <w:t>Vice</w:t>
      </w:r>
    </w:p>
    <w:p>
      <w:pPr>
        <w:spacing w:after="0" w:line="32" w:lineRule="exact"/>
        <w:rPr>
          <w:sz w:val="20"/>
          <w:szCs w:val="20"/>
          <w:color w:val="auto"/>
        </w:rPr>
      </w:pP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367 Syngrou Av.</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ASOFIN</w:t>
            </w:r>
          </w:p>
        </w:tc>
        <w:tc>
          <w:tcPr>
            <w:tcW w:w="12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Management S.A.,</w:t>
            </w:r>
          </w:p>
        </w:tc>
        <w:tc>
          <w:tcPr>
            <w:tcW w:w="1260" w:type="dxa"/>
            <w:vAlign w:val="bottom"/>
          </w:tcPr>
          <w:p>
            <w:pPr>
              <w:ind w:left="100"/>
              <w:spacing w:after="0"/>
              <w:rPr>
                <w:sz w:val="20"/>
                <w:szCs w:val="20"/>
                <w:color w:val="auto"/>
              </w:rPr>
            </w:pPr>
            <w:r>
              <w:rPr>
                <w:rFonts w:ascii="Arial" w:cs="Arial" w:eastAsia="Arial" w:hAnsi="Arial"/>
                <w:sz w:val="18"/>
                <w:szCs w:val="18"/>
                <w:color w:val="auto"/>
              </w:rPr>
              <w:t>company</w:t>
            </w: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8</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Zephyrou Str.</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2"/>
              </w:rPr>
              <w:t>Paleo Faliro 17564</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2"/>
              </w:rPr>
              <w:t xml:space="preserve">Treasurer </w:t>
            </w:r>
            <w:r>
              <w:rPr>
                <w:rFonts w:ascii="Arial" w:cs="Arial" w:eastAsia="Arial" w:hAnsi="Arial"/>
                <w:sz w:val="18"/>
                <w:szCs w:val="18"/>
                <w:color w:val="auto"/>
                <w:w w:val="92"/>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Athens Greece</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(1988 - current)</w:t>
            </w:r>
          </w:p>
        </w:tc>
      </w:tr>
      <w:tr>
        <w:trPr>
          <w:trHeight w:val="372"/>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 Ltd.,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January 2019)</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A.S.</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9"/>
              </w:rPr>
              <w:t>Papadimitriou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Law</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 xml:space="preserve">Firm, </w:t>
            </w:r>
            <w:r>
              <w:rPr>
                <w:rFonts w:ascii="Arial" w:cs="Arial" w:eastAsia="Arial" w:hAnsi="Arial"/>
                <w:sz w:val="18"/>
                <w:szCs w:val="18"/>
                <w:i w:val="1"/>
                <w:iCs w:val="1"/>
                <w:color w:val="auto"/>
              </w:rPr>
              <w:t>Founding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Partner </w:t>
            </w:r>
            <w:r>
              <w:rPr>
                <w:rFonts w:ascii="Arial" w:cs="Arial" w:eastAsia="Arial" w:hAnsi="Arial"/>
                <w:sz w:val="18"/>
                <w:szCs w:val="18"/>
                <w:color w:val="auto"/>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4"/>
              </w:rPr>
              <w:t>current), Domboli</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14, 11636 Athens</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8 Zephyrou Str.</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Alexander S.</w:t>
            </w:r>
          </w:p>
        </w:tc>
        <w:tc>
          <w:tcPr>
            <w:tcW w:w="1260" w:type="dxa"/>
            <w:vAlign w:val="bottom"/>
          </w:tcPr>
          <w:p>
            <w:pPr>
              <w:ind w:left="100"/>
              <w:spacing w:after="0"/>
              <w:rPr>
                <w:sz w:val="20"/>
                <w:szCs w:val="20"/>
                <w:color w:val="auto"/>
              </w:rPr>
            </w:pPr>
            <w:r>
              <w:rPr>
                <w:rFonts w:ascii="Arial" w:cs="Arial" w:eastAsia="Arial" w:hAnsi="Arial"/>
                <w:sz w:val="18"/>
                <w:szCs w:val="18"/>
                <w:color w:val="auto"/>
              </w:rPr>
              <w:t>Foundation</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Onassis</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Foundation,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Heiligkreuz 2 FL-</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(2005 - current)</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9490 Vaduz</w:t>
            </w: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Liechtenstein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ELEPAP-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Organisation for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3"/>
              </w:rPr>
              <w:t>the Rehabilitation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of Disabled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Children,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4"/>
              </w:rPr>
              <w:t xml:space="preserve">President </w:t>
            </w:r>
            <w:r>
              <w:rPr>
                <w:rFonts w:ascii="Arial" w:cs="Arial" w:eastAsia="Arial" w:hAnsi="Arial"/>
                <w:sz w:val="18"/>
                <w:szCs w:val="18"/>
                <w:color w:val="auto"/>
                <w:w w:val="94"/>
              </w:rPr>
              <w:t>(2010 -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6"/>
              </w:rPr>
              <w:t xml:space="preserve">current) and </w:t>
            </w:r>
            <w:r>
              <w:rPr>
                <w:rFonts w:ascii="Arial" w:cs="Arial" w:eastAsia="Arial" w:hAnsi="Arial"/>
                <w:sz w:val="18"/>
                <w:szCs w:val="18"/>
                <w:i w:val="1"/>
                <w:iCs w:val="1"/>
                <w:color w:val="auto"/>
                <w:w w:val="86"/>
              </w:rPr>
              <w:t>Board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(2001 -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0"/>
              </w:rPr>
              <w:t>current), Kononos</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16, 11634 Athens</w:t>
            </w:r>
          </w:p>
        </w:tc>
      </w:tr>
    </w:tbl>
    <w:p>
      <w:pPr>
        <w:spacing w:after="0" w:line="200" w:lineRule="exact"/>
        <w:rPr>
          <w:sz w:val="20"/>
          <w:szCs w:val="20"/>
          <w:color w:val="auto"/>
        </w:rPr>
      </w:pPr>
    </w:p>
    <w:p>
      <w:pPr>
        <w:sectPr>
          <w:pgSz w:w="11900" w:h="16838" w:orient="portrait"/>
          <w:cols w:equalWidth="0" w:num="2">
            <w:col w:w="2332" w:space="320"/>
            <w:col w:w="7479"/>
          </w:cols>
          <w:pgMar w:left="328" w:top="126" w:right="1440" w:bottom="1440" w:gutter="0" w:footer="0" w:header="0"/>
          <w:type w:val="continuous"/>
        </w:sectPr>
      </w:pPr>
    </w:p>
    <w:p>
      <w:pPr>
        <w:spacing w:after="0" w:line="31" w:lineRule="exact"/>
        <w:rPr>
          <w:sz w:val="20"/>
          <w:szCs w:val="20"/>
          <w:color w:val="auto"/>
        </w:rPr>
      </w:pPr>
    </w:p>
    <w:tbl>
      <w:tblPr>
        <w:tblLayout w:type="fixed"/>
        <w:tblInd w:w="1132" w:type="dxa"/>
        <w:tblCellMar>
          <w:top w:w="0" w:type="dxa"/>
          <w:left w:w="0" w:type="dxa"/>
          <w:bottom w:w="0" w:type="dxa"/>
          <w:right w:w="0" w:type="dxa"/>
        </w:tblCellMar>
      </w:tblPr>
      <w:tr>
        <w:trPr>
          <w:trHeight w:val="219"/>
        </w:trPr>
        <w:tc>
          <w:tcPr>
            <w:tcW w:w="1160" w:type="dxa"/>
            <w:vAlign w:val="bottom"/>
          </w:tcPr>
          <w:p>
            <w:pPr>
              <w:spacing w:after="0"/>
              <w:rPr>
                <w:sz w:val="20"/>
                <w:szCs w:val="20"/>
                <w:color w:val="auto"/>
              </w:rPr>
            </w:pPr>
            <w:r>
              <w:rPr>
                <w:rFonts w:ascii="Arial" w:cs="Arial" w:eastAsia="Arial" w:hAnsi="Arial"/>
                <w:sz w:val="18"/>
                <w:szCs w:val="18"/>
                <w:b w:val="1"/>
                <w:bCs w:val="1"/>
                <w:color w:val="auto"/>
              </w:rPr>
              <w:t>Michail</w:t>
            </w:r>
          </w:p>
        </w:tc>
        <w:tc>
          <w:tcPr>
            <w:tcW w:w="1740" w:type="dxa"/>
            <w:vAlign w:val="bottom"/>
          </w:tcPr>
          <w:p>
            <w:pPr>
              <w:ind w:left="360"/>
              <w:spacing w:after="0"/>
              <w:rPr>
                <w:sz w:val="20"/>
                <w:szCs w:val="20"/>
                <w:color w:val="auto"/>
              </w:rPr>
            </w:pPr>
            <w:r>
              <w:rPr>
                <w:rFonts w:ascii="Arial" w:cs="Arial" w:eastAsia="Arial" w:hAnsi="Arial"/>
                <w:sz w:val="18"/>
                <w:szCs w:val="18"/>
                <w:color w:val="auto"/>
              </w:rPr>
              <w:t>See above</w:t>
            </w:r>
          </w:p>
        </w:tc>
        <w:tc>
          <w:tcPr>
            <w:tcW w:w="1260" w:type="dxa"/>
            <w:vAlign w:val="bottom"/>
          </w:tcPr>
          <w:p>
            <w:pPr>
              <w:ind w:left="140"/>
              <w:spacing w:after="0"/>
              <w:rPr>
                <w:sz w:val="20"/>
                <w:szCs w:val="20"/>
                <w:color w:val="auto"/>
              </w:rPr>
            </w:pPr>
            <w:r>
              <w:rPr>
                <w:rFonts w:ascii="Arial" w:cs="Arial" w:eastAsia="Arial" w:hAnsi="Arial"/>
                <w:sz w:val="18"/>
                <w:szCs w:val="18"/>
                <w:color w:val="auto"/>
              </w:rPr>
              <w:t>See above</w:t>
            </w:r>
          </w:p>
        </w:tc>
        <w:tc>
          <w:tcPr>
            <w:tcW w:w="1540" w:type="dxa"/>
            <w:vAlign w:val="bottom"/>
          </w:tcPr>
          <w:p>
            <w:pPr>
              <w:ind w:left="420"/>
              <w:spacing w:after="0"/>
              <w:rPr>
                <w:sz w:val="20"/>
                <w:szCs w:val="20"/>
                <w:color w:val="auto"/>
              </w:rPr>
            </w:pPr>
            <w:r>
              <w:rPr>
                <w:rFonts w:ascii="Arial" w:cs="Arial" w:eastAsia="Arial" w:hAnsi="Arial"/>
                <w:sz w:val="18"/>
                <w:szCs w:val="18"/>
                <w:color w:val="auto"/>
              </w:rPr>
              <w:t>See above</w:t>
            </w:r>
          </w:p>
        </w:tc>
        <w:tc>
          <w:tcPr>
            <w:tcW w:w="1580" w:type="dxa"/>
            <w:vAlign w:val="bottom"/>
          </w:tcPr>
          <w:p>
            <w:pPr>
              <w:ind w:left="400"/>
              <w:spacing w:after="0"/>
              <w:rPr>
                <w:sz w:val="20"/>
                <w:szCs w:val="20"/>
                <w:color w:val="auto"/>
              </w:rPr>
            </w:pPr>
            <w:r>
              <w:rPr>
                <w:rFonts w:ascii="Arial" w:cs="Arial" w:eastAsia="Arial" w:hAnsi="Arial"/>
                <w:sz w:val="18"/>
                <w:szCs w:val="18"/>
                <w:color w:val="auto"/>
              </w:rPr>
              <w:t>See above</w:t>
            </w:r>
          </w:p>
        </w:tc>
        <w:tc>
          <w:tcPr>
            <w:tcW w:w="1080" w:type="dxa"/>
            <w:vAlign w:val="bottom"/>
          </w:tcPr>
          <w:p>
            <w:pPr>
              <w:ind w:left="360"/>
              <w:spacing w:after="0"/>
              <w:rPr>
                <w:sz w:val="20"/>
                <w:szCs w:val="20"/>
                <w:color w:val="auto"/>
              </w:rPr>
            </w:pPr>
            <w:r>
              <w:rPr>
                <w:rFonts w:ascii="Arial" w:cs="Arial" w:eastAsia="Arial" w:hAnsi="Arial"/>
                <w:sz w:val="18"/>
                <w:szCs w:val="18"/>
                <w:color w:val="auto"/>
                <w:w w:val="81"/>
              </w:rPr>
              <w:t>See above</w:t>
            </w:r>
          </w:p>
        </w:tc>
      </w:tr>
      <w:tr>
        <w:trPr>
          <w:trHeight w:val="259"/>
        </w:trPr>
        <w:tc>
          <w:tcPr>
            <w:tcW w:w="1160" w:type="dxa"/>
            <w:vAlign w:val="bottom"/>
          </w:tcPr>
          <w:p>
            <w:pPr>
              <w:spacing w:after="0" w:line="259" w:lineRule="exact"/>
              <w:rPr>
                <w:sz w:val="20"/>
                <w:szCs w:val="20"/>
                <w:color w:val="auto"/>
              </w:rPr>
            </w:pPr>
            <w:r>
              <w:rPr>
                <w:rFonts w:ascii="Arial" w:cs="Arial" w:eastAsia="Arial" w:hAnsi="Arial"/>
                <w:sz w:val="18"/>
                <w:szCs w:val="18"/>
                <w:b w:val="1"/>
                <w:bCs w:val="1"/>
                <w:color w:val="auto"/>
              </w:rPr>
              <w:t>Gialouris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w:t>
            </w:r>
          </w:p>
        </w:tc>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Treasurer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47"/>
        </w:trPr>
        <w:tc>
          <w:tcPr>
            <w:tcW w:w="1160" w:type="dxa"/>
            <w:vAlign w:val="bottom"/>
          </w:tcPr>
          <w:p>
            <w:pPr>
              <w:spacing w:after="0"/>
              <w:rPr>
                <w:sz w:val="20"/>
                <w:szCs w:val="20"/>
                <w:color w:val="auto"/>
              </w:rPr>
            </w:pPr>
            <w:r>
              <w:rPr>
                <w:rFonts w:ascii="Arial" w:cs="Arial" w:eastAsia="Arial" w:hAnsi="Arial"/>
                <w:sz w:val="18"/>
                <w:szCs w:val="18"/>
                <w:b w:val="1"/>
                <w:bCs w:val="1"/>
                <w:color w:val="auto"/>
              </w:rPr>
              <w:t>Conyers</w:t>
            </w:r>
          </w:p>
        </w:tc>
        <w:tc>
          <w:tcPr>
            <w:tcW w:w="1740" w:type="dxa"/>
            <w:vAlign w:val="bottom"/>
          </w:tcPr>
          <w:p>
            <w:pPr>
              <w:ind w:left="360"/>
              <w:spacing w:after="0"/>
              <w:rPr>
                <w:sz w:val="20"/>
                <w:szCs w:val="20"/>
                <w:color w:val="auto"/>
              </w:rPr>
            </w:pPr>
            <w:r>
              <w:rPr>
                <w:rFonts w:ascii="Arial" w:cs="Arial" w:eastAsia="Arial" w:hAnsi="Arial"/>
                <w:sz w:val="18"/>
                <w:szCs w:val="18"/>
                <w:color w:val="auto"/>
                <w:w w:val="97"/>
              </w:rPr>
              <w:t>Clarendon House</w:t>
            </w:r>
          </w:p>
        </w:tc>
        <w:tc>
          <w:tcPr>
            <w:tcW w:w="1260" w:type="dxa"/>
            <w:vAlign w:val="bottom"/>
          </w:tcPr>
          <w:p>
            <w:pPr>
              <w:ind w:left="140"/>
              <w:spacing w:after="0"/>
              <w:rPr>
                <w:sz w:val="20"/>
                <w:szCs w:val="20"/>
                <w:color w:val="auto"/>
              </w:rPr>
            </w:pPr>
            <w:r>
              <w:rPr>
                <w:rFonts w:ascii="Arial" w:cs="Arial" w:eastAsia="Arial" w:hAnsi="Arial"/>
                <w:sz w:val="18"/>
                <w:szCs w:val="18"/>
                <w:color w:val="auto"/>
              </w:rPr>
              <w:t>Bermuda</w:t>
            </w:r>
          </w:p>
        </w:tc>
        <w:tc>
          <w:tcPr>
            <w:tcW w:w="1540" w:type="dxa"/>
            <w:vAlign w:val="bottom"/>
          </w:tcPr>
          <w:p>
            <w:pPr>
              <w:ind w:left="420"/>
              <w:spacing w:after="0"/>
              <w:rPr>
                <w:sz w:val="20"/>
                <w:szCs w:val="20"/>
                <w:color w:val="auto"/>
              </w:rPr>
            </w:pPr>
            <w:r>
              <w:rPr>
                <w:rFonts w:ascii="Arial" w:cs="Arial" w:eastAsia="Arial" w:hAnsi="Arial"/>
                <w:sz w:val="18"/>
                <w:szCs w:val="18"/>
                <w:color w:val="auto"/>
              </w:rPr>
              <w:t>N/A</w:t>
            </w:r>
          </w:p>
        </w:tc>
        <w:tc>
          <w:tcPr>
            <w:tcW w:w="1580" w:type="dxa"/>
            <w:vAlign w:val="bottom"/>
          </w:tcPr>
          <w:p>
            <w:pPr>
              <w:ind w:left="400"/>
              <w:spacing w:after="0"/>
              <w:rPr>
                <w:sz w:val="20"/>
                <w:szCs w:val="20"/>
                <w:color w:val="auto"/>
              </w:rPr>
            </w:pPr>
            <w:r>
              <w:rPr>
                <w:rFonts w:ascii="Arial" w:cs="Arial" w:eastAsia="Arial" w:hAnsi="Arial"/>
                <w:sz w:val="18"/>
                <w:szCs w:val="18"/>
                <w:color w:val="auto"/>
              </w:rPr>
              <w:t>Local agent</w:t>
            </w:r>
          </w:p>
        </w:tc>
        <w:tc>
          <w:tcPr>
            <w:tcW w:w="108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1740" w:type="dxa"/>
            <w:vAlign w:val="bottom"/>
          </w:tcPr>
          <w:p>
            <w:pPr>
              <w:ind w:left="360"/>
              <w:spacing w:after="0"/>
              <w:rPr>
                <w:sz w:val="20"/>
                <w:szCs w:val="20"/>
                <w:color w:val="auto"/>
              </w:rPr>
            </w:pPr>
            <w:r>
              <w:rPr>
                <w:rFonts w:ascii="Arial" w:cs="Arial" w:eastAsia="Arial" w:hAnsi="Arial"/>
                <w:sz w:val="18"/>
                <w:szCs w:val="18"/>
                <w:color w:val="auto"/>
              </w:rPr>
              <w:t>2 Church Street</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1740" w:type="dxa"/>
            <w:vAlign w:val="bottom"/>
          </w:tcPr>
          <w:p>
            <w:pPr>
              <w:ind w:left="360"/>
              <w:spacing w:after="0"/>
              <w:rPr>
                <w:sz w:val="20"/>
                <w:szCs w:val="20"/>
                <w:color w:val="auto"/>
              </w:rPr>
            </w:pPr>
            <w:r>
              <w:rPr>
                <w:rFonts w:ascii="Arial" w:cs="Arial" w:eastAsia="Arial" w:hAnsi="Arial"/>
                <w:sz w:val="18"/>
                <w:szCs w:val="18"/>
                <w:color w:val="auto"/>
              </w:rPr>
              <w:t>Hamilton,</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(Bermuda)</w:t>
            </w:r>
          </w:p>
        </w:tc>
        <w:tc>
          <w:tcPr>
            <w:tcW w:w="1740" w:type="dxa"/>
            <w:vAlign w:val="bottom"/>
          </w:tcPr>
          <w:p>
            <w:pPr>
              <w:ind w:left="360"/>
              <w:spacing w:after="0"/>
              <w:rPr>
                <w:sz w:val="20"/>
                <w:szCs w:val="20"/>
                <w:color w:val="auto"/>
              </w:rPr>
            </w:pPr>
            <w:r>
              <w:rPr>
                <w:rFonts w:ascii="Arial" w:cs="Arial" w:eastAsia="Arial" w:hAnsi="Arial"/>
                <w:sz w:val="18"/>
                <w:szCs w:val="18"/>
                <w:color w:val="auto"/>
                <w:w w:val="99"/>
              </w:rPr>
              <w:t>HM 11, Bermuda</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18688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2" w:hanging="532"/>
        <w:spacing w:after="0"/>
        <w:tabs>
          <w:tab w:leader="none" w:pos="532" w:val="left"/>
        </w:tabs>
        <w:numPr>
          <w:ilvl w:val="0"/>
          <w:numId w:val="172"/>
        </w:numPr>
        <w:rPr>
          <w:rFonts w:ascii="Arial" w:cs="Arial" w:eastAsia="Arial" w:hAnsi="Arial"/>
          <w:sz w:val="11"/>
          <w:szCs w:val="11"/>
          <w:color w:val="auto"/>
        </w:rPr>
      </w:pPr>
      <w:r>
        <w:rPr>
          <w:rFonts w:ascii="Arial" w:cs="Arial" w:eastAsia="Arial" w:hAnsi="Arial"/>
          <w:sz w:val="13"/>
          <w:szCs w:val="13"/>
          <w:color w:val="auto"/>
        </w:rPr>
        <w:t>As of March 18, 2021, Anthony S. Papadimitriou beneficially owned 15,750 Company common shares.</w:t>
      </w:r>
    </w:p>
    <w:p>
      <w:pPr>
        <w:spacing w:after="0" w:line="134" w:lineRule="exact"/>
        <w:rPr>
          <w:sz w:val="20"/>
          <w:szCs w:val="20"/>
          <w:color w:val="auto"/>
        </w:rPr>
      </w:pPr>
    </w:p>
    <w:p>
      <w:pPr>
        <w:ind w:left="532" w:hanging="532"/>
        <w:spacing w:after="0"/>
        <w:tabs>
          <w:tab w:leader="none" w:pos="532" w:val="left"/>
        </w:tabs>
        <w:numPr>
          <w:ilvl w:val="0"/>
          <w:numId w:val="173"/>
        </w:numPr>
        <w:rPr>
          <w:rFonts w:ascii="Arial" w:cs="Arial" w:eastAsia="Arial" w:hAnsi="Arial"/>
          <w:sz w:val="11"/>
          <w:szCs w:val="11"/>
          <w:color w:val="auto"/>
        </w:rPr>
      </w:pPr>
      <w:r>
        <w:rPr>
          <w:rFonts w:ascii="Arial" w:cs="Arial" w:eastAsia="Arial" w:hAnsi="Arial"/>
          <w:sz w:val="13"/>
          <w:szCs w:val="13"/>
          <w:color w:val="auto"/>
        </w:rPr>
        <w:t>As of March 18, 2021, Michail Gialouris beneficially owned 400 Company common shares.</w:t>
      </w:r>
    </w:p>
    <w:p>
      <w:pPr>
        <w:sectPr>
          <w:pgSz w:w="11900" w:h="16838" w:orient="portrait"/>
          <w:cols w:equalWidth="0" w:num="1">
            <w:col w:w="10131"/>
          </w:cols>
          <w:pgMar w:left="328" w:top="126" w:right="1440" w:bottom="1440" w:gutter="0" w:footer="0" w:header="0"/>
          <w:type w:val="continuous"/>
        </w:sectPr>
      </w:pPr>
    </w:p>
    <w:p>
      <w:pPr>
        <w:spacing w:after="0" w:line="217" w:lineRule="exact"/>
        <w:rPr>
          <w:sz w:val="20"/>
          <w:szCs w:val="20"/>
          <w:color w:val="auto"/>
        </w:rPr>
      </w:pPr>
    </w:p>
    <w:p>
      <w:pPr>
        <w:ind w:left="5492"/>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361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type w:val="continuous"/>
        </w:sectPr>
      </w:pPr>
    </w:p>
    <w:bookmarkStart w:id="175" w:name="page176"/>
    <w:bookmarkEnd w:id="175"/>
    <w:p>
      <w:pPr>
        <w:jc w:val="both"/>
        <w:ind w:firstLine="341"/>
        <w:spacing w:after="0" w:line="288" w:lineRule="auto"/>
        <w:rPr>
          <w:sz w:val="20"/>
          <w:szCs w:val="20"/>
          <w:color w:val="auto"/>
        </w:rPr>
      </w:pPr>
      <w:r>
        <w:rPr>
          <w:rFonts w:ascii="Arial" w:cs="Arial" w:eastAsia="Arial" w:hAnsi="Arial"/>
          <w:sz w:val="16"/>
          <w:szCs w:val="16"/>
          <w:color w:val="auto"/>
        </w:rPr>
        <w:t>A.S.O. Maritima S.A. (“Maritima”) owns 100% of Olympic LNG Investments Ltd. Maritima is a corporation (Société Anonyme), incorporated in Panama. Maritima does not directly own any Company common shares. Maritima is a holding company and the principal business of the Maritima is acting as a shipping holding company. The names and material occupations, positions, offices or employment during the past five years of Maritima’s directors and executive officers are set forth below. During the past five years, none of Maritima nor any of Maritima’s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Maritima is Calle Aquillino de la Guardia 8 Panama 1, Republic of Panama, and the phone number for Maritima is +30 210 9498311.</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w w:val="90"/>
              </w:rPr>
              <w:t>8 Zephyrou Str. P.</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5"/>
              </w:rPr>
              <w:t>Olympic Shipping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Ship management</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Olympic Shipping</w:t>
            </w:r>
          </w:p>
        </w:tc>
        <w:tc>
          <w:tcPr>
            <w:tcW w:w="0" w:type="dxa"/>
            <w:vAlign w:val="bottom"/>
          </w:tcPr>
          <w:p>
            <w:pPr>
              <w:spacing w:after="0"/>
              <w:rPr>
                <w:sz w:val="1"/>
                <w:szCs w:val="1"/>
                <w:color w:val="auto"/>
              </w:rPr>
            </w:pPr>
          </w:p>
        </w:tc>
      </w:tr>
      <w:tr>
        <w:trPr>
          <w:trHeight w:val="219"/>
        </w:trPr>
        <w:tc>
          <w:tcPr>
            <w:tcW w:w="1520" w:type="dxa"/>
            <w:vAlign w:val="bottom"/>
            <w:gridSpan w:val="2"/>
          </w:tcPr>
          <w:p>
            <w:pPr>
              <w:ind w:left="20"/>
              <w:spacing w:after="0" w:line="218" w:lineRule="exact"/>
              <w:rPr>
                <w:sz w:val="20"/>
                <w:szCs w:val="20"/>
                <w:color w:val="auto"/>
              </w:rPr>
            </w:pPr>
            <w:r>
              <w:rPr>
                <w:rFonts w:ascii="Arial" w:cs="Arial" w:eastAsia="Arial" w:hAnsi="Arial"/>
                <w:sz w:val="16"/>
                <w:szCs w:val="16"/>
                <w:b w:val="1"/>
                <w:bCs w:val="1"/>
                <w:color w:val="auto"/>
              </w:rPr>
              <w:t>Karageorgiou</w:t>
            </w:r>
            <w:r>
              <w:rPr>
                <w:rFonts w:ascii="Arial" w:cs="Arial" w:eastAsia="Arial" w:hAnsi="Arial"/>
                <w:sz w:val="25"/>
                <w:szCs w:val="25"/>
                <w:b w:val="1"/>
                <w:bCs w:val="1"/>
                <w:color w:val="auto"/>
                <w:vertAlign w:val="superscript"/>
              </w:rPr>
              <w:t>3</w:t>
            </w:r>
          </w:p>
        </w:tc>
        <w:tc>
          <w:tcPr>
            <w:tcW w:w="134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Management S.A.</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(Branch 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Director and Chief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w w:val="89"/>
              </w:rPr>
              <w:t>President/Director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8 Zephyrou Str. P.</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(January 2017 -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(2016 -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9"/>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47"/>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ASOFIN</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Consulting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222"/>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Management AG,</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Management AG,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Portfolio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1"/>
              </w:rPr>
              <w:t>Portfolio Manager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Manager</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(2021 -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186880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532"/>
        <w:spacing w:after="0"/>
        <w:tabs>
          <w:tab w:leader="none" w:pos="54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As of March 18, 2021, Georgios Karageorgiou beneficially owned 19,000 Company common shares.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6" w:name="page177"/>
    <w:bookmarkEnd w:id="176"/>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President</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Karageorgiou,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and Chief</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Gialouris,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Treasurer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color w:val="auto"/>
        </w:rPr>
        <w:t>The Alexander S. Onassis Foundation (the “Foundation”) owns 100% of Maritima. The Foundation is a Foundation established in Liechtenstein. The Foundation does not directly own any Company common shares. The Foundation is a business foundation and the principal business of the Foundation is to manage its assets and properties. The names and material occupations, positions, offices or employment during the past five years of the Foundation’s directors and executive officers are set forth below. During the past five years, none of the Foundation nor any of the Foundation’s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the Foundation is Heiligkreuz 6 Vaduz, Lichtenstein, and the phone number for the Foundation is +423- 235 02 24.</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Moschou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Sotirhos</w:t>
            </w:r>
          </w:p>
        </w:tc>
        <w:tc>
          <w:tcPr>
            <w:tcW w:w="1520" w:type="dxa"/>
            <w:vAlign w:val="bottom"/>
            <w:gridSpan w:val="2"/>
          </w:tcPr>
          <w:p>
            <w:pPr>
              <w:spacing w:after="0"/>
              <w:rPr>
                <w:sz w:val="20"/>
                <w:szCs w:val="20"/>
                <w:color w:val="auto"/>
              </w:rPr>
            </w:pPr>
            <w:r>
              <w:rPr>
                <w:rFonts w:ascii="Arial" w:cs="Arial" w:eastAsia="Arial" w:hAnsi="Arial"/>
                <w:sz w:val="18"/>
                <w:szCs w:val="18"/>
                <w:color w:val="auto"/>
              </w:rPr>
              <w:t>545 Smith Ridge</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Blackstone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Investment and</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Institutional</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Road New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i w:val="1"/>
                <w:iCs w:val="1"/>
                <w:color w:val="auto"/>
              </w:rPr>
              <w:t>Senior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advisory firm</w:t>
            </w: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Client Solutions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Canaan,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Group at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Connecticut 06840</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 xml:space="preserve">Director, </w:t>
            </w:r>
            <w:r>
              <w:rPr>
                <w:rFonts w:ascii="Arial" w:cs="Arial" w:eastAsia="Arial" w:hAnsi="Arial"/>
                <w:sz w:val="18"/>
                <w:szCs w:val="18"/>
                <w:color w:val="auto"/>
                <w:w w:val="89"/>
              </w:rPr>
              <w:t>345 Park</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Blackstone, </w:t>
            </w:r>
            <w:r>
              <w:rPr>
                <w:rFonts w:ascii="Arial" w:cs="Arial" w:eastAsia="Arial" w:hAnsi="Arial"/>
                <w:sz w:val="18"/>
                <w:szCs w:val="18"/>
                <w:i w:val="1"/>
                <w:iCs w:val="1"/>
                <w:color w:val="auto"/>
                <w:w w:val="86"/>
              </w:rPr>
              <w:t>Senior</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USA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NY, NY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10154 USA</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7"/>
              </w:rPr>
              <w:t>Country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6"/>
              </w:rPr>
              <w:t>Incorporation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center"/>
              <w:ind w:left="47"/>
              <w:spacing w:after="0"/>
              <w:rPr>
                <w:sz w:val="20"/>
                <w:szCs w:val="20"/>
                <w:color w:val="auto"/>
              </w:rPr>
            </w:pPr>
            <w:r>
              <w:rPr>
                <w:rFonts w:ascii="Arial" w:cs="Arial" w:eastAsia="Arial" w:hAnsi="Arial"/>
                <w:sz w:val="13"/>
                <w:szCs w:val="13"/>
                <w:b w:val="1"/>
                <w:bCs w:val="1"/>
                <w:color w:val="auto"/>
                <w:w w:val="95"/>
              </w:rPr>
              <w:t>Citizenship</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spacing w:after="0"/>
              <w:rPr>
                <w:sz w:val="20"/>
                <w:szCs w:val="20"/>
                <w:color w:val="auto"/>
              </w:rPr>
            </w:pPr>
            <w:r>
              <w:rPr>
                <w:rFonts w:ascii="Arial" w:cs="Arial" w:eastAsia="Arial" w:hAnsi="Arial"/>
                <w:sz w:val="18"/>
                <w:szCs w:val="18"/>
                <w:color w:val="auto"/>
              </w:rPr>
              <w:t>15 North Fazio</w:t>
            </w:r>
          </w:p>
        </w:tc>
        <w:tc>
          <w:tcPr>
            <w:tcW w:w="1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U.S.A.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749"/>
              <w:spacing w:after="0"/>
              <w:rPr>
                <w:sz w:val="20"/>
                <w:szCs w:val="20"/>
                <w:color w:val="auto"/>
              </w:rPr>
            </w:pPr>
            <w:r>
              <w:rPr>
                <w:rFonts w:ascii="Arial" w:cs="Arial" w:eastAsia="Arial" w:hAnsi="Arial"/>
                <w:sz w:val="18"/>
                <w:szCs w:val="18"/>
                <w:color w:val="auto"/>
                <w:w w:val="86"/>
              </w:rPr>
              <w:t>Retired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Way The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(June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Woodlands, TX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2013 - May 2020)</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77389 USA</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Vice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(2014 - current)</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Argus Media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(February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2011 -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Lacon House, 84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Theobald’s Road,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London WC1X</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BNL</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Suncor,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2018 -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150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6th Avenue SW,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Calgary Alberta,</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Canada T2P 3E3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American Bureau</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of Shipping,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2011 -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1701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City Plaza Drive,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Spring Texas</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77389, USA</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(2014 -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3"/>
          </w:tcPr>
          <w:p>
            <w:pPr>
              <w:jc w:val="right"/>
              <w:ind w:right="1209"/>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Nikolaos</w:t>
            </w:r>
          </w:p>
        </w:tc>
        <w:tc>
          <w:tcPr>
            <w:tcW w:w="1340" w:type="dxa"/>
            <w:vAlign w:val="bottom"/>
          </w:tcPr>
          <w:p>
            <w:pPr>
              <w:spacing w:after="0"/>
              <w:rPr>
                <w:sz w:val="20"/>
                <w:szCs w:val="20"/>
                <w:color w:val="auto"/>
              </w:rPr>
            </w:pPr>
            <w:r>
              <w:rPr>
                <w:rFonts w:ascii="Arial" w:cs="Arial" w:eastAsia="Arial" w:hAnsi="Arial"/>
                <w:sz w:val="18"/>
                <w:szCs w:val="18"/>
                <w:color w:val="auto"/>
              </w:rPr>
              <w:t>SME Remedium</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Karamouzis</w:t>
            </w:r>
          </w:p>
        </w:tc>
        <w:tc>
          <w:tcPr>
            <w:tcW w:w="1340" w:type="dxa"/>
            <w:vAlign w:val="bottom"/>
          </w:tcPr>
          <w:p>
            <w:pPr>
              <w:spacing w:after="0"/>
              <w:rPr>
                <w:sz w:val="20"/>
                <w:szCs w:val="20"/>
                <w:color w:val="auto"/>
              </w:rPr>
            </w:pPr>
            <w:r>
              <w:rPr>
                <w:rFonts w:ascii="Arial" w:cs="Arial" w:eastAsia="Arial" w:hAnsi="Arial"/>
                <w:sz w:val="18"/>
                <w:szCs w:val="18"/>
                <w:color w:val="auto"/>
              </w:rPr>
              <w:t>Cap, 10 rue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Cap, 10 rue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Cap, </w:t>
            </w: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Antoine Jans, L-</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Antoine Jans, 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Koari 3, 10564,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Grand Duchy of</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Grand Duchy of</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(July</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Grant Thornton,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Greece, </w:t>
            </w:r>
            <w:r>
              <w:rPr>
                <w:rFonts w:ascii="Arial" w:cs="Arial" w:eastAsia="Arial" w:hAnsi="Arial"/>
                <w:sz w:val="18"/>
                <w:szCs w:val="18"/>
                <w:i w:val="1"/>
                <w:iCs w:val="1"/>
                <w:color w:val="auto"/>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(May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Zefyrou 56, 17564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Pal. Faliron,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Cyprus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and </w:t>
            </w:r>
            <w:r>
              <w:rPr>
                <w:rFonts w:ascii="Arial" w:cs="Arial" w:eastAsia="Arial" w:hAnsi="Arial"/>
                <w:sz w:val="18"/>
                <w:szCs w:val="18"/>
                <w:i w:val="1"/>
                <w:iCs w:val="1"/>
                <w:color w:val="auto"/>
                <w:w w:val="86"/>
              </w:rPr>
              <w:t>Vice 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(2018 -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28, Spyrou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Kyprianou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1075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Nicosia, Cyprus</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Eurobank Private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(April 2019 -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current), 534, rue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de Neudorf, 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diaNeosis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Policy Institute,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(2016 -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9"/>
              </w:rPr>
              <w:t>current), Granikou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7, 15125,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Quest Holdings,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Filikis Eterias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Square 19-20,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10673, Athens,</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 w:right="1440"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79" w:name="page180"/>
    <w:bookmarkEnd w:id="179"/>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44"/>
        </w:trPr>
        <w:tc>
          <w:tcPr>
            <w:tcW w:w="9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Stanton Chase,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Committee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Member</w:t>
            </w:r>
            <w:r>
              <w:rPr>
                <w:rFonts w:ascii="Arial" w:cs="Arial" w:eastAsia="Arial" w:hAnsi="Arial"/>
                <w:sz w:val="18"/>
                <w:szCs w:val="18"/>
                <w:color w:val="auto"/>
                <w:w w:val="97"/>
              </w:rPr>
              <w:t>, (2019 -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current), Mykalis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10, 15124</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r>
      <w:tr>
        <w:trPr>
          <w:trHeight w:val="42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Hellenic</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 for</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European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Foreign Policy—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ELIAMEP,</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 Board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Member, </w:t>
            </w:r>
            <w:r>
              <w:rPr>
                <w:rFonts w:ascii="Arial" w:cs="Arial" w:eastAsia="Arial" w:hAnsi="Arial"/>
                <w:sz w:val="18"/>
                <w:szCs w:val="18"/>
                <w:color w:val="auto"/>
                <w:w w:val="97"/>
              </w:rPr>
              <w:t>(2020 -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Vass.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Sofias Avenue 49,</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10676 Athens,</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3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Ergasias S.A.,</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Member of the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(January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March</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3"/>
              </w:rPr>
              <w:t>2019), 8 Othonos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Street, Athens 105</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57, Greece</w:t>
            </w:r>
          </w:p>
        </w:tc>
      </w:tr>
      <w:tr>
        <w:trPr>
          <w:trHeight w:val="459"/>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2"/>
              </w:rPr>
              <w:t>President/Treasurer</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Moschou, </w:t>
            </w:r>
            <w:r>
              <w:rPr>
                <w:rFonts w:ascii="Arial" w:cs="Arial" w:eastAsia="Arial" w:hAnsi="Arial"/>
                <w:sz w:val="18"/>
                <w:szCs w:val="18"/>
                <w:b w:val="1"/>
                <w:bCs w:val="1"/>
                <w:i w:val="1"/>
                <w:iCs w:val="1"/>
                <w:color w:val="auto"/>
                <w:w w:val="92"/>
              </w:rPr>
              <w:t>Secretary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 Agreement</w:t>
      </w:r>
    </w:p>
    <w:p>
      <w:pPr>
        <w:spacing w:after="0" w:line="225"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0" w:name="page181"/>
    <w:bookmarkEnd w:id="180"/>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45"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or Mr. Livanos), provided that the transferee or transferees agree to be bound by the share transfer restrictions of the restrictive covenant agreement;</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6"/>
          <w:szCs w:val="16"/>
          <w:color w:val="auto"/>
        </w:rPr>
        <w:t>On April 4, 2012, we entered into a registration rights agreement with Blenheim Holdings, Peter G. Livanos and Olympic,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 In connection with the transactions, Blenheim Holdings, Peter G. Livanos and Olympic have agreed in the rollover agreement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color w:val="auto"/>
        </w:rPr>
        <w:t>take all actions necessary to cause the termination of the registration rights agreement concurrently with, and effective as of, the closing of the transactions.</w:t>
      </w:r>
    </w:p>
    <w:p>
      <w:pPr>
        <w:spacing w:after="0" w:line="248"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On June 22, 2020, we entered into a registration rights agreement with certain of our shareholders, including Olympic,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On March 29, 2012, we entered into subscription agreements with certain of our directors and officers for a concurrent private placement of 261,670 Company common shares at a price of $14.00 per share.</w:t>
      </w:r>
    </w:p>
    <w:p>
      <w:pPr>
        <w:spacing w:after="0" w:line="186" w:lineRule="exact"/>
        <w:rPr>
          <w:sz w:val="20"/>
          <w:szCs w:val="20"/>
          <w:color w:val="auto"/>
        </w:rPr>
      </w:pPr>
    </w:p>
    <w:p>
      <w:pPr>
        <w:jc w:val="both"/>
        <w:ind w:right="20" w:firstLine="407"/>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and affiliates, including Blenheim Holdings and Olympic, for a concurrent private placement of 2,317,460 Company common shares at a price of $15.75 per share.</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On June 22, 2020, we entered into share purchase agreements with certain of our directors and affiliates, including Blenheim Holdings and Olympic, amongst others, for a private placement of 14,400,000 Company common shares at a price of $2.50 per share. Approximately 75% of shares issued in the Private Placement were purchased by the Company’s directors and affiliates, including 6,500,000 common shares purchased by Blenheim Holdings Ltd. and 4,000,000 common shares purchased by Olympic.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512"/>
        <w:spacing w:after="0" w:line="323" w:lineRule="auto"/>
        <w:rPr>
          <w:sz w:val="20"/>
          <w:szCs w:val="20"/>
          <w:color w:val="auto"/>
        </w:rPr>
      </w:pPr>
      <w:r>
        <w:rPr>
          <w:rFonts w:ascii="Arial" w:cs="Arial" w:eastAsia="Arial" w:hAnsi="Arial"/>
          <w:sz w:val="15"/>
          <w:szCs w:val="15"/>
          <w:color w:val="auto"/>
        </w:rPr>
        <w:t>We have entered into indemnification agreements with our directors and officers, including Peter G. Livanos and Anthony S. Papadimitriou,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Related Arrangements</w:t>
      </w:r>
    </w:p>
    <w:p>
      <w:pPr>
        <w:spacing w:after="0" w:line="225" w:lineRule="exact"/>
        <w:rPr>
          <w:sz w:val="20"/>
          <w:szCs w:val="20"/>
          <w:color w:val="auto"/>
        </w:rPr>
      </w:pPr>
    </w:p>
    <w:p>
      <w:pPr>
        <w:jc w:val="both"/>
        <w:ind w:firstLine="369"/>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the Livanos family, Nea Dimitra Ktimatiki Kai Emporiki S.A. The lease agreement is filed with the Greek authorities, and has been entered into on market rates.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 xml:space="preserve">The Company entered into a consulting agreement with Unisea Maritime Ltd. (“Unisea”), an entity controlled by the Livanos family, in consideration of the consulting services performed by Unisea in respect of the sale and leaseback transaction for the vessel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the Company agreed to pay a brokerage commission fee equal to 0.25% of the agreed charter rates under the sale and leaseback transaction plus reasonable expenses (in line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jc w:val="both"/>
        <w:spacing w:after="0" w:line="268" w:lineRule="auto"/>
        <w:rPr>
          <w:sz w:val="20"/>
          <w:szCs w:val="20"/>
          <w:color w:val="auto"/>
        </w:rPr>
      </w:pPr>
      <w:r>
        <w:rPr>
          <w:rFonts w:ascii="Arial" w:cs="Arial" w:eastAsia="Arial" w:hAnsi="Arial"/>
          <w:sz w:val="18"/>
          <w:szCs w:val="18"/>
          <w:color w:val="auto"/>
        </w:rPr>
        <w:t>Company’s policies). The brokerage commission fee was paid in advance for the full 20-year period of the bareboat charter, discounted to the date of the agreement at an annual discount rate of 7.5%.</w:t>
      </w:r>
    </w:p>
    <w:p>
      <w:pPr>
        <w:spacing w:after="0" w:line="186"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The Company entered into a consulting agreement for the services of an employee of Ceres Monaco S.A.M., an entity controlled by the Livanos family, for consultancy services in connection with the acquisition of the Company’s shareholding in Gastrade and the ongoing work on the development of the Alexandroupolis FSRU project. The Company agreed to pay a fixed fee for work carried out between May 1, 2016 and December 31, 2017 in the sum of $100,000 and an ongoing consultancy arrangement fee of $12,000 per month for a minimum of 12 days per month, which was terminated on December 31, 2020.</w:t>
      </w:r>
    </w:p>
    <w:p>
      <w:pPr>
        <w:spacing w:after="0" w:line="201"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In December 2020, the Company and the Partnership reached agreement with Ceres Shipping, an entity controlled by the Livanos family, to pay a fee of US$1.0M to Ceres Shipping in consideration of the provision of services provided by employees of Ceres Shipping in support of the refinancing of all the Company and the Partnership bank debt maturities due in 2021. The US$1.0M fee was paid 60% by the Company and 40% by the Partnership.</w:t>
      </w:r>
    </w:p>
    <w:p>
      <w:pPr>
        <w:spacing w:after="0" w:line="1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February 2021, GasLog agreed with Ceres Shipping that if GasLog proceeds with the refinancing of the 8.875% Senior Notes due 2022, Ceres Shipping will receive a fee equal to 10% of the total fees paid by the Company to investment banks in the refinancing process. The fee payable to Ceres Shipping will be in consideration of the provision of services provided by employees of Ceres Shipping in support of the refinancing.</w:t>
      </w:r>
    </w:p>
    <w:p>
      <w:pPr>
        <w:spacing w:after="0" w:line="160" w:lineRule="exact"/>
        <w:rPr>
          <w:sz w:val="20"/>
          <w:szCs w:val="20"/>
          <w:color w:val="auto"/>
        </w:rPr>
      </w:pPr>
    </w:p>
    <w:p>
      <w:pPr>
        <w:jc w:val="both"/>
        <w:ind w:firstLine="437"/>
        <w:spacing w:after="0" w:line="290" w:lineRule="auto"/>
        <w:rPr>
          <w:sz w:val="20"/>
          <w:szCs w:val="20"/>
          <w:color w:val="auto"/>
        </w:rPr>
      </w:pPr>
      <w:r>
        <w:rPr>
          <w:rFonts w:ascii="Arial" w:cs="Arial" w:eastAsia="Arial" w:hAnsi="Arial"/>
          <w:sz w:val="16"/>
          <w:szCs w:val="16"/>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any of the rolling shareholder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any rolling shareholder party, and (iii) none of the Company’s executive officers, directors or affiliates that is a natural person entered into any transaction during the past two years with an aggregate value (in respect of such transaction or series of similar transactions with that person) exceeding $60,000 with any rolling shareholder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GEPIF Filing Parties</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 parties, on the other hand.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The following are material U.S. federal income tax consequences of the merger to holders of Company common shares whose common shares are converted into the right to receive cash pursuant to the merger. This discussion applies only to persons that hold their Company common shares as capital assets for U.S. federal income tax purposes (generally, property held for investment). This discussion does not describe all of the tax consequences that may be relevant to an owner of Company common shares in light of its particular circumstances, including alternative minimum tax or Medicare contribution tax considerations, or to persons subject to special rules, such as:</w:t>
      </w:r>
    </w:p>
    <w:p>
      <w:pPr>
        <w:spacing w:after="0" w:line="214"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Brokers in securities, commodities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Persons holding Company common shares as part of a straddle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Holders who own or have owned (directly, indirectly or constructively) 5% or more (by vote or value) of the Company common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 investors in such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Persons that acquired Company common shares through the exercise of employee stock options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Holders of Company common shares not exchanging such shares for cash pursuant to the merger;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Holders of Company preference shares.</w:t>
      </w:r>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Company common shares, the U.S. federal income tax treatment of a partner will generally depend on the status of the partner and the activities of the partnership. Partnerships holding Company common shares and partners in such partnerships should consult their tax advisors as to the particular U.S. federal income tax consequences of the merger to them.</w:t>
      </w:r>
    </w:p>
    <w:p>
      <w:pPr>
        <w:spacing w:after="0" w:line="160" w:lineRule="exact"/>
        <w:rPr>
          <w:sz w:val="20"/>
          <w:szCs w:val="20"/>
          <w:color w:val="auto"/>
        </w:rPr>
      </w:pPr>
    </w:p>
    <w:p>
      <w:pPr>
        <w:jc w:val="both"/>
        <w:ind w:firstLine="415"/>
        <w:spacing w:after="0" w:line="331" w:lineRule="auto"/>
        <w:rPr>
          <w:sz w:val="20"/>
          <w:szCs w:val="20"/>
          <w:color w:val="auto"/>
        </w:rPr>
      </w:pPr>
      <w:r>
        <w:rPr>
          <w:rFonts w:ascii="Arial" w:cs="Arial" w:eastAsia="Arial" w:hAnsi="Arial"/>
          <w:sz w:val="16"/>
          <w:szCs w:val="16"/>
          <w:color w:val="auto"/>
        </w:rPr>
        <w:t>This discussion is based on the Code, administrative pronouncements, judicial decisions and final and temporary Treasury regulations, all as of the date hereof, any of which is subject to change, possibly with retroactive effect. Tax considerations under state, local and non-U.S. laws are not addressed.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discussion, the term “U.S. holder” means a beneficial owner of Company common shares that is:</w:t>
      </w:r>
    </w:p>
    <w:p>
      <w:pPr>
        <w:spacing w:after="0" w:line="239"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In general, a U.S. holder whose Company common shares are converted into the right to receive cash will recognize capital gain or loss for U.S. federal income tax purposes in an amount equal to the difference, if any, between the amount of cash received with respect to such shares and the U.S. holder’s adjusted tax basis in such shares. A U.S. holder’s adjusted tax basis generally will equal the price the U.S. holder paid for such shares. Subject to the discussion below concerning the PFIC rules, such gain or loss generally will be treated as long-term capital gain or loss if the U.S. holder’s holding period in the Company common shares exceeds one year at the time of disposition. Any such gain or loss recognized by U.S. holders generally will be treated as U.S.-source gain or loss. Long-term capital gains of non-corporate U.S. holders generally are subject to U.S. federal income tax at preferential rates. The deductibility of capital losses is subject to limitations.</w:t>
      </w:r>
    </w:p>
    <w:p>
      <w:pPr>
        <w:spacing w:after="0" w:line="178"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If a U.S. holder acquired different blocks of Company common shares at different times or at different prices, the U.S. holder generally must determine its adjusted tax basis and holding period separately with respect to each block of Company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If it were determined that the Company is or has been a passive foreign investment company within the meaning of the Code (referred to in this proxy statement as a “PFIC”), a U.S. holder of Company common shares generally would be required (i) to pay a special addition to tax on certain distributions and gains on the sale or other disposition of such shares and (ii) to pay tax on any gain from the sale or other disposition of such shares at ordinary income (rather than capital gains) rates in addition to paying the special addition to tax on this gain.</w:t>
      </w:r>
    </w:p>
    <w:p>
      <w:pPr>
        <w:spacing w:after="0" w:line="197"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In general, a non-U.S. corporation will be a PFIC during a given year if (i) 75% or more of its gross income constitutes “passive income” or (ii) 50% or more of its assets produce (or are held for the production of) passive income. For purposes of the PFIC determination, a non-U.S. corporation is generally treated as owning a proportionate share of the assets and income of any other corporation in which it owns, directly or indirectly, more than 25% (by value) of the corporation’s shares. Passive income generally includes interest, dividends, annuities and other investment income.</w:t>
      </w:r>
    </w:p>
    <w:p>
      <w:pPr>
        <w:spacing w:after="0" w:line="16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Company is not currently classified as a PFIC for U.S. federal income tax purposes, but this conclusion is a factual determination made annually and, thus, is subject to change. The PFIC rules are complex, and each U.S. holder should consult its own tax advisor regarding the classification of the Company as a PFIC and the effect of the PFIC rules on such U.S.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Payments made to a U.S. holder in exchange for the Company shares pursuant to the merger generally will be subject to information reporting and may be subject to backup withholding (at a rate of 24%). To avoid backup withholding, each U.S. holder should timely complete and return an IRS Form W-9, certifying that such U.S. holder is a U.S. person, the taxpayer identification number provided is correct and such U.S. holder is not subject to backup withholding. Certain exempt holders generally are not subject to backup withholding. Backup withholding is not an additional tax. The amount of any backup withholding from a payment to a U.S. holder will be allowed as a credit against the U.S. holder’s U.S. federal income tax liability and may entitle the U.S. holder to a refund if the required information is timely furnished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For purposes of this discussion, a “non-U.S. holder” is a beneficial owner of Company common shares that is neither a U.S. holder nor an entity or arrangement classified as a partnership for U.S. federal income tax purposes.</w:t>
      </w:r>
    </w:p>
    <w:p>
      <w:pPr>
        <w:spacing w:after="0" w:line="186"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on the receipt of cash in exchange for Company common shares pursuant to the merger unless:</w:t>
      </w:r>
    </w:p>
    <w:p>
      <w:pPr>
        <w:spacing w:after="0" w:line="199" w:lineRule="exact"/>
        <w:rPr>
          <w:sz w:val="20"/>
          <w:szCs w:val="20"/>
          <w:color w:val="auto"/>
        </w:rPr>
      </w:pPr>
    </w:p>
    <w:p>
      <w:pPr>
        <w:ind w:left="1080" w:right="20" w:hanging="532"/>
        <w:spacing w:after="0" w:line="331"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 or</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of Company common shares pursuant to the merger, and certain other requirements are met.</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generally in the same manner as if such non-U.S. holder were a U.S. holder. A non-U.S. holder that is a corporation also may be subject to a branch profits tax at a rate of 30%, or lower rate specified in an applicable income tax treaty, on such effectively connected gain, as adjusted for certain items.</w:t>
      </w:r>
    </w:p>
    <w:p>
      <w:pPr>
        <w:spacing w:after="0" w:line="197" w:lineRule="exact"/>
        <w:rPr>
          <w:sz w:val="20"/>
          <w:szCs w:val="20"/>
          <w:color w:val="auto"/>
        </w:rPr>
      </w:pPr>
    </w:p>
    <w:p>
      <w:pPr>
        <w:jc w:val="both"/>
        <w:ind w:firstLine="489"/>
        <w:spacing w:after="0" w:line="306" w:lineRule="auto"/>
        <w:rPr>
          <w:sz w:val="20"/>
          <w:szCs w:val="20"/>
          <w:color w:val="auto"/>
        </w:rPr>
      </w:pPr>
      <w:r>
        <w:rPr>
          <w:rFonts w:ascii="Arial" w:cs="Arial" w:eastAsia="Arial" w:hAnsi="Arial"/>
          <w:sz w:val="16"/>
          <w:szCs w:val="16"/>
          <w:color w:val="auto"/>
        </w:rPr>
        <w:t>Gain described in the second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general, a non-U.S. holder will not be subject to U.S. federal backup withholding or information reporting with respect to cash received by the non-U.S. holder in exchange for Company common shares pursuant to the merger, if the non-U.S. holder (i) certifies under penalty of perjury that it is not a United States person (by providing a properly executed IRS Form W-8BEN, IRS Form W-8BEN-E or other applicable IRS Form W-8) and the payor does not have actual knowledge or reason to know that the holder is a “United States person” as defined under the Code or (ii) such holder otherwise establishes an exemption from backup withholding. Backup withholding is not an additional tax. The amount of any backup withholding from a payment to a non-U.S. holder will be allowed as a credit against the non-U.S.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t>holder’s U.S. federal income tax liability and may entitle the non-U.S. holder to a refund if the required information is timely furnished to the IRS.</w:t>
      </w:r>
    </w:p>
    <w:p>
      <w:pPr>
        <w:spacing w:after="0" w:line="242" w:lineRule="exact"/>
        <w:rPr>
          <w:sz w:val="20"/>
          <w:szCs w:val="20"/>
          <w:color w:val="auto"/>
        </w:rPr>
      </w:pPr>
    </w:p>
    <w:p>
      <w:pPr>
        <w:ind w:firstLine="364"/>
        <w:spacing w:after="0" w:line="339" w:lineRule="auto"/>
        <w:rPr>
          <w:sz w:val="20"/>
          <w:szCs w:val="20"/>
          <w:color w:val="auto"/>
        </w:rPr>
      </w:pPr>
      <w:r>
        <w:rPr>
          <w:rFonts w:ascii="Arial" w:cs="Arial" w:eastAsia="Arial" w:hAnsi="Arial"/>
          <w:sz w:val="16"/>
          <w:szCs w:val="16"/>
          <w:b w:val="1"/>
          <w:bCs w:val="1"/>
          <w:color w:val="auto"/>
        </w:rPr>
        <w:t>You are urged to consult your tax advisor with respect to the application of U.S. federal income tax laws to your particular circumstances as well as any tax consequences arising under the U.S. federal estate or gift tax rules, or under the laws of any state, local or non-U.S. tax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8"/>
          <w:szCs w:val="18"/>
          <w:b w:val="1"/>
          <w:bCs w:val="1"/>
          <w:color w:val="auto"/>
        </w:rPr>
        <w:t>FUTURE SHAREHOLDER PROPOSALS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If the merger is completed, the Company will have no public shareholders, and there will be no public participation in any future annual general meetings of shareholders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8" w:name="page189"/>
    <w:bookmarkEnd w:id="188"/>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We are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66"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You also may obtain free copies of the documents we file with the SEC by going to the “Investors” section of our website at http:// www.gaslogltd.com. Our website address is provided as an inactive textual reference only. The information provided on our website is not part of this proxy statement, and therefore is not incorporated by reference.</w:t>
      </w:r>
    </w:p>
    <w:p>
      <w:pPr>
        <w:spacing w:after="0" w:line="194"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Because the merger is a “going-private” transaction, the GEPIF filing parties, the Company and certain affiliates of the Company have filed with the SEC a Transaction Statement on Schedule 13E-3 with respect to the merger.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97"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6"/>
          <w:szCs w:val="16"/>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Our annual report on Form 20-F filed with the SEC on March 5, 2021 is incorporated herein by reference.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73"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97"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Requests for copies of our filings should be directed to Investor Relations at GasLog Ltd., c/o GasLog LNG Services Ltd., 69 Akti Miaouli, 18537 Piraeus, Greece, +1 212-223-0643.</w:t>
      </w:r>
    </w:p>
    <w:p>
      <w:pPr>
        <w:spacing w:after="0" w:line="18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GENERAL MEETING. WE HAVE NOT AUTHORIZED ANYONE TO PROVIDE YOU WITH INFORMATION THAT IS DIFFERENT FROM WHAT IS CONTAINED OR INCORPORATED BY REFERENCE IN THIS PROXY STATEMENT.</w:t>
      </w:r>
    </w:p>
    <w:p>
      <w:pPr>
        <w:spacing w:after="0" w:line="198"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auto"/>
        </w:rPr>
        <w:t>THIS PROXY STATEMENT IS DATED MAY 3, 2021. YOU SHOULD NOT ASSUME THAT THE INFORMATION CONTAINED IN THIS PROXY STATEMENT IS ACCURATE AS OF ANY DATE OTHER THAN THAT DATE, AND THE MAILING OF THIS PROXY STATEMENT TO SHAREHOLDERS DOES NOT CREATE ANY IMPLICATION TO THE CONTRARY.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9" w:name="page190"/>
    <w:bookmarkEnd w:id="189"/>
    <w:p>
      <w:pPr>
        <w:jc w:val="right"/>
        <w:ind w:right="40"/>
        <w:spacing w:after="0"/>
        <w:rPr>
          <w:sz w:val="20"/>
          <w:szCs w:val="20"/>
          <w:color w:val="auto"/>
        </w:rPr>
      </w:pPr>
      <w:r>
        <w:rPr>
          <w:rFonts w:ascii="Arial" w:cs="Arial" w:eastAsia="Arial" w:hAnsi="Arial"/>
          <w:sz w:val="18"/>
          <w:szCs w:val="18"/>
          <w:b w:val="1"/>
          <w:bCs w:val="1"/>
          <w:color w:val="auto"/>
        </w:rPr>
        <w:t>Annex A-1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90" w:name="page191"/>
    <w:bookmarkEnd w:id="190"/>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14"/>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vMerge w:val="restart"/>
          </w:tcPr>
          <w:p>
            <w:pPr>
              <w:jc w:val="center"/>
              <w:ind w:right="20"/>
              <w:spacing w:after="0"/>
              <w:rPr>
                <w:rFonts w:ascii="Arial" w:cs="Arial" w:eastAsia="Arial" w:hAnsi="Arial"/>
                <w:sz w:val="18"/>
                <w:szCs w:val="18"/>
                <w:color w:val="0000EE"/>
                <w:w w:val="97"/>
              </w:rPr>
            </w:pPr>
            <w:hyperlink w:anchor="page195">
              <w:r>
                <w:rPr>
                  <w:rFonts w:ascii="Arial" w:cs="Arial" w:eastAsia="Arial" w:hAnsi="Arial"/>
                  <w:sz w:val="18"/>
                  <w:szCs w:val="18"/>
                  <w:color w:val="0000EE"/>
                  <w:w w:val="97"/>
                </w:rPr>
                <w:t>ARTICLE I</w:t>
              </w:r>
            </w:hyperlink>
          </w:p>
        </w:tc>
        <w:tc>
          <w:tcPr>
            <w:tcW w:w="3700" w:type="dxa"/>
            <w:vAlign w:val="bottom"/>
            <w:gridSpan w:val="7"/>
            <w:vMerge w:val="restart"/>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0000EE"/>
            </w:tcBorders>
            <w:gridSpan w:val="3"/>
            <w:vMerge w:val="continue"/>
          </w:tcPr>
          <w:p>
            <w:pPr>
              <w:spacing w:after="0"/>
              <w:rPr>
                <w:sz w:val="14"/>
                <w:szCs w:val="14"/>
                <w:color w:val="auto"/>
              </w:rPr>
            </w:pPr>
          </w:p>
        </w:tc>
        <w:tc>
          <w:tcPr>
            <w:tcW w:w="370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195">
              <w:r>
                <w:rPr>
                  <w:rFonts w:ascii="Arial" w:cs="Arial" w:eastAsia="Arial" w:hAnsi="Arial"/>
                  <w:sz w:val="18"/>
                  <w:szCs w:val="18"/>
                  <w:color w:val="0000EE"/>
                  <w:w w:val="90"/>
                </w:rPr>
                <w:t>The Merger</w:t>
              </w:r>
            </w:hyperlink>
          </w:p>
        </w:tc>
        <w:tc>
          <w:tcPr>
            <w:tcW w:w="3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195">
              <w:r>
                <w:rPr>
                  <w:rFonts w:ascii="Arial" w:cs="Arial" w:eastAsia="Arial" w:hAnsi="Arial"/>
                  <w:sz w:val="18"/>
                  <w:szCs w:val="18"/>
                  <w:color w:val="0000EE"/>
                  <w:w w:val="86"/>
                </w:rPr>
                <w:t>SECTION 1.01.</w:t>
              </w:r>
            </w:hyperlink>
          </w:p>
        </w:tc>
        <w:tc>
          <w:tcPr>
            <w:tcW w:w="7500" w:type="dxa"/>
            <w:vAlign w:val="bottom"/>
            <w:gridSpan w:val="39"/>
          </w:tcPr>
          <w:p>
            <w:pPr>
              <w:ind w:left="280"/>
              <w:spacing w:after="0"/>
              <w:rPr>
                <w:rFonts w:ascii="Arial" w:cs="Arial" w:eastAsia="Arial" w:hAnsi="Arial"/>
                <w:sz w:val="18"/>
                <w:szCs w:val="18"/>
                <w:color w:val="0000EE"/>
              </w:rPr>
            </w:pPr>
            <w:hyperlink w:anchor="page195">
              <w:r>
                <w:rPr>
                  <w:rFonts w:ascii="Arial" w:cs="Arial" w:eastAsia="Arial" w:hAnsi="Arial"/>
                  <w:sz w:val="18"/>
                  <w:szCs w:val="18"/>
                  <w:color w:val="0000EE"/>
                </w:rPr>
                <w:t>Merger</w:t>
              </w:r>
            </w:hyperlink>
          </w:p>
        </w:tc>
        <w:tc>
          <w:tcPr>
            <w:tcW w:w="360" w:type="dxa"/>
            <w:vAlign w:val="bottom"/>
            <w:gridSpan w:val="4"/>
          </w:tcPr>
          <w:p>
            <w:pPr>
              <w:jc w:val="right"/>
              <w:spacing w:after="0"/>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SECTION 1.02.   Merger Effective Time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5">
              <w:r>
                <w:rPr>
                  <w:rFonts w:ascii="Arial" w:cs="Arial" w:eastAsia="Arial" w:hAnsi="Arial"/>
                  <w:sz w:val="18"/>
                  <w:szCs w:val="18"/>
                  <w:color w:val="0000EE"/>
                  <w:w w:val="86"/>
                </w:rPr>
                <w:t>SECTION 1.03.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Effects of Merger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SECTION 1.04.   Memorandum of Association and Bye-Laws of the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SECTION 1.05.   Board of Directors and Officers of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6">
              <w:r>
                <w:rPr>
                  <w:rFonts w:ascii="Arial" w:cs="Arial" w:eastAsia="Arial" w:hAnsi="Arial"/>
                  <w:sz w:val="18"/>
                  <w:szCs w:val="18"/>
                  <w:color w:val="0000EE"/>
                  <w:w w:val="86"/>
                </w:rPr>
                <w:t>SECTION 1.06.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Closing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1"/>
          </w:tcPr>
          <w:p>
            <w:pPr>
              <w:jc w:val="center"/>
              <w:ind w:right="3700"/>
              <w:spacing w:after="0"/>
              <w:rPr>
                <w:rFonts w:ascii="Arial" w:cs="Arial" w:eastAsia="Arial" w:hAnsi="Arial"/>
                <w:sz w:val="18"/>
                <w:szCs w:val="18"/>
                <w:color w:val="0000EE"/>
                <w:w w:val="96"/>
              </w:rPr>
            </w:pPr>
            <w:hyperlink w:anchor="page197">
              <w:r>
                <w:rPr>
                  <w:rFonts w:ascii="Arial" w:cs="Arial" w:eastAsia="Arial" w:hAnsi="Arial"/>
                  <w:sz w:val="18"/>
                  <w:szCs w:val="18"/>
                  <w:color w:val="0000EE"/>
                  <w:w w:val="96"/>
                </w:rPr>
                <w:t>ARTICLE 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Borders>
              <w:bottom w:val="single" w:sz="8" w:color="0000EE"/>
            </w:tcBorders>
            <w:gridSpan w:val="36"/>
          </w:tcPr>
          <w:p>
            <w:pPr>
              <w:jc w:val="center"/>
              <w:spacing w:after="0"/>
              <w:rPr>
                <w:rFonts w:ascii="Arial" w:cs="Arial" w:eastAsia="Arial" w:hAnsi="Arial"/>
                <w:sz w:val="18"/>
                <w:szCs w:val="18"/>
                <w:color w:val="0000EE"/>
                <w:w w:val="88"/>
              </w:rPr>
            </w:pPr>
            <w:hyperlink w:anchor="page197">
              <w:r>
                <w:rPr>
                  <w:rFonts w:ascii="Arial" w:cs="Arial" w:eastAsia="Arial" w:hAnsi="Arial"/>
                  <w:sz w:val="18"/>
                  <w:szCs w:val="18"/>
                  <w:color w:val="0000EE"/>
                  <w:w w:val="88"/>
                </w:rPr>
                <w:t>Effect on the Share Capital of the Constituent Entities; Payment of Consideration</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20" w:type="dxa"/>
            <w:vAlign w:val="bottom"/>
            <w:gridSpan w:val="40"/>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SECTION 2.01.   Effect of Merger on the Share Capital of Merger Sub and the Company</w:t>
              </w:r>
            </w:hyperlink>
          </w:p>
        </w:tc>
        <w:tc>
          <w:tcPr>
            <w:tcW w:w="360" w:type="dxa"/>
            <w:vAlign w:val="bottom"/>
            <w:gridSpan w:val="4"/>
          </w:tcPr>
          <w:p>
            <w:pPr>
              <w:jc w:val="right"/>
              <w:spacing w:after="0"/>
              <w:rPr>
                <w:rFonts w:ascii="Arial" w:cs="Arial" w:eastAsia="Arial" w:hAnsi="Arial"/>
                <w:sz w:val="18"/>
                <w:szCs w:val="18"/>
                <w:color w:val="0000EE"/>
              </w:rPr>
            </w:pPr>
            <w:hyperlink w:anchor="page19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SECTION 2.02.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Exchange Fund</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0">
              <w:r>
                <w:rPr>
                  <w:rFonts w:ascii="Arial" w:cs="Arial" w:eastAsia="Arial" w:hAnsi="Arial"/>
                  <w:sz w:val="18"/>
                  <w:szCs w:val="18"/>
                  <w:color w:val="0000EE"/>
                  <w:w w:val="86"/>
                </w:rPr>
                <w:t>SECTION 2.03.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Company Awards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SECTION 2.04.   Shares of Dissenting Holders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SECTION 2.05.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Adjustments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bottom w:val="single" w:sz="8" w:color="0000EE"/>
            </w:tcBorders>
            <w:gridSpan w:val="6"/>
          </w:tcPr>
          <w:p>
            <w:pPr>
              <w:jc w:val="center"/>
              <w:spacing w:after="0"/>
              <w:rPr>
                <w:rFonts w:ascii="Arial" w:cs="Arial" w:eastAsia="Arial" w:hAnsi="Arial"/>
                <w:sz w:val="18"/>
                <w:szCs w:val="18"/>
                <w:color w:val="0000EE"/>
                <w:w w:val="99"/>
              </w:rPr>
            </w:pPr>
            <w:hyperlink w:anchor="page201">
              <w:r>
                <w:rPr>
                  <w:rFonts w:ascii="Arial" w:cs="Arial" w:eastAsia="Arial" w:hAnsi="Arial"/>
                  <w:sz w:val="18"/>
                  <w:szCs w:val="18"/>
                  <w:color w:val="0000EE"/>
                  <w:w w:val="99"/>
                </w:rPr>
                <w:t>ARTICLE III</w:t>
              </w:r>
            </w:hyperlink>
          </w:p>
        </w:tc>
        <w:tc>
          <w:tcPr>
            <w:tcW w:w="36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2"/>
          </w:tcPr>
          <w:p>
            <w:pPr>
              <w:jc w:val="center"/>
              <w:ind w:right="2440"/>
              <w:spacing w:after="0"/>
              <w:rPr>
                <w:rFonts w:ascii="Arial" w:cs="Arial" w:eastAsia="Arial" w:hAnsi="Arial"/>
                <w:sz w:val="18"/>
                <w:szCs w:val="18"/>
                <w:color w:val="0000EE"/>
                <w:w w:val="85"/>
              </w:rPr>
            </w:pPr>
            <w:hyperlink w:anchor="page201">
              <w:r>
                <w:rPr>
                  <w:rFonts w:ascii="Arial" w:cs="Arial" w:eastAsia="Arial" w:hAnsi="Arial"/>
                  <w:sz w:val="18"/>
                  <w:szCs w:val="18"/>
                  <w:color w:val="0000EE"/>
                  <w:w w:val="85"/>
                </w:rPr>
                <w:t>Representations and Warranties of the Company</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3.01.</w:t>
              </w:r>
            </w:hyperlink>
          </w:p>
        </w:tc>
        <w:tc>
          <w:tcPr>
            <w:tcW w:w="7500" w:type="dxa"/>
            <w:vAlign w:val="bottom"/>
            <w:gridSpan w:val="39"/>
          </w:tcPr>
          <w:p>
            <w:pPr>
              <w:ind w:left="280"/>
              <w:spacing w:after="0"/>
              <w:rPr>
                <w:rFonts w:ascii="Arial" w:cs="Arial" w:eastAsia="Arial" w:hAnsi="Arial"/>
                <w:sz w:val="18"/>
                <w:szCs w:val="18"/>
                <w:color w:val="0000EE"/>
              </w:rPr>
            </w:pPr>
            <w:hyperlink w:anchor="page202">
              <w:r>
                <w:rPr>
                  <w:rFonts w:ascii="Arial" w:cs="Arial" w:eastAsia="Arial" w:hAnsi="Arial"/>
                  <w:sz w:val="18"/>
                  <w:szCs w:val="18"/>
                  <w:color w:val="0000EE"/>
                </w:rPr>
                <w:t>Organization; Standing</w:t>
              </w:r>
            </w:hyperlink>
          </w:p>
        </w:tc>
        <w:tc>
          <w:tcPr>
            <w:tcW w:w="360" w:type="dxa"/>
            <w:vAlign w:val="bottom"/>
            <w:gridSpan w:val="4"/>
          </w:tcPr>
          <w:p>
            <w:pPr>
              <w:jc w:val="right"/>
              <w:spacing w:after="0"/>
              <w:rPr>
                <w:rFonts w:ascii="Arial" w:cs="Arial" w:eastAsia="Arial" w:hAnsi="Arial"/>
                <w:sz w:val="18"/>
                <w:szCs w:val="18"/>
                <w:color w:val="0000EE"/>
              </w:rPr>
            </w:pPr>
            <w:hyperlink w:anchor="page20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3.02.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Capitalization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SECTION 3.03.   Authority; Noncontravention; Voting Requirements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5">
              <w:r>
                <w:rPr>
                  <w:rFonts w:ascii="Arial" w:cs="Arial" w:eastAsia="Arial" w:hAnsi="Arial"/>
                  <w:sz w:val="18"/>
                  <w:szCs w:val="18"/>
                  <w:color w:val="0000EE"/>
                  <w:w w:val="86"/>
                </w:rPr>
                <w:t>SECTION 3.04.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Governmental Approvals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SECTION 3.05.   Company SEC Documents; Undisclosed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SECTION 3.06.   Absence of Certain Changes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8">
              <w:r>
                <w:rPr>
                  <w:rFonts w:ascii="Arial" w:cs="Arial" w:eastAsia="Arial" w:hAnsi="Arial"/>
                  <w:sz w:val="18"/>
                  <w:szCs w:val="18"/>
                  <w:color w:val="0000EE"/>
                  <w:w w:val="86"/>
                </w:rPr>
                <w:t>SECTION 3.07.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SECTION 3.08.   Compliance with Laws; Permits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SECTION 3.09.   Anti-Corruption; Sanctions; Anti-Money Laundering.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9">
              <w:r>
                <w:rPr>
                  <w:rFonts w:ascii="Arial" w:cs="Arial" w:eastAsia="Arial" w:hAnsi="Arial"/>
                  <w:sz w:val="18"/>
                  <w:szCs w:val="18"/>
                  <w:color w:val="0000EE"/>
                  <w:w w:val="86"/>
                </w:rPr>
                <w:t>SECTION 3.10.</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Tax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1">
              <w:r>
                <w:rPr>
                  <w:rFonts w:ascii="Arial" w:cs="Arial" w:eastAsia="Arial" w:hAnsi="Arial"/>
                  <w:sz w:val="18"/>
                  <w:szCs w:val="18"/>
                  <w:color w:val="0000EE"/>
                  <w:w w:val="86"/>
                </w:rPr>
                <w:t>SECTION 3.11.</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Employee Benefits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SECTION 3.12.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Labor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SECTION 3.13.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Environmental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Intellectual Property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Anti-Takeover Provisions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SECTION 3.16.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Contracts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6">
              <w:r>
                <w:rPr>
                  <w:rFonts w:ascii="Arial" w:cs="Arial" w:eastAsia="Arial" w:hAnsi="Arial"/>
                  <w:sz w:val="18"/>
                  <w:szCs w:val="18"/>
                  <w:color w:val="0000EE"/>
                  <w:w w:val="86"/>
                </w:rPr>
                <w:t>SECTION 3.17.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Insurance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3.18.   Opinion of Financial Advisor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3.19.   Brokers and Other Advisors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3.20.   Vessels; Maritime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3.21.   Title to Properties and Assets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7">
              <w:r>
                <w:rPr>
                  <w:rFonts w:ascii="Arial" w:cs="Arial" w:eastAsia="Arial" w:hAnsi="Arial"/>
                  <w:sz w:val="18"/>
                  <w:szCs w:val="18"/>
                  <w:color w:val="0000EE"/>
                  <w:w w:val="86"/>
                </w:rPr>
                <w:t>SECTION 3.22.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The Partnership</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SECTION 3.23.   Joint Venture Agreements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80" w:type="dxa"/>
            <w:vAlign w:val="bottom"/>
            <w:gridSpan w:val="16"/>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9">
              <w:r>
                <w:rPr>
                  <w:rFonts w:ascii="Arial" w:cs="Arial" w:eastAsia="Arial" w:hAnsi="Arial"/>
                  <w:sz w:val="18"/>
                  <w:szCs w:val="18"/>
                  <w:color w:val="0000EE"/>
                  <w:w w:val="86"/>
                </w:rPr>
                <w:t>SECTION 3.24.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Customers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80" w:type="dxa"/>
            <w:vAlign w:val="bottom"/>
            <w:gridSpan w:val="24"/>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3.25.   No Other Representations or Warranties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20">
              <w:r>
                <w:rPr>
                  <w:rFonts w:ascii="Arial" w:cs="Arial" w:eastAsia="Arial" w:hAnsi="Arial"/>
                  <w:sz w:val="18"/>
                  <w:szCs w:val="18"/>
                  <w:color w:val="0000EE"/>
                  <w:w w:val="85"/>
                </w:rPr>
                <w:t>ARTICLE IV</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29"/>
          </w:tcPr>
          <w:p>
            <w:pPr>
              <w:jc w:val="center"/>
              <w:spacing w:after="0"/>
              <w:rPr>
                <w:rFonts w:ascii="Arial" w:cs="Arial" w:eastAsia="Arial" w:hAnsi="Arial"/>
                <w:sz w:val="18"/>
                <w:szCs w:val="18"/>
                <w:color w:val="0000EE"/>
                <w:w w:val="86"/>
              </w:rPr>
            </w:pPr>
            <w:hyperlink w:anchor="page220">
              <w:r>
                <w:rPr>
                  <w:rFonts w:ascii="Arial" w:cs="Arial" w:eastAsia="Arial" w:hAnsi="Arial"/>
                  <w:sz w:val="18"/>
                  <w:szCs w:val="18"/>
                  <w:color w:val="0000EE"/>
                  <w:w w:val="86"/>
                </w:rPr>
                <w:t>Representations and Warranties of Parent and Merger Sub</w:t>
              </w:r>
            </w:hyperlink>
          </w:p>
        </w:tc>
        <w:tc>
          <w:tcPr>
            <w:tcW w:w="2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20">
              <w:r>
                <w:rPr>
                  <w:rFonts w:ascii="Arial" w:cs="Arial" w:eastAsia="Arial" w:hAnsi="Arial"/>
                  <w:sz w:val="18"/>
                  <w:szCs w:val="18"/>
                  <w:color w:val="0000EE"/>
                  <w:w w:val="87"/>
                </w:rPr>
                <w:t>SECTION 4.01.</w:t>
              </w:r>
            </w:hyperlink>
          </w:p>
        </w:tc>
        <w:tc>
          <w:tcPr>
            <w:tcW w:w="7480" w:type="dxa"/>
            <w:vAlign w:val="bottom"/>
            <w:gridSpan w:val="37"/>
          </w:tcPr>
          <w:p>
            <w:pPr>
              <w:ind w:left="260"/>
              <w:spacing w:after="0"/>
              <w:rPr>
                <w:rFonts w:ascii="Arial" w:cs="Arial" w:eastAsia="Arial" w:hAnsi="Arial"/>
                <w:sz w:val="18"/>
                <w:szCs w:val="18"/>
                <w:color w:val="0000EE"/>
              </w:rPr>
            </w:pPr>
            <w:hyperlink w:anchor="page220">
              <w:r>
                <w:rPr>
                  <w:rFonts w:ascii="Arial" w:cs="Arial" w:eastAsia="Arial" w:hAnsi="Arial"/>
                  <w:sz w:val="18"/>
                  <w:szCs w:val="18"/>
                  <w:color w:val="0000EE"/>
                </w:rPr>
                <w:t>Organization; Standing</w:t>
              </w:r>
            </w:hyperlink>
          </w:p>
        </w:tc>
        <w:tc>
          <w:tcPr>
            <w:tcW w:w="360" w:type="dxa"/>
            <w:vAlign w:val="bottom"/>
            <w:gridSpan w:val="3"/>
          </w:tcPr>
          <w:p>
            <w:pPr>
              <w:jc w:val="right"/>
              <w:spacing w:after="0"/>
              <w:rPr>
                <w:rFonts w:ascii="Arial" w:cs="Arial" w:eastAsia="Arial" w:hAnsi="Arial"/>
                <w:sz w:val="18"/>
                <w:szCs w:val="18"/>
                <w:color w:val="0000EE"/>
              </w:rPr>
            </w:pPr>
            <w:hyperlink w:anchor="page220">
              <w:r>
                <w:rPr>
                  <w:rFonts w:ascii="Arial" w:cs="Arial" w:eastAsia="Arial" w:hAnsi="Arial"/>
                  <w:sz w:val="18"/>
                  <w:szCs w:val="18"/>
                  <w:color w:val="0000EE"/>
                </w:rPr>
                <w:t>27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4.02.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Authority; Noncontravention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4.03.</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Governmental Approvals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SECTION 4.04.   Ownership and Operations of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2">
              <w:r>
                <w:rPr>
                  <w:rFonts w:ascii="Arial" w:cs="Arial" w:eastAsia="Arial" w:hAnsi="Arial"/>
                  <w:sz w:val="18"/>
                  <w:szCs w:val="18"/>
                  <w:color w:val="0000EE"/>
                  <w:w w:val="87"/>
                </w:rPr>
                <w:t>SECTION 4.05.</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SECTION 4.06.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Guarantee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3">
              <w:r>
                <w:rPr>
                  <w:rFonts w:ascii="Arial" w:cs="Arial" w:eastAsia="Arial" w:hAnsi="Arial"/>
                  <w:sz w:val="18"/>
                  <w:szCs w:val="18"/>
                  <w:color w:val="0000EE"/>
                  <w:w w:val="87"/>
                </w:rPr>
                <w:t>SECTION 4.07.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Certain Arrangements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SECTION 4.08.   Brokers and Other Advisors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SECTION 4.09.   No Other Representations or Warranties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4.10.</w:t>
              </w:r>
            </w:hyperlink>
          </w:p>
        </w:tc>
        <w:tc>
          <w:tcPr>
            <w:tcW w:w="7480" w:type="dxa"/>
            <w:vAlign w:val="bottom"/>
            <w:gridSpan w:val="37"/>
          </w:tcPr>
          <w:p>
            <w:pPr>
              <w:ind w:left="260"/>
              <w:spacing w:after="0" w:line="196" w:lineRule="exact"/>
              <w:rPr>
                <w:rFonts w:ascii="Arial" w:cs="Arial" w:eastAsia="Arial" w:hAnsi="Arial"/>
                <w:sz w:val="18"/>
                <w:szCs w:val="18"/>
                <w:color w:val="0000EE"/>
                <w:w w:val="94"/>
              </w:rPr>
            </w:pPr>
            <w:hyperlink w:anchor="page224">
              <w:r>
                <w:rPr>
                  <w:rFonts w:ascii="Arial" w:cs="Arial" w:eastAsia="Arial" w:hAnsi="Arial"/>
                  <w:sz w:val="18"/>
                  <w:szCs w:val="18"/>
                  <w:color w:val="0000EE"/>
                  <w:w w:val="94"/>
                </w:rPr>
                <w:t>Non-Reliance on Company Estimates, Projections, Forecasts, Forward-Looking Statements and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5"/>
          </w:tcPr>
          <w:p>
            <w:pPr>
              <w:spacing w:after="0" w:line="196" w:lineRule="exact"/>
              <w:rPr>
                <w:rFonts w:ascii="Arial" w:cs="Arial" w:eastAsia="Arial" w:hAnsi="Arial"/>
                <w:sz w:val="18"/>
                <w:szCs w:val="18"/>
                <w:color w:val="0000EE"/>
                <w:w w:val="81"/>
              </w:rPr>
            </w:pPr>
            <w:hyperlink w:anchor="page224">
              <w:r>
                <w:rPr>
                  <w:rFonts w:ascii="Arial" w:cs="Arial" w:eastAsia="Arial" w:hAnsi="Arial"/>
                  <w:sz w:val="18"/>
                  <w:szCs w:val="18"/>
                  <w:color w:val="0000EE"/>
                  <w:w w:val="81"/>
                </w:rPr>
                <w:t>Business Plans</w:t>
              </w:r>
            </w:hyperlink>
          </w:p>
        </w:tc>
        <w:tc>
          <w:tcPr>
            <w:tcW w:w="5500" w:type="dxa"/>
            <w:vAlign w:val="bottom"/>
            <w:tcBorders>
              <w:top w:val="single" w:sz="8" w:color="0000EE"/>
            </w:tcBorders>
            <w:gridSpan w:val="29"/>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4.11.</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Information Supplied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4">
              <w:r>
                <w:rPr>
                  <w:rFonts w:ascii="Arial" w:cs="Arial" w:eastAsia="Arial" w:hAnsi="Arial"/>
                  <w:sz w:val="18"/>
                  <w:szCs w:val="18"/>
                  <w:color w:val="0000EE"/>
                  <w:w w:val="87"/>
                </w:rPr>
                <w:t>SECTION 4.12.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Legal Proceedings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SECTION 4.13.   Ownership of Common Shares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31</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0000EE"/>
            </w:tcBorders>
            <w:gridSpan w:val="7"/>
          </w:tcPr>
          <w:p>
            <w:pPr>
              <w:jc w:val="center"/>
              <w:ind w:right="20"/>
              <w:spacing w:after="0"/>
              <w:rPr>
                <w:rFonts w:ascii="Arial" w:cs="Arial" w:eastAsia="Arial" w:hAnsi="Arial"/>
                <w:sz w:val="18"/>
                <w:szCs w:val="18"/>
                <w:color w:val="0000EE"/>
                <w:w w:val="88"/>
              </w:rPr>
            </w:pPr>
            <w:hyperlink w:anchor="page225">
              <w:r>
                <w:rPr>
                  <w:rFonts w:ascii="Arial" w:cs="Arial" w:eastAsia="Arial" w:hAnsi="Arial"/>
                  <w:sz w:val="18"/>
                  <w:szCs w:val="18"/>
                  <w:color w:val="0000EE"/>
                  <w:w w:val="88"/>
                </w:rPr>
                <w:t>ARTICLE V</w:t>
              </w:r>
            </w:hyperlink>
          </w:p>
        </w:tc>
        <w:tc>
          <w:tcPr>
            <w:tcW w:w="36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24"/>
          </w:tcPr>
          <w:p>
            <w:pPr>
              <w:jc w:val="center"/>
              <w:ind w:right="2780"/>
              <w:spacing w:after="0"/>
              <w:rPr>
                <w:rFonts w:ascii="Arial" w:cs="Arial" w:eastAsia="Arial" w:hAnsi="Arial"/>
                <w:sz w:val="18"/>
                <w:szCs w:val="18"/>
                <w:color w:val="0000EE"/>
                <w:w w:val="86"/>
              </w:rPr>
            </w:pPr>
            <w:hyperlink w:anchor="page225">
              <w:r>
                <w:rPr>
                  <w:rFonts w:ascii="Arial" w:cs="Arial" w:eastAsia="Arial" w:hAnsi="Arial"/>
                  <w:sz w:val="18"/>
                  <w:szCs w:val="18"/>
                  <w:color w:val="0000EE"/>
                  <w:w w:val="86"/>
                </w:rPr>
                <w:t>Additional Covenants and Agreements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180" w:type="dxa"/>
            <w:vAlign w:val="bottom"/>
            <w:gridSpan w:val="15"/>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SECTION 5.01.   Conduct of Business</w:t>
              </w:r>
            </w:hyperlink>
          </w:p>
        </w:tc>
        <w:tc>
          <w:tcPr>
            <w:tcW w:w="2660" w:type="dxa"/>
            <w:vAlign w:val="bottom"/>
            <w:tcBorders>
              <w:top w:val="single" w:sz="8" w:color="0000EE"/>
            </w:tcBorders>
            <w:gridSpan w:val="21"/>
          </w:tcPr>
          <w:p>
            <w:pPr>
              <w:spacing w:after="0"/>
              <w:rPr>
                <w:sz w:val="24"/>
                <w:szCs w:val="24"/>
                <w:color w:val="auto"/>
              </w:rPr>
            </w:pPr>
          </w:p>
        </w:tc>
        <w:tc>
          <w:tcPr>
            <w:tcW w:w="2780" w:type="dxa"/>
            <w:vAlign w:val="bottom"/>
            <w:gridSpan w:val="3"/>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25">
              <w:r>
                <w:rPr>
                  <w:rFonts w:ascii="Arial" w:cs="Arial" w:eastAsia="Arial" w:hAnsi="Arial"/>
                  <w:sz w:val="18"/>
                  <w:szCs w:val="18"/>
                  <w:color w:val="0000EE"/>
                </w:rPr>
                <w:t>32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SECTION 5.02.   No Solicitation by the Company; Change in Recommendation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34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SECTION 5.03.   Preparation of Schedule 13E-3</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38</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5.04.   Company Shareholders Meeting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39</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5.05.   Reasonable Best Efforts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40</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SECTION 5.06.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Transfer Taxes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SECTION 5.07.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Public Announcements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 5.08.   Access to Information; 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5">
              <w:r>
                <w:rPr>
                  <w:rFonts w:ascii="Arial" w:cs="Arial" w:eastAsia="Arial" w:hAnsi="Arial"/>
                  <w:sz w:val="18"/>
                  <w:szCs w:val="18"/>
                  <w:color w:val="0000EE"/>
                  <w:w w:val="87"/>
                </w:rPr>
                <w:t>SECTION 5.09.</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Equity 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SECTION 5.10.   Notification of Certain Matters; Litigation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5.11.   Merger Sub Shareholder Approval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5.12.   Stock Exchange De-listing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36">
              <w:r>
                <w:rPr>
                  <w:rFonts w:ascii="Arial" w:cs="Arial" w:eastAsia="Arial" w:hAnsi="Arial"/>
                  <w:sz w:val="18"/>
                  <w:szCs w:val="18"/>
                  <w:color w:val="0000EE"/>
                  <w:w w:val="85"/>
                </w:rPr>
                <w:t>ARTICLE VI</w:t>
              </w:r>
            </w:hyperlink>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Borders>
              <w:bottom w:val="single" w:sz="8" w:color="0000EE"/>
            </w:tcBorders>
            <w:gridSpan w:val="12"/>
          </w:tcPr>
          <w:p>
            <w:pPr>
              <w:jc w:val="cente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Conditions Precedent</w:t>
              </w:r>
            </w:hyperlink>
          </w:p>
        </w:tc>
        <w:tc>
          <w:tcPr>
            <w:tcW w:w="33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SECTION 6.01.   Conditions to Each Party’s Obligation to Effect the Merger</w:t>
              </w:r>
            </w:hyperlink>
          </w:p>
        </w:tc>
        <w:tc>
          <w:tcPr>
            <w:tcW w:w="360" w:type="dxa"/>
            <w:vAlign w:val="bottom"/>
            <w:gridSpan w:val="3"/>
          </w:tcPr>
          <w:p>
            <w:pPr>
              <w:jc w:val="right"/>
              <w:spacing w:after="0"/>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6.02.   Conditions to Obligations of Parent and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6.03.   Conditions to Obligations of the Company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6.04.   Frustration of Closing Conditions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44</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0000EE"/>
            </w:tcBorders>
            <w:gridSpan w:val="9"/>
          </w:tcPr>
          <w:p>
            <w:pPr>
              <w:jc w:val="center"/>
              <w:ind w:right="60"/>
              <w:spacing w:after="0"/>
              <w:rPr>
                <w:rFonts w:ascii="Arial" w:cs="Arial" w:eastAsia="Arial" w:hAnsi="Arial"/>
                <w:sz w:val="18"/>
                <w:szCs w:val="18"/>
                <w:color w:val="0000EE"/>
                <w:w w:val="98"/>
              </w:rPr>
            </w:pPr>
            <w:hyperlink w:anchor="page238">
              <w:r>
                <w:rPr>
                  <w:rFonts w:ascii="Arial" w:cs="Arial" w:eastAsia="Arial" w:hAnsi="Arial"/>
                  <w:sz w:val="18"/>
                  <w:szCs w:val="18"/>
                  <w:color w:val="0000EE"/>
                  <w:w w:val="98"/>
                </w:rPr>
                <w:t>ARTICLE VII</w:t>
              </w:r>
            </w:hyperlink>
          </w:p>
        </w:tc>
        <w:tc>
          <w:tcPr>
            <w:tcW w:w="35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700"/>
              <w:spacing w:after="0"/>
              <w:rPr>
                <w:rFonts w:ascii="Arial" w:cs="Arial" w:eastAsia="Arial" w:hAnsi="Arial"/>
                <w:sz w:val="18"/>
                <w:szCs w:val="18"/>
                <w:color w:val="0000EE"/>
                <w:w w:val="84"/>
              </w:rPr>
            </w:pPr>
            <w:hyperlink w:anchor="page238">
              <w:r>
                <w:rPr>
                  <w:rFonts w:ascii="Arial" w:cs="Arial" w:eastAsia="Arial" w:hAnsi="Arial"/>
                  <w:sz w:val="18"/>
                  <w:szCs w:val="18"/>
                  <w:color w:val="0000EE"/>
                  <w:w w:val="84"/>
                </w:rPr>
                <w:t>Termination</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38">
              <w:r>
                <w:rPr>
                  <w:rFonts w:ascii="Arial" w:cs="Arial" w:eastAsia="Arial" w:hAnsi="Arial"/>
                  <w:sz w:val="18"/>
                  <w:szCs w:val="18"/>
                  <w:color w:val="0000EE"/>
                  <w:w w:val="87"/>
                </w:rPr>
                <w:t>SECTION 7.01.</w:t>
              </w:r>
            </w:hyperlink>
          </w:p>
        </w:tc>
        <w:tc>
          <w:tcPr>
            <w:tcW w:w="2980" w:type="dxa"/>
            <w:vAlign w:val="bottom"/>
            <w:gridSpan w:val="22"/>
          </w:tcPr>
          <w:p>
            <w:pPr>
              <w:ind w:left="260"/>
              <w:spacing w:after="0"/>
              <w:rPr>
                <w:rFonts w:ascii="Arial" w:cs="Arial" w:eastAsia="Arial" w:hAnsi="Arial"/>
                <w:sz w:val="18"/>
                <w:szCs w:val="18"/>
                <w:color w:val="0000EE"/>
              </w:rPr>
            </w:pPr>
            <w:hyperlink w:anchor="page238">
              <w:r>
                <w:rPr>
                  <w:rFonts w:ascii="Arial" w:cs="Arial" w:eastAsia="Arial" w:hAnsi="Arial"/>
                  <w:sz w:val="18"/>
                  <w:szCs w:val="18"/>
                  <w:color w:val="0000EE"/>
                </w:rPr>
                <w:t>Termination</w:t>
              </w:r>
            </w:hyperlink>
          </w:p>
        </w:tc>
        <w:tc>
          <w:tcPr>
            <w:tcW w:w="800" w:type="dxa"/>
            <w:vAlign w:val="bottom"/>
            <w:tcBorders>
              <w:top w:val="single" w:sz="8" w:color="0000EE"/>
            </w:tcBorders>
            <w:gridSpan w:val="6"/>
          </w:tcPr>
          <w:p>
            <w:pPr>
              <w:spacing w:after="0"/>
              <w:rPr>
                <w:sz w:val="24"/>
                <w:szCs w:val="24"/>
                <w:color w:val="auto"/>
              </w:rPr>
            </w:pPr>
          </w:p>
        </w:tc>
        <w:tc>
          <w:tcPr>
            <w:tcW w:w="3700" w:type="dxa"/>
            <w:vAlign w:val="bottom"/>
            <w:gridSpan w:val="9"/>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38">
              <w:r>
                <w:rPr>
                  <w:rFonts w:ascii="Arial" w:cs="Arial" w:eastAsia="Arial" w:hAnsi="Arial"/>
                  <w:sz w:val="18"/>
                  <w:szCs w:val="18"/>
                  <w:color w:val="0000EE"/>
                </w:rPr>
                <w:t>45</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7.02.   Effect of Termination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46</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7.03.   Termination Fees and Expense Reimbursement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2" w:name="page193"/>
    <w:bookmarkEnd w:id="192"/>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6"/>
          </w:tcPr>
          <w:p>
            <w:pPr>
              <w:jc w:val="center"/>
              <w:ind w:right="3600"/>
              <w:spacing w:after="0"/>
              <w:rPr>
                <w:rFonts w:ascii="Arial" w:cs="Arial" w:eastAsia="Arial" w:hAnsi="Arial"/>
                <w:sz w:val="18"/>
                <w:szCs w:val="18"/>
                <w:color w:val="0000EE"/>
                <w:w w:val="99"/>
              </w:rPr>
            </w:pPr>
            <w:hyperlink w:anchor="page242">
              <w:r>
                <w:rPr>
                  <w:rFonts w:ascii="Arial" w:cs="Arial" w:eastAsia="Arial" w:hAnsi="Arial"/>
                  <w:sz w:val="18"/>
                  <w:szCs w:val="18"/>
                  <w:color w:val="0000EE"/>
                  <w:w w:val="99"/>
                </w:rPr>
                <w:t>ARTICLE VIII</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89"/>
              </w:rPr>
            </w:pPr>
            <w:hyperlink w:anchor="page354">
              <w:r>
                <w:rPr>
                  <w:rFonts w:ascii="Arial" w:cs="Arial" w:eastAsia="Arial" w:hAnsi="Arial"/>
                  <w:sz w:val="18"/>
                  <w:szCs w:val="18"/>
                  <w:color w:val="0000EE"/>
                  <w:w w:val="89"/>
                </w:rPr>
                <w:t>Miscellaneous</w:t>
              </w:r>
            </w:hyperlink>
          </w:p>
        </w:tc>
        <w:tc>
          <w:tcPr>
            <w:tcW w:w="2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8.01.</w:t>
              </w:r>
            </w:hyperlink>
          </w:p>
        </w:tc>
        <w:tc>
          <w:tcPr>
            <w:tcW w:w="7500" w:type="dxa"/>
            <w:vAlign w:val="bottom"/>
            <w:gridSpan w:val="17"/>
          </w:tcPr>
          <w:p>
            <w:pPr>
              <w:ind w:left="280"/>
              <w:spacing w:after="0"/>
              <w:rPr>
                <w:rFonts w:ascii="Arial" w:cs="Arial" w:eastAsia="Arial" w:hAnsi="Arial"/>
                <w:sz w:val="18"/>
                <w:szCs w:val="18"/>
                <w:color w:val="0000EE"/>
              </w:rPr>
            </w:pPr>
            <w:hyperlink w:anchor="page242">
              <w:r>
                <w:rPr>
                  <w:rFonts w:ascii="Arial" w:cs="Arial" w:eastAsia="Arial" w:hAnsi="Arial"/>
                  <w:sz w:val="18"/>
                  <w:szCs w:val="18"/>
                  <w:color w:val="0000EE"/>
                </w:rPr>
                <w:t>No Survival of Representations, Warranties and Covenants</w:t>
              </w:r>
            </w:hyperlink>
          </w:p>
        </w:tc>
        <w:tc>
          <w:tcPr>
            <w:tcW w:w="360" w:type="dxa"/>
            <w:vAlign w:val="bottom"/>
            <w:gridSpan w:val="3"/>
          </w:tcPr>
          <w:p>
            <w:pPr>
              <w:jc w:val="right"/>
              <w:spacing w:after="0"/>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Amendment or Supplement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Extension of Time, Waiver, Etc</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8.04.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Assignment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Counterparts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8.06.</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Entire Agreement; No Third-Party Beneficiaries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4"/>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8.07.</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Governing Law; Jurisdiction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4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8.08.</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Specific Enforcement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8.09.</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WAIVER OF JURY TRIAL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4">
              <w:r>
                <w:rPr>
                  <w:rFonts w:ascii="Arial" w:cs="Arial" w:eastAsia="Arial" w:hAnsi="Arial"/>
                  <w:sz w:val="18"/>
                  <w:szCs w:val="18"/>
                  <w:color w:val="0000EE"/>
                  <w:w w:val="86"/>
                </w:rPr>
                <w:t>SECTION 8.10.</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5">
              <w:r>
                <w:rPr>
                  <w:rFonts w:ascii="Arial" w:cs="Arial" w:eastAsia="Arial" w:hAnsi="Arial"/>
                  <w:sz w:val="18"/>
                  <w:szCs w:val="18"/>
                  <w:color w:val="0000EE"/>
                  <w:w w:val="86"/>
                </w:rPr>
                <w:t>SECTION 8.11.</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Severability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52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6">
              <w:r>
                <w:rPr>
                  <w:rFonts w:ascii="Arial" w:cs="Arial" w:eastAsia="Arial" w:hAnsi="Arial"/>
                  <w:sz w:val="18"/>
                  <w:szCs w:val="18"/>
                  <w:color w:val="0000EE"/>
                  <w:w w:val="86"/>
                </w:rPr>
                <w:t>SECTION 8.12.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Definitions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53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4">
              <w:r>
                <w:rPr>
                  <w:rFonts w:ascii="Arial" w:cs="Arial" w:eastAsia="Arial" w:hAnsi="Arial"/>
                  <w:sz w:val="18"/>
                  <w:szCs w:val="18"/>
                  <w:color w:val="0000EE"/>
                  <w:w w:val="86"/>
                </w:rPr>
                <w:t>SECTION 8.13.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Fees and Expenses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4">
              <w:r>
                <w:rPr>
                  <w:rFonts w:ascii="Arial" w:cs="Arial" w:eastAsia="Arial" w:hAnsi="Arial"/>
                  <w:sz w:val="18"/>
                  <w:szCs w:val="18"/>
                  <w:color w:val="0000EE"/>
                  <w:w w:val="86"/>
                </w:rPr>
                <w:t>SECTION 8.14.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Interpretation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tcBorders>
              <w:left w:val="single" w:sz="8" w:color="0000EE"/>
            </w:tcBorders>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5">
              <w:r>
                <w:rPr>
                  <w:rFonts w:ascii="Arial" w:cs="Arial" w:eastAsia="Arial" w:hAnsi="Arial"/>
                  <w:sz w:val="18"/>
                  <w:szCs w:val="18"/>
                  <w:color w:val="0000EE"/>
                  <w:w w:val="86"/>
                </w:rPr>
                <w:t>SECTION 8.15.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No Recourse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62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444"/>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Statutory Merger Agreement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Bye-Laws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Board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3" w:name="page194"/>
    <w:bookmarkEnd w:id="193"/>
    <w:p>
      <w:pPr>
        <w:jc w:val="both"/>
        <w:ind w:firstLine="398"/>
        <w:spacing w:after="0" w:line="25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21,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Capitalized terms used but not defined elsewhere in this Agreement shall have the meanings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9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6"/>
          <w:szCs w:val="16"/>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41" w:lineRule="exact"/>
        <w:rPr>
          <w:sz w:val="20"/>
          <w:szCs w:val="20"/>
          <w:color w:val="auto"/>
        </w:rPr>
      </w:pPr>
    </w:p>
    <w:p>
      <w:pPr>
        <w:jc w:val="both"/>
        <w:ind w:right="20" w:firstLine="361"/>
        <w:spacing w:after="0" w:line="256"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 established a special committee of the Company Board consisting only of independent and disinterested directors of the Company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and (ii) the conversion of each share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(c)</w:t>
      </w:r>
      <w:r>
        <w:rPr>
          <w:rFonts w:ascii="Arial" w:cs="Arial" w:eastAsia="Arial" w:hAnsi="Arial"/>
          <w:sz w:val="16"/>
          <w:szCs w:val="16"/>
          <w:color w:val="auto"/>
        </w:rPr>
        <w:t>,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173"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6"/>
          <w:szCs w:val="16"/>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WHEREAS the general partner of Parent (the “</w:t>
      </w:r>
      <w:r>
        <w:rPr>
          <w:rFonts w:ascii="Arial" w:cs="Arial" w:eastAsia="Arial" w:hAnsi="Arial"/>
          <w:sz w:val="16"/>
          <w:szCs w:val="16"/>
          <w:u w:val="single" w:color="auto"/>
          <w:color w:val="auto"/>
        </w:rPr>
        <w:t>Parent GP</w:t>
      </w:r>
      <w:r>
        <w:rPr>
          <w:rFonts w:ascii="Arial" w:cs="Arial" w:eastAsia="Arial" w:hAnsi="Arial"/>
          <w:sz w:val="16"/>
          <w:szCs w:val="16"/>
          <w:color w:val="auto"/>
        </w:rPr>
        <w:t>”) has, and the Board of Directors of Merger Sub (the “</w:t>
      </w:r>
      <w:r>
        <w:rPr>
          <w:rFonts w:ascii="Arial" w:cs="Arial" w:eastAsia="Arial" w:hAnsi="Arial"/>
          <w:sz w:val="16"/>
          <w:szCs w:val="16"/>
          <w:u w:val="single" w:color="auto"/>
          <w:color w:val="auto"/>
        </w:rPr>
        <w:t>Merger Sub Board</w:t>
      </w:r>
      <w:r>
        <w:rPr>
          <w:rFonts w:ascii="Arial" w:cs="Arial" w:eastAsia="Arial" w:hAnsi="Arial"/>
          <w:sz w:val="16"/>
          <w:szCs w:val="16"/>
          <w:color w:val="auto"/>
        </w:rPr>
        <w:t>”) has unanimously,</w:t>
      </w:r>
    </w:p>
    <w:p>
      <w:pPr>
        <w:spacing w:after="0" w:line="38" w:lineRule="exact"/>
        <w:rPr>
          <w:sz w:val="20"/>
          <w:szCs w:val="20"/>
          <w:color w:val="auto"/>
        </w:rPr>
      </w:pPr>
    </w:p>
    <w:p>
      <w:pPr>
        <w:jc w:val="both"/>
        <w:ind w:firstLine="8"/>
        <w:spacing w:after="0" w:line="255" w:lineRule="auto"/>
        <w:tabs>
          <w:tab w:leader="none" w:pos="24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98"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w:t>
      </w:r>
    </w:p>
    <w:p>
      <w:pPr>
        <w:spacing w:after="0" w:line="194" w:lineRule="exact"/>
        <w:rPr>
          <w:sz w:val="20"/>
          <w:szCs w:val="20"/>
          <w:color w:val="auto"/>
        </w:rPr>
      </w:pPr>
    </w:p>
    <w:p>
      <w:pPr>
        <w:jc w:val="both"/>
        <w:ind w:firstLine="348"/>
        <w:spacing w:after="0" w:line="331"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4" w:name="page195"/>
    <w:bookmarkEnd w:id="194"/>
    <w:p>
      <w:pPr>
        <w:jc w:val="both"/>
        <w:ind w:right="20"/>
        <w:spacing w:after="0" w:line="268" w:lineRule="auto"/>
        <w:rPr>
          <w:sz w:val="20"/>
          <w:szCs w:val="20"/>
          <w:color w:val="auto"/>
        </w:rPr>
      </w:pPr>
      <w:r>
        <w:rPr>
          <w:rFonts w:ascii="Arial" w:cs="Arial" w:eastAsia="Arial" w:hAnsi="Arial"/>
          <w:sz w:val="18"/>
          <w:szCs w:val="18"/>
          <w:color w:val="auto"/>
        </w:rPr>
        <w:t xml:space="preserve">entering into the Guarantee with respect to the obligations of Parent to pay the Parent Termination Fee and any amounts required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subject to the limitations set forth therein;</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are entering into a share rollover agreement (as may be amended or modified in accordance with its terms,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173"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in this Agreement and the Statutory Merger Agreement, and pursuant to and in accordance with Section 104H of the Companies Act 1981 of Bermuda (the “</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6"/>
          <w:szCs w:val="16"/>
          <w:u w:val="single" w:color="auto"/>
          <w:color w:val="auto"/>
        </w:rPr>
        <w:t>Merger Application</w:t>
      </w:r>
      <w:r>
        <w:rPr>
          <w:rFonts w:ascii="Arial" w:cs="Arial" w:eastAsia="Arial" w:hAnsi="Arial"/>
          <w:sz w:val="16"/>
          <w:szCs w:val="16"/>
          <w:color w:val="auto"/>
        </w:rPr>
        <w:t>”) to be executed and delivered to the Registrar of Companies in Bermuda (the “</w:t>
      </w:r>
      <w:r>
        <w:rPr>
          <w:rFonts w:ascii="Arial" w:cs="Arial" w:eastAsia="Arial" w:hAnsi="Arial"/>
          <w:sz w:val="16"/>
          <w:szCs w:val="16"/>
          <w:u w:val="single" w:color="auto"/>
          <w:color w:val="auto"/>
        </w:rPr>
        <w:t>Registrar</w:t>
      </w:r>
      <w:r>
        <w:rPr>
          <w:rFonts w:ascii="Arial" w:cs="Arial" w:eastAsia="Arial" w:hAnsi="Arial"/>
          <w:sz w:val="16"/>
          <w:szCs w:val="16"/>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80" w:type="dxa"/>
            <w:vAlign w:val="bottom"/>
          </w:tcPr>
          <w:p>
            <w:pPr>
              <w:spacing w:after="0"/>
              <w:rPr>
                <w:sz w:val="18"/>
                <w:szCs w:val="18"/>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w w:val="92"/>
              </w:rPr>
              <w:t>Effects of Merger.   From and after the Effective Time, the Merger shall have the effects set forth in this Agreement, the Statutory</w:t>
            </w:r>
          </w:p>
        </w:tc>
      </w:tr>
      <w:tr>
        <w:trPr>
          <w:trHeight w:val="20"/>
        </w:trPr>
        <w:tc>
          <w:tcPr>
            <w:tcW w:w="18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5"/>
        </w:trPr>
        <w:tc>
          <w:tcPr>
            <w:tcW w:w="11240" w:type="dxa"/>
            <w:vAlign w:val="bottom"/>
            <w:gridSpan w:val="5"/>
          </w:tcPr>
          <w:p>
            <w:pPr>
              <w:spacing w:after="0"/>
              <w:rPr>
                <w:sz w:val="20"/>
                <w:szCs w:val="20"/>
                <w:color w:val="auto"/>
              </w:rPr>
            </w:pPr>
            <w:r>
              <w:rPr>
                <w:rFonts w:ascii="Arial" w:cs="Arial" w:eastAsia="Arial" w:hAnsi="Arial"/>
                <w:sz w:val="18"/>
                <w:szCs w:val="18"/>
                <w:color w:val="auto"/>
              </w:rPr>
              <w:t>Merger Agreement and Section 109(2) of the Bermuda Companies Act.</w:t>
            </w:r>
          </w:p>
        </w:tc>
      </w:tr>
      <w:tr>
        <w:trPr>
          <w:trHeight w:val="609"/>
        </w:trPr>
        <w:tc>
          <w:tcPr>
            <w:tcW w:w="172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9520" w:type="dxa"/>
            <w:vAlign w:val="bottom"/>
            <w:gridSpan w:val="4"/>
          </w:tcPr>
          <w:p>
            <w:pPr>
              <w:spacing w:after="0"/>
              <w:rPr>
                <w:sz w:val="20"/>
                <w:szCs w:val="20"/>
                <w:color w:val="auto"/>
              </w:rPr>
            </w:pPr>
            <w:r>
              <w:rPr>
                <w:rFonts w:ascii="Arial" w:cs="Arial" w:eastAsia="Arial" w:hAnsi="Arial"/>
                <w:sz w:val="18"/>
                <w:szCs w:val="18"/>
                <w:color w:val="auto"/>
                <w:w w:val="91"/>
              </w:rPr>
              <w:t>Memorandum of Association and Bye-Laws of the Surviving Company.   At the Effective Time, (a) the memorandum of association</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as in effect immediately prior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5" w:name="page196"/>
    <w:bookmarkEnd w:id="195"/>
    <w:p>
      <w:pPr>
        <w:jc w:val="both"/>
        <w:spacing w:after="0" w:line="254" w:lineRule="auto"/>
        <w:rPr>
          <w:sz w:val="20"/>
          <w:szCs w:val="20"/>
          <w:color w:val="auto"/>
        </w:rPr>
      </w:pPr>
      <w:r>
        <w:rPr>
          <w:rFonts w:ascii="Arial" w:cs="Arial" w:eastAsia="Arial" w:hAnsi="Arial"/>
          <w:sz w:val="18"/>
          <w:szCs w:val="18"/>
          <w:color w:val="auto"/>
        </w:rPr>
        <w:t>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200" w:lineRule="exact"/>
        <w:rPr>
          <w:sz w:val="20"/>
          <w:szCs w:val="20"/>
          <w:color w:val="auto"/>
        </w:rPr>
      </w:pPr>
    </w:p>
    <w:p>
      <w:pPr>
        <w:spacing w:after="0" w:line="217"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Board of Directors and Officers of Surviving Company</w:t>
      </w:r>
      <w:r>
        <w:rPr>
          <w:rFonts w:ascii="Arial" w:cs="Arial" w:eastAsia="Arial" w:hAnsi="Arial"/>
          <w:sz w:val="16"/>
          <w:szCs w:val="16"/>
          <w:color w:val="auto"/>
        </w:rPr>
        <w:t xml:space="preserve">. The directors of the Company in office immediately prior to the Effective Time shall be the directors of the Surviving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directors who are not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 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389" w:lineRule="exact"/>
        <w:rPr>
          <w:sz w:val="20"/>
          <w:szCs w:val="20"/>
          <w:color w:val="auto"/>
        </w:rPr>
      </w:pPr>
    </w:p>
    <w:p>
      <w:pPr>
        <w:ind w:left="360"/>
        <w:spacing w:after="0"/>
        <w:tabs>
          <w:tab w:leader="none" w:pos="1660" w:val="left"/>
          <w:tab w:leader="none" w:pos="24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Merger shall take place either (a) remotely by telephone and electronic communication or</w:t>
      </w:r>
    </w:p>
    <w:p>
      <w:pPr>
        <w:spacing w:after="0" w:line="15" w:lineRule="exact"/>
        <w:rPr>
          <w:sz w:val="20"/>
          <w:szCs w:val="20"/>
          <w:color w:val="auto"/>
        </w:rPr>
      </w:pPr>
    </w:p>
    <w:p>
      <w:pPr>
        <w:jc w:val="both"/>
        <w:ind w:firstLine="8"/>
        <w:spacing w:after="0" w:line="285" w:lineRule="auto"/>
        <w:tabs>
          <w:tab w:leader="none" w:pos="25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on which the Required Shareholder Approvals have been obtained there are any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the Share Capital of the Constituent Entities;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Payment of Consideration</w:t>
      </w:r>
    </w:p>
    <w:p>
      <w:pPr>
        <w:spacing w:after="0" w:line="219" w:lineRule="exact"/>
        <w:rPr>
          <w:sz w:val="20"/>
          <w:szCs w:val="20"/>
          <w:color w:val="auto"/>
        </w:rPr>
      </w:pPr>
    </w:p>
    <w:p>
      <w:pPr>
        <w:ind w:left="440"/>
        <w:spacing w:after="0"/>
        <w:tabs>
          <w:tab w:leader="none" w:pos="1760" w:val="left"/>
          <w:tab w:leader="none" w:pos="7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8"/>
          <w:szCs w:val="18"/>
          <w:u w:val="single" w:color="auto"/>
          <w:color w:val="auto"/>
        </w:rPr>
        <w:t>Effect of Merger on the Share Capital of Merger Sub and the 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the Effective Time, by virtue of the occurrence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Company, Parent, Merger Sub or any holder of any equity thereof:</w:t>
      </w:r>
    </w:p>
    <w:p>
      <w:pPr>
        <w:spacing w:after="0" w:line="200" w:lineRule="exact"/>
        <w:rPr>
          <w:sz w:val="20"/>
          <w:szCs w:val="20"/>
          <w:color w:val="auto"/>
        </w:rPr>
      </w:pPr>
    </w:p>
    <w:p>
      <w:pPr>
        <w:spacing w:after="0" w:line="235" w:lineRule="exact"/>
        <w:rPr>
          <w:sz w:val="20"/>
          <w:szCs w:val="20"/>
          <w:color w:val="auto"/>
        </w:rPr>
      </w:pPr>
    </w:p>
    <w:p>
      <w:pPr>
        <w:jc w:val="both"/>
        <w:ind w:firstLine="372"/>
        <w:spacing w:after="0" w:line="254" w:lineRule="auto"/>
        <w:tabs>
          <w:tab w:leader="none" w:pos="7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Share Capital of Merger Sub</w:t>
      </w:r>
      <w:r>
        <w:rPr>
          <w:rFonts w:ascii="Arial" w:cs="Arial" w:eastAsia="Arial" w:hAnsi="Arial"/>
          <w:sz w:val="18"/>
          <w:szCs w:val="18"/>
          <w:color w:val="auto"/>
        </w:rPr>
        <w:t>. 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440"/>
        <w:spacing w:after="0" w:line="294" w:lineRule="auto"/>
        <w:tabs>
          <w:tab w:leader="none" w:pos="853" w:val="left"/>
        </w:tabs>
        <w:numPr>
          <w:ilvl w:val="3"/>
          <w:numId w:val="182"/>
        </w:numPr>
        <w:rPr>
          <w:rFonts w:ascii="Arial" w:cs="Arial" w:eastAsia="Arial" w:hAnsi="Arial"/>
          <w:sz w:val="16"/>
          <w:szCs w:val="16"/>
          <w:color w:val="auto"/>
        </w:rPr>
      </w:pPr>
      <w:r>
        <w:rPr>
          <w:rFonts w:ascii="Arial" w:cs="Arial" w:eastAsia="Arial" w:hAnsi="Arial"/>
          <w:sz w:val="16"/>
          <w:szCs w:val="16"/>
          <w:u w:val="single" w:color="auto"/>
          <w:color w:val="auto"/>
        </w:rPr>
        <w:t>Cancelation of Treasury Shares; Treatment of Shares Held by Company Subsidiaries</w:t>
      </w:r>
      <w:r>
        <w:rPr>
          <w:rFonts w:ascii="Arial" w:cs="Arial" w:eastAsia="Arial" w:hAnsi="Arial"/>
          <w:sz w:val="16"/>
          <w:szCs w:val="16"/>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16"/>
          <w:szCs w:val="16"/>
          <w:u w:val="single" w:color="auto"/>
          <w:color w:val="auto"/>
        </w:rPr>
        <w:t>Hook Share</w:t>
      </w:r>
      <w:r>
        <w:rPr>
          <w:rFonts w:ascii="Arial" w:cs="Arial" w:eastAsia="Arial" w:hAnsi="Arial"/>
          <w:sz w:val="16"/>
          <w:szCs w:val="16"/>
          <w:color w:val="auto"/>
        </w:rPr>
        <w:t>”) shall not represent the right to receive the Merger Consideration and shall instead remain outstanding as one authorized, validly issued, fully paid and nonassessable Surviving Company Share.</w:t>
      </w:r>
    </w:p>
    <w:p>
      <w:pPr>
        <w:spacing w:after="0" w:line="385" w:lineRule="exact"/>
        <w:rPr>
          <w:rFonts w:ascii="Arial" w:cs="Arial" w:eastAsia="Arial" w:hAnsi="Arial"/>
          <w:sz w:val="16"/>
          <w:szCs w:val="16"/>
          <w:color w:val="auto"/>
        </w:rPr>
      </w:pPr>
    </w:p>
    <w:p>
      <w:pPr>
        <w:jc w:val="both"/>
        <w:ind w:firstLine="386"/>
        <w:spacing w:after="0" w:line="290" w:lineRule="auto"/>
        <w:tabs>
          <w:tab w:leader="none" w:pos="762"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Treatment of Rollover Shares</w:t>
      </w:r>
      <w:r>
        <w:rPr>
          <w:rFonts w:ascii="Arial" w:cs="Arial" w:eastAsia="Arial" w:hAnsi="Arial"/>
          <w:sz w:val="16"/>
          <w:szCs w:val="16"/>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16"/>
          <w:szCs w:val="16"/>
          <w:u w:val="single" w:color="auto"/>
          <w:color w:val="auto"/>
        </w:rPr>
        <w:t>Rollover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shall not represent the right to receive the Merger Consideration and shall remain outstanding as one authorized, validly issued, fully paid and nonassessable Surviving Company Share.</w:t>
      </w:r>
    </w:p>
    <w:p>
      <w:pPr>
        <w:spacing w:after="0" w:line="387" w:lineRule="exact"/>
        <w:rPr>
          <w:rFonts w:ascii="Arial" w:cs="Arial" w:eastAsia="Arial" w:hAnsi="Arial"/>
          <w:sz w:val="16"/>
          <w:szCs w:val="16"/>
          <w:color w:val="auto"/>
        </w:rPr>
      </w:pPr>
    </w:p>
    <w:p>
      <w:pPr>
        <w:jc w:val="both"/>
        <w:ind w:firstLine="426"/>
        <w:spacing w:after="0" w:line="286" w:lineRule="auto"/>
        <w:tabs>
          <w:tab w:leader="none" w:pos="826" w:val="left"/>
        </w:tabs>
        <w:numPr>
          <w:ilvl w:val="2"/>
          <w:numId w:val="182"/>
        </w:numPr>
        <w:rPr>
          <w:rFonts w:ascii="Arial" w:cs="Arial" w:eastAsia="Arial" w:hAnsi="Arial"/>
          <w:sz w:val="16"/>
          <w:szCs w:val="16"/>
          <w:color w:val="auto"/>
        </w:rPr>
      </w:pPr>
      <w:r>
        <w:rPr>
          <w:rFonts w:ascii="Arial" w:cs="Arial" w:eastAsia="Arial" w:hAnsi="Arial"/>
          <w:sz w:val="16"/>
          <w:szCs w:val="16"/>
          <w:u w:val="single" w:color="auto"/>
          <w:color w:val="auto"/>
        </w:rPr>
        <w:t>Conversion of Common Shares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as of the Effective Time, all such Common Shares shall no longer be issued and outstanding and shall automatically be canceled and shall cease to exist, and each holder of (i) a certificate that immediately prior to the Effective Time evidenced any such Common Shares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such Common Shares that were uncertificated and represented by book-entry immediately prior to the Effective Time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and the right to receive dividends and other distributions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7" w:name="page198"/>
    <w:bookmarkEnd w:id="197"/>
    <w:p>
      <w:pPr>
        <w:jc w:val="both"/>
        <w:ind w:firstLine="426"/>
        <w:spacing w:after="0" w:line="254" w:lineRule="auto"/>
        <w:tabs>
          <w:tab w:leader="none" w:pos="816"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2.04</w:t>
      </w:r>
      <w:r>
        <w:rPr>
          <w:rFonts w:ascii="Arial" w:cs="Arial" w:eastAsia="Arial" w:hAnsi="Arial"/>
          <w:sz w:val="18"/>
          <w:szCs w:val="18"/>
          <w:color w:val="auto"/>
        </w:rPr>
        <w:t>, each Preference Share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 as an obligation of the Surviving Company in accordance with Section 109(2) of the Bermuda Companies Act.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Exchange Fund</w:t>
      </w:r>
      <w:r>
        <w:rPr>
          <w:rFonts w:ascii="Arial" w:cs="Arial" w:eastAsia="Arial" w:hAnsi="Arial"/>
          <w:sz w:val="15"/>
          <w:szCs w:val="15"/>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26"/>
        <w:spacing w:after="0" w:line="285" w:lineRule="auto"/>
        <w:tabs>
          <w:tab w:leader="none" w:pos="816"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Not less than ten business days prior to the anticipated Closing Date, Parent shall designate a bank or trust company reasonably acceptable to the Company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7" w:lineRule="exact"/>
        <w:rPr>
          <w:rFonts w:ascii="Arial" w:cs="Arial" w:eastAsia="Arial" w:hAnsi="Arial"/>
          <w:sz w:val="16"/>
          <w:szCs w:val="16"/>
          <w:color w:val="auto"/>
        </w:rPr>
      </w:pPr>
    </w:p>
    <w:p>
      <w:pPr>
        <w:jc w:val="both"/>
        <w:ind w:firstLine="372"/>
        <w:spacing w:after="0" w:line="285" w:lineRule="auto"/>
        <w:tabs>
          <w:tab w:leader="none" w:pos="74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Letter of Transmittal; Exchange of Common Shares</w:t>
      </w:r>
      <w:r>
        <w:rPr>
          <w:rFonts w:ascii="Arial" w:cs="Arial" w:eastAsia="Arial" w:hAnsi="Arial"/>
          <w:sz w:val="16"/>
          <w:szCs w:val="16"/>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6"/>
          <w:szCs w:val="16"/>
          <w:u w:val="single" w:color="auto"/>
          <w:color w:val="auto"/>
        </w:rPr>
        <w:t>Section 2.02(g)</w:t>
      </w:r>
      <w:r>
        <w:rPr>
          <w:rFonts w:ascii="Arial" w:cs="Arial" w:eastAsia="Arial" w:hAnsi="Arial"/>
          <w:sz w:val="16"/>
          <w:szCs w:val="16"/>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and such Certificates or Book-Entry Shares shall forthwith be canceled. If payment of the Merger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8" w:name="page199"/>
    <w:bookmarkEnd w:id="198"/>
    <w:p>
      <w:pPr>
        <w:jc w:val="both"/>
        <w:spacing w:after="0" w:line="294" w:lineRule="auto"/>
        <w:rPr>
          <w:sz w:val="20"/>
          <w:szCs w:val="20"/>
          <w:color w:val="auto"/>
        </w:rPr>
      </w:pPr>
      <w:r>
        <w:rPr>
          <w:rFonts w:ascii="Arial" w:cs="Arial" w:eastAsia="Arial" w:hAnsi="Arial"/>
          <w:sz w:val="16"/>
          <w:szCs w:val="16"/>
          <w:color w:val="auto"/>
        </w:rPr>
        <w:t xml:space="preserve">the payment of the Merger Consideration to a Person other than the registered holder either has been paid or is not applicable. Until satisfaction of the applicable procedures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No interest shall be paid or shall accrue on the Merger Consideration payable with respect to Common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85" w:lineRule="exact"/>
        <w:rPr>
          <w:sz w:val="20"/>
          <w:szCs w:val="20"/>
          <w:color w:val="auto"/>
        </w:rPr>
      </w:pPr>
    </w:p>
    <w:p>
      <w:pPr>
        <w:jc w:val="both"/>
        <w:ind w:firstLine="399"/>
        <w:spacing w:after="0" w:line="254" w:lineRule="auto"/>
        <w:tabs>
          <w:tab w:leader="none" w:pos="775"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399"/>
        <w:spacing w:after="0" w:line="290" w:lineRule="auto"/>
        <w:tabs>
          <w:tab w:leader="none" w:pos="799"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387" w:lineRule="exact"/>
        <w:rPr>
          <w:rFonts w:ascii="Arial" w:cs="Arial" w:eastAsia="Arial" w:hAnsi="Arial"/>
          <w:sz w:val="16"/>
          <w:szCs w:val="16"/>
          <w:color w:val="auto"/>
        </w:rPr>
      </w:pPr>
    </w:p>
    <w:p>
      <w:pPr>
        <w:jc w:val="both"/>
        <w:ind w:firstLine="399"/>
        <w:spacing w:after="0" w:line="259" w:lineRule="auto"/>
        <w:tabs>
          <w:tab w:leader="none" w:pos="775"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494"/>
        <w:spacing w:after="0" w:line="286" w:lineRule="auto"/>
        <w:tabs>
          <w:tab w:leader="none" w:pos="904" w:val="left"/>
        </w:tabs>
        <w:numPr>
          <w:ilvl w:val="2"/>
          <w:numId w:val="186"/>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Common Shares</w:t>
      </w:r>
      <w:r>
        <w:rPr>
          <w:rFonts w:ascii="Arial" w:cs="Arial" w:eastAsia="Arial" w:hAnsi="Arial"/>
          <w:sz w:val="16"/>
          <w:szCs w:val="16"/>
          <w:color w:val="auto"/>
        </w:rPr>
        <w:t xml:space="preserve">. The Merger Consideration paid in respect of each Common Share upon surrender of Certificates or Book-Entry Shares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(ii) the Surviving Company’s obligation to pay any dividends or make any other distributions with a record date prior to the Effective Time that may have been declared by the Company on Common Shares not 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6"/>
          <w:szCs w:val="16"/>
          <w:u w:val="single" w:color="auto"/>
          <w:color w:val="auto"/>
        </w:rPr>
        <w:t>Section 2.02(d)</w:t>
      </w:r>
      <w:r>
        <w:rPr>
          <w:rFonts w:ascii="Arial" w:cs="Arial" w:eastAsia="Arial" w:hAnsi="Arial"/>
          <w:sz w:val="16"/>
          <w:szCs w:val="16"/>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93"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Merger Sub, the Surviving Company and the Paying Agent (without duplication) shall be entitled to deduct and withhold from the consideration otherwise payable pursuant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jc w:val="both"/>
        <w:spacing w:after="0" w:line="256" w:lineRule="auto"/>
        <w:rPr>
          <w:sz w:val="20"/>
          <w:szCs w:val="20"/>
          <w:color w:val="auto"/>
        </w:rPr>
      </w:pPr>
      <w:r>
        <w:rPr>
          <w:rFonts w:ascii="Arial" w:cs="Arial" w:eastAsia="Arial" w:hAnsi="Arial"/>
          <w:sz w:val="18"/>
          <w:szCs w:val="18"/>
          <w:color w:val="auto"/>
        </w:rPr>
        <w:t>this Agreement such amounts as are required to be deducted and withheld with respect to the making of such payment under the U.S.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Company Awards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0" w:lineRule="auto"/>
        <w:tabs>
          <w:tab w:leader="none" w:pos="67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 (i) 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171" w:lineRule="exact"/>
        <w:rPr>
          <w:rFonts w:ascii="Arial" w:cs="Arial" w:eastAsia="Arial" w:hAnsi="Arial"/>
          <w:sz w:val="16"/>
          <w:szCs w:val="16"/>
          <w:color w:val="auto"/>
        </w:rPr>
      </w:pPr>
    </w:p>
    <w:p>
      <w:pPr>
        <w:jc w:val="both"/>
        <w:ind w:firstLine="359"/>
        <w:spacing w:after="0" w:line="256" w:lineRule="auto"/>
        <w:tabs>
          <w:tab w:leader="none" w:pos="6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96" w:lineRule="exact"/>
        <w:rPr>
          <w:rFonts w:ascii="Arial" w:cs="Arial" w:eastAsia="Arial" w:hAnsi="Arial"/>
          <w:sz w:val="18"/>
          <w:szCs w:val="18"/>
          <w:color w:val="auto"/>
        </w:rPr>
      </w:pPr>
    </w:p>
    <w:p>
      <w:pPr>
        <w:jc w:val="both"/>
        <w:ind w:firstLine="362"/>
        <w:spacing w:after="0" w:line="298" w:lineRule="auto"/>
        <w:tabs>
          <w:tab w:leader="none" w:pos="67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PSU Award determined based on the achievement of applicable performance goals at target levels.</w:t>
      </w:r>
    </w:p>
    <w:p>
      <w:pPr>
        <w:spacing w:after="0" w:line="166" w:lineRule="exact"/>
        <w:rPr>
          <w:rFonts w:ascii="Arial" w:cs="Arial" w:eastAsia="Arial" w:hAnsi="Arial"/>
          <w:sz w:val="16"/>
          <w:szCs w:val="16"/>
          <w:color w:val="auto"/>
        </w:rPr>
      </w:pPr>
    </w:p>
    <w:p>
      <w:pPr>
        <w:jc w:val="both"/>
        <w:ind w:firstLine="400"/>
        <w:spacing w:after="0" w:line="259" w:lineRule="auto"/>
        <w:tabs>
          <w:tab w:leader="none" w:pos="74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Shares of Dissenting Holders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4" w:lineRule="auto"/>
        <w:tabs>
          <w:tab w:leader="none" w:pos="68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xml:space="preserve">”) from, subject to </w:t>
      </w:r>
      <w:r>
        <w:rPr>
          <w:rFonts w:ascii="Arial" w:cs="Arial" w:eastAsia="Arial" w:hAnsi="Arial"/>
          <w:sz w:val="16"/>
          <w:szCs w:val="16"/>
          <w:u w:val="single" w:color="auto"/>
          <w:color w:val="auto"/>
        </w:rPr>
        <w:t>Section 2.04(e)</w:t>
      </w:r>
      <w:r>
        <w:rPr>
          <w:rFonts w:ascii="Arial" w:cs="Arial" w:eastAsia="Arial" w:hAnsi="Arial"/>
          <w:sz w:val="16"/>
          <w:szCs w:val="16"/>
          <w:color w:val="auto"/>
        </w:rPr>
        <w:t>, the Surviving Company by payment to the holder of the Dissenting Shares made within one month after such Appraised Fair Value is finally determined pursuant to such statutory appraisal procedure.</w:t>
      </w:r>
    </w:p>
    <w:p>
      <w:pPr>
        <w:spacing w:after="0" w:line="169" w:lineRule="exact"/>
        <w:rPr>
          <w:rFonts w:ascii="Arial" w:cs="Arial" w:eastAsia="Arial" w:hAnsi="Arial"/>
          <w:sz w:val="16"/>
          <w:szCs w:val="16"/>
          <w:color w:val="auto"/>
        </w:rPr>
      </w:pPr>
    </w:p>
    <w:p>
      <w:pPr>
        <w:jc w:val="both"/>
        <w:ind w:firstLine="369"/>
        <w:spacing w:after="0" w:line="254" w:lineRule="auto"/>
        <w:tabs>
          <w:tab w:leader="none" w:pos="70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0" w:name="page201"/>
    <w:bookmarkEnd w:id="200"/>
    <w:p>
      <w:pPr>
        <w:jc w:val="both"/>
        <w:ind w:firstLine="369"/>
        <w:spacing w:after="0" w:line="254" w:lineRule="auto"/>
        <w:tabs>
          <w:tab w:leader="none" w:pos="69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that a holder of Dissenting Shares or Dissenting Preference Shares fails to perfect, effectively withdraws or otherwise waives any right to appraisal (each, an “</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200" w:lineRule="exact"/>
        <w:rPr>
          <w:rFonts w:ascii="Arial" w:cs="Arial" w:eastAsia="Arial" w:hAnsi="Arial"/>
          <w:sz w:val="18"/>
          <w:szCs w:val="18"/>
          <w:color w:val="auto"/>
        </w:rPr>
      </w:pPr>
    </w:p>
    <w:p>
      <w:pPr>
        <w:jc w:val="both"/>
        <w:ind w:firstLine="408"/>
        <w:spacing w:after="0" w:line="288" w:lineRule="auto"/>
        <w:tabs>
          <w:tab w:leader="none" w:pos="75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172" w:lineRule="exact"/>
        <w:rPr>
          <w:rFonts w:ascii="Arial" w:cs="Arial" w:eastAsia="Arial" w:hAnsi="Arial"/>
          <w:sz w:val="16"/>
          <w:szCs w:val="16"/>
          <w:color w:val="auto"/>
        </w:rPr>
      </w:pPr>
    </w:p>
    <w:p>
      <w:pPr>
        <w:ind w:right="20" w:firstLine="458"/>
        <w:spacing w:after="0" w:line="268" w:lineRule="auto"/>
        <w:tabs>
          <w:tab w:leader="none" w:pos="81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Appraised Fair Value up to the amount of the Merger Consideration to holders of Dissenting Shares.</w:t>
      </w:r>
    </w:p>
    <w:p>
      <w:pPr>
        <w:spacing w:after="0" w:line="200" w:lineRule="exact"/>
        <w:rPr>
          <w:sz w:val="20"/>
          <w:szCs w:val="20"/>
          <w:color w:val="auto"/>
        </w:rPr>
      </w:pPr>
    </w:p>
    <w:p>
      <w:pPr>
        <w:spacing w:after="0" w:line="20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6"/>
          <w:szCs w:val="16"/>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6"/>
          <w:szCs w:val="16"/>
          <w:u w:val="single" w:color="auto"/>
          <w:color w:val="auto"/>
        </w:rPr>
        <w:t>Filed Company SEC Documents</w:t>
      </w:r>
      <w:r>
        <w:rPr>
          <w:rFonts w:ascii="Arial" w:cs="Arial" w:eastAsia="Arial" w:hAnsi="Arial"/>
          <w:sz w:val="16"/>
          <w:szCs w:val="16"/>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6"/>
          <w:szCs w:val="16"/>
          <w:u w:val="single" w:color="auto"/>
          <w:color w:val="auto"/>
        </w:rPr>
        <w:t>Filed Partnership SEC Documents</w:t>
      </w:r>
      <w:r>
        <w:rPr>
          <w:rFonts w:ascii="Arial" w:cs="Arial" w:eastAsia="Arial" w:hAnsi="Arial"/>
          <w:sz w:val="16"/>
          <w:szCs w:val="16"/>
          <w:color w:val="auto"/>
        </w:rPr>
        <w:t>” and, together with the Filed Company SEC Documents, the “</w:t>
      </w:r>
      <w:r>
        <w:rPr>
          <w:rFonts w:ascii="Arial" w:cs="Arial" w:eastAsia="Arial" w:hAnsi="Arial"/>
          <w:sz w:val="16"/>
          <w:szCs w:val="16"/>
          <w:u w:val="single" w:color="auto"/>
          <w:color w:val="auto"/>
        </w:rPr>
        <w:t>Filed SEC Documents</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disclosure contained in any such Filed SEC Documents under the headings “Risk Factors” or “Cautionary Statements About Forward Looking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jc w:val="both"/>
        <w:spacing w:after="0" w:line="259" w:lineRule="auto"/>
        <w:rPr>
          <w:sz w:val="20"/>
          <w:szCs w:val="20"/>
          <w:color w:val="auto"/>
        </w:rPr>
      </w:pPr>
      <w:r>
        <w:rPr>
          <w:rFonts w:ascii="Arial" w:cs="Arial" w:eastAsia="Arial" w:hAnsi="Arial"/>
          <w:sz w:val="18"/>
          <w:szCs w:val="18"/>
          <w:color w:val="auto"/>
        </w:rPr>
        <w:t xml:space="preserve">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to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Organization; Standing</w:t>
      </w:r>
      <w:r>
        <w:rPr>
          <w:rFonts w:ascii="Arial" w:cs="Arial" w:eastAsia="Arial" w:hAnsi="Arial"/>
          <w:sz w:val="15"/>
          <w:szCs w:val="15"/>
          <w:color w:val="auto"/>
        </w:rPr>
        <w:t>.</w:t>
      </w:r>
    </w:p>
    <w:p>
      <w:pPr>
        <w:spacing w:after="0" w:line="225" w:lineRule="exact"/>
        <w:rPr>
          <w:sz w:val="20"/>
          <w:szCs w:val="20"/>
          <w:color w:val="auto"/>
        </w:rPr>
      </w:pPr>
    </w:p>
    <w:p>
      <w:pPr>
        <w:jc w:val="both"/>
        <w:ind w:firstLine="428"/>
        <w:spacing w:after="0" w:line="288" w:lineRule="auto"/>
        <w:tabs>
          <w:tab w:leader="none" w:pos="76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77" w:lineRule="exact"/>
        <w:rPr>
          <w:rFonts w:ascii="Arial" w:cs="Arial" w:eastAsia="Arial" w:hAnsi="Arial"/>
          <w:sz w:val="16"/>
          <w:szCs w:val="16"/>
          <w:color w:val="auto"/>
        </w:rPr>
      </w:pPr>
    </w:p>
    <w:p>
      <w:pPr>
        <w:jc w:val="both"/>
        <w:ind w:firstLine="505"/>
        <w:spacing w:after="0" w:line="288" w:lineRule="auto"/>
        <w:tabs>
          <w:tab w:leader="none" w:pos="88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389"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529"/>
        <w:spacing w:after="0" w:line="283" w:lineRule="auto"/>
        <w:tabs>
          <w:tab w:leader="none" w:pos="90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authorized share capital of the Company consists of 500,000,000 shares with a par value of $0.01 per share. At the close of business on February 17, 2021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w:t>
      </w:r>
    </w:p>
    <w:p>
      <w:pPr>
        <w:spacing w:after="0" w:line="1" w:lineRule="exact"/>
        <w:rPr>
          <w:rFonts w:ascii="Arial" w:cs="Arial" w:eastAsia="Arial" w:hAnsi="Arial"/>
          <w:sz w:val="16"/>
          <w:szCs w:val="16"/>
          <w:color w:val="auto"/>
        </w:rPr>
      </w:pPr>
    </w:p>
    <w:p>
      <w:pPr>
        <w:jc w:val="both"/>
        <w:ind w:firstLine="8"/>
        <w:spacing w:after="0" w:line="295" w:lineRule="auto"/>
        <w:tabs>
          <w:tab w:leader="none" w:pos="36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jc w:val="both"/>
        <w:ind w:firstLine="453"/>
        <w:spacing w:after="0" w:line="284" w:lineRule="auto"/>
        <w:tabs>
          <w:tab w:leader="none" w:pos="817"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Except as set forth in, or as contemplated by the last sentence of, </w:t>
      </w:r>
      <w:r>
        <w:rPr>
          <w:rFonts w:ascii="Arial" w:cs="Arial" w:eastAsia="Arial" w:hAnsi="Arial"/>
          <w:sz w:val="16"/>
          <w:szCs w:val="16"/>
          <w:u w:val="single" w:color="auto"/>
          <w:color w:val="auto"/>
        </w:rPr>
        <w:t>Section 3.02(a)</w:t>
      </w:r>
      <w:r>
        <w:rPr>
          <w:rFonts w:ascii="Arial" w:cs="Arial" w:eastAsia="Arial" w:hAnsi="Arial"/>
          <w:sz w:val="16"/>
          <w:szCs w:val="16"/>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6"/>
          <w:szCs w:val="16"/>
          <w:u w:val="single" w:color="auto"/>
          <w:color w:val="auto"/>
        </w:rPr>
        <w:t>Company Rights</w:t>
      </w:r>
      <w:r>
        <w:rPr>
          <w:rFonts w:ascii="Arial" w:cs="Arial" w:eastAsia="Arial" w:hAnsi="Arial"/>
          <w:sz w:val="16"/>
          <w:szCs w:val="16"/>
          <w:color w:val="auto"/>
        </w:rPr>
        <w:t xml:space="preserve">”, and the items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6"/>
          <w:szCs w:val="16"/>
          <w:u w:val="single" w:color="auto"/>
          <w:color w:val="auto"/>
        </w:rPr>
        <w:t>Section 3.02(b)</w:t>
      </w:r>
      <w:r>
        <w:rPr>
          <w:rFonts w:ascii="Arial" w:cs="Arial" w:eastAsia="Arial" w:hAnsi="Arial"/>
          <w:sz w:val="16"/>
          <w:szCs w:val="16"/>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186" w:lineRule="exact"/>
        <w:rPr>
          <w:rFonts w:ascii="Arial" w:cs="Arial" w:eastAsia="Arial" w:hAnsi="Arial"/>
          <w:sz w:val="16"/>
          <w:szCs w:val="16"/>
          <w:color w:val="auto"/>
        </w:rPr>
      </w:pPr>
    </w:p>
    <w:p>
      <w:pPr>
        <w:jc w:val="both"/>
        <w:ind w:firstLine="549"/>
        <w:spacing w:after="0" w:line="285" w:lineRule="auto"/>
        <w:tabs>
          <w:tab w:leader="none" w:pos="938" w:val="left"/>
        </w:tabs>
        <w:numPr>
          <w:ilvl w:val="2"/>
          <w:numId w:val="194"/>
        </w:numPr>
        <w:rPr>
          <w:rFonts w:ascii="Arial" w:cs="Arial" w:eastAsia="Arial" w:hAnsi="Arial"/>
          <w:sz w:val="16"/>
          <w:szCs w:val="16"/>
          <w:color w:val="auto"/>
        </w:rPr>
      </w:pPr>
      <w:r>
        <w:rPr>
          <w:rFonts w:ascii="Arial" w:cs="Arial" w:eastAsia="Arial" w:hAnsi="Arial"/>
          <w:sz w:val="16"/>
          <w:szCs w:val="16"/>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 refusal or similar rights (to Persons other than the Company or any Subsidiary of the Company) with respect to any securities of any Subsidiary of the Company.</w:t>
      </w:r>
    </w:p>
    <w:p>
      <w:pPr>
        <w:spacing w:after="0" w:line="183" w:lineRule="exact"/>
        <w:rPr>
          <w:rFonts w:ascii="Arial" w:cs="Arial" w:eastAsia="Arial" w:hAnsi="Arial"/>
          <w:sz w:val="16"/>
          <w:szCs w:val="16"/>
          <w:color w:val="auto"/>
        </w:rPr>
      </w:pPr>
    </w:p>
    <w:p>
      <w:pPr>
        <w:jc w:val="both"/>
        <w:ind w:firstLine="424"/>
        <w:spacing w:after="0" w:line="256" w:lineRule="auto"/>
        <w:tabs>
          <w:tab w:leader="none" w:pos="76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spacing w:after="0" w:line="331" w:lineRule="auto"/>
        <w:rPr>
          <w:sz w:val="20"/>
          <w:szCs w:val="20"/>
          <w:color w:val="auto"/>
        </w:rPr>
      </w:pPr>
      <w:r>
        <w:rPr>
          <w:rFonts w:ascii="Arial" w:cs="Arial" w:eastAsia="Arial" w:hAnsi="Arial"/>
          <w:sz w:val="16"/>
          <w:szCs w:val="16"/>
          <w:color w:val="auto"/>
        </w:rPr>
        <w:t>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141" w:lineRule="exact"/>
        <w:rPr>
          <w:sz w:val="20"/>
          <w:szCs w:val="20"/>
          <w:color w:val="auto"/>
        </w:rPr>
      </w:pPr>
    </w:p>
    <w:p>
      <w:pPr>
        <w:jc w:val="both"/>
        <w:ind w:firstLine="369"/>
        <w:spacing w:after="0" w:line="290" w:lineRule="auto"/>
        <w:tabs>
          <w:tab w:leader="none" w:pos="69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16"/>
          <w:szCs w:val="16"/>
          <w:u w:val="single" w:color="auto"/>
          <w:color w:val="auto"/>
        </w:rPr>
        <w:t>Joint Venture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including for each Joint Venture Entity, (i) the name and jurisdiction of formation of such Joint Venture Entity and (ii) 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171" w:lineRule="exact"/>
        <w:rPr>
          <w:rFonts w:ascii="Arial" w:cs="Arial" w:eastAsia="Arial" w:hAnsi="Arial"/>
          <w:sz w:val="16"/>
          <w:szCs w:val="16"/>
          <w:color w:val="auto"/>
        </w:rPr>
      </w:pPr>
    </w:p>
    <w:p>
      <w:pPr>
        <w:jc w:val="both"/>
        <w:ind w:firstLine="491"/>
        <w:spacing w:after="0" w:line="259" w:lineRule="auto"/>
        <w:tabs>
          <w:tab w:leader="none" w:pos="90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193" w:lineRule="exact"/>
        <w:rPr>
          <w:rFonts w:ascii="Arial" w:cs="Arial" w:eastAsia="Arial" w:hAnsi="Arial"/>
          <w:sz w:val="18"/>
          <w:szCs w:val="18"/>
          <w:color w:val="auto"/>
        </w:rPr>
      </w:pPr>
    </w:p>
    <w:p>
      <w:pPr>
        <w:jc w:val="both"/>
        <w:ind w:firstLine="388"/>
        <w:spacing w:after="0" w:line="259" w:lineRule="auto"/>
        <w:tabs>
          <w:tab w:leader="none" w:pos="72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484"/>
        <w:spacing w:after="0" w:line="286" w:lineRule="auto"/>
        <w:tabs>
          <w:tab w:leader="none" w:pos="846"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413"/>
        <w:spacing w:after="0" w:line="294" w:lineRule="auto"/>
        <w:tabs>
          <w:tab w:leader="none" w:pos="75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spacing w:after="0" w:line="268" w:lineRule="auto"/>
        <w:rPr>
          <w:sz w:val="20"/>
          <w:szCs w:val="20"/>
          <w:color w:val="auto"/>
        </w:rPr>
      </w:pPr>
      <w:r>
        <w:rPr>
          <w:rFonts w:ascii="Arial" w:cs="Arial" w:eastAsia="Arial" w:hAnsi="Arial"/>
          <w:sz w:val="18"/>
          <w:szCs w:val="18"/>
          <w:color w:val="auto"/>
        </w:rPr>
        <w:t>Special Committee Recommendation, and, as of the date of this Agreement, such Special Committee Recommendation has not been subsequently rescinded, modified or withdrawn in any way.</w:t>
      </w:r>
    </w:p>
    <w:p>
      <w:pPr>
        <w:spacing w:after="0" w:line="186" w:lineRule="exact"/>
        <w:rPr>
          <w:sz w:val="20"/>
          <w:szCs w:val="20"/>
          <w:color w:val="auto"/>
        </w:rPr>
      </w:pPr>
    </w:p>
    <w:p>
      <w:pPr>
        <w:jc w:val="both"/>
        <w:ind w:firstLine="568"/>
        <w:spacing w:after="0" w:line="290" w:lineRule="auto"/>
        <w:tabs>
          <w:tab w:leader="none" w:pos="961" w:val="left"/>
        </w:tabs>
        <w:numPr>
          <w:ilvl w:val="3"/>
          <w:numId w:val="199"/>
        </w:numPr>
        <w:rPr>
          <w:rFonts w:ascii="Arial" w:cs="Arial" w:eastAsia="Arial" w:hAnsi="Arial"/>
          <w:sz w:val="16"/>
          <w:szCs w:val="16"/>
          <w:color w:val="auto"/>
        </w:rPr>
      </w:pPr>
      <w:r>
        <w:rPr>
          <w:rFonts w:ascii="Arial" w:cs="Arial" w:eastAsia="Arial" w:hAnsi="Arial"/>
          <w:sz w:val="16"/>
          <w:szCs w:val="16"/>
          <w:color w:val="auto"/>
        </w:rPr>
        <w:t xml:space="preserve">The Company Board (upon the unanimous recommendation of the Special Committee)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to make the Company Board Recommendation, and, as of the date of this Agreement, such resolutions have not been subsequently rescinded, modified or withdrawn in any way.</w:t>
      </w:r>
    </w:p>
    <w:p>
      <w:pPr>
        <w:spacing w:after="0" w:line="171" w:lineRule="exact"/>
        <w:rPr>
          <w:rFonts w:ascii="Arial" w:cs="Arial" w:eastAsia="Arial" w:hAnsi="Arial"/>
          <w:sz w:val="16"/>
          <w:szCs w:val="16"/>
          <w:color w:val="auto"/>
        </w:rPr>
      </w:pPr>
    </w:p>
    <w:p>
      <w:pPr>
        <w:jc w:val="both"/>
        <w:ind w:firstLine="386"/>
        <w:spacing w:after="0" w:line="284" w:lineRule="auto"/>
        <w:tabs>
          <w:tab w:leader="none" w:pos="72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Company, nor the consummation by the Company of the Transactions, nor performance or compliance by the Company with any of the terms or provisions hereof, will (i) subject to the receipt of the Required Shareholder Approvals, conflict with or violate any provision of (A) the Company Organizational Documents or (B) the similar organizational documents of any of the Company’s Subsidiaries or</w:t>
      </w:r>
    </w:p>
    <w:p>
      <w:pPr>
        <w:spacing w:after="0" w:line="1" w:lineRule="exact"/>
        <w:rPr>
          <w:rFonts w:ascii="Arial" w:cs="Arial" w:eastAsia="Arial" w:hAnsi="Arial"/>
          <w:sz w:val="16"/>
          <w:szCs w:val="16"/>
          <w:color w:val="auto"/>
        </w:rPr>
      </w:pPr>
    </w:p>
    <w:p>
      <w:pPr>
        <w:jc w:val="both"/>
        <w:ind w:firstLine="8"/>
        <w:spacing w:after="0" w:line="287" w:lineRule="auto"/>
        <w:tabs>
          <w:tab w:leader="none" w:pos="26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assuming that the Governmental Approvals and the Required Shareholder Approvals are obtained,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 (y) give rise to any right of first 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w:t>
      </w:r>
    </w:p>
    <w:p>
      <w:pPr>
        <w:spacing w:after="0" w:line="177" w:lineRule="exact"/>
        <w:rPr>
          <w:rFonts w:ascii="Arial" w:cs="Arial" w:eastAsia="Arial" w:hAnsi="Arial"/>
          <w:sz w:val="16"/>
          <w:szCs w:val="16"/>
          <w:color w:val="auto"/>
        </w:rPr>
      </w:pPr>
    </w:p>
    <w:p>
      <w:pPr>
        <w:jc w:val="both"/>
        <w:ind w:firstLine="413"/>
        <w:spacing w:after="0" w:line="288" w:lineRule="auto"/>
        <w:tabs>
          <w:tab w:leader="none" w:pos="748" w:val="left"/>
        </w:tabs>
        <w:numPr>
          <w:ilvl w:val="2"/>
          <w:numId w:val="201"/>
        </w:numPr>
        <w:rPr>
          <w:rFonts w:ascii="Arial" w:cs="Arial" w:eastAsia="Arial" w:hAnsi="Arial"/>
          <w:sz w:val="16"/>
          <w:szCs w:val="16"/>
          <w:color w:val="auto"/>
        </w:rPr>
      </w:pPr>
      <w:r>
        <w:rPr>
          <w:rFonts w:ascii="Arial" w:cs="Arial" w:eastAsia="Arial" w:hAnsi="Arial"/>
          <w:sz w:val="16"/>
          <w:szCs w:val="16"/>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Required Shareholder Approvals</w:t>
      </w:r>
      <w:r>
        <w:rPr>
          <w:rFonts w:ascii="Arial" w:cs="Arial" w:eastAsia="Arial" w:hAnsi="Arial"/>
          <w:sz w:val="16"/>
          <w:szCs w:val="16"/>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39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Exchange Act of 1934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jc w:val="both"/>
        <w:spacing w:after="0" w:line="298" w:lineRule="auto"/>
        <w:rPr>
          <w:sz w:val="20"/>
          <w:szCs w:val="20"/>
          <w:color w:val="auto"/>
        </w:rPr>
      </w:pPr>
      <w:r>
        <w:rPr>
          <w:rFonts w:ascii="Arial" w:cs="Arial" w:eastAsia="Arial" w:hAnsi="Arial"/>
          <w:sz w:val="16"/>
          <w:szCs w:val="16"/>
          <w:color w:val="auto"/>
        </w:rPr>
        <w:t>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Company SEC Documents; Undisclosed Liabilities; Internal Controls</w:t>
      </w:r>
      <w:r>
        <w:rPr>
          <w:rFonts w:ascii="Arial" w:cs="Arial" w:eastAsia="Arial" w:hAnsi="Arial"/>
          <w:sz w:val="16"/>
          <w:szCs w:val="16"/>
          <w:color w:val="auto"/>
        </w:rPr>
        <w:t>.</w:t>
      </w:r>
    </w:p>
    <w:p>
      <w:pPr>
        <w:spacing w:after="0" w:line="225" w:lineRule="exact"/>
        <w:rPr>
          <w:sz w:val="20"/>
          <w:szCs w:val="20"/>
          <w:color w:val="auto"/>
        </w:rPr>
      </w:pPr>
    </w:p>
    <w:p>
      <w:pPr>
        <w:jc w:val="both"/>
        <w:ind w:firstLine="402"/>
        <w:spacing w:after="0" w:line="286" w:lineRule="auto"/>
        <w:tabs>
          <w:tab w:leader="none" w:pos="73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effective dates (in the case of Company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180" w:lineRule="exact"/>
        <w:rPr>
          <w:rFonts w:ascii="Arial" w:cs="Arial" w:eastAsia="Arial" w:hAnsi="Arial"/>
          <w:sz w:val="16"/>
          <w:szCs w:val="16"/>
          <w:color w:val="auto"/>
        </w:rPr>
      </w:pPr>
    </w:p>
    <w:p>
      <w:pPr>
        <w:jc w:val="both"/>
        <w:ind w:firstLine="381"/>
        <w:spacing w:after="0" w:line="284" w:lineRule="auto"/>
        <w:tabs>
          <w:tab w:leader="none" w:pos="71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Company’s 2019 Form 20-F contains the following financial statements: the Company’s audited consolidated (i) statements of financial position as of December 31, 2018 and 2019, (ii) statements of profit or loss for the years ended December 31, 2017, 2018 and 2019, (iii) 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jc w:val="both"/>
        <w:ind w:firstLine="405"/>
        <w:spacing w:after="0" w:line="254" w:lineRule="auto"/>
        <w:tabs>
          <w:tab w:leader="none" w:pos="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 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33"/>
        <w:spacing w:after="0" w:line="294" w:lineRule="auto"/>
        <w:tabs>
          <w:tab w:leader="none" w:pos="786"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the provisions of the Sarbanes-Oxley Act of 2002 and the rules and regulations of the SEC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69" w:lineRule="exact"/>
        <w:rPr>
          <w:rFonts w:ascii="Arial" w:cs="Arial" w:eastAsia="Arial" w:hAnsi="Arial"/>
          <w:sz w:val="16"/>
          <w:szCs w:val="16"/>
          <w:color w:val="auto"/>
        </w:rPr>
      </w:pPr>
    </w:p>
    <w:p>
      <w:pPr>
        <w:jc w:val="both"/>
        <w:ind w:firstLine="502"/>
        <w:spacing w:after="0" w:line="290" w:lineRule="auto"/>
        <w:tabs>
          <w:tab w:leader="none" w:pos="871" w:val="left"/>
        </w:tabs>
        <w:numPr>
          <w:ilvl w:val="2"/>
          <w:numId w:val="204"/>
        </w:numPr>
        <w:rPr>
          <w:rFonts w:ascii="Arial" w:cs="Arial" w:eastAsia="Arial" w:hAnsi="Arial"/>
          <w:sz w:val="16"/>
          <w:szCs w:val="16"/>
          <w:color w:val="auto"/>
        </w:rPr>
      </w:pPr>
      <w:r>
        <w:rPr>
          <w:rFonts w:ascii="Arial" w:cs="Arial" w:eastAsia="Arial" w:hAnsi="Arial"/>
          <w:sz w:val="16"/>
          <w:szCs w:val="16"/>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172" w:lineRule="exact"/>
        <w:rPr>
          <w:sz w:val="20"/>
          <w:szCs w:val="20"/>
          <w:color w:val="auto"/>
        </w:rPr>
      </w:pPr>
    </w:p>
    <w:p>
      <w:pPr>
        <w:jc w:val="both"/>
        <w:ind w:firstLine="448"/>
        <w:spacing w:after="0" w:line="254" w:lineRule="auto"/>
        <w:tabs>
          <w:tab w:leader="none" w:pos="83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firstLine="507"/>
        <w:spacing w:after="0" w:line="294" w:lineRule="auto"/>
        <w:tabs>
          <w:tab w:leader="none" w:pos="891" w:val="left"/>
        </w:tabs>
        <w:numPr>
          <w:ilvl w:val="2"/>
          <w:numId w:val="205"/>
        </w:numPr>
        <w:rPr>
          <w:rFonts w:ascii="Arial" w:cs="Arial" w:eastAsia="Arial" w:hAnsi="Arial"/>
          <w:sz w:val="16"/>
          <w:szCs w:val="16"/>
          <w:color w:val="auto"/>
        </w:rPr>
      </w:pPr>
      <w:r>
        <w:rPr>
          <w:rFonts w:ascii="Arial" w:cs="Arial" w:eastAsia="Arial" w:hAnsi="Arial"/>
          <w:sz w:val="16"/>
          <w:szCs w:val="16"/>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169" w:lineRule="exact"/>
        <w:rPr>
          <w:rFonts w:ascii="Arial" w:cs="Arial" w:eastAsia="Arial" w:hAnsi="Arial"/>
          <w:sz w:val="16"/>
          <w:szCs w:val="16"/>
          <w:color w:val="auto"/>
        </w:rPr>
      </w:pPr>
    </w:p>
    <w:p>
      <w:pPr>
        <w:jc w:val="both"/>
        <w:ind w:firstLine="470"/>
        <w:spacing w:after="0" w:line="254" w:lineRule="auto"/>
        <w:tabs>
          <w:tab w:leader="none" w:pos="8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7" w:name="page208"/>
    <w:bookmarkEnd w:id="207"/>
    <w:p>
      <w:pPr>
        <w:spacing w:after="0" w:line="268" w:lineRule="auto"/>
        <w:rPr>
          <w:sz w:val="20"/>
          <w:szCs w:val="20"/>
          <w:color w:val="auto"/>
        </w:rPr>
      </w:pPr>
      <w:r>
        <w:rPr>
          <w:rFonts w:ascii="Arial" w:cs="Arial" w:eastAsia="Arial" w:hAnsi="Arial"/>
          <w:sz w:val="18"/>
          <w:szCs w:val="18"/>
          <w:color w:val="auto"/>
        </w:rPr>
        <w:t>disclosure of any material transaction involving, or material liabilities of, the Company in the Company’s published financial statements or any Company SEC Documents.</w:t>
      </w:r>
    </w:p>
    <w:p>
      <w:pPr>
        <w:spacing w:after="0" w:line="186" w:lineRule="exact"/>
        <w:rPr>
          <w:sz w:val="20"/>
          <w:szCs w:val="20"/>
          <w:color w:val="auto"/>
        </w:rPr>
      </w:pPr>
    </w:p>
    <w:p>
      <w:pPr>
        <w:jc w:val="both"/>
        <w:ind w:firstLine="479"/>
        <w:spacing w:after="0" w:line="314" w:lineRule="auto"/>
        <w:tabs>
          <w:tab w:leader="none" w:pos="869"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74" w:lineRule="exact"/>
        <w:rPr>
          <w:sz w:val="20"/>
          <w:szCs w:val="20"/>
          <w:color w:val="auto"/>
        </w:rPr>
      </w:pPr>
    </w:p>
    <w:p>
      <w:pPr>
        <w:jc w:val="both"/>
        <w:ind w:firstLine="375"/>
        <w:spacing w:after="0" w:line="310"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 (b) 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5"/>
          <w:szCs w:val="15"/>
          <w:u w:val="single" w:color="auto"/>
          <w:color w:val="auto"/>
        </w:rPr>
        <w:t>Section 5.01(b)</w:t>
      </w:r>
      <w:r>
        <w:rPr>
          <w:rFonts w:ascii="Arial" w:cs="Arial" w:eastAsia="Arial" w:hAnsi="Arial"/>
          <w:sz w:val="15"/>
          <w:szCs w:val="15"/>
          <w:color w:val="auto"/>
        </w:rPr>
        <w:t xml:space="preserve"> had the restrictions thereunder been in effect since January 1, 2021.</w:t>
      </w:r>
    </w:p>
    <w:p>
      <w:pPr>
        <w:spacing w:after="0" w:line="378"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16"/>
          <w:szCs w:val="16"/>
          <w:u w:val="single" w:color="auto"/>
          <w:color w:val="auto"/>
        </w:rPr>
        <w:t>Judgment</w:t>
      </w:r>
      <w:r>
        <w:rPr>
          <w:rFonts w:ascii="Arial" w:cs="Arial" w:eastAsia="Arial" w:hAnsi="Arial"/>
          <w:sz w:val="16"/>
          <w:szCs w:val="16"/>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39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448"/>
        <w:spacing w:after="0" w:line="254" w:lineRule="auto"/>
        <w:tabs>
          <w:tab w:leader="none" w:pos="79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18"/>
          <w:szCs w:val="18"/>
          <w:u w:val="single" w:color="auto"/>
          <w:color w:val="auto"/>
        </w:rPr>
        <w:t>Laws</w:t>
      </w:r>
      <w:r>
        <w:rPr>
          <w:rFonts w:ascii="Arial" w:cs="Arial" w:eastAsia="Arial" w:hAnsi="Arial"/>
          <w:sz w:val="18"/>
          <w:szCs w:val="18"/>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00"/>
        <w:spacing w:after="0" w:line="256" w:lineRule="auto"/>
        <w:tabs>
          <w:tab w:leader="none" w:pos="74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except (x) for those Permits that are the responsibility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jc w:val="both"/>
        <w:spacing w:after="0" w:line="290" w:lineRule="auto"/>
        <w:rPr>
          <w:sz w:val="20"/>
          <w:szCs w:val="20"/>
          <w:color w:val="auto"/>
        </w:rPr>
      </w:pPr>
      <w:r>
        <w:rPr>
          <w:rFonts w:ascii="Arial" w:cs="Arial" w:eastAsia="Arial" w:hAnsi="Arial"/>
          <w:sz w:val="16"/>
          <w:szCs w:val="16"/>
          <w:color w:val="auto"/>
        </w:rPr>
        <w:t>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388"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Anti-Corruption; Sanctions; Anti-Money Laundering.</w:t>
      </w:r>
    </w:p>
    <w:p>
      <w:pPr>
        <w:spacing w:after="0" w:line="225" w:lineRule="exact"/>
        <w:rPr>
          <w:sz w:val="20"/>
          <w:szCs w:val="20"/>
          <w:color w:val="auto"/>
        </w:rPr>
      </w:pPr>
    </w:p>
    <w:p>
      <w:pPr>
        <w:jc w:val="both"/>
        <w:ind w:firstLine="383"/>
        <w:spacing w:after="0" w:line="287" w:lineRule="auto"/>
        <w:tabs>
          <w:tab w:leader="none" w:pos="70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 procedures and controls that are reasonably designed to provide reasonable assurances that violations of Anti-Bribery Laws will be prevented, detected and deterred.</w:t>
      </w:r>
    </w:p>
    <w:p>
      <w:pPr>
        <w:spacing w:after="0" w:line="175" w:lineRule="exact"/>
        <w:rPr>
          <w:rFonts w:ascii="Arial" w:cs="Arial" w:eastAsia="Arial" w:hAnsi="Arial"/>
          <w:sz w:val="16"/>
          <w:szCs w:val="16"/>
          <w:color w:val="auto"/>
        </w:rPr>
      </w:pPr>
    </w:p>
    <w:p>
      <w:pPr>
        <w:jc w:val="both"/>
        <w:ind w:firstLine="377"/>
        <w:spacing w:after="0" w:line="290" w:lineRule="auto"/>
        <w:tabs>
          <w:tab w:leader="none" w:pos="71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16"/>
          <w:szCs w:val="16"/>
          <w:u w:val="single" w:color="auto"/>
          <w:color w:val="auto"/>
        </w:rPr>
        <w:t>Economic Sanctions</w:t>
      </w:r>
      <w:r>
        <w:rPr>
          <w:rFonts w:ascii="Arial" w:cs="Arial" w:eastAsia="Arial" w:hAnsi="Arial"/>
          <w:sz w:val="16"/>
          <w:szCs w:val="16"/>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171" w:lineRule="exact"/>
        <w:rPr>
          <w:rFonts w:ascii="Arial" w:cs="Arial" w:eastAsia="Arial" w:hAnsi="Arial"/>
          <w:sz w:val="16"/>
          <w:szCs w:val="16"/>
          <w:color w:val="auto"/>
        </w:rPr>
      </w:pPr>
    </w:p>
    <w:p>
      <w:pPr>
        <w:jc w:val="both"/>
        <w:ind w:firstLine="383"/>
        <w:spacing w:after="0" w:line="259" w:lineRule="auto"/>
        <w:tabs>
          <w:tab w:leader="none" w:pos="71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 w:leader="none" w:pos="2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8"/>
          <w:szCs w:val="18"/>
          <w:u w:val="single" w:color="auto"/>
          <w:color w:val="auto"/>
        </w:rPr>
        <w:t>Tax Matters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Except as would not, individually or in the aggregate, reasonably be expected to have a Material Adverse Effect:</w:t>
      </w:r>
    </w:p>
    <w:p>
      <w:pPr>
        <w:spacing w:after="0" w:line="225" w:lineRule="exact"/>
        <w:rPr>
          <w:sz w:val="20"/>
          <w:szCs w:val="20"/>
          <w:color w:val="auto"/>
        </w:rPr>
      </w:pPr>
    </w:p>
    <w:p>
      <w:pPr>
        <w:jc w:val="both"/>
        <w:ind w:firstLine="464"/>
        <w:spacing w:after="0" w:line="323" w:lineRule="auto"/>
        <w:tabs>
          <w:tab w:leader="none" w:pos="818"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jc w:val="both"/>
        <w:ind w:firstLine="458"/>
        <w:spacing w:after="0" w:line="294" w:lineRule="auto"/>
        <w:tabs>
          <w:tab w:leader="none" w:pos="813" w:val="left"/>
        </w:tabs>
        <w:numPr>
          <w:ilvl w:val="6"/>
          <w:numId w:val="211"/>
        </w:numPr>
        <w:rPr>
          <w:rFonts w:ascii="Arial" w:cs="Arial" w:eastAsia="Arial" w:hAnsi="Arial"/>
          <w:sz w:val="16"/>
          <w:szCs w:val="16"/>
          <w:color w:val="auto"/>
        </w:rPr>
      </w:pPr>
      <w:r>
        <w:rPr>
          <w:rFonts w:ascii="Arial" w:cs="Arial" w:eastAsia="Arial" w:hAnsi="Arial"/>
          <w:sz w:val="16"/>
          <w:szCs w:val="16"/>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69" w:lineRule="exact"/>
        <w:rPr>
          <w:rFonts w:ascii="Arial" w:cs="Arial" w:eastAsia="Arial" w:hAnsi="Arial"/>
          <w:sz w:val="16"/>
          <w:szCs w:val="16"/>
          <w:color w:val="auto"/>
        </w:rPr>
      </w:pPr>
    </w:p>
    <w:p>
      <w:pPr>
        <w:ind w:firstLine="418"/>
        <w:spacing w:after="0" w:line="331" w:lineRule="auto"/>
        <w:tabs>
          <w:tab w:leader="none" w:pos="755" w:val="left"/>
        </w:tabs>
        <w:numPr>
          <w:ilvl w:val="4"/>
          <w:numId w:val="212"/>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140" w:lineRule="exact"/>
        <w:rPr>
          <w:rFonts w:ascii="Arial" w:cs="Arial" w:eastAsia="Arial" w:hAnsi="Arial"/>
          <w:sz w:val="16"/>
          <w:szCs w:val="16"/>
          <w:color w:val="auto"/>
        </w:rPr>
      </w:pPr>
    </w:p>
    <w:p>
      <w:pPr>
        <w:ind w:firstLine="385"/>
        <w:spacing w:after="0" w:line="331" w:lineRule="auto"/>
        <w:tabs>
          <w:tab w:leader="none" w:pos="720" w:val="left"/>
        </w:tabs>
        <w:numPr>
          <w:ilvl w:val="3"/>
          <w:numId w:val="213"/>
        </w:numPr>
        <w:rPr>
          <w:rFonts w:ascii="Arial" w:cs="Arial" w:eastAsia="Arial" w:hAnsi="Arial"/>
          <w:sz w:val="16"/>
          <w:szCs w:val="16"/>
          <w:color w:val="auto"/>
        </w:rPr>
      </w:pPr>
      <w:r>
        <w:rPr>
          <w:rFonts w:ascii="Arial" w:cs="Arial" w:eastAsia="Arial" w:hAnsi="Arial"/>
          <w:sz w:val="16"/>
          <w:szCs w:val="16"/>
          <w:color w:val="auto"/>
        </w:rPr>
        <w:t>The Company and each of its Subsidiaries has collected all material sales and use Taxes required to be collected, and has remitted, or will remit on a timely basis, such amounts to the appropriate Governmental Authorities, or has been furnished properly completed exemption certificates.</w:t>
      </w:r>
    </w:p>
    <w:p>
      <w:pPr>
        <w:spacing w:after="0" w:line="140" w:lineRule="exact"/>
        <w:rPr>
          <w:rFonts w:ascii="Arial" w:cs="Arial" w:eastAsia="Arial" w:hAnsi="Arial"/>
          <w:sz w:val="16"/>
          <w:szCs w:val="16"/>
          <w:color w:val="auto"/>
        </w:rPr>
      </w:pPr>
    </w:p>
    <w:p>
      <w:pPr>
        <w:ind w:left="680" w:hanging="321"/>
        <w:spacing w:after="0"/>
        <w:tabs>
          <w:tab w:leader="none" w:pos="6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the Company or any of its Subsidiaries other than Permitted Liens.</w:t>
      </w:r>
    </w:p>
    <w:p>
      <w:pPr>
        <w:spacing w:after="0" w:line="225" w:lineRule="exact"/>
        <w:rPr>
          <w:rFonts w:ascii="Arial" w:cs="Arial" w:eastAsia="Arial" w:hAnsi="Arial"/>
          <w:sz w:val="18"/>
          <w:szCs w:val="18"/>
          <w:color w:val="auto"/>
        </w:rPr>
      </w:pPr>
    </w:p>
    <w:p>
      <w:pPr>
        <w:jc w:val="both"/>
        <w:ind w:firstLine="453"/>
        <w:spacing w:after="0" w:line="259" w:lineRule="auto"/>
        <w:tabs>
          <w:tab w:leader="none" w:pos="844" w:val="left"/>
        </w:tabs>
        <w:numPr>
          <w:ilvl w:val="6"/>
          <w:numId w:val="2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93" w:lineRule="exact"/>
        <w:rPr>
          <w:rFonts w:ascii="Arial" w:cs="Arial" w:eastAsia="Arial" w:hAnsi="Arial"/>
          <w:sz w:val="18"/>
          <w:szCs w:val="18"/>
          <w:color w:val="auto"/>
        </w:rPr>
      </w:pPr>
    </w:p>
    <w:p>
      <w:pPr>
        <w:jc w:val="both"/>
        <w:ind w:firstLine="443"/>
        <w:spacing w:after="0" w:line="259" w:lineRule="auto"/>
        <w:tabs>
          <w:tab w:leader="none" w:pos="803" w:val="left"/>
        </w:tabs>
        <w:numPr>
          <w:ilvl w:val="5"/>
          <w:numId w:val="2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93" w:lineRule="exact"/>
        <w:rPr>
          <w:rFonts w:ascii="Arial" w:cs="Arial" w:eastAsia="Arial" w:hAnsi="Arial"/>
          <w:sz w:val="18"/>
          <w:szCs w:val="18"/>
          <w:color w:val="auto"/>
        </w:rPr>
      </w:pPr>
    </w:p>
    <w:p>
      <w:pPr>
        <w:jc w:val="both"/>
        <w:ind w:firstLine="374"/>
        <w:spacing w:after="0" w:line="259" w:lineRule="auto"/>
        <w:tabs>
          <w:tab w:leader="none" w:pos="707" w:val="left"/>
        </w:tabs>
        <w:numPr>
          <w:ilvl w:val="2"/>
          <w:numId w:val="2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93" w:lineRule="exact"/>
        <w:rPr>
          <w:rFonts w:ascii="Arial" w:cs="Arial" w:eastAsia="Arial" w:hAnsi="Arial"/>
          <w:sz w:val="18"/>
          <w:szCs w:val="18"/>
          <w:color w:val="auto"/>
        </w:rPr>
      </w:pPr>
    </w:p>
    <w:p>
      <w:pPr>
        <w:jc w:val="both"/>
        <w:ind w:right="20" w:firstLine="455"/>
        <w:spacing w:after="0" w:line="285" w:lineRule="auto"/>
        <w:tabs>
          <w:tab w:leader="none" w:pos="833" w:val="left"/>
        </w:tabs>
        <w:numPr>
          <w:ilvl w:val="4"/>
          <w:numId w:val="214"/>
        </w:numPr>
        <w:rPr>
          <w:rFonts w:ascii="Arial" w:cs="Arial" w:eastAsia="Arial" w:hAnsi="Arial"/>
          <w:sz w:val="16"/>
          <w:szCs w:val="16"/>
          <w:color w:val="auto"/>
        </w:rPr>
      </w:pPr>
      <w:r>
        <w:rPr>
          <w:rFonts w:ascii="Arial" w:cs="Arial" w:eastAsia="Arial" w:hAnsi="Arial"/>
          <w:sz w:val="16"/>
          <w:szCs w:val="16"/>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w:t>
      </w:r>
    </w:p>
    <w:p>
      <w:pPr>
        <w:spacing w:after="0" w:line="1" w:lineRule="exact"/>
        <w:rPr>
          <w:rFonts w:ascii="Arial" w:cs="Arial" w:eastAsia="Arial" w:hAnsi="Arial"/>
          <w:sz w:val="16"/>
          <w:szCs w:val="16"/>
          <w:color w:val="auto"/>
        </w:rPr>
      </w:pPr>
    </w:p>
    <w:p>
      <w:pPr>
        <w:jc w:val="both"/>
        <w:ind w:firstLine="8"/>
        <w:spacing w:after="0" w:line="255" w:lineRule="auto"/>
        <w:tabs>
          <w:tab w:leader="none" w:pos="26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installment sale or open transaction arising in a taxable period (or portion thereof) ending on or before the Closing Date, (iii) a prepaid amount received, or paid, prior to the Closing or (iv) a “closing agreement” as described in Section 7121 of the Code (or any corresponding or similar provision of state or local income Tax Law) executed on or prior to the Closing Date.</w:t>
      </w:r>
    </w:p>
    <w:p>
      <w:pPr>
        <w:spacing w:after="0" w:line="197" w:lineRule="exact"/>
        <w:rPr>
          <w:rFonts w:ascii="Arial" w:cs="Arial" w:eastAsia="Arial" w:hAnsi="Arial"/>
          <w:sz w:val="18"/>
          <w:szCs w:val="18"/>
          <w:color w:val="auto"/>
        </w:rPr>
      </w:pPr>
    </w:p>
    <w:p>
      <w:pPr>
        <w:jc w:val="both"/>
        <w:ind w:firstLine="371"/>
        <w:spacing w:after="0" w:line="259" w:lineRule="auto"/>
        <w:tabs>
          <w:tab w:leader="none" w:pos="71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194" w:lineRule="exact"/>
        <w:rPr>
          <w:sz w:val="20"/>
          <w:szCs w:val="20"/>
          <w:color w:val="auto"/>
        </w:rPr>
      </w:pPr>
    </w:p>
    <w:p>
      <w:pPr>
        <w:ind w:firstLine="544"/>
        <w:spacing w:after="0" w:line="268" w:lineRule="auto"/>
        <w:tabs>
          <w:tab w:leader="none" w:pos="94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U.S. Treasury Regulation Section 1.6011-4(b)(2).</w:t>
      </w:r>
    </w:p>
    <w:p>
      <w:pPr>
        <w:spacing w:after="0" w:line="185" w:lineRule="exact"/>
        <w:rPr>
          <w:rFonts w:ascii="Arial" w:cs="Arial" w:eastAsia="Arial" w:hAnsi="Arial"/>
          <w:sz w:val="18"/>
          <w:szCs w:val="18"/>
          <w:color w:val="auto"/>
        </w:rPr>
      </w:pPr>
    </w:p>
    <w:p>
      <w:pPr>
        <w:jc w:val="both"/>
        <w:ind w:firstLine="372"/>
        <w:spacing w:after="0" w:line="259" w:lineRule="auto"/>
        <w:tabs>
          <w:tab w:leader="none" w:pos="7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0" w:name="page211"/>
    <w:bookmarkEnd w:id="210"/>
    <w:p>
      <w:pPr>
        <w:ind w:firstLine="362"/>
        <w:spacing w:after="0" w:line="268" w:lineRule="auto"/>
        <w:tabs>
          <w:tab w:leader="none" w:pos="69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185" w:lineRule="exact"/>
        <w:rPr>
          <w:rFonts w:ascii="Arial" w:cs="Arial" w:eastAsia="Arial" w:hAnsi="Arial"/>
          <w:sz w:val="18"/>
          <w:szCs w:val="18"/>
          <w:color w:val="auto"/>
        </w:rPr>
      </w:pPr>
    </w:p>
    <w:p>
      <w:pPr>
        <w:jc w:val="both"/>
        <w:ind w:firstLine="411"/>
        <w:spacing w:after="0" w:line="306" w:lineRule="auto"/>
        <w:tabs>
          <w:tab w:leader="none" w:pos="75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376"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389"/>
        <w:spacing w:after="0" w:line="288" w:lineRule="auto"/>
        <w:tabs>
          <w:tab w:leader="none" w:pos="719" w:val="left"/>
        </w:tabs>
        <w:numPr>
          <w:ilvl w:val="2"/>
          <w:numId w:val="219"/>
        </w:numPr>
        <w:rPr>
          <w:rFonts w:ascii="Arial" w:cs="Arial" w:eastAsia="Arial" w:hAnsi="Arial"/>
          <w:sz w:val="16"/>
          <w:szCs w:val="16"/>
          <w:color w:val="auto"/>
        </w:rPr>
      </w:pPr>
      <w:r>
        <w:rPr>
          <w:rFonts w:ascii="Arial" w:cs="Arial" w:eastAsia="Arial" w:hAnsi="Arial"/>
          <w:sz w:val="16"/>
          <w:szCs w:val="16"/>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177" w:lineRule="exact"/>
        <w:rPr>
          <w:rFonts w:ascii="Arial" w:cs="Arial" w:eastAsia="Arial" w:hAnsi="Arial"/>
          <w:sz w:val="16"/>
          <w:szCs w:val="16"/>
          <w:color w:val="auto"/>
        </w:rPr>
      </w:pPr>
    </w:p>
    <w:p>
      <w:pPr>
        <w:jc w:val="both"/>
        <w:ind w:firstLine="383"/>
        <w:spacing w:after="0" w:line="306" w:lineRule="auto"/>
        <w:tabs>
          <w:tab w:leader="none" w:pos="72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160" w:lineRule="exact"/>
        <w:rPr>
          <w:rFonts w:ascii="Arial" w:cs="Arial" w:eastAsia="Arial" w:hAnsi="Arial"/>
          <w:sz w:val="16"/>
          <w:szCs w:val="16"/>
          <w:color w:val="auto"/>
        </w:rPr>
      </w:pPr>
    </w:p>
    <w:p>
      <w:pPr>
        <w:jc w:val="both"/>
        <w:ind w:firstLine="362"/>
        <w:spacing w:after="0" w:line="254" w:lineRule="auto"/>
        <w:tabs>
          <w:tab w:leader="none" w:pos="681"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200" w:lineRule="exact"/>
        <w:rPr>
          <w:rFonts w:ascii="Arial" w:cs="Arial" w:eastAsia="Arial" w:hAnsi="Arial"/>
          <w:sz w:val="18"/>
          <w:szCs w:val="18"/>
          <w:color w:val="auto"/>
        </w:rPr>
      </w:pPr>
    </w:p>
    <w:p>
      <w:pPr>
        <w:jc w:val="both"/>
        <w:ind w:firstLine="408"/>
        <w:spacing w:after="0" w:line="285" w:lineRule="auto"/>
        <w:tabs>
          <w:tab w:leader="none" w:pos="755" w:val="left"/>
        </w:tabs>
        <w:numPr>
          <w:ilvl w:val="3"/>
          <w:numId w:val="220"/>
        </w:numPr>
        <w:rPr>
          <w:rFonts w:ascii="Arial" w:cs="Arial" w:eastAsia="Arial" w:hAnsi="Arial"/>
          <w:sz w:val="16"/>
          <w:szCs w:val="16"/>
          <w:color w:val="auto"/>
        </w:rPr>
      </w:pPr>
      <w:r>
        <w:rPr>
          <w:rFonts w:ascii="Arial" w:cs="Arial" w:eastAsia="Arial" w:hAnsi="Arial"/>
          <w:sz w:val="16"/>
          <w:szCs w:val="16"/>
          <w:color w:val="auto"/>
        </w:rPr>
        <w:t>(i) Each Foreign Plan and related trust, if any, complies in all material respects with and has been administered in material compliance with (A) the Laws of the applicable foreign country and (B) their terms and the terms of any collective bargaining, collective labor or works council agreements and</w:t>
      </w:r>
    </w:p>
    <w:p>
      <w:pPr>
        <w:spacing w:after="0" w:line="1" w:lineRule="exact"/>
        <w:rPr>
          <w:rFonts w:ascii="Arial" w:cs="Arial" w:eastAsia="Arial" w:hAnsi="Arial"/>
          <w:sz w:val="16"/>
          <w:szCs w:val="16"/>
          <w:color w:val="auto"/>
        </w:rPr>
      </w:pPr>
    </w:p>
    <w:p>
      <w:pPr>
        <w:jc w:val="both"/>
        <w:ind w:firstLine="8"/>
        <w:spacing w:after="0" w:line="281" w:lineRule="auto"/>
        <w:tabs>
          <w:tab w:leader="none" w:pos="27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each Foreign Plan intended to qualify for special tax treatment meets all the requirements for such treatment. Except as would not be material to the business of the Company and its Subsidiaries, taken as a whole, all Foreign Plans required to be funded and/or book-reserved are funded and/or book reserved, as appropriate, based upon reasonable actuarial assumptions.</w:t>
      </w:r>
    </w:p>
    <w:p>
      <w:pPr>
        <w:spacing w:after="0" w:line="197" w:lineRule="exact"/>
        <w:rPr>
          <w:rFonts w:ascii="Arial" w:cs="Arial" w:eastAsia="Arial" w:hAnsi="Arial"/>
          <w:sz w:val="16"/>
          <w:szCs w:val="16"/>
          <w:color w:val="auto"/>
        </w:rPr>
      </w:pPr>
    </w:p>
    <w:p>
      <w:pPr>
        <w:ind w:firstLine="388"/>
        <w:spacing w:after="0" w:line="331" w:lineRule="auto"/>
        <w:tabs>
          <w:tab w:leader="none" w:pos="718" w:val="left"/>
        </w:tabs>
        <w:numPr>
          <w:ilvl w:val="2"/>
          <w:numId w:val="221"/>
        </w:numPr>
        <w:rPr>
          <w:rFonts w:ascii="Arial" w:cs="Arial" w:eastAsia="Arial" w:hAnsi="Arial"/>
          <w:sz w:val="16"/>
          <w:szCs w:val="16"/>
          <w:color w:val="auto"/>
        </w:rPr>
      </w:pPr>
      <w:r>
        <w:rPr>
          <w:rFonts w:ascii="Arial" w:cs="Arial" w:eastAsia="Arial" w:hAnsi="Arial"/>
          <w:sz w:val="16"/>
          <w:szCs w:val="16"/>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1" w:name="page212"/>
    <w:bookmarkEnd w:id="211"/>
    <w:p>
      <w:pPr>
        <w:spacing w:after="0" w:line="268" w:lineRule="auto"/>
        <w:rPr>
          <w:sz w:val="20"/>
          <w:szCs w:val="20"/>
          <w:color w:val="auto"/>
        </w:rPr>
      </w:pPr>
      <w:r>
        <w:rPr>
          <w:rFonts w:ascii="Arial" w:cs="Arial" w:eastAsia="Arial" w:hAnsi="Arial"/>
          <w:sz w:val="18"/>
          <w:szCs w:val="18"/>
          <w:color w:val="auto"/>
        </w:rPr>
        <w:t>any employer (whether or not incorporated) that would be treated together with the Company or any of its Subsidiaries as a single employer within the meaning of Section 414 of the Code.</w:t>
      </w:r>
    </w:p>
    <w:p>
      <w:pPr>
        <w:spacing w:after="0" w:line="186" w:lineRule="exact"/>
        <w:rPr>
          <w:sz w:val="20"/>
          <w:szCs w:val="20"/>
          <w:color w:val="auto"/>
        </w:rPr>
      </w:pPr>
    </w:p>
    <w:p>
      <w:pPr>
        <w:jc w:val="both"/>
        <w:ind w:firstLine="495"/>
        <w:spacing w:after="0" w:line="306" w:lineRule="auto"/>
        <w:tabs>
          <w:tab w:leader="none" w:pos="90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160" w:lineRule="exact"/>
        <w:rPr>
          <w:rFonts w:ascii="Arial" w:cs="Arial" w:eastAsia="Arial" w:hAnsi="Arial"/>
          <w:sz w:val="16"/>
          <w:szCs w:val="16"/>
          <w:color w:val="auto"/>
        </w:rPr>
      </w:pPr>
    </w:p>
    <w:p>
      <w:pPr>
        <w:jc w:val="both"/>
        <w:ind w:firstLine="405"/>
        <w:spacing w:after="0" w:line="288" w:lineRule="auto"/>
        <w:tabs>
          <w:tab w:leader="none" w:pos="75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38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 (b) 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 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396"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(c) there has been no known or threatened Release of any Hazardous Materials for which the Company or any of its Subsidiaries would reasonably be expected to be liable,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2" w:name="page213"/>
    <w:bookmarkEnd w:id="212"/>
    <w:p>
      <w:pPr>
        <w:jc w:val="both"/>
        <w:ind w:firstLine="8"/>
        <w:spacing w:after="0" w:line="284" w:lineRule="auto"/>
        <w:tabs>
          <w:tab w:leader="none" w:pos="25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200" w:lineRule="exact"/>
        <w:rPr>
          <w:sz w:val="20"/>
          <w:szCs w:val="20"/>
          <w:color w:val="auto"/>
        </w:rPr>
      </w:pPr>
    </w:p>
    <w:p>
      <w:pPr>
        <w:spacing w:after="0" w:line="21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382"/>
        <w:spacing w:after="0" w:line="290" w:lineRule="auto"/>
        <w:tabs>
          <w:tab w:leader="none" w:pos="70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16"/>
          <w:szCs w:val="16"/>
          <w:u w:val="single" w:color="auto"/>
          <w:color w:val="auto"/>
        </w:rPr>
        <w:t>Section 3.14(c)</w:t>
      </w:r>
      <w:r>
        <w:rPr>
          <w:rFonts w:ascii="Arial" w:cs="Arial" w:eastAsia="Arial" w:hAnsi="Arial"/>
          <w:sz w:val="16"/>
          <w:szCs w:val="16"/>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171" w:lineRule="exact"/>
        <w:rPr>
          <w:rFonts w:ascii="Arial" w:cs="Arial" w:eastAsia="Arial" w:hAnsi="Arial"/>
          <w:sz w:val="16"/>
          <w:szCs w:val="16"/>
          <w:color w:val="auto"/>
        </w:rPr>
      </w:pPr>
    </w:p>
    <w:p>
      <w:pPr>
        <w:jc w:val="both"/>
        <w:ind w:firstLine="445"/>
        <w:spacing w:after="0" w:line="256" w:lineRule="auto"/>
        <w:tabs>
          <w:tab w:leader="none" w:pos="80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196" w:lineRule="exact"/>
        <w:rPr>
          <w:rFonts w:ascii="Arial" w:cs="Arial" w:eastAsia="Arial" w:hAnsi="Arial"/>
          <w:sz w:val="18"/>
          <w:szCs w:val="18"/>
          <w:color w:val="auto"/>
        </w:rPr>
      </w:pPr>
    </w:p>
    <w:p>
      <w:pPr>
        <w:jc w:val="both"/>
        <w:ind w:firstLine="524"/>
        <w:spacing w:after="0" w:line="298" w:lineRule="auto"/>
        <w:tabs>
          <w:tab w:leader="none" w:pos="905" w:val="left"/>
        </w:tabs>
        <w:numPr>
          <w:ilvl w:val="4"/>
          <w:numId w:val="22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 (ii) to the Knowledge of the Company, the operation of the business of the Company and its Subsidiaries as currently conducted does not violate, misappropriate or infringe the Intellectual Property rights of any other Person.</w:t>
      </w:r>
    </w:p>
    <w:p>
      <w:pPr>
        <w:spacing w:after="0" w:line="166" w:lineRule="exact"/>
        <w:rPr>
          <w:rFonts w:ascii="Arial" w:cs="Arial" w:eastAsia="Arial" w:hAnsi="Arial"/>
          <w:sz w:val="16"/>
          <w:szCs w:val="16"/>
          <w:color w:val="auto"/>
        </w:rPr>
      </w:pPr>
    </w:p>
    <w:p>
      <w:pPr>
        <w:jc w:val="both"/>
        <w:ind w:firstLine="499"/>
        <w:spacing w:after="0" w:line="306" w:lineRule="auto"/>
        <w:tabs>
          <w:tab w:leader="none" w:pos="879" w:val="left"/>
        </w:tabs>
        <w:numPr>
          <w:ilvl w:val="3"/>
          <w:numId w:val="226"/>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160" w:lineRule="exact"/>
        <w:rPr>
          <w:rFonts w:ascii="Arial" w:cs="Arial" w:eastAsia="Arial" w:hAnsi="Arial"/>
          <w:sz w:val="16"/>
          <w:szCs w:val="16"/>
          <w:color w:val="auto"/>
        </w:rPr>
      </w:pPr>
    </w:p>
    <w:p>
      <w:pPr>
        <w:jc w:val="both"/>
        <w:ind w:firstLine="397"/>
        <w:spacing w:after="0" w:line="298" w:lineRule="auto"/>
        <w:tabs>
          <w:tab w:leader="none" w:pos="727"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ind w:left="480"/>
              <w:spacing w:after="0"/>
              <w:rPr>
                <w:sz w:val="20"/>
                <w:szCs w:val="20"/>
                <w:color w:val="auto"/>
              </w:rPr>
            </w:pPr>
            <w:r>
              <w:rPr>
                <w:rFonts w:ascii="Arial" w:cs="Arial" w:eastAsia="Arial" w:hAnsi="Arial"/>
                <w:sz w:val="18"/>
                <w:szCs w:val="18"/>
                <w:color w:val="auto"/>
              </w:rPr>
              <w:t>SECTION 3.15.   Anti-Takeover Provisions.</w:t>
            </w:r>
          </w:p>
        </w:tc>
        <w:tc>
          <w:tcPr>
            <w:tcW w:w="7280" w:type="dxa"/>
            <w:vAlign w:val="bottom"/>
          </w:tcPr>
          <w:p>
            <w:pPr>
              <w:jc w:val="right"/>
              <w:spacing w:after="0"/>
              <w:rPr>
                <w:sz w:val="20"/>
                <w:szCs w:val="20"/>
                <w:color w:val="auto"/>
              </w:rPr>
            </w:pPr>
            <w:r>
              <w:rPr>
                <w:rFonts w:ascii="Arial" w:cs="Arial" w:eastAsia="Arial" w:hAnsi="Arial"/>
                <w:sz w:val="18"/>
                <w:szCs w:val="18"/>
                <w:color w:val="auto"/>
                <w:w w:val="93"/>
              </w:rPr>
              <w:t>Except for the provisions of Section 106(6) of the Bermuda Companies Act concerning the right of</w:t>
            </w:r>
          </w:p>
        </w:tc>
      </w:tr>
      <w:tr>
        <w:trPr>
          <w:trHeight w:val="20"/>
        </w:trPr>
        <w:tc>
          <w:tcPr>
            <w:tcW w:w="18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5"/>
        </w:trPr>
        <w:tc>
          <w:tcPr>
            <w:tcW w:w="3960" w:type="dxa"/>
            <w:vAlign w:val="bottom"/>
            <w:gridSpan w:val="3"/>
          </w:tcPr>
          <w:p>
            <w:pPr>
              <w:spacing w:after="0"/>
              <w:rPr>
                <w:sz w:val="20"/>
                <w:szCs w:val="20"/>
                <w:color w:val="auto"/>
              </w:rPr>
            </w:pPr>
            <w:r>
              <w:rPr>
                <w:rFonts w:ascii="Arial" w:cs="Arial" w:eastAsia="Arial" w:hAnsi="Arial"/>
                <w:sz w:val="18"/>
                <w:szCs w:val="18"/>
                <w:color w:val="auto"/>
                <w:w w:val="89"/>
              </w:rPr>
              <w:t>holders of Common Shares to require appraisal of their</w:t>
            </w:r>
          </w:p>
        </w:tc>
        <w:tc>
          <w:tcPr>
            <w:tcW w:w="728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tcPr>
          <w:p>
            <w:pPr>
              <w:jc w:val="right"/>
              <w:ind w:right="5432"/>
              <w:spacing w:after="0"/>
              <w:rPr>
                <w:sz w:val="20"/>
                <w:szCs w:val="20"/>
                <w:color w:val="auto"/>
              </w:rPr>
            </w:pPr>
            <w:r>
              <w:rPr>
                <w:rFonts w:ascii="Arial" w:cs="Arial" w:eastAsia="Arial" w:hAnsi="Arial"/>
                <w:sz w:val="18"/>
                <w:szCs w:val="18"/>
                <w:color w:val="auto"/>
              </w:rPr>
              <w:t>20</w:t>
            </w:r>
          </w:p>
        </w:tc>
      </w:tr>
      <w:tr>
        <w:trPr>
          <w:trHeight w:val="228"/>
        </w:trPr>
        <w:tc>
          <w:tcPr>
            <w:tcW w:w="18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3" w:name="page214"/>
    <w:bookmarkEnd w:id="213"/>
    <w:p>
      <w:pPr>
        <w:jc w:val="both"/>
        <w:spacing w:after="0" w:line="259" w:lineRule="auto"/>
        <w:rPr>
          <w:sz w:val="20"/>
          <w:szCs w:val="20"/>
          <w:color w:val="auto"/>
        </w:rPr>
      </w:pPr>
      <w:r>
        <w:rPr>
          <w:rFonts w:ascii="Arial" w:cs="Arial" w:eastAsia="Arial" w:hAnsi="Arial"/>
          <w:sz w:val="18"/>
          <w:szCs w:val="18"/>
          <w:color w:val="auto"/>
        </w:rPr>
        <w:t>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applies to the Company with respect to this Agreement or the Merger.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jc w:val="both"/>
        <w:ind w:firstLine="438"/>
        <w:spacing w:after="0" w:line="298" w:lineRule="auto"/>
        <w:tabs>
          <w:tab w:leader="none" w:pos="78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166" w:lineRule="exact"/>
        <w:rPr>
          <w:rFonts w:ascii="Arial" w:cs="Arial" w:eastAsia="Arial" w:hAnsi="Arial"/>
          <w:sz w:val="16"/>
          <w:szCs w:val="16"/>
          <w:color w:val="auto"/>
        </w:rPr>
      </w:pPr>
    </w:p>
    <w:p>
      <w:pPr>
        <w:ind w:firstLine="527"/>
        <w:spacing w:after="0" w:line="268" w:lineRule="auto"/>
        <w:tabs>
          <w:tab w:leader="none" w:pos="78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is required to be filed as an exhibit to the Company’s Annual Report on Form 20-F pursuant to Instruction 4 under “Instructions as to Exhibits” of Form 20-F;</w:t>
      </w:r>
    </w:p>
    <w:p>
      <w:pPr>
        <w:spacing w:after="0" w:line="186" w:lineRule="exact"/>
        <w:rPr>
          <w:sz w:val="20"/>
          <w:szCs w:val="20"/>
          <w:color w:val="auto"/>
        </w:rPr>
      </w:pPr>
    </w:p>
    <w:p>
      <w:pPr>
        <w:jc w:val="both"/>
        <w:ind w:firstLine="424"/>
        <w:spacing w:after="0" w:line="259" w:lineRule="auto"/>
        <w:tabs>
          <w:tab w:leader="none" w:pos="72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93" w:lineRule="exact"/>
        <w:rPr>
          <w:rFonts w:ascii="Arial" w:cs="Arial" w:eastAsia="Arial" w:hAnsi="Arial"/>
          <w:sz w:val="18"/>
          <w:szCs w:val="18"/>
          <w:color w:val="auto"/>
        </w:rPr>
      </w:pPr>
    </w:p>
    <w:p>
      <w:pPr>
        <w:jc w:val="both"/>
        <w:ind w:firstLine="362"/>
        <w:spacing w:after="0" w:line="259" w:lineRule="auto"/>
        <w:tabs>
          <w:tab w:leader="none" w:pos="7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193" w:lineRule="exact"/>
        <w:rPr>
          <w:rFonts w:ascii="Arial" w:cs="Arial" w:eastAsia="Arial" w:hAnsi="Arial"/>
          <w:sz w:val="18"/>
          <w:szCs w:val="18"/>
          <w:color w:val="auto"/>
        </w:rPr>
      </w:pPr>
    </w:p>
    <w:p>
      <w:pPr>
        <w:jc w:val="both"/>
        <w:ind w:firstLine="451"/>
        <w:spacing w:after="0" w:line="294" w:lineRule="auto"/>
        <w:tabs>
          <w:tab w:leader="none" w:pos="807" w:val="left"/>
        </w:tabs>
        <w:numPr>
          <w:ilvl w:val="2"/>
          <w:numId w:val="229"/>
        </w:numPr>
        <w:rPr>
          <w:rFonts w:ascii="Arial" w:cs="Arial" w:eastAsia="Arial" w:hAnsi="Arial"/>
          <w:sz w:val="16"/>
          <w:szCs w:val="16"/>
          <w:color w:val="auto"/>
        </w:rPr>
      </w:pPr>
      <w:r>
        <w:rPr>
          <w:rFonts w:ascii="Arial" w:cs="Arial" w:eastAsia="Arial" w:hAnsi="Arial"/>
          <w:sz w:val="16"/>
          <w:szCs w:val="16"/>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169" w:lineRule="exact"/>
        <w:rPr>
          <w:sz w:val="20"/>
          <w:szCs w:val="20"/>
          <w:color w:val="auto"/>
        </w:rPr>
      </w:pPr>
    </w:p>
    <w:p>
      <w:pPr>
        <w:jc w:val="both"/>
        <w:ind w:firstLine="406"/>
        <w:spacing w:after="0" w:line="298" w:lineRule="auto"/>
        <w:tabs>
          <w:tab w:leader="none" w:pos="69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66" w:lineRule="exact"/>
        <w:rPr>
          <w:rFonts w:ascii="Arial" w:cs="Arial" w:eastAsia="Arial" w:hAnsi="Arial"/>
          <w:sz w:val="16"/>
          <w:szCs w:val="16"/>
          <w:color w:val="auto"/>
        </w:rPr>
      </w:pPr>
    </w:p>
    <w:p>
      <w:pPr>
        <w:jc w:val="both"/>
        <w:ind w:firstLine="530"/>
        <w:spacing w:after="0" w:line="259" w:lineRule="auto"/>
        <w:tabs>
          <w:tab w:leader="none" w:pos="90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94" w:lineRule="exact"/>
        <w:rPr>
          <w:sz w:val="20"/>
          <w:szCs w:val="20"/>
          <w:color w:val="auto"/>
        </w:rPr>
      </w:pPr>
    </w:p>
    <w:p>
      <w:pPr>
        <w:jc w:val="both"/>
        <w:ind w:firstLine="371"/>
        <w:spacing w:after="0" w:line="306" w:lineRule="auto"/>
        <w:tabs>
          <w:tab w:leader="none" w:pos="76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6"/>
          <w:szCs w:val="16"/>
          <w:u w:val="single" w:color="auto"/>
          <w:color w:val="auto"/>
        </w:rPr>
        <w:t>Newbuildings</w:t>
      </w:r>
      <w:r>
        <w:rPr>
          <w:rFonts w:ascii="Arial" w:cs="Arial" w:eastAsia="Arial" w:hAnsi="Arial"/>
          <w:sz w:val="16"/>
          <w:szCs w:val="16"/>
          <w:color w:val="auto"/>
        </w:rPr>
        <w:t>”) or (B) second hand vessels, in each case contracted for by the Company or any of its Subsidiaries;</w:t>
      </w:r>
    </w:p>
    <w:p>
      <w:pPr>
        <w:spacing w:after="0" w:line="160" w:lineRule="exact"/>
        <w:rPr>
          <w:sz w:val="20"/>
          <w:szCs w:val="20"/>
          <w:color w:val="auto"/>
        </w:rPr>
      </w:pPr>
    </w:p>
    <w:p>
      <w:pPr>
        <w:ind w:firstLine="352"/>
        <w:spacing w:after="0" w:line="331" w:lineRule="auto"/>
        <w:tabs>
          <w:tab w:leader="none" w:pos="81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4" w:name="page215"/>
    <w:bookmarkEnd w:id="214"/>
    <w:p>
      <w:pPr>
        <w:jc w:val="both"/>
        <w:ind w:left="-20" w:firstLine="440"/>
        <w:spacing w:after="0" w:line="259" w:lineRule="auto"/>
        <w:tabs>
          <w:tab w:leader="none" w:pos="773" w:val="left"/>
        </w:tabs>
        <w:numPr>
          <w:ilvl w:val="4"/>
          <w:numId w:val="233"/>
        </w:numPr>
        <w:rPr>
          <w:rFonts w:ascii="Arial" w:cs="Arial" w:eastAsia="Arial" w:hAnsi="Arial"/>
          <w:sz w:val="18"/>
          <w:szCs w:val="18"/>
          <w:color w:val="auto"/>
        </w:rPr>
      </w:pPr>
      <w:r>
        <w:rPr>
          <w:rFonts w:ascii="Arial" w:cs="Arial" w:eastAsia="Arial" w:hAnsi="Arial"/>
          <w:sz w:val="18"/>
          <w:szCs w:val="18"/>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93" w:lineRule="exact"/>
        <w:rPr>
          <w:rFonts w:ascii="Arial" w:cs="Arial" w:eastAsia="Arial" w:hAnsi="Arial"/>
          <w:sz w:val="18"/>
          <w:szCs w:val="18"/>
          <w:color w:val="auto"/>
        </w:rPr>
      </w:pPr>
    </w:p>
    <w:p>
      <w:pPr>
        <w:jc w:val="both"/>
        <w:ind w:left="-20" w:firstLine="414"/>
        <w:spacing w:after="0" w:line="259" w:lineRule="auto"/>
        <w:tabs>
          <w:tab w:leader="none" w:pos="681" w:val="left"/>
        </w:tabs>
        <w:numPr>
          <w:ilvl w:val="3"/>
          <w:numId w:val="234"/>
        </w:numPr>
        <w:rPr>
          <w:rFonts w:ascii="Arial" w:cs="Arial" w:eastAsia="Arial" w:hAnsi="Arial"/>
          <w:sz w:val="18"/>
          <w:szCs w:val="18"/>
          <w:color w:val="auto"/>
        </w:rPr>
      </w:pPr>
      <w:r>
        <w:rPr>
          <w:rFonts w:ascii="Arial" w:cs="Arial" w:eastAsia="Arial" w:hAnsi="Arial"/>
          <w:sz w:val="18"/>
          <w:szCs w:val="18"/>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193" w:lineRule="exact"/>
        <w:rPr>
          <w:rFonts w:ascii="Arial" w:cs="Arial" w:eastAsia="Arial" w:hAnsi="Arial"/>
          <w:sz w:val="18"/>
          <w:szCs w:val="18"/>
          <w:color w:val="auto"/>
        </w:rPr>
      </w:pPr>
    </w:p>
    <w:p>
      <w:pPr>
        <w:ind w:left="-20" w:firstLine="419"/>
        <w:spacing w:after="0" w:line="268" w:lineRule="auto"/>
        <w:tabs>
          <w:tab w:leader="none" w:pos="747" w:val="left"/>
        </w:tabs>
        <w:numPr>
          <w:ilvl w:val="3"/>
          <w:numId w:val="234"/>
        </w:numPr>
        <w:rPr>
          <w:rFonts w:ascii="Arial" w:cs="Arial" w:eastAsia="Arial" w:hAnsi="Arial"/>
          <w:sz w:val="18"/>
          <w:szCs w:val="18"/>
          <w:color w:val="auto"/>
        </w:rPr>
      </w:pPr>
      <w:r>
        <w:rPr>
          <w:rFonts w:ascii="Arial" w:cs="Arial" w:eastAsia="Arial" w:hAnsi="Arial"/>
          <w:sz w:val="18"/>
          <w:szCs w:val="18"/>
          <w:color w:val="auto"/>
        </w:rPr>
        <w:t>is any lease, sublease or similar Contract with any Person under which the Company or any of its Subsidiaries is a lessor or sublessor of, or makes available for use to any Person, any interests in real property;</w:t>
      </w:r>
    </w:p>
    <w:p>
      <w:pPr>
        <w:spacing w:after="0" w:line="185" w:lineRule="exact"/>
        <w:rPr>
          <w:rFonts w:ascii="Arial" w:cs="Arial" w:eastAsia="Arial" w:hAnsi="Arial"/>
          <w:sz w:val="18"/>
          <w:szCs w:val="18"/>
          <w:color w:val="auto"/>
        </w:rPr>
      </w:pPr>
    </w:p>
    <w:p>
      <w:pPr>
        <w:jc w:val="both"/>
        <w:ind w:left="-20" w:right="20" w:firstLine="323"/>
        <w:spacing w:after="0" w:line="259" w:lineRule="auto"/>
        <w:tabs>
          <w:tab w:leader="none" w:pos="68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193" w:lineRule="exact"/>
        <w:rPr>
          <w:rFonts w:ascii="Arial" w:cs="Arial" w:eastAsia="Arial" w:hAnsi="Arial"/>
          <w:sz w:val="18"/>
          <w:szCs w:val="18"/>
          <w:color w:val="auto"/>
        </w:rPr>
      </w:pPr>
    </w:p>
    <w:p>
      <w:pPr>
        <w:ind w:left="-20" w:firstLine="271"/>
        <w:spacing w:after="0" w:line="268" w:lineRule="auto"/>
        <w:tabs>
          <w:tab w:leader="none" w:pos="68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185" w:lineRule="exact"/>
        <w:rPr>
          <w:rFonts w:ascii="Arial" w:cs="Arial" w:eastAsia="Arial" w:hAnsi="Arial"/>
          <w:sz w:val="18"/>
          <w:szCs w:val="18"/>
          <w:color w:val="auto"/>
        </w:rPr>
      </w:pPr>
    </w:p>
    <w:p>
      <w:pPr>
        <w:ind w:left="680" w:hanging="429"/>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any currency, interest rate or other hedge, swap or other derivative Contract;</w:t>
      </w:r>
    </w:p>
    <w:p>
      <w:pPr>
        <w:spacing w:after="0" w:line="225" w:lineRule="exact"/>
        <w:rPr>
          <w:rFonts w:ascii="Arial" w:cs="Arial" w:eastAsia="Arial" w:hAnsi="Arial"/>
          <w:sz w:val="18"/>
          <w:szCs w:val="18"/>
          <w:color w:val="auto"/>
        </w:rPr>
      </w:pPr>
    </w:p>
    <w:p>
      <w:pPr>
        <w:ind w:left="680" w:hanging="385"/>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a revenue-generating Contract with a Significant Customer;</w:t>
      </w:r>
    </w:p>
    <w:p>
      <w:pPr>
        <w:spacing w:after="0" w:line="225" w:lineRule="exact"/>
        <w:rPr>
          <w:rFonts w:ascii="Arial" w:cs="Arial" w:eastAsia="Arial" w:hAnsi="Arial"/>
          <w:sz w:val="18"/>
          <w:szCs w:val="18"/>
          <w:color w:val="auto"/>
        </w:rPr>
      </w:pPr>
    </w:p>
    <w:p>
      <w:pPr>
        <w:ind w:left="680" w:hanging="429"/>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a pool arrangement or management agreement with respect to any Vessel;</w:t>
      </w:r>
    </w:p>
    <w:p>
      <w:pPr>
        <w:spacing w:after="0" w:line="225" w:lineRule="exact"/>
        <w:rPr>
          <w:rFonts w:ascii="Arial" w:cs="Arial" w:eastAsia="Arial" w:hAnsi="Arial"/>
          <w:sz w:val="18"/>
          <w:szCs w:val="18"/>
          <w:color w:val="auto"/>
        </w:rPr>
      </w:pPr>
    </w:p>
    <w:p>
      <w:pPr>
        <w:ind w:left="680" w:hanging="473"/>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requires capital expenditures in excess of $2 million individually or $15 million in the aggregate;</w:t>
      </w:r>
    </w:p>
    <w:p>
      <w:pPr>
        <w:spacing w:after="0" w:line="225" w:lineRule="exact"/>
        <w:rPr>
          <w:rFonts w:ascii="Arial" w:cs="Arial" w:eastAsia="Arial" w:hAnsi="Arial"/>
          <w:sz w:val="18"/>
          <w:szCs w:val="18"/>
          <w:color w:val="auto"/>
        </w:rPr>
      </w:pPr>
    </w:p>
    <w:p>
      <w:pPr>
        <w:ind w:left="700" w:hanging="537"/>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a collective bargaining agreement or other agreement with a labor union, works council or similar organization;</w:t>
      </w:r>
    </w:p>
    <w:p>
      <w:pPr>
        <w:spacing w:after="0" w:line="225" w:lineRule="exact"/>
        <w:rPr>
          <w:rFonts w:ascii="Arial" w:cs="Arial" w:eastAsia="Arial" w:hAnsi="Arial"/>
          <w:sz w:val="18"/>
          <w:szCs w:val="18"/>
          <w:color w:val="auto"/>
        </w:rPr>
      </w:pPr>
    </w:p>
    <w:p>
      <w:pPr>
        <w:ind w:left="-20" w:firstLine="312"/>
        <w:spacing w:after="0" w:line="268" w:lineRule="auto"/>
        <w:tabs>
          <w:tab w:leader="none" w:pos="726" w:val="left"/>
        </w:tabs>
        <w:numPr>
          <w:ilvl w:val="2"/>
          <w:numId w:val="236"/>
        </w:numPr>
        <w:rPr>
          <w:rFonts w:ascii="Arial" w:cs="Arial" w:eastAsia="Arial" w:hAnsi="Arial"/>
          <w:sz w:val="18"/>
          <w:szCs w:val="18"/>
          <w:color w:val="auto"/>
        </w:rPr>
      </w:pPr>
      <w:r>
        <w:rPr>
          <w:rFonts w:ascii="Arial" w:cs="Arial" w:eastAsia="Arial" w:hAnsi="Arial"/>
          <w:sz w:val="18"/>
          <w:szCs w:val="18"/>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above; or</w:t>
      </w:r>
    </w:p>
    <w:p>
      <w:pPr>
        <w:spacing w:after="0" w:line="186" w:lineRule="exact"/>
        <w:rPr>
          <w:sz w:val="20"/>
          <w:szCs w:val="20"/>
          <w:color w:val="auto"/>
        </w:rPr>
      </w:pPr>
    </w:p>
    <w:p>
      <w:pPr>
        <w:ind w:left="-20" w:right="20" w:firstLine="425"/>
        <w:spacing w:after="0" w:line="268" w:lineRule="auto"/>
        <w:tabs>
          <w:tab w:leader="none" w:pos="80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is a material Contract for which the primary purpose is a license or grant of other rights in or to use Intellectual Property that is material to the business of the Company and its Subsidiaries.</w:t>
      </w:r>
    </w:p>
    <w:p>
      <w:pPr>
        <w:spacing w:after="0" w:line="185" w:lineRule="exact"/>
        <w:rPr>
          <w:rFonts w:ascii="Arial" w:cs="Arial" w:eastAsia="Arial" w:hAnsi="Arial"/>
          <w:sz w:val="18"/>
          <w:szCs w:val="18"/>
          <w:color w:val="auto"/>
        </w:rPr>
      </w:pPr>
    </w:p>
    <w:p>
      <w:pPr>
        <w:jc w:val="both"/>
        <w:ind w:left="-20" w:firstLine="411"/>
        <w:spacing w:after="0" w:line="286" w:lineRule="auto"/>
        <w:tabs>
          <w:tab w:leader="none" w:pos="73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13613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40" w:top="131" w:right="339" w:bottom="1440" w:gutter="0" w:footer="0" w:header="0"/>
        </w:sectPr>
      </w:pPr>
    </w:p>
    <w:bookmarkStart w:id="215" w:name="page216"/>
    <w:bookmarkEnd w:id="215"/>
    <w:p>
      <w:pPr>
        <w:jc w:val="both"/>
        <w:spacing w:after="0" w:line="259" w:lineRule="auto"/>
        <w:rPr>
          <w:sz w:val="20"/>
          <w:szCs w:val="20"/>
          <w:color w:val="auto"/>
        </w:rPr>
      </w:pPr>
      <w:r>
        <w:rPr>
          <w:rFonts w:ascii="Arial" w:cs="Arial" w:eastAsia="Arial" w:hAnsi="Arial"/>
          <w:sz w:val="18"/>
          <w:szCs w:val="18"/>
          <w:color w:val="auto"/>
        </w:rPr>
        <w:t>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200" w:lineRule="exact"/>
        <w:rPr>
          <w:sz w:val="20"/>
          <w:szCs w:val="20"/>
          <w:color w:val="auto"/>
        </w:rPr>
      </w:pPr>
    </w:p>
    <w:p>
      <w:pPr>
        <w:spacing w:after="0" w:line="210" w:lineRule="exact"/>
        <w:rPr>
          <w:sz w:val="20"/>
          <w:szCs w:val="20"/>
          <w:color w:val="auto"/>
        </w:rPr>
      </w:pPr>
    </w:p>
    <w:p>
      <w:pPr>
        <w:jc w:val="both"/>
        <w:ind w:firstLine="447"/>
        <w:spacing w:after="0" w:line="28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w:t>
      </w:r>
    </w:p>
    <w:p>
      <w:pPr>
        <w:spacing w:after="0" w:line="5" w:lineRule="exact"/>
        <w:rPr>
          <w:sz w:val="20"/>
          <w:szCs w:val="20"/>
          <w:color w:val="auto"/>
        </w:rPr>
      </w:pPr>
    </w:p>
    <w:p>
      <w:pPr>
        <w:ind w:firstLine="8"/>
        <w:spacing w:after="0" w:line="260" w:lineRule="auto"/>
        <w:tabs>
          <w:tab w:leader="none" w:pos="24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renew their existing insurance coverage as and when such policies expire or (b) obtain comparable coverage from similar institutions as may be necessary or appropriate to conduct their business as now conducted.</w:t>
      </w:r>
    </w:p>
    <w:p>
      <w:pPr>
        <w:spacing w:after="0" w:line="200" w:lineRule="exact"/>
        <w:rPr>
          <w:sz w:val="20"/>
          <w:szCs w:val="20"/>
          <w:color w:val="auto"/>
        </w:rPr>
      </w:pPr>
    </w:p>
    <w:p>
      <w:pPr>
        <w:spacing w:after="0" w:line="209"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Special Committee has received the opinion of Evercore Group L.L.C. (“</w:t>
      </w:r>
      <w:r>
        <w:rPr>
          <w:rFonts w:ascii="Arial" w:cs="Arial" w:eastAsia="Arial" w:hAnsi="Arial"/>
          <w:sz w:val="18"/>
          <w:szCs w:val="18"/>
          <w:u w:val="single" w:color="auto"/>
          <w:color w:val="auto"/>
        </w:rPr>
        <w:t>Evercore</w:t>
      </w:r>
      <w:r>
        <w:rPr>
          <w:rFonts w:ascii="Arial" w:cs="Arial" w:eastAsia="Arial" w:hAnsi="Arial"/>
          <w:sz w:val="18"/>
          <w:szCs w:val="18"/>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 Committee and the Board and may not be relied on by Parent or Merger Sub for any purpose. The Company shall provide to Parent, solely for informational purposes, a copy of such written opinion promptly following the execution of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Vessels; Maritime Matters</w:t>
      </w:r>
      <w:r>
        <w:rPr>
          <w:rFonts w:ascii="Arial" w:cs="Arial" w:eastAsia="Arial" w:hAnsi="Arial"/>
          <w:sz w:val="15"/>
          <w:szCs w:val="15"/>
          <w:color w:val="auto"/>
        </w:rPr>
        <w:t>.</w:t>
      </w:r>
    </w:p>
    <w:p>
      <w:pPr>
        <w:spacing w:after="0" w:line="225" w:lineRule="exact"/>
        <w:rPr>
          <w:sz w:val="20"/>
          <w:szCs w:val="20"/>
          <w:color w:val="auto"/>
        </w:rPr>
      </w:pPr>
    </w:p>
    <w:p>
      <w:pPr>
        <w:jc w:val="both"/>
        <w:ind w:firstLine="445"/>
        <w:spacing w:after="0" w:line="254" w:lineRule="auto"/>
        <w:tabs>
          <w:tab w:leader="none" w:pos="79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(ii) all vessels chartered-in by the Company or any of its Subsidiaries pursuant to charter arrangements (the “</w:t>
      </w:r>
      <w:r>
        <w:rPr>
          <w:rFonts w:ascii="Arial" w:cs="Arial" w:eastAsia="Arial" w:hAnsi="Arial"/>
          <w:sz w:val="18"/>
          <w:szCs w:val="18"/>
          <w:u w:val="single" w:color="auto"/>
          <w:color w:val="auto"/>
        </w:rPr>
        <w:t>Leased Vessels</w:t>
      </w:r>
      <w:r>
        <w:rPr>
          <w:rFonts w:ascii="Arial" w:cs="Arial" w:eastAsia="Arial" w:hAnsi="Arial"/>
          <w:sz w:val="18"/>
          <w:szCs w:val="18"/>
          <w:color w:val="auto"/>
        </w:rPr>
        <w:t>”) or (iii) any other vessels in which the Company or any of its Subsidiaries have an ownership interest (together with the Wholly Owned Vessels and the Leased Vessels, the “</w:t>
      </w:r>
      <w:r>
        <w:rPr>
          <w:rFonts w:ascii="Arial" w:cs="Arial" w:eastAsia="Arial" w:hAnsi="Arial"/>
          <w:sz w:val="18"/>
          <w:szCs w:val="18"/>
          <w:u w:val="single" w:color="auto"/>
          <w:color w:val="auto"/>
        </w:rPr>
        <w:t>Vessels</w:t>
      </w:r>
      <w:r>
        <w:rPr>
          <w:rFonts w:ascii="Arial" w:cs="Arial" w:eastAsia="Arial" w:hAnsi="Arial"/>
          <w:sz w:val="18"/>
          <w:szCs w:val="18"/>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197" w:lineRule="exact"/>
        <w:rPr>
          <w:rFonts w:ascii="Arial" w:cs="Arial" w:eastAsia="Arial" w:hAnsi="Arial"/>
          <w:sz w:val="18"/>
          <w:szCs w:val="18"/>
          <w:color w:val="auto"/>
        </w:rPr>
      </w:pPr>
    </w:p>
    <w:p>
      <w:pPr>
        <w:jc w:val="both"/>
        <w:ind w:firstLine="408"/>
        <w:spacing w:after="0" w:line="298" w:lineRule="auto"/>
        <w:tabs>
          <w:tab w:leader="none" w:pos="75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6" w:name="page217"/>
    <w:bookmarkEnd w:id="216"/>
    <w:p>
      <w:pPr>
        <w:jc w:val="both"/>
        <w:ind w:firstLine="8"/>
        <w:spacing w:after="0" w:line="254" w:lineRule="auto"/>
        <w:tabs>
          <w:tab w:leader="none" w:pos="2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200" w:lineRule="exact"/>
        <w:rPr>
          <w:rFonts w:ascii="Arial" w:cs="Arial" w:eastAsia="Arial" w:hAnsi="Arial"/>
          <w:sz w:val="18"/>
          <w:szCs w:val="18"/>
          <w:color w:val="auto"/>
        </w:rPr>
      </w:pPr>
    </w:p>
    <w:p>
      <w:pPr>
        <w:jc w:val="both"/>
        <w:ind w:firstLine="385"/>
        <w:spacing w:after="0" w:line="335" w:lineRule="auto"/>
        <w:tabs>
          <w:tab w:leader="none" w:pos="713" w:val="left"/>
        </w:tabs>
        <w:numPr>
          <w:ilvl w:val="2"/>
          <w:numId w:val="242"/>
        </w:numPr>
        <w:rPr>
          <w:rFonts w:ascii="Arial" w:cs="Arial" w:eastAsia="Arial" w:hAnsi="Arial"/>
          <w:sz w:val="15"/>
          <w:szCs w:val="15"/>
          <w:color w:val="auto"/>
        </w:rPr>
      </w:pPr>
      <w:r>
        <w:rPr>
          <w:rFonts w:ascii="Arial" w:cs="Arial" w:eastAsia="Arial" w:hAnsi="Arial"/>
          <w:sz w:val="15"/>
          <w:szCs w:val="15"/>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141" w:lineRule="exact"/>
        <w:rPr>
          <w:rFonts w:ascii="Arial" w:cs="Arial" w:eastAsia="Arial" w:hAnsi="Arial"/>
          <w:sz w:val="15"/>
          <w:szCs w:val="15"/>
          <w:color w:val="auto"/>
        </w:rPr>
      </w:pPr>
    </w:p>
    <w:p>
      <w:pPr>
        <w:ind w:firstLine="373"/>
        <w:spacing w:after="0" w:line="268" w:lineRule="auto"/>
        <w:tabs>
          <w:tab w:leader="none" w:pos="707" w:val="left"/>
        </w:tabs>
        <w:numPr>
          <w:ilvl w:val="2"/>
          <w:numId w:val="242"/>
        </w:numPr>
        <w:rPr>
          <w:rFonts w:ascii="Arial" w:cs="Arial" w:eastAsia="Arial" w:hAnsi="Arial"/>
          <w:sz w:val="18"/>
          <w:szCs w:val="18"/>
          <w:color w:val="auto"/>
        </w:rPr>
      </w:pPr>
      <w:r>
        <w:rPr>
          <w:rFonts w:ascii="Arial" w:cs="Arial" w:eastAsia="Arial" w:hAnsi="Arial"/>
          <w:sz w:val="18"/>
          <w:szCs w:val="18"/>
          <w:color w:val="auto"/>
        </w:rPr>
        <w:t>No Vessel (i) is under arrest or otherwise detained or (ii) other than in the ordinary course of business, is in possession of any Person (other than such Vessel’s master and crew).</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the Knowledge of the Company, no blacklisting or boycotting of any type exists in respect of any Vessel.</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There are no outstanding options or other rights to purchase any Vessel.</w:t>
      </w:r>
    </w:p>
    <w:p>
      <w:pPr>
        <w:spacing w:after="0" w:line="225" w:lineRule="exact"/>
        <w:rPr>
          <w:rFonts w:ascii="Arial" w:cs="Arial" w:eastAsia="Arial" w:hAnsi="Arial"/>
          <w:sz w:val="18"/>
          <w:szCs w:val="18"/>
          <w:color w:val="auto"/>
        </w:rPr>
      </w:pPr>
    </w:p>
    <w:p>
      <w:pPr>
        <w:ind w:firstLine="368"/>
        <w:spacing w:after="0" w:line="268" w:lineRule="auto"/>
        <w:tabs>
          <w:tab w:leader="none" w:pos="69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200" w:lineRule="exact"/>
        <w:rPr>
          <w:sz w:val="20"/>
          <w:szCs w:val="20"/>
          <w:color w:val="auto"/>
        </w:rPr>
      </w:pPr>
    </w:p>
    <w:p>
      <w:pPr>
        <w:spacing w:after="0" w:line="202"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Properties and Assets</w:t>
      </w:r>
      <w:r>
        <w:rPr>
          <w:rFonts w:ascii="Arial" w:cs="Arial" w:eastAsia="Arial" w:hAnsi="Arial"/>
          <w:sz w:val="18"/>
          <w:szCs w:val="18"/>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18"/>
          <w:szCs w:val="18"/>
          <w:u w:val="single" w:color="auto"/>
          <w:color w:val="auto"/>
        </w:rPr>
        <w:t>Section 3.20</w:t>
      </w:r>
      <w:r>
        <w:rPr>
          <w:rFonts w:ascii="Arial" w:cs="Arial" w:eastAsia="Arial" w:hAnsi="Arial"/>
          <w:sz w:val="18"/>
          <w:szCs w:val="18"/>
          <w:color w:val="auto"/>
        </w:rPr>
        <w:t>), in each case as such property or asset is currently being used.</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5"/>
          <w:szCs w:val="15"/>
          <w:u w:val="single" w:color="auto"/>
          <w:color w:val="auto"/>
        </w:rPr>
        <w:t>The Partnership</w:t>
      </w:r>
      <w:r>
        <w:rPr>
          <w:rFonts w:ascii="Arial" w:cs="Arial" w:eastAsia="Arial" w:hAnsi="Arial"/>
          <w:sz w:val="15"/>
          <w:szCs w:val="15"/>
          <w:color w:val="auto"/>
        </w:rPr>
        <w:t>.</w:t>
      </w:r>
    </w:p>
    <w:p>
      <w:pPr>
        <w:spacing w:after="0" w:line="225" w:lineRule="exact"/>
        <w:rPr>
          <w:sz w:val="20"/>
          <w:szCs w:val="20"/>
          <w:color w:val="auto"/>
        </w:rPr>
      </w:pPr>
    </w:p>
    <w:p>
      <w:pPr>
        <w:jc w:val="both"/>
        <w:ind w:firstLine="378"/>
        <w:spacing w:after="0" w:line="294" w:lineRule="auto"/>
        <w:tabs>
          <w:tab w:leader="none" w:pos="69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16"/>
          <w:szCs w:val="16"/>
          <w:u w:val="single" w:color="auto"/>
          <w:color w:val="auto"/>
        </w:rPr>
        <w:t>Partnership Units</w:t>
      </w:r>
      <w:r>
        <w:rPr>
          <w:rFonts w:ascii="Arial" w:cs="Arial" w:eastAsia="Arial" w:hAnsi="Arial"/>
          <w:sz w:val="16"/>
          <w:szCs w:val="16"/>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169" w:lineRule="exact"/>
        <w:rPr>
          <w:rFonts w:ascii="Arial" w:cs="Arial" w:eastAsia="Arial" w:hAnsi="Arial"/>
          <w:sz w:val="16"/>
          <w:szCs w:val="16"/>
          <w:color w:val="auto"/>
        </w:rPr>
      </w:pPr>
    </w:p>
    <w:p>
      <w:pPr>
        <w:jc w:val="both"/>
        <w:ind w:firstLine="375"/>
        <w:spacing w:after="0" w:line="288" w:lineRule="auto"/>
        <w:tabs>
          <w:tab w:leader="none" w:pos="706"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7" w:name="page218"/>
    <w:bookmarkEnd w:id="217"/>
    <w:p>
      <w:pPr>
        <w:jc w:val="both"/>
        <w:spacing w:after="0" w:line="259" w:lineRule="auto"/>
        <w:rPr>
          <w:sz w:val="20"/>
          <w:szCs w:val="20"/>
          <w:color w:val="auto"/>
        </w:rPr>
      </w:pPr>
      <w:r>
        <w:rPr>
          <w:rFonts w:ascii="Arial" w:cs="Arial" w:eastAsia="Arial" w:hAnsi="Arial"/>
          <w:sz w:val="18"/>
          <w:szCs w:val="18"/>
          <w:color w:val="auto"/>
        </w:rPr>
        <w:t>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194" w:lineRule="exact"/>
        <w:rPr>
          <w:sz w:val="20"/>
          <w:szCs w:val="20"/>
          <w:color w:val="auto"/>
        </w:rPr>
      </w:pPr>
    </w:p>
    <w:p>
      <w:pPr>
        <w:jc w:val="both"/>
        <w:ind w:firstLine="494"/>
        <w:spacing w:after="0" w:line="303" w:lineRule="auto"/>
        <w:tabs>
          <w:tab w:leader="none" w:pos="860" w:val="left"/>
        </w:tabs>
        <w:numPr>
          <w:ilvl w:val="3"/>
          <w:numId w:val="244"/>
        </w:numPr>
        <w:rPr>
          <w:rFonts w:ascii="Arial" w:cs="Arial" w:eastAsia="Arial" w:hAnsi="Arial"/>
          <w:sz w:val="15"/>
          <w:szCs w:val="15"/>
          <w:color w:val="auto"/>
        </w:rPr>
      </w:pPr>
      <w:r>
        <w:rPr>
          <w:rFonts w:ascii="Arial" w:cs="Arial" w:eastAsia="Arial" w:hAnsi="Arial"/>
          <w:sz w:val="15"/>
          <w:szCs w:val="15"/>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w:t>
      </w:r>
    </w:p>
    <w:p>
      <w:pPr>
        <w:spacing w:after="0" w:line="1" w:lineRule="exact"/>
        <w:rPr>
          <w:rFonts w:ascii="Arial" w:cs="Arial" w:eastAsia="Arial" w:hAnsi="Arial"/>
          <w:sz w:val="15"/>
          <w:szCs w:val="15"/>
          <w:color w:val="auto"/>
        </w:rPr>
      </w:pPr>
    </w:p>
    <w:p>
      <w:pPr>
        <w:jc w:val="both"/>
        <w:ind w:firstLine="8"/>
        <w:spacing w:after="0" w:line="281" w:lineRule="auto"/>
        <w:tabs>
          <w:tab w:leader="none" w:pos="3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w:t>
      </w:r>
    </w:p>
    <w:p>
      <w:pPr>
        <w:spacing w:after="0" w:line="1" w:lineRule="exact"/>
        <w:rPr>
          <w:rFonts w:ascii="Arial" w:cs="Arial" w:eastAsia="Arial" w:hAnsi="Arial"/>
          <w:sz w:val="16"/>
          <w:szCs w:val="16"/>
          <w:color w:val="auto"/>
        </w:rPr>
      </w:pPr>
    </w:p>
    <w:p>
      <w:pPr>
        <w:jc w:val="both"/>
        <w:ind w:firstLine="8"/>
        <w:spacing w:after="0" w:line="285" w:lineRule="auto"/>
        <w:tabs>
          <w:tab w:leader="none" w:pos="315"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statements of changes in owners’/partners’ equity for the nine months ended September 30, 2019 and 2020 and (iv)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Partnership Financial Statements</w:t>
      </w:r>
      <w:r>
        <w:rPr>
          <w:rFonts w:ascii="Arial" w:cs="Arial" w:eastAsia="Arial" w:hAnsi="Arial"/>
          <w:sz w:val="16"/>
          <w:szCs w:val="16"/>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82" w:lineRule="exact"/>
        <w:rPr>
          <w:rFonts w:ascii="Arial" w:cs="Arial" w:eastAsia="Arial" w:hAnsi="Arial"/>
          <w:sz w:val="16"/>
          <w:szCs w:val="16"/>
          <w:color w:val="auto"/>
        </w:rPr>
      </w:pPr>
    </w:p>
    <w:p>
      <w:pPr>
        <w:jc w:val="both"/>
        <w:ind w:firstLine="421"/>
        <w:spacing w:after="0" w:line="256" w:lineRule="auto"/>
        <w:tabs>
          <w:tab w:leader="none" w:pos="770"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96" w:lineRule="exact"/>
        <w:rPr>
          <w:rFonts w:ascii="Arial" w:cs="Arial" w:eastAsia="Arial" w:hAnsi="Arial"/>
          <w:sz w:val="18"/>
          <w:szCs w:val="18"/>
          <w:color w:val="auto"/>
        </w:rPr>
      </w:pPr>
    </w:p>
    <w:p>
      <w:pPr>
        <w:jc w:val="both"/>
        <w:ind w:firstLine="392"/>
        <w:spacing w:after="0" w:line="254" w:lineRule="auto"/>
        <w:tabs>
          <w:tab w:leader="none" w:pos="71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Partnership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right="20" w:firstLine="441"/>
        <w:spacing w:after="0" w:line="298" w:lineRule="auto"/>
        <w:tabs>
          <w:tab w:leader="none" w:pos="825" w:val="left"/>
        </w:tabs>
        <w:numPr>
          <w:ilvl w:val="2"/>
          <w:numId w:val="247"/>
        </w:numPr>
        <w:rPr>
          <w:rFonts w:ascii="Arial" w:cs="Arial" w:eastAsia="Arial" w:hAnsi="Arial"/>
          <w:sz w:val="16"/>
          <w:szCs w:val="16"/>
          <w:color w:val="auto"/>
        </w:rPr>
      </w:pPr>
      <w:r>
        <w:rPr>
          <w:rFonts w:ascii="Arial" w:cs="Arial" w:eastAsia="Arial" w:hAnsi="Arial"/>
          <w:sz w:val="16"/>
          <w:szCs w:val="16"/>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t>whether or not material, involving management or other employees that was reported to the Partnership Board or management of the Partnership.</w:t>
      </w:r>
    </w:p>
    <w:p>
      <w:pPr>
        <w:spacing w:after="0" w:line="248" w:lineRule="exact"/>
        <w:rPr>
          <w:sz w:val="20"/>
          <w:szCs w:val="20"/>
          <w:color w:val="auto"/>
        </w:rPr>
      </w:pPr>
    </w:p>
    <w:p>
      <w:pPr>
        <w:jc w:val="both"/>
        <w:ind w:firstLine="443"/>
        <w:spacing w:after="0" w:line="254" w:lineRule="auto"/>
        <w:tabs>
          <w:tab w:leader="none" w:pos="80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197" w:lineRule="exact"/>
        <w:rPr>
          <w:rFonts w:ascii="Arial" w:cs="Arial" w:eastAsia="Arial" w:hAnsi="Arial"/>
          <w:sz w:val="18"/>
          <w:szCs w:val="18"/>
          <w:color w:val="auto"/>
        </w:rPr>
      </w:pPr>
    </w:p>
    <w:p>
      <w:pPr>
        <w:ind w:firstLine="404"/>
        <w:spacing w:after="0" w:line="369" w:lineRule="auto"/>
        <w:tabs>
          <w:tab w:leader="none" w:pos="746"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117" w:lineRule="exact"/>
        <w:rPr>
          <w:rFonts w:ascii="Arial" w:cs="Arial" w:eastAsia="Arial" w:hAnsi="Arial"/>
          <w:sz w:val="15"/>
          <w:szCs w:val="15"/>
          <w:color w:val="auto"/>
        </w:rPr>
      </w:pPr>
    </w:p>
    <w:p>
      <w:pPr>
        <w:jc w:val="both"/>
        <w:ind w:firstLine="452"/>
        <w:spacing w:after="0" w:line="290" w:lineRule="auto"/>
        <w:tabs>
          <w:tab w:leader="none" w:pos="82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88" w:lineRule="exact"/>
        <w:rPr>
          <w:sz w:val="20"/>
          <w:szCs w:val="20"/>
          <w:color w:val="auto"/>
        </w:rPr>
      </w:pPr>
    </w:p>
    <w:p>
      <w:pPr>
        <w:jc w:val="both"/>
        <w:ind w:firstLine="447"/>
        <w:spacing w:after="0" w:line="287"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Joint Venture Agreements</w:t>
      </w:r>
      <w:r>
        <w:rPr>
          <w:rFonts w:ascii="Arial" w:cs="Arial" w:eastAsia="Arial" w:hAnsi="Arial"/>
          <w:sz w:val="16"/>
          <w:szCs w:val="16"/>
          <w:color w:val="auto"/>
        </w:rPr>
        <w:t>. As of the date of this Agreement, to the Knowledge of the Company, (a) each agreement pursuant to which any Joint Venture Entity is a party (the “</w:t>
      </w:r>
      <w:r>
        <w:rPr>
          <w:rFonts w:ascii="Arial" w:cs="Arial" w:eastAsia="Arial" w:hAnsi="Arial"/>
          <w:sz w:val="16"/>
          <w:szCs w:val="16"/>
          <w:u w:val="single" w:color="auto"/>
          <w:color w:val="auto"/>
        </w:rPr>
        <w:t>Joint Venture Contracts</w:t>
      </w:r>
      <w:r>
        <w:rPr>
          <w:rFonts w:ascii="Arial" w:cs="Arial" w:eastAsia="Arial" w:hAnsi="Arial"/>
          <w:sz w:val="16"/>
          <w:szCs w:val="16"/>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 (d)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392"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Customers</w:t>
      </w:r>
      <w:r>
        <w:rPr>
          <w:rFonts w:ascii="Arial" w:cs="Arial" w:eastAsia="Arial" w:hAnsi="Arial"/>
          <w:sz w:val="16"/>
          <w:szCs w:val="16"/>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6"/>
          <w:szCs w:val="16"/>
          <w:u w:val="single" w:color="auto"/>
          <w:color w:val="auto"/>
        </w:rPr>
        <w:t>Significant Customer</w:t>
      </w:r>
      <w:r>
        <w:rPr>
          <w:rFonts w:ascii="Arial" w:cs="Arial" w:eastAsia="Arial" w:hAnsi="Arial"/>
          <w:sz w:val="16"/>
          <w:szCs w:val="16"/>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9" w:name="page220"/>
    <w:bookmarkEnd w:id="219"/>
    <w:p>
      <w:pPr>
        <w:ind w:left="360"/>
        <w:spacing w:after="0"/>
        <w:tabs>
          <w:tab w:leader="none" w:pos="166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372"/>
        <w:spacing w:after="0" w:line="286" w:lineRule="auto"/>
        <w:tabs>
          <w:tab w:leader="none" w:pos="69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0" w:lineRule="exact"/>
        <w:rPr>
          <w:rFonts w:ascii="Arial" w:cs="Arial" w:eastAsia="Arial" w:hAnsi="Arial"/>
          <w:sz w:val="16"/>
          <w:szCs w:val="16"/>
          <w:color w:val="auto"/>
        </w:rPr>
      </w:pPr>
    </w:p>
    <w:p>
      <w:pPr>
        <w:jc w:val="both"/>
        <w:ind w:firstLine="420"/>
        <w:spacing w:after="0" w:line="294" w:lineRule="auto"/>
        <w:tabs>
          <w:tab w:leader="none" w:pos="771"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implied representation or warranty as to the accuracy or completeness of any information regarding Parent and its Subsidiaries furnished or made available to the Company or any of its Representatives and that the Company has not relied on any such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385"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0" w:name="page221"/>
    <w:bookmarkEnd w:id="220"/>
    <w:p>
      <w:pPr>
        <w:ind w:left="360"/>
        <w:spacing w:after="0"/>
        <w:tabs>
          <w:tab w:leader="none" w:pos="16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365"/>
        <w:spacing w:after="0" w:line="307" w:lineRule="auto"/>
        <w:tabs>
          <w:tab w:leader="none" w:pos="686" w:val="left"/>
        </w:tabs>
        <w:numPr>
          <w:ilvl w:val="1"/>
          <w:numId w:val="251"/>
        </w:numPr>
        <w:rPr>
          <w:rFonts w:ascii="Arial" w:cs="Arial" w:eastAsia="Arial" w:hAnsi="Arial"/>
          <w:sz w:val="15"/>
          <w:szCs w:val="15"/>
          <w:color w:val="auto"/>
        </w:rPr>
      </w:pPr>
      <w:r>
        <w:rPr>
          <w:rFonts w:ascii="Arial" w:cs="Arial" w:eastAsia="Arial" w:hAnsi="Arial"/>
          <w:sz w:val="15"/>
          <w:szCs w:val="15"/>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 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165" w:lineRule="exact"/>
        <w:rPr>
          <w:rFonts w:ascii="Arial" w:cs="Arial" w:eastAsia="Arial" w:hAnsi="Arial"/>
          <w:sz w:val="15"/>
          <w:szCs w:val="15"/>
          <w:color w:val="auto"/>
        </w:rPr>
      </w:pPr>
    </w:p>
    <w:p>
      <w:pPr>
        <w:jc w:val="both"/>
        <w:ind w:right="20" w:firstLine="514"/>
        <w:spacing w:after="0" w:line="304" w:lineRule="auto"/>
        <w:tabs>
          <w:tab w:leader="none" w:pos="898" w:val="left"/>
        </w:tabs>
        <w:numPr>
          <w:ilvl w:val="3"/>
          <w:numId w:val="251"/>
        </w:numPr>
        <w:rPr>
          <w:rFonts w:ascii="Arial" w:cs="Arial" w:eastAsia="Arial" w:hAnsi="Arial"/>
          <w:sz w:val="15"/>
          <w:szCs w:val="15"/>
          <w:color w:val="auto"/>
        </w:rPr>
      </w:pPr>
      <w:r>
        <w:rPr>
          <w:rFonts w:ascii="Arial" w:cs="Arial" w:eastAsia="Arial" w:hAnsi="Arial"/>
          <w:sz w:val="15"/>
          <w:szCs w:val="15"/>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w:t>
      </w:r>
    </w:p>
    <w:p>
      <w:pPr>
        <w:spacing w:after="0" w:line="1" w:lineRule="exact"/>
        <w:rPr>
          <w:rFonts w:ascii="Arial" w:cs="Arial" w:eastAsia="Arial" w:hAnsi="Arial"/>
          <w:sz w:val="15"/>
          <w:szCs w:val="15"/>
          <w:color w:val="auto"/>
        </w:rPr>
      </w:pPr>
    </w:p>
    <w:p>
      <w:pPr>
        <w:ind w:right="20" w:firstLine="8"/>
        <w:spacing w:after="0" w:line="260" w:lineRule="auto"/>
        <w:tabs>
          <w:tab w:leader="none" w:pos="2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193" w:lineRule="exact"/>
        <w:rPr>
          <w:rFonts w:ascii="Arial" w:cs="Arial" w:eastAsia="Arial" w:hAnsi="Arial"/>
          <w:sz w:val="18"/>
          <w:szCs w:val="18"/>
          <w:color w:val="auto"/>
        </w:rPr>
      </w:pPr>
    </w:p>
    <w:p>
      <w:pPr>
        <w:jc w:val="both"/>
        <w:ind w:firstLine="375"/>
        <w:spacing w:after="0" w:line="286" w:lineRule="auto"/>
        <w:tabs>
          <w:tab w:leader="none" w:pos="699"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 (A) 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are made and any waiting periods thereunder have terminated or expired, in each case prior to the Effective Time, (w) violate any Law applicable to Parent or Merger Sub, (x) 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Parent Material Adverse Effect.</w:t>
      </w:r>
    </w:p>
    <w:p>
      <w:pPr>
        <w:spacing w:after="0" w:line="180" w:lineRule="exact"/>
        <w:rPr>
          <w:rFonts w:ascii="Arial" w:cs="Arial" w:eastAsia="Arial" w:hAnsi="Arial"/>
          <w:sz w:val="16"/>
          <w:szCs w:val="16"/>
          <w:color w:val="auto"/>
        </w:rPr>
      </w:pPr>
    </w:p>
    <w:p>
      <w:pPr>
        <w:jc w:val="both"/>
        <w:ind w:firstLine="427"/>
        <w:spacing w:after="0" w:line="259" w:lineRule="auto"/>
        <w:tabs>
          <w:tab w:leader="none" w:pos="778"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The Merger Sub Shareholder Approval (which approval shall be provided by the written consent of Parent as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is the only vote or approval of the holders of any class or series of shares of Merger Sub that is necessary to approve this Agreement, the Statutory Merger Agreement and the Merger.</w:t>
      </w:r>
    </w:p>
    <w:p>
      <w:pPr>
        <w:spacing w:after="0" w:line="200" w:lineRule="exact"/>
        <w:rPr>
          <w:sz w:val="20"/>
          <w:szCs w:val="20"/>
          <w:color w:val="auto"/>
        </w:rPr>
      </w:pPr>
    </w:p>
    <w:p>
      <w:pPr>
        <w:spacing w:after="0" w:line="210" w:lineRule="exact"/>
        <w:rPr>
          <w:sz w:val="20"/>
          <w:szCs w:val="20"/>
          <w:color w:val="auto"/>
        </w:rPr>
      </w:pPr>
    </w:p>
    <w:p>
      <w:pPr>
        <w:ind w:firstLine="363"/>
        <w:spacing w:after="0" w:line="33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Exchange Act, including the filing with the SEC of the Schedule 13E-3 (including the Proxy Statement therein), (b) compliance with the rules and regulations of the New York Stock Exchange,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1" w:name="page222"/>
    <w:bookmarkEnd w:id="221"/>
    <w:p>
      <w:pPr>
        <w:jc w:val="both"/>
        <w:ind w:firstLine="8"/>
        <w:spacing w:after="0" w:line="254" w:lineRule="auto"/>
        <w:tabs>
          <w:tab w:leader="none" w:pos="25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filings, declarations or registrations that, if not obtained, made or given, would not, individually or in the aggregate, reasonably be expected to have a Parent Material Adverse Effect.</w:t>
      </w:r>
    </w:p>
    <w:p>
      <w:pPr>
        <w:spacing w:after="0" w:line="200" w:lineRule="exact"/>
        <w:rPr>
          <w:sz w:val="20"/>
          <w:szCs w:val="20"/>
          <w:color w:val="auto"/>
        </w:rPr>
      </w:pPr>
    </w:p>
    <w:p>
      <w:pPr>
        <w:spacing w:after="0" w:line="214"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25" w:lineRule="exact"/>
        <w:rPr>
          <w:sz w:val="20"/>
          <w:szCs w:val="20"/>
          <w:color w:val="auto"/>
        </w:rPr>
      </w:pPr>
    </w:p>
    <w:p>
      <w:pPr>
        <w:jc w:val="both"/>
        <w:ind w:firstLine="374"/>
        <w:spacing w:after="0" w:line="288" w:lineRule="auto"/>
        <w:tabs>
          <w:tab w:leader="none" w:pos="69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16"/>
          <w:szCs w:val="16"/>
          <w:u w:val="single" w:color="auto"/>
          <w:color w:val="auto"/>
        </w:rPr>
        <w:t>Equity Financing</w:t>
      </w:r>
      <w:r>
        <w:rPr>
          <w:rFonts w:ascii="Arial" w:cs="Arial" w:eastAsia="Arial" w:hAnsi="Arial"/>
          <w:sz w:val="16"/>
          <w:szCs w:val="16"/>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compliance by the Company with </w:t>
      </w:r>
      <w:r>
        <w:rPr>
          <w:rFonts w:ascii="Arial" w:cs="Arial" w:eastAsia="Arial" w:hAnsi="Arial"/>
          <w:sz w:val="16"/>
          <w:szCs w:val="16"/>
          <w:u w:val="single" w:color="auto"/>
          <w:color w:val="auto"/>
        </w:rPr>
        <w:t>Section 5.01(b)(i)</w:t>
      </w:r>
      <w:r>
        <w:rPr>
          <w:rFonts w:ascii="Arial" w:cs="Arial" w:eastAsia="Arial" w:hAnsi="Arial"/>
          <w:sz w:val="16"/>
          <w:szCs w:val="16"/>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172" w:lineRule="exact"/>
        <w:rPr>
          <w:rFonts w:ascii="Arial" w:cs="Arial" w:eastAsia="Arial" w:hAnsi="Arial"/>
          <w:sz w:val="16"/>
          <w:szCs w:val="16"/>
          <w:color w:val="auto"/>
        </w:rPr>
      </w:pPr>
    </w:p>
    <w:p>
      <w:pPr>
        <w:jc w:val="both"/>
        <w:ind w:firstLine="419"/>
        <w:spacing w:after="0" w:line="285" w:lineRule="auto"/>
        <w:tabs>
          <w:tab w:leader="none" w:pos="767" w:val="left"/>
        </w:tabs>
        <w:numPr>
          <w:ilvl w:val="1"/>
          <w:numId w:val="254"/>
        </w:numPr>
        <w:rPr>
          <w:rFonts w:ascii="Arial" w:cs="Arial" w:eastAsia="Arial" w:hAnsi="Arial"/>
          <w:sz w:val="16"/>
          <w:szCs w:val="16"/>
          <w:color w:val="auto"/>
        </w:rPr>
      </w:pPr>
      <w:r>
        <w:rPr>
          <w:rFonts w:ascii="Arial" w:cs="Arial" w:eastAsia="Arial" w:hAnsi="Arial"/>
          <w:sz w:val="16"/>
          <w:szCs w:val="16"/>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or any of its Affiliates is a party related to the Equity Financing other than as expressly contained in the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2" w:name="page223"/>
    <w:bookmarkEnd w:id="222"/>
    <w:p>
      <w:pPr>
        <w:jc w:val="both"/>
        <w:ind w:right="20"/>
        <w:spacing w:after="0" w:line="331" w:lineRule="auto"/>
        <w:rPr>
          <w:sz w:val="20"/>
          <w:szCs w:val="20"/>
          <w:color w:val="auto"/>
        </w:rPr>
      </w:pPr>
      <w:r>
        <w:rPr>
          <w:rFonts w:ascii="Arial" w:cs="Arial" w:eastAsia="Arial" w:hAnsi="Arial"/>
          <w:sz w:val="16"/>
          <w:szCs w:val="16"/>
          <w:color w:val="auto"/>
        </w:rPr>
        <w:t>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357"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Guarantee</w:t>
      </w:r>
      <w:r>
        <w:rPr>
          <w:rFonts w:ascii="Arial" w:cs="Arial" w:eastAsia="Arial" w:hAnsi="Arial"/>
          <w:sz w:val="18"/>
          <w:szCs w:val="18"/>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200" w:lineRule="exact"/>
        <w:rPr>
          <w:sz w:val="20"/>
          <w:szCs w:val="20"/>
          <w:color w:val="auto"/>
        </w:rPr>
      </w:pPr>
    </w:p>
    <w:p>
      <w:pPr>
        <w:spacing w:after="0" w:line="214"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Certain Arrangements</w:t>
      </w:r>
      <w:r>
        <w:rPr>
          <w:rFonts w:ascii="Arial" w:cs="Arial" w:eastAsia="Arial" w:hAnsi="Arial"/>
          <w:sz w:val="16"/>
          <w:szCs w:val="16"/>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388" w:lineRule="exact"/>
        <w:rPr>
          <w:sz w:val="20"/>
          <w:szCs w:val="20"/>
          <w:color w:val="auto"/>
        </w:rPr>
      </w:pPr>
    </w:p>
    <w:p>
      <w:pPr>
        <w:jc w:val="both"/>
        <w:ind w:right="20" w:firstLine="423"/>
        <w:spacing w:after="0" w:line="30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376"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481"/>
        <w:spacing w:after="0" w:line="285" w:lineRule="auto"/>
        <w:tabs>
          <w:tab w:leader="none" w:pos="84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 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3" w:name="page224"/>
    <w:bookmarkEnd w:id="223"/>
    <w:p>
      <w:pPr>
        <w:jc w:val="both"/>
        <w:spacing w:after="0" w:line="306" w:lineRule="auto"/>
        <w:rPr>
          <w:sz w:val="20"/>
          <w:szCs w:val="20"/>
          <w:color w:val="auto"/>
        </w:rPr>
      </w:pPr>
      <w:r>
        <w:rPr>
          <w:rFonts w:ascii="Arial" w:cs="Arial" w:eastAsia="Arial" w:hAnsi="Arial"/>
          <w:sz w:val="16"/>
          <w:szCs w:val="16"/>
          <w:color w:val="auto"/>
        </w:rPr>
        <w:t xml:space="preserve">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0" w:lineRule="exact"/>
        <w:rPr>
          <w:sz w:val="20"/>
          <w:szCs w:val="20"/>
          <w:color w:val="auto"/>
        </w:rPr>
      </w:pPr>
    </w:p>
    <w:p>
      <w:pPr>
        <w:jc w:val="both"/>
        <w:ind w:firstLine="392"/>
        <w:spacing w:after="0" w:line="298" w:lineRule="auto"/>
        <w:tabs>
          <w:tab w:leader="none" w:pos="733"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Parent and Merger Sub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382"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Non-Reliance on Company Estimates, Projections, Forecasts, Forward-Looking Statements and Business Plans</w:t>
      </w:r>
      <w:r>
        <w:rPr>
          <w:rFonts w:ascii="Arial" w:cs="Arial" w:eastAsia="Arial" w:hAnsi="Arial"/>
          <w:sz w:val="16"/>
          <w:szCs w:val="16"/>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for fraud.</w:t>
      </w:r>
    </w:p>
    <w:p>
      <w:pPr>
        <w:spacing w:after="0" w:line="39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394"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Proceedings</w:t>
      </w:r>
      <w:r>
        <w:rPr>
          <w:rFonts w:ascii="Arial" w:cs="Arial" w:eastAsia="Arial" w:hAnsi="Arial"/>
          <w:sz w:val="18"/>
          <w:szCs w:val="18"/>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200" w:lineRule="exact"/>
        <w:rPr>
          <w:sz w:val="20"/>
          <w:szCs w:val="20"/>
          <w:color w:val="auto"/>
        </w:rPr>
      </w:pPr>
    </w:p>
    <w:p>
      <w:pPr>
        <w:spacing w:after="0" w:line="214" w:lineRule="exact"/>
        <w:rPr>
          <w:sz w:val="20"/>
          <w:szCs w:val="20"/>
          <w:color w:val="auto"/>
        </w:rPr>
      </w:pPr>
    </w:p>
    <w:p>
      <w:pPr>
        <w:jc w:val="both"/>
        <w:ind w:firstLine="375"/>
        <w:spacing w:after="0" w:line="33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Ownership of Common Shares</w:t>
      </w:r>
      <w:r>
        <w:rPr>
          <w:rFonts w:ascii="Arial" w:cs="Arial" w:eastAsia="Arial" w:hAnsi="Arial"/>
          <w:sz w:val="16"/>
          <w:szCs w:val="16"/>
          <w:color w:val="auto"/>
        </w:rPr>
        <w:t>. Except as set forth in Section 4.13 of the Parent Disclosure Letter, as of the date of this Agreement, none of Parent, Merger Sub or any of their Affiliates beneficially owns (within the meaning of Section 13 of the Exchange Act) or is a party to any Contract,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4" w:name="page225"/>
    <w:bookmarkEnd w:id="224"/>
    <w:p>
      <w:pPr>
        <w:jc w:val="both"/>
        <w:spacing w:after="0" w:line="268" w:lineRule="auto"/>
        <w:rPr>
          <w:sz w:val="20"/>
          <w:szCs w:val="20"/>
          <w:color w:val="auto"/>
        </w:rPr>
      </w:pPr>
      <w:r>
        <w:rPr>
          <w:rFonts w:ascii="Arial" w:cs="Arial" w:eastAsia="Arial" w:hAnsi="Arial"/>
          <w:sz w:val="18"/>
          <w:szCs w:val="18"/>
          <w:color w:val="auto"/>
        </w:rPr>
        <w:t>other arrangement or understanding (whether written or oral) (other than this Agreement and the Rollover Agreement) for the purpose of acquiring, holding, voting or disposing of any Common Shares.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Additional Covenants and Agreements</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72" w:lineRule="exact"/>
        <w:rPr>
          <w:sz w:val="20"/>
          <w:szCs w:val="20"/>
          <w:color w:val="auto"/>
        </w:rPr>
      </w:pPr>
    </w:p>
    <w:p>
      <w:pPr>
        <w:jc w:val="both"/>
        <w:ind w:firstLine="526"/>
        <w:spacing w:after="0" w:line="256" w:lineRule="auto"/>
        <w:tabs>
          <w:tab w:leader="none" w:pos="91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not, and shall cause each of its Subsidiaries not to:</w:t>
      </w:r>
    </w:p>
    <w:p>
      <w:pPr>
        <w:spacing w:after="0" w:line="196" w:lineRule="exact"/>
        <w:rPr>
          <w:rFonts w:ascii="Arial" w:cs="Arial" w:eastAsia="Arial" w:hAnsi="Arial"/>
          <w:sz w:val="18"/>
          <w:szCs w:val="18"/>
          <w:color w:val="auto"/>
        </w:rPr>
      </w:pPr>
    </w:p>
    <w:p>
      <w:pPr>
        <w:jc w:val="both"/>
        <w:ind w:left="540" w:firstLine="502"/>
        <w:spacing w:after="0" w:line="288" w:lineRule="auto"/>
        <w:tabs>
          <w:tab w:leader="none" w:pos="129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72" w:lineRule="exact"/>
        <w:rPr>
          <w:rFonts w:ascii="Arial" w:cs="Arial" w:eastAsia="Arial" w:hAnsi="Arial"/>
          <w:sz w:val="16"/>
          <w:szCs w:val="16"/>
          <w:color w:val="auto"/>
        </w:rPr>
      </w:pPr>
    </w:p>
    <w:p>
      <w:pPr>
        <w:jc w:val="both"/>
        <w:ind w:left="540" w:firstLine="557"/>
        <w:spacing w:after="0" w:line="254" w:lineRule="auto"/>
        <w:tabs>
          <w:tab w:leader="none" w:pos="1425" w:val="left"/>
        </w:tabs>
        <w:numPr>
          <w:ilvl w:val="3"/>
          <w:numId w:val="257"/>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200" w:lineRule="exact"/>
        <w:rPr>
          <w:rFonts w:ascii="Arial" w:cs="Arial" w:eastAsia="Arial" w:hAnsi="Arial"/>
          <w:sz w:val="18"/>
          <w:szCs w:val="18"/>
          <w:color w:val="auto"/>
        </w:rPr>
      </w:pPr>
    </w:p>
    <w:p>
      <w:pPr>
        <w:jc w:val="both"/>
        <w:ind w:left="540" w:firstLine="400"/>
        <w:spacing w:after="0" w:line="256" w:lineRule="auto"/>
        <w:tabs>
          <w:tab w:leader="none" w:pos="1294" w:val="left"/>
        </w:tabs>
        <w:numPr>
          <w:ilvl w:val="2"/>
          <w:numId w:val="257"/>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 (A) with respect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jc w:val="both"/>
        <w:ind w:left="540"/>
        <w:spacing w:after="0" w:line="290" w:lineRule="auto"/>
        <w:rPr>
          <w:sz w:val="20"/>
          <w:szCs w:val="20"/>
          <w:color w:val="auto"/>
        </w:rPr>
      </w:pPr>
      <w:r>
        <w:rPr>
          <w:rFonts w:ascii="Arial" w:cs="Arial" w:eastAsia="Arial" w:hAnsi="Arial"/>
          <w:sz w:val="16"/>
          <w:szCs w:val="16"/>
          <w:color w:val="auto"/>
        </w:rPr>
        <w:t>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 (B) 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 (E) dividends or distributions from wholly owned Subsidiaries of the Company to other wholly owned Subsidiaries of the Company or to the Company;</w:t>
      </w:r>
    </w:p>
    <w:p>
      <w:pPr>
        <w:spacing w:after="0" w:line="172" w:lineRule="exact"/>
        <w:rPr>
          <w:sz w:val="20"/>
          <w:szCs w:val="20"/>
          <w:color w:val="auto"/>
        </w:rPr>
      </w:pPr>
    </w:p>
    <w:p>
      <w:pPr>
        <w:ind w:left="540" w:firstLine="429"/>
        <w:spacing w:after="0" w:line="268" w:lineRule="auto"/>
        <w:tabs>
          <w:tab w:leader="none" w:pos="131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split, combine, subdivide or reclassify any Common Shares or other equity or voting interests of the Company, the Partnership or any non-wholly owned Subsidiaries of the Company or the Partnership;</w:t>
      </w:r>
    </w:p>
    <w:p>
      <w:pPr>
        <w:spacing w:after="0" w:line="185" w:lineRule="exact"/>
        <w:rPr>
          <w:rFonts w:ascii="Arial" w:cs="Arial" w:eastAsia="Arial" w:hAnsi="Arial"/>
          <w:sz w:val="18"/>
          <w:szCs w:val="18"/>
          <w:color w:val="auto"/>
        </w:rPr>
      </w:pPr>
    </w:p>
    <w:p>
      <w:pPr>
        <w:jc w:val="both"/>
        <w:ind w:left="540" w:firstLine="423"/>
        <w:spacing w:after="0" w:line="259" w:lineRule="auto"/>
        <w:tabs>
          <w:tab w:leader="none" w:pos="125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93" w:lineRule="exact"/>
        <w:rPr>
          <w:rFonts w:ascii="Arial" w:cs="Arial" w:eastAsia="Arial" w:hAnsi="Arial"/>
          <w:sz w:val="18"/>
          <w:szCs w:val="18"/>
          <w:color w:val="auto"/>
        </w:rPr>
      </w:pPr>
    </w:p>
    <w:p>
      <w:pPr>
        <w:jc w:val="both"/>
        <w:ind w:left="540" w:firstLine="705"/>
        <w:spacing w:after="0" w:line="256" w:lineRule="auto"/>
        <w:tabs>
          <w:tab w:leader="none" w:pos="1664" w:val="left"/>
        </w:tabs>
        <w:numPr>
          <w:ilvl w:val="2"/>
          <w:numId w:val="258"/>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96" w:lineRule="exact"/>
        <w:rPr>
          <w:rFonts w:ascii="Arial" w:cs="Arial" w:eastAsia="Arial" w:hAnsi="Arial"/>
          <w:sz w:val="18"/>
          <w:szCs w:val="18"/>
          <w:color w:val="auto"/>
        </w:rPr>
      </w:pPr>
    </w:p>
    <w:p>
      <w:pPr>
        <w:jc w:val="both"/>
        <w:ind w:left="540" w:firstLine="472"/>
        <w:spacing w:after="0" w:line="256" w:lineRule="auto"/>
        <w:tabs>
          <w:tab w:leader="none" w:pos="143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197" w:lineRule="exact"/>
        <w:rPr>
          <w:sz w:val="20"/>
          <w:szCs w:val="20"/>
          <w:color w:val="auto"/>
        </w:rPr>
      </w:pPr>
    </w:p>
    <w:p>
      <w:pPr>
        <w:ind w:left="540" w:firstLine="442"/>
        <w:spacing w:after="0" w:line="268" w:lineRule="auto"/>
        <w:tabs>
          <w:tab w:leader="none" w:pos="1469" w:val="left"/>
        </w:tabs>
        <w:numPr>
          <w:ilvl w:val="3"/>
          <w:numId w:val="259"/>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rFonts w:ascii="Arial" w:cs="Arial" w:eastAsia="Arial" w:hAnsi="Arial"/>
          <w:sz w:val="18"/>
          <w:szCs w:val="18"/>
          <w:color w:val="auto"/>
        </w:rPr>
      </w:pPr>
    </w:p>
    <w:p>
      <w:pPr>
        <w:ind w:firstLine="397"/>
        <w:spacing w:after="0" w:line="331" w:lineRule="auto"/>
        <w:tabs>
          <w:tab w:leader="none" w:pos="73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140" w:lineRule="exact"/>
        <w:rPr>
          <w:rFonts w:ascii="Arial" w:cs="Arial" w:eastAsia="Arial" w:hAnsi="Arial"/>
          <w:sz w:val="16"/>
          <w:szCs w:val="16"/>
          <w:color w:val="auto"/>
        </w:rPr>
      </w:pPr>
    </w:p>
    <w:p>
      <w:pPr>
        <w:jc w:val="both"/>
        <w:ind w:firstLine="381"/>
        <w:spacing w:after="0" w:line="298" w:lineRule="auto"/>
        <w:tabs>
          <w:tab w:leader="none" w:pos="71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166" w:lineRule="exact"/>
        <w:rPr>
          <w:rFonts w:ascii="Arial" w:cs="Arial" w:eastAsia="Arial" w:hAnsi="Arial"/>
          <w:sz w:val="16"/>
          <w:szCs w:val="16"/>
          <w:color w:val="auto"/>
        </w:rPr>
      </w:pPr>
    </w:p>
    <w:p>
      <w:pPr>
        <w:jc w:val="both"/>
        <w:ind w:firstLine="421"/>
        <w:spacing w:after="0" w:line="306" w:lineRule="auto"/>
        <w:tabs>
          <w:tab w:leader="none" w:pos="763" w:val="left"/>
        </w:tabs>
        <w:numPr>
          <w:ilvl w:val="1"/>
          <w:numId w:val="261"/>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6" w:name="page227"/>
    <w:bookmarkEnd w:id="226"/>
    <w:p>
      <w:pPr>
        <w:jc w:val="both"/>
        <w:spacing w:after="0" w:line="298" w:lineRule="auto"/>
        <w:rPr>
          <w:sz w:val="20"/>
          <w:szCs w:val="20"/>
          <w:color w:val="auto"/>
        </w:rPr>
      </w:pPr>
      <w:r>
        <w:rPr>
          <w:rFonts w:ascii="Arial" w:cs="Arial" w:eastAsia="Arial" w:hAnsi="Arial"/>
          <w:sz w:val="16"/>
          <w:szCs w:val="16"/>
          <w:color w:val="auto"/>
        </w:rPr>
        <w:t xml:space="preserve">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66" w:lineRule="exact"/>
        <w:rPr>
          <w:sz w:val="20"/>
          <w:szCs w:val="20"/>
          <w:color w:val="auto"/>
        </w:rPr>
      </w:pPr>
    </w:p>
    <w:p>
      <w:pPr>
        <w:jc w:val="both"/>
        <w:ind w:firstLine="413"/>
        <w:spacing w:after="0" w:line="254" w:lineRule="auto"/>
        <w:tabs>
          <w:tab w:leader="none" w:pos="78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 Solicitation by the Company;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359"/>
        <w:spacing w:after="0" w:line="285" w:lineRule="auto"/>
        <w:tabs>
          <w:tab w:leader="none" w:pos="67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 (ii) from the date hereof until the Effective Time (or, if earlier,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firstLine="395"/>
        <w:spacing w:after="0" w:line="304" w:lineRule="auto"/>
        <w:tabs>
          <w:tab w:leader="none" w:pos="737" w:val="left"/>
        </w:tabs>
        <w:numPr>
          <w:ilvl w:val="2"/>
          <w:numId w:val="263"/>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5.02(a)</w:t>
      </w:r>
      <w:r>
        <w:rPr>
          <w:rFonts w:ascii="Arial" w:cs="Arial" w:eastAsia="Arial" w:hAnsi="Arial"/>
          <w:sz w:val="15"/>
          <w:szCs w:val="15"/>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5"/>
          <w:szCs w:val="15"/>
          <w:u w:val="single" w:color="auto"/>
          <w:color w:val="auto"/>
        </w:rPr>
        <w:t>Section 5.02</w:t>
      </w:r>
      <w:r>
        <w:rPr>
          <w:rFonts w:ascii="Arial" w:cs="Arial" w:eastAsia="Arial" w:hAnsi="Arial"/>
          <w:sz w:val="15"/>
          <w:szCs w:val="15"/>
          <w:color w:val="auto"/>
        </w:rPr>
        <w:t>, then</w:t>
      </w:r>
    </w:p>
    <w:p>
      <w:pPr>
        <w:spacing w:after="0" w:line="1" w:lineRule="exact"/>
        <w:rPr>
          <w:rFonts w:ascii="Arial" w:cs="Arial" w:eastAsia="Arial" w:hAnsi="Arial"/>
          <w:sz w:val="15"/>
          <w:szCs w:val="15"/>
          <w:color w:val="auto"/>
        </w:rPr>
      </w:pPr>
    </w:p>
    <w:p>
      <w:pPr>
        <w:jc w:val="both"/>
        <w:ind w:firstLine="8"/>
        <w:spacing w:after="0" w:line="288" w:lineRule="auto"/>
        <w:tabs>
          <w:tab w:leader="none" w:pos="21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6"/>
          <w:szCs w:val="16"/>
          <w:u w:val="single" w:color="auto"/>
          <w:color w:val="auto"/>
        </w:rPr>
        <w:t>provided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7" w:name="page228"/>
    <w:bookmarkEnd w:id="227"/>
    <w:p>
      <w:pPr>
        <w:jc w:val="both"/>
        <w:spacing w:after="0" w:line="256" w:lineRule="auto"/>
        <w:rPr>
          <w:sz w:val="20"/>
          <w:szCs w:val="20"/>
          <w:color w:val="auto"/>
        </w:rPr>
      </w:pPr>
      <w:r>
        <w:rPr>
          <w:rFonts w:ascii="Arial" w:cs="Arial" w:eastAsia="Arial" w:hAnsi="Arial"/>
          <w:sz w:val="18"/>
          <w:szCs w:val="18"/>
          <w:color w:val="auto"/>
        </w:rPr>
        <w:t>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97" w:lineRule="exact"/>
        <w:rPr>
          <w:sz w:val="20"/>
          <w:szCs w:val="20"/>
          <w:color w:val="auto"/>
        </w:rPr>
      </w:pPr>
    </w:p>
    <w:p>
      <w:pPr>
        <w:jc w:val="both"/>
        <w:ind w:firstLine="396"/>
        <w:spacing w:after="0" w:line="287" w:lineRule="auto"/>
        <w:tabs>
          <w:tab w:leader="none" w:pos="725"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For the avoidance of doubt, all information provided to Parent pursuant to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will be subject to the terms of the Confidentiality Agreement.</w:t>
      </w:r>
    </w:p>
    <w:p>
      <w:pPr>
        <w:spacing w:after="0" w:line="175" w:lineRule="exact"/>
        <w:rPr>
          <w:rFonts w:ascii="Arial" w:cs="Arial" w:eastAsia="Arial" w:hAnsi="Arial"/>
          <w:sz w:val="16"/>
          <w:szCs w:val="16"/>
          <w:color w:val="auto"/>
        </w:rPr>
      </w:pPr>
    </w:p>
    <w:p>
      <w:pPr>
        <w:jc w:val="both"/>
        <w:ind w:firstLine="379"/>
        <w:spacing w:after="0" w:line="285" w:lineRule="auto"/>
        <w:tabs>
          <w:tab w:leader="none" w:pos="714" w:val="left"/>
        </w:tabs>
        <w:numPr>
          <w:ilvl w:val="1"/>
          <w:numId w:val="265"/>
        </w:numPr>
        <w:rPr>
          <w:rFonts w:ascii="Arial" w:cs="Arial" w:eastAsia="Arial" w:hAnsi="Arial"/>
          <w:sz w:val="16"/>
          <w:szCs w:val="16"/>
          <w:color w:val="auto"/>
        </w:rPr>
      </w:pPr>
      <w:r>
        <w:rPr>
          <w:rFonts w:ascii="Arial" w:cs="Arial" w:eastAsia="Arial" w:hAnsi="Arial"/>
          <w:sz w:val="16"/>
          <w:szCs w:val="16"/>
          <w:color w:val="auto"/>
        </w:rPr>
        <w:t>Neither the Company Board, the Special Committee nor any other committee of the Company Board shall (i)(A) withhold or withdraw (or modify in a manner adverse to Parent), or publicly propose to withhold or withdraw (or modify in a manner adverse to Parent), the Company Board Recommendation,</w:t>
      </w:r>
    </w:p>
    <w:p>
      <w:pPr>
        <w:spacing w:after="0" w:line="1" w:lineRule="exact"/>
        <w:rPr>
          <w:rFonts w:ascii="Arial" w:cs="Arial" w:eastAsia="Arial" w:hAnsi="Arial"/>
          <w:sz w:val="16"/>
          <w:szCs w:val="16"/>
          <w:color w:val="auto"/>
        </w:rPr>
      </w:pPr>
    </w:p>
    <w:p>
      <w:pPr>
        <w:jc w:val="both"/>
        <w:ind w:firstLine="8"/>
        <w:spacing w:after="0" w:line="284" w:lineRule="auto"/>
        <w:tabs>
          <w:tab w:leader="none" w:pos="29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being referred to as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Notwithstanding the foregoing or any other provision of this Agreement to the contrary, prior to the time the Required Shareholder Approvals are obtained, the Company Board 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make an Adverse Recommendation Change or cause the Company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the Company (x) delivers to Parent a written notice (a “</w:t>
      </w:r>
      <w:r>
        <w:rPr>
          <w:rFonts w:ascii="Arial" w:cs="Arial" w:eastAsia="Arial" w:hAnsi="Arial"/>
          <w:sz w:val="16"/>
          <w:szCs w:val="16"/>
          <w:u w:val="single" w:color="auto"/>
          <w:color w:val="auto"/>
        </w:rPr>
        <w:t>Company Notice</w:t>
      </w:r>
      <w:r>
        <w:rPr>
          <w:rFonts w:ascii="Arial" w:cs="Arial" w:eastAsia="Arial" w:hAnsi="Arial"/>
          <w:sz w:val="16"/>
          <w:szCs w:val="16"/>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8" w:name="page229"/>
    <w:bookmarkEnd w:id="228"/>
    <w:p>
      <w:pPr>
        <w:jc w:val="both"/>
        <w:spacing w:after="0" w:line="285" w:lineRule="auto"/>
        <w:rPr>
          <w:sz w:val="20"/>
          <w:szCs w:val="20"/>
          <w:color w:val="auto"/>
        </w:rPr>
      </w:pPr>
      <w:r>
        <w:rPr>
          <w:rFonts w:ascii="Arial" w:cs="Arial" w:eastAsia="Arial" w:hAnsi="Arial"/>
          <w:sz w:val="16"/>
          <w:szCs w:val="16"/>
          <w:color w:val="auto"/>
        </w:rPr>
        <w:t>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181" w:lineRule="exact"/>
        <w:rPr>
          <w:sz w:val="20"/>
          <w:szCs w:val="20"/>
          <w:color w:val="auto"/>
        </w:rPr>
      </w:pPr>
    </w:p>
    <w:p>
      <w:pPr>
        <w:jc w:val="both"/>
        <w:ind w:firstLine="431"/>
        <w:spacing w:after="0" w:line="287" w:lineRule="auto"/>
        <w:tabs>
          <w:tab w:leader="none" w:pos="77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 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75" w:lineRule="exact"/>
        <w:rPr>
          <w:rFonts w:ascii="Arial" w:cs="Arial" w:eastAsia="Arial" w:hAnsi="Arial"/>
          <w:sz w:val="16"/>
          <w:szCs w:val="16"/>
          <w:color w:val="auto"/>
        </w:rPr>
      </w:pPr>
    </w:p>
    <w:p>
      <w:pPr>
        <w:jc w:val="both"/>
        <w:ind w:firstLine="384"/>
        <w:spacing w:after="0" w:line="290" w:lineRule="auto"/>
        <w:tabs>
          <w:tab w:leader="none" w:pos="73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no such confidentiality agreement shall constitute an Acceptable Confidentiality Agreement unless and until it has been amended to remove any such restrictions.</w:t>
      </w:r>
    </w:p>
    <w:p>
      <w:pPr>
        <w:spacing w:after="0" w:line="171" w:lineRule="exact"/>
        <w:rPr>
          <w:rFonts w:ascii="Arial" w:cs="Arial" w:eastAsia="Arial" w:hAnsi="Arial"/>
          <w:sz w:val="16"/>
          <w:szCs w:val="16"/>
          <w:color w:val="auto"/>
        </w:rPr>
      </w:pPr>
    </w:p>
    <w:p>
      <w:pPr>
        <w:jc w:val="both"/>
        <w:ind w:firstLine="440"/>
        <w:spacing w:after="0" w:line="259" w:lineRule="auto"/>
        <w:tabs>
          <w:tab w:leader="none" w:pos="78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9" w:name="page230"/>
    <w:bookmarkEnd w:id="229"/>
    <w:p>
      <w:pPr>
        <w:jc w:val="both"/>
        <w:ind w:firstLine="8"/>
        <w:spacing w:after="0" w:line="253" w:lineRule="auto"/>
        <w:tabs>
          <w:tab w:leader="none" w:pos="28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does not relate to any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200" w:lineRule="exact"/>
        <w:rPr>
          <w:rFonts w:ascii="Arial" w:cs="Arial" w:eastAsia="Arial" w:hAnsi="Arial"/>
          <w:sz w:val="18"/>
          <w:szCs w:val="18"/>
          <w:color w:val="auto"/>
        </w:rPr>
      </w:pPr>
    </w:p>
    <w:p>
      <w:pPr>
        <w:jc w:val="both"/>
        <w:ind w:firstLine="359"/>
        <w:spacing w:after="0" w:line="283" w:lineRule="auto"/>
        <w:tabs>
          <w:tab w:leader="none" w:pos="678"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Takeover Proposal</w:t>
      </w:r>
      <w:r>
        <w:rPr>
          <w:rFonts w:ascii="Arial" w:cs="Arial" w:eastAsia="Arial" w:hAnsi="Arial"/>
          <w:sz w:val="16"/>
          <w:szCs w:val="16"/>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 or net income of the Company and its Subsidiaries, taken as a whole,</w:t>
      </w:r>
    </w:p>
    <w:p>
      <w:pPr>
        <w:spacing w:after="0" w:line="2" w:lineRule="exact"/>
        <w:rPr>
          <w:rFonts w:ascii="Arial" w:cs="Arial" w:eastAsia="Arial" w:hAnsi="Arial"/>
          <w:sz w:val="16"/>
          <w:szCs w:val="16"/>
          <w:color w:val="auto"/>
        </w:rPr>
      </w:pPr>
    </w:p>
    <w:p>
      <w:pPr>
        <w:jc w:val="both"/>
        <w:ind w:firstLine="8"/>
        <w:spacing w:after="0" w:line="287" w:lineRule="auto"/>
        <w:tabs>
          <w:tab w:leader="none" w:pos="27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 (iv)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77" w:lineRule="exact"/>
        <w:rPr>
          <w:rFonts w:ascii="Arial" w:cs="Arial" w:eastAsia="Arial" w:hAnsi="Arial"/>
          <w:sz w:val="16"/>
          <w:szCs w:val="16"/>
          <w:color w:val="auto"/>
        </w:rPr>
      </w:pPr>
    </w:p>
    <w:p>
      <w:pPr>
        <w:jc w:val="both"/>
        <w:ind w:firstLine="365"/>
        <w:spacing w:after="0" w:line="286" w:lineRule="auto"/>
        <w:tabs>
          <w:tab w:leader="none" w:pos="69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Takeover Proposal shall be deemed to be a reference to 50%, (B) the references to “20% or more of the outstanding Common Shares”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of Takeover Proposal shall be deemed to be references to “no less than all of the outstanding Common Shares not owned by the Rolling Shareholders and their Affiliates” and (C) the reference to “20% or more of the aggregate voting power”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180" w:lineRule="exact"/>
        <w:rPr>
          <w:rFonts w:ascii="Arial" w:cs="Arial" w:eastAsia="Arial" w:hAnsi="Arial"/>
          <w:sz w:val="16"/>
          <w:szCs w:val="16"/>
          <w:color w:val="auto"/>
        </w:rPr>
      </w:pPr>
    </w:p>
    <w:p>
      <w:pPr>
        <w:ind w:left="700" w:hanging="341"/>
        <w:spacing w:after="0"/>
        <w:tabs>
          <w:tab w:leader="none" w:pos="7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it in Rule 13d-5 promulgated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0" w:name="page231"/>
    <w:bookmarkEnd w:id="230"/>
    <w:p>
      <w:pPr>
        <w:ind w:left="360"/>
        <w:spacing w:after="0"/>
        <w:tabs>
          <w:tab w:leader="none" w:pos="16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u w:val="single" w:color="auto"/>
          <w:color w:val="auto"/>
        </w:rPr>
        <w:t>Preparation of Schedule 13E-3</w:t>
      </w:r>
      <w:r>
        <w:rPr>
          <w:rFonts w:ascii="Arial" w:cs="Arial" w:eastAsia="Arial" w:hAnsi="Arial"/>
          <w:sz w:val="15"/>
          <w:szCs w:val="15"/>
          <w:color w:val="auto"/>
        </w:rPr>
        <w:t>.</w:t>
      </w:r>
    </w:p>
    <w:p>
      <w:pPr>
        <w:spacing w:after="0" w:line="225" w:lineRule="exact"/>
        <w:rPr>
          <w:sz w:val="20"/>
          <w:szCs w:val="20"/>
          <w:color w:val="auto"/>
        </w:rPr>
      </w:pPr>
    </w:p>
    <w:p>
      <w:pPr>
        <w:jc w:val="both"/>
        <w:ind w:firstLine="507"/>
        <w:spacing w:after="0" w:line="253" w:lineRule="auto"/>
        <w:tabs>
          <w:tab w:leader="none" w:pos="87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8"/>
          <w:szCs w:val="18"/>
          <w:u w:val="single" w:color="auto"/>
          <w:color w:val="auto"/>
        </w:rPr>
        <w:t>Schedule 13E-3</w:t>
      </w:r>
      <w:r>
        <w:rPr>
          <w:rFonts w:ascii="Arial" w:cs="Arial" w:eastAsia="Arial" w:hAnsi="Arial"/>
          <w:sz w:val="18"/>
          <w:szCs w:val="18"/>
          <w:color w:val="auto"/>
        </w:rPr>
        <w:t>”), including a proxy statement relating to the approval and adoption of this Agreement, the Statutory Merger Agreement and the Transactions, including the Merger, by the shareholders of the Company (including all exhibits and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jc w:val="both"/>
        <w:ind w:firstLine="412"/>
        <w:spacing w:after="0" w:line="286" w:lineRule="auto"/>
        <w:tabs>
          <w:tab w:leader="none" w:pos="7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Each of the Company, Parent and Merger Sub shall use its reasonable best efforts so that the Schedule 13E-3 will comply as to form in all material respects with the requirements of the Exchange Act and the rules and regulations promulgated thereunder. Each of the Company, Parent and Merger Sub shall use its reasonable best efforts to respond (with the assistance of, and after consultation with, each other as provided by this </w:t>
      </w:r>
      <w:r>
        <w:rPr>
          <w:rFonts w:ascii="Arial" w:cs="Arial" w:eastAsia="Arial" w:hAnsi="Arial"/>
          <w:sz w:val="16"/>
          <w:szCs w:val="16"/>
          <w:u w:val="single" w:color="auto"/>
          <w:color w:val="auto"/>
        </w:rPr>
        <w:t>Section 5.03(b)</w:t>
      </w:r>
      <w:r>
        <w:rPr>
          <w:rFonts w:ascii="Arial" w:cs="Arial" w:eastAsia="Arial" w:hAnsi="Arial"/>
          <w:sz w:val="16"/>
          <w:szCs w:val="16"/>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period of time to review and comment on such document or response and (ii) shall consider in good faith all additions, deletions or changes reasonably proposed by Parent in good faith.</w:t>
      </w:r>
    </w:p>
    <w:p>
      <w:pPr>
        <w:spacing w:after="0" w:line="177" w:lineRule="exact"/>
        <w:rPr>
          <w:rFonts w:ascii="Arial" w:cs="Arial" w:eastAsia="Arial" w:hAnsi="Arial"/>
          <w:sz w:val="16"/>
          <w:szCs w:val="16"/>
          <w:color w:val="auto"/>
        </w:rPr>
      </w:pPr>
    </w:p>
    <w:p>
      <w:pPr>
        <w:jc w:val="both"/>
        <w:ind w:firstLine="372"/>
        <w:spacing w:after="0" w:line="288" w:lineRule="auto"/>
        <w:tabs>
          <w:tab w:leader="none" w:pos="69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77" w:lineRule="exact"/>
        <w:rPr>
          <w:rFonts w:ascii="Arial" w:cs="Arial" w:eastAsia="Arial" w:hAnsi="Arial"/>
          <w:sz w:val="16"/>
          <w:szCs w:val="16"/>
          <w:color w:val="auto"/>
        </w:rPr>
      </w:pPr>
    </w:p>
    <w:p>
      <w:pPr>
        <w:ind w:right="20" w:firstLine="374"/>
        <w:spacing w:after="0" w:line="369" w:lineRule="auto"/>
        <w:tabs>
          <w:tab w:leader="none" w:pos="705"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117" w:lineRule="exact"/>
        <w:rPr>
          <w:rFonts w:ascii="Arial" w:cs="Arial" w:eastAsia="Arial" w:hAnsi="Arial"/>
          <w:sz w:val="15"/>
          <w:szCs w:val="15"/>
          <w:color w:val="auto"/>
        </w:rPr>
      </w:pPr>
    </w:p>
    <w:p>
      <w:pPr>
        <w:jc w:val="both"/>
        <w:ind w:firstLine="362"/>
        <w:spacing w:after="0" w:line="259" w:lineRule="auto"/>
        <w:tabs>
          <w:tab w:leader="none" w:pos="68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1" w:name="page232"/>
    <w:bookmarkEnd w:id="231"/>
    <w:p>
      <w:pPr>
        <w:jc w:val="both"/>
        <w:spacing w:after="0" w:line="287" w:lineRule="auto"/>
        <w:rPr>
          <w:sz w:val="20"/>
          <w:szCs w:val="20"/>
          <w:color w:val="auto"/>
        </w:rPr>
      </w:pPr>
      <w:r>
        <w:rPr>
          <w:rFonts w:ascii="Arial" w:cs="Arial" w:eastAsia="Arial" w:hAnsi="Arial"/>
          <w:sz w:val="16"/>
          <w:szCs w:val="16"/>
          <w:color w:val="auto"/>
        </w:rPr>
        <w:t xml:space="preserve">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Parent, Merger Sub or the Company with respect to information supplied by the other party for inclusion or incorporation by reference in the Proxy Statement or the Schedule 13E-3,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76" w:lineRule="exact"/>
        <w:rPr>
          <w:sz w:val="20"/>
          <w:szCs w:val="20"/>
          <w:color w:val="auto"/>
        </w:rPr>
      </w:pPr>
    </w:p>
    <w:p>
      <w:pPr>
        <w:jc w:val="both"/>
        <w:ind w:firstLine="390"/>
        <w:spacing w:after="0" w:line="290" w:lineRule="auto"/>
        <w:tabs>
          <w:tab w:leader="none" w:pos="74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388"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 (A) there will be an insufficient number of Common Shares or Preference Shares present (either in person or by proxy) to constitute a quorum necessary to conduct the business of the Company Shareholders Meeting or</w:t>
      </w:r>
    </w:p>
    <w:p>
      <w:pPr>
        <w:spacing w:after="0" w:line="4" w:lineRule="exact"/>
        <w:rPr>
          <w:sz w:val="20"/>
          <w:szCs w:val="20"/>
          <w:color w:val="auto"/>
        </w:rPr>
      </w:pPr>
    </w:p>
    <w:p>
      <w:pPr>
        <w:jc w:val="both"/>
        <w:ind w:firstLine="8"/>
        <w:spacing w:after="0" w:line="290" w:lineRule="auto"/>
        <w:tabs>
          <w:tab w:leader="none" w:pos="32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2" w:name="page233"/>
    <w:bookmarkEnd w:id="232"/>
    <w:p>
      <w:pPr>
        <w:jc w:val="both"/>
        <w:spacing w:after="0" w:line="259" w:lineRule="auto"/>
        <w:rPr>
          <w:sz w:val="20"/>
          <w:szCs w:val="20"/>
          <w:color w:val="auto"/>
        </w:rPr>
      </w:pPr>
      <w:r>
        <w:rPr>
          <w:rFonts w:ascii="Arial" w:cs="Arial" w:eastAsia="Arial" w:hAnsi="Arial"/>
          <w:sz w:val="18"/>
          <w:szCs w:val="18"/>
          <w:color w:val="auto"/>
        </w:rPr>
        <w:t>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w:t>
      </w:r>
    </w:p>
    <w:p>
      <w:pPr>
        <w:spacing w:after="0" w:line="225" w:lineRule="exact"/>
        <w:rPr>
          <w:sz w:val="20"/>
          <w:szCs w:val="20"/>
          <w:color w:val="auto"/>
        </w:rPr>
      </w:pPr>
    </w:p>
    <w:p>
      <w:pPr>
        <w:jc w:val="both"/>
        <w:ind w:firstLine="398"/>
        <w:spacing w:after="0" w:line="302" w:lineRule="auto"/>
        <w:tabs>
          <w:tab w:leader="none" w:pos="731" w:val="left"/>
        </w:tabs>
        <w:numPr>
          <w:ilvl w:val="1"/>
          <w:numId w:val="276"/>
        </w:numPr>
        <w:rPr>
          <w:rFonts w:ascii="Arial" w:cs="Arial" w:eastAsia="Arial" w:hAnsi="Arial"/>
          <w:sz w:val="15"/>
          <w:szCs w:val="15"/>
          <w:color w:val="auto"/>
        </w:rPr>
      </w:pPr>
      <w:r>
        <w:rPr>
          <w:rFonts w:ascii="Arial" w:cs="Arial" w:eastAsia="Arial" w:hAnsi="Arial"/>
          <w:sz w:val="15"/>
          <w:szCs w:val="15"/>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applicable to such party to be satisfied as promptly as reasonably practicable and to consummate and make effective, in the most expeditious manner reasonably practicable, the Transactions, including</w:t>
      </w:r>
    </w:p>
    <w:p>
      <w:pPr>
        <w:spacing w:after="0" w:line="1" w:lineRule="exact"/>
        <w:rPr>
          <w:rFonts w:ascii="Arial" w:cs="Arial" w:eastAsia="Arial" w:hAnsi="Arial"/>
          <w:sz w:val="15"/>
          <w:szCs w:val="15"/>
          <w:color w:val="auto"/>
        </w:rPr>
      </w:pPr>
    </w:p>
    <w:p>
      <w:pPr>
        <w:jc w:val="both"/>
        <w:ind w:firstLine="8"/>
        <w:spacing w:after="0" w:line="281" w:lineRule="auto"/>
        <w:tabs>
          <w:tab w:leader="none" w:pos="32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w:t>
      </w:r>
    </w:p>
    <w:p>
      <w:pPr>
        <w:spacing w:after="0" w:line="1" w:lineRule="exact"/>
        <w:rPr>
          <w:rFonts w:ascii="Arial" w:cs="Arial" w:eastAsia="Arial" w:hAnsi="Arial"/>
          <w:sz w:val="16"/>
          <w:szCs w:val="16"/>
          <w:color w:val="auto"/>
        </w:rPr>
      </w:pPr>
    </w:p>
    <w:p>
      <w:pPr>
        <w:jc w:val="both"/>
        <w:ind w:firstLine="8"/>
        <w:spacing w:after="0" w:line="286" w:lineRule="auto"/>
        <w:tabs>
          <w:tab w:leader="none" w:pos="28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80" w:lineRule="exact"/>
        <w:rPr>
          <w:rFonts w:ascii="Arial" w:cs="Arial" w:eastAsia="Arial" w:hAnsi="Arial"/>
          <w:sz w:val="16"/>
          <w:szCs w:val="16"/>
          <w:color w:val="auto"/>
        </w:rPr>
      </w:pPr>
    </w:p>
    <w:p>
      <w:pPr>
        <w:jc w:val="both"/>
        <w:ind w:firstLine="461"/>
        <w:spacing w:after="0" w:line="294" w:lineRule="auto"/>
        <w:tabs>
          <w:tab w:leader="none" w:pos="828" w:val="left"/>
        </w:tabs>
        <w:numPr>
          <w:ilvl w:val="2"/>
          <w:numId w:val="278"/>
        </w:numPr>
        <w:rPr>
          <w:rFonts w:ascii="Arial" w:cs="Arial" w:eastAsia="Arial" w:hAnsi="Arial"/>
          <w:sz w:val="16"/>
          <w:szCs w:val="16"/>
          <w:color w:val="auto"/>
        </w:rPr>
      </w:pPr>
      <w:r>
        <w:rPr>
          <w:rFonts w:ascii="Arial" w:cs="Arial" w:eastAsia="Arial" w:hAnsi="Arial"/>
          <w:sz w:val="16"/>
          <w:szCs w:val="16"/>
          <w:color w:val="auto"/>
        </w:rPr>
        <w:t>Subject to and upon the terms and conditions of this Agreement, the Company and Parent shall each use its reasonable best efforts to (i) take all action necessary to ensure that no Takeover Law is or becomes applicable to any of the Transactions or this Agreement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69" w:lineRule="exact"/>
        <w:rPr>
          <w:rFonts w:ascii="Arial" w:cs="Arial" w:eastAsia="Arial" w:hAnsi="Arial"/>
          <w:sz w:val="16"/>
          <w:szCs w:val="16"/>
          <w:color w:val="auto"/>
        </w:rPr>
      </w:pPr>
    </w:p>
    <w:p>
      <w:pPr>
        <w:jc w:val="both"/>
        <w:ind w:firstLine="399"/>
        <w:spacing w:after="0" w:line="287" w:lineRule="auto"/>
        <w:tabs>
          <w:tab w:leader="none" w:pos="73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6"/>
          <w:szCs w:val="16"/>
          <w:u w:val="single" w:color="auto"/>
          <w:color w:val="auto"/>
        </w:rPr>
        <w:t>Required Third-Party Consents</w:t>
      </w:r>
      <w:r>
        <w:rPr>
          <w:rFonts w:ascii="Arial" w:cs="Arial" w:eastAsia="Arial" w:hAnsi="Arial"/>
          <w:sz w:val="16"/>
          <w:szCs w:val="16"/>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3" w:name="page234"/>
    <w:bookmarkEnd w:id="233"/>
    <w:p>
      <w:pPr>
        <w:jc w:val="both"/>
        <w:spacing w:after="0" w:line="306" w:lineRule="auto"/>
        <w:rPr>
          <w:sz w:val="20"/>
          <w:szCs w:val="20"/>
          <w:color w:val="auto"/>
        </w:rPr>
      </w:pPr>
      <w:r>
        <w:rPr>
          <w:rFonts w:ascii="Arial" w:cs="Arial" w:eastAsia="Arial" w:hAnsi="Arial"/>
          <w:sz w:val="16"/>
          <w:szCs w:val="16"/>
          <w:color w:val="auto"/>
        </w:rPr>
        <w:t xml:space="preserve">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6.02(d)</w:t>
      </w:r>
      <w:r>
        <w:rPr>
          <w:rFonts w:ascii="Arial" w:cs="Arial" w:eastAsia="Arial" w:hAnsi="Arial"/>
          <w:sz w:val="16"/>
          <w:szCs w:val="16"/>
          <w:color w:val="auto"/>
        </w:rPr>
        <w:t>.</w:t>
      </w:r>
    </w:p>
    <w:p>
      <w:pPr>
        <w:spacing w:after="0" w:line="37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2.02(b)</w:t>
      </w:r>
      <w:r>
        <w:rPr>
          <w:rFonts w:ascii="Arial" w:cs="Arial" w:eastAsia="Arial" w:hAnsi="Arial"/>
          <w:sz w:val="16"/>
          <w:szCs w:val="16"/>
          <w:color w:val="auto"/>
        </w:rPr>
        <w:t>, all share transfer, real estate transfer, documentary, stamp, recording and other similar Taxes (including interest, penalties and additions to any such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382"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to the extent related to any actual or contemplated litigation between or among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 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396"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solely for the purpose of facilitating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a Takeover Proposal or Superior Proposal. Without limiting the foregoing, in the event that the Company does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4" w:name="page235"/>
    <w:bookmarkEnd w:id="234"/>
    <w:p>
      <w:pPr>
        <w:jc w:val="both"/>
        <w:spacing w:after="0" w:line="283" w:lineRule="auto"/>
        <w:rPr>
          <w:sz w:val="20"/>
          <w:szCs w:val="20"/>
          <w:color w:val="auto"/>
        </w:rPr>
      </w:pPr>
      <w:r>
        <w:rPr>
          <w:rFonts w:ascii="Arial" w:cs="Arial" w:eastAsia="Arial" w:hAnsi="Arial"/>
          <w:sz w:val="16"/>
          <w:szCs w:val="16"/>
          <w:color w:val="auto"/>
        </w:rPr>
        <w:t xml:space="preserve">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3" w:lineRule="exact"/>
        <w:rPr>
          <w:sz w:val="20"/>
          <w:szCs w:val="20"/>
          <w:color w:val="auto"/>
        </w:rPr>
      </w:pPr>
    </w:p>
    <w:p>
      <w:pPr>
        <w:jc w:val="both"/>
        <w:ind w:firstLine="8"/>
        <w:spacing w:after="0" w:line="295" w:lineRule="auto"/>
        <w:tabs>
          <w:tab w:leader="none" w:pos="362" w:val="left"/>
        </w:tabs>
        <w:numPr>
          <w:ilvl w:val="0"/>
          <w:numId w:val="279"/>
        </w:numPr>
        <w:rPr>
          <w:rFonts w:ascii="Arial" w:cs="Arial" w:eastAsia="Arial" w:hAnsi="Arial"/>
          <w:sz w:val="16"/>
          <w:szCs w:val="16"/>
          <w:u w:val="single" w:color="auto"/>
          <w:color w:val="auto"/>
        </w:rPr>
      </w:pPr>
      <w:r>
        <w:rPr>
          <w:rFonts w:ascii="Arial" w:cs="Arial" w:eastAsia="Arial" w:hAnsi="Arial"/>
          <w:sz w:val="16"/>
          <w:szCs w:val="16"/>
          <w:color w:val="auto"/>
        </w:rPr>
        <w:t xml:space="preserve">above. All requests for information made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38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Equity Financing</w:t>
      </w:r>
      <w:r>
        <w:rPr>
          <w:rFonts w:ascii="Arial" w:cs="Arial" w:eastAsia="Arial" w:hAnsi="Arial"/>
          <w:sz w:val="16"/>
          <w:szCs w:val="16"/>
          <w:color w:val="auto"/>
        </w:rPr>
        <w:t>.</w:t>
      </w:r>
    </w:p>
    <w:p>
      <w:pPr>
        <w:spacing w:after="0" w:line="225" w:lineRule="exact"/>
        <w:rPr>
          <w:sz w:val="20"/>
          <w:szCs w:val="20"/>
          <w:color w:val="auto"/>
        </w:rPr>
      </w:pPr>
    </w:p>
    <w:p>
      <w:pPr>
        <w:jc w:val="both"/>
        <w:ind w:firstLine="398"/>
        <w:spacing w:after="0" w:line="283" w:lineRule="auto"/>
        <w:tabs>
          <w:tab w:leader="none" w:pos="731" w:val="left"/>
        </w:tabs>
        <w:numPr>
          <w:ilvl w:val="1"/>
          <w:numId w:val="28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Parent and Merger Sub will not, without the prior written consent of the Company in its sole discretion, effect 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 (B) make the timely funding of the Equity Financing, or the satisfaction of the conditions to obtaining the Equity Financing, less likely to occur in any respect or</w:t>
      </w:r>
    </w:p>
    <w:p>
      <w:pPr>
        <w:ind w:firstLine="8"/>
        <w:spacing w:after="0" w:line="260" w:lineRule="auto"/>
        <w:tabs>
          <w:tab w:leader="none" w:pos="30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adversely impact the ability of Parent, Merger Sub or the Company, as applicable, to enforce its rights against the Guarantor under the Equity Commitment Letter.</w:t>
      </w:r>
    </w:p>
    <w:p>
      <w:pPr>
        <w:spacing w:after="0" w:line="193" w:lineRule="exact"/>
        <w:rPr>
          <w:rFonts w:ascii="Arial" w:cs="Arial" w:eastAsia="Arial" w:hAnsi="Arial"/>
          <w:sz w:val="18"/>
          <w:szCs w:val="18"/>
          <w:color w:val="auto"/>
        </w:rPr>
      </w:pPr>
    </w:p>
    <w:p>
      <w:pPr>
        <w:jc w:val="both"/>
        <w:ind w:firstLine="402"/>
        <w:spacing w:after="0" w:line="286" w:lineRule="auto"/>
        <w:tabs>
          <w:tab w:leader="none" w:pos="747" w:val="left"/>
        </w:tabs>
        <w:numPr>
          <w:ilvl w:val="1"/>
          <w:numId w:val="281"/>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 (i)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39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Notification of Certain Matters; Litigation</w:t>
      </w:r>
      <w:r>
        <w:rPr>
          <w:rFonts w:ascii="Arial" w:cs="Arial" w:eastAsia="Arial" w:hAnsi="Arial"/>
          <w:sz w:val="16"/>
          <w:szCs w:val="16"/>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6"/>
          <w:szCs w:val="16"/>
          <w:u w:val="single" w:color="auto"/>
          <w:color w:val="auto"/>
        </w:rPr>
        <w:t>Section 5.01(b)(viii)</w:t>
      </w:r>
      <w:r>
        <w:rPr>
          <w:rFonts w:ascii="Arial" w:cs="Arial" w:eastAsia="Arial" w:hAnsi="Arial"/>
          <w:sz w:val="16"/>
          <w:szCs w:val="16"/>
          <w:color w:val="auto"/>
        </w:rPr>
        <w:t>, each party hereto shall give the other parties hereto the opportunity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jc w:val="both"/>
        <w:spacing w:after="0" w:line="259" w:lineRule="auto"/>
        <w:rPr>
          <w:sz w:val="20"/>
          <w:szCs w:val="20"/>
          <w:color w:val="auto"/>
        </w:rPr>
      </w:pPr>
      <w:r>
        <w:rPr>
          <w:rFonts w:ascii="Arial" w:cs="Arial" w:eastAsia="Arial" w:hAnsi="Arial"/>
          <w:sz w:val="18"/>
          <w:szCs w:val="18"/>
          <w:color w:val="auto"/>
        </w:rPr>
        <w:t>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As promptly as practicable following the execution of this Agreement, Parent shall execute and deliver, in accordance with Section 106 of the Bermuda Companies Act and in its capacity as the sole shareholder of Merger Sub, the Merger Sub Shareholder Approval, to the extent that such has not already been executed.</w:t>
      </w:r>
    </w:p>
    <w:p>
      <w:pPr>
        <w:spacing w:after="0" w:line="200" w:lineRule="exact"/>
        <w:rPr>
          <w:sz w:val="20"/>
          <w:szCs w:val="20"/>
          <w:color w:val="auto"/>
        </w:rPr>
      </w:pPr>
    </w:p>
    <w:p>
      <w:pPr>
        <w:spacing w:after="0" w:line="210" w:lineRule="exact"/>
        <w:rPr>
          <w:sz w:val="20"/>
          <w:szCs w:val="20"/>
          <w:color w:val="auto"/>
        </w:rPr>
      </w:pPr>
    </w:p>
    <w:p>
      <w:pPr>
        <w:jc w:val="both"/>
        <w:ind w:right="20" w:firstLine="363"/>
        <w:spacing w:after="0" w:line="33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Stock Exchange De-listing</w:t>
      </w:r>
      <w:r>
        <w:rPr>
          <w:rFonts w:ascii="Arial" w:cs="Arial" w:eastAsia="Arial" w:hAnsi="Arial"/>
          <w:sz w:val="16"/>
          <w:szCs w:val="16"/>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200" w:lineRule="exact"/>
        <w:rPr>
          <w:sz w:val="20"/>
          <w:szCs w:val="20"/>
          <w:color w:val="auto"/>
        </w:rPr>
      </w:pPr>
    </w:p>
    <w:p>
      <w:pPr>
        <w:spacing w:after="0" w:line="210" w:lineRule="exact"/>
        <w:rPr>
          <w:sz w:val="20"/>
          <w:szCs w:val="20"/>
          <w:color w:val="auto"/>
        </w:rPr>
      </w:pPr>
    </w:p>
    <w:p>
      <w:pPr>
        <w:ind w:firstLine="467"/>
        <w:spacing w:after="0" w:line="268" w:lineRule="auto"/>
        <w:tabs>
          <w:tab w:leader="none" w:pos="883"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The Required Shareholder Approvals shall have been obtained in accordance with applicable Law and the Company Organizational Documents.</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561"/>
        <w:spacing w:after="0" w:line="259" w:lineRule="auto"/>
        <w:tabs>
          <w:tab w:leader="none" w:pos="1028"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Judgment enacted, promulgated, issued, entered, amended or enforced by any Governmental Authority of competent jurisdiction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shall be in effect enjoining, restraining or otherwise making illegal, preventing or prohibiting the consummation of the Merger.</w:t>
      </w:r>
    </w:p>
    <w:p>
      <w:pPr>
        <w:spacing w:after="0" w:line="194" w:lineRule="exact"/>
        <w:rPr>
          <w:sz w:val="20"/>
          <w:szCs w:val="20"/>
          <w:color w:val="auto"/>
        </w:rPr>
      </w:pPr>
    </w:p>
    <w:p>
      <w:pPr>
        <w:ind w:firstLine="459"/>
        <w:spacing w:after="0" w:line="33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357" w:lineRule="exact"/>
        <w:rPr>
          <w:sz w:val="20"/>
          <w:szCs w:val="20"/>
          <w:color w:val="auto"/>
        </w:rPr>
      </w:pPr>
    </w:p>
    <w:p>
      <w:pPr>
        <w:jc w:val="both"/>
        <w:ind w:firstLine="386"/>
        <w:spacing w:after="0" w:line="286" w:lineRule="auto"/>
        <w:tabs>
          <w:tab w:leader="none" w:pos="762"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(i) set forth in </w:t>
      </w:r>
      <w:r>
        <w:rPr>
          <w:rFonts w:ascii="Arial" w:cs="Arial" w:eastAsia="Arial" w:hAnsi="Arial"/>
          <w:sz w:val="16"/>
          <w:szCs w:val="16"/>
          <w:u w:val="single" w:color="auto"/>
          <w:color w:val="auto"/>
        </w:rPr>
        <w:t>Sections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3.22(h)</w:t>
      </w:r>
      <w:r>
        <w:rPr>
          <w:rFonts w:ascii="Arial" w:cs="Arial" w:eastAsia="Arial" w:hAnsi="Arial"/>
          <w:sz w:val="16"/>
          <w:szCs w:val="16"/>
          <w:color w:val="auto"/>
        </w:rPr>
        <w:t xml:space="preserve"> shall be true and correct in all respects as of the Closing Date with the same effect as though made on and as of such date, (ii)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3.02(f)</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3.22(a)</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earlier date), and (iv) set forth in the Sections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the failure to be true and correct would not, individually or in the aggregate, reasonably be expected to have a Material Adverse Effect. Parent shall have received a certificate signed on behalf of the Company by an executive officer of the Company to such effect.</w:t>
      </w:r>
    </w:p>
    <w:p>
      <w:pPr>
        <w:spacing w:after="0" w:line="393" w:lineRule="exact"/>
        <w:rPr>
          <w:rFonts w:ascii="Arial" w:cs="Arial" w:eastAsia="Arial" w:hAnsi="Arial"/>
          <w:sz w:val="16"/>
          <w:szCs w:val="16"/>
          <w:color w:val="auto"/>
        </w:rPr>
      </w:pPr>
    </w:p>
    <w:p>
      <w:pPr>
        <w:ind w:firstLine="359"/>
        <w:spacing w:after="0" w:line="268" w:lineRule="auto"/>
        <w:tabs>
          <w:tab w:leader="none" w:pos="731"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and Agreements of the Company and the Rolling Shareholders</w:t>
      </w:r>
      <w:r>
        <w:rPr>
          <w:rFonts w:ascii="Arial" w:cs="Arial" w:eastAsia="Arial" w:hAnsi="Arial"/>
          <w:sz w:val="18"/>
          <w:szCs w:val="18"/>
          <w:color w:val="auto"/>
        </w:rPr>
        <w:t>. The Company shall have performed or complied in all material respects with the obligations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jc w:val="both"/>
        <w:spacing w:after="0" w:line="298" w:lineRule="auto"/>
        <w:rPr>
          <w:sz w:val="20"/>
          <w:szCs w:val="20"/>
          <w:color w:val="auto"/>
        </w:rPr>
      </w:pPr>
      <w:r>
        <w:rPr>
          <w:rFonts w:ascii="Arial" w:cs="Arial" w:eastAsia="Arial" w:hAnsi="Arial"/>
          <w:sz w:val="16"/>
          <w:szCs w:val="16"/>
          <w:color w:val="auto"/>
        </w:rPr>
        <w:t xml:space="preserve">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of the Rollover Agreement (collectively, the “</w:t>
      </w:r>
      <w:r>
        <w:rPr>
          <w:rFonts w:ascii="Arial" w:cs="Arial" w:eastAsia="Arial" w:hAnsi="Arial"/>
          <w:sz w:val="16"/>
          <w:szCs w:val="16"/>
          <w:u w:val="single" w:color="auto"/>
          <w:color w:val="auto"/>
        </w:rPr>
        <w:t>Specified Rollover Obligations</w:t>
      </w:r>
      <w:r>
        <w:rPr>
          <w:rFonts w:ascii="Arial" w:cs="Arial" w:eastAsia="Arial" w:hAnsi="Arial"/>
          <w:sz w:val="16"/>
          <w:szCs w:val="16"/>
          <w:color w:val="auto"/>
        </w:rPr>
        <w:t>”) at or prior to the Effective Time.</w:t>
      </w:r>
    </w:p>
    <w:p>
      <w:pPr>
        <w:spacing w:after="0" w:line="382" w:lineRule="exact"/>
        <w:rPr>
          <w:sz w:val="20"/>
          <w:szCs w:val="20"/>
          <w:color w:val="auto"/>
        </w:rPr>
      </w:pPr>
    </w:p>
    <w:p>
      <w:pPr>
        <w:ind w:firstLine="453"/>
        <w:spacing w:after="0" w:line="331" w:lineRule="auto"/>
        <w:tabs>
          <w:tab w:leader="none" w:pos="856"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Key Man Retention</w:t>
      </w:r>
      <w:r>
        <w:rPr>
          <w:rFonts w:ascii="Arial" w:cs="Arial" w:eastAsia="Arial" w:hAnsi="Arial"/>
          <w:sz w:val="16"/>
          <w:szCs w:val="16"/>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356"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The Company shall have received and delivered to Parent and Merger Sub all Required Third-Party Consents, and all such Required Third-Party Consents shall remain in full force and effect.</w:t>
      </w:r>
    </w:p>
    <w:p>
      <w:pPr>
        <w:spacing w:after="0" w:line="186" w:lineRule="exact"/>
        <w:rPr>
          <w:sz w:val="20"/>
          <w:szCs w:val="20"/>
          <w:color w:val="auto"/>
        </w:rPr>
      </w:pPr>
    </w:p>
    <w:p>
      <w:pPr>
        <w:ind w:firstLine="363"/>
        <w:spacing w:after="0" w:line="268"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are further subject to the satisfaction (or written waiver by the Company, if permissible under applicable Law) at or prior to the Closing of the following conditions:</w:t>
      </w:r>
    </w:p>
    <w:p>
      <w:pPr>
        <w:spacing w:after="0" w:line="200" w:lineRule="exact"/>
        <w:rPr>
          <w:sz w:val="20"/>
          <w:szCs w:val="20"/>
          <w:color w:val="auto"/>
        </w:rPr>
      </w:pPr>
    </w:p>
    <w:p>
      <w:pPr>
        <w:spacing w:after="0" w:line="202" w:lineRule="exact"/>
        <w:rPr>
          <w:sz w:val="20"/>
          <w:szCs w:val="20"/>
          <w:color w:val="auto"/>
        </w:rPr>
      </w:pPr>
    </w:p>
    <w:p>
      <w:pPr>
        <w:jc w:val="both"/>
        <w:ind w:firstLine="467"/>
        <w:spacing w:after="0" w:line="288" w:lineRule="auto"/>
        <w:tabs>
          <w:tab w:leader="none" w:pos="883"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Parent and Merger Sub (i) set forth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393" w:lineRule="exact"/>
        <w:rPr>
          <w:rFonts w:ascii="Arial" w:cs="Arial" w:eastAsia="Arial" w:hAnsi="Arial"/>
          <w:sz w:val="16"/>
          <w:szCs w:val="16"/>
          <w:color w:val="auto"/>
        </w:rPr>
      </w:pPr>
    </w:p>
    <w:p>
      <w:pPr>
        <w:jc w:val="both"/>
        <w:ind w:firstLine="399"/>
        <w:spacing w:after="0" w:line="306" w:lineRule="auto"/>
        <w:tabs>
          <w:tab w:leader="none" w:pos="785"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and Agreements of Parent and Merger Sub</w:t>
      </w:r>
      <w:r>
        <w:rPr>
          <w:rFonts w:ascii="Arial" w:cs="Arial" w:eastAsia="Arial" w:hAnsi="Arial"/>
          <w:sz w:val="16"/>
          <w:szCs w:val="16"/>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160"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xml:space="preserve">. The Company may not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42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 whether before or after receipt of the Required Shareholder Approvals (except as otherwise expressly noted):</w:t>
      </w:r>
    </w:p>
    <w:p>
      <w:pPr>
        <w:spacing w:after="0" w:line="186" w:lineRule="exact"/>
        <w:rPr>
          <w:sz w:val="20"/>
          <w:szCs w:val="20"/>
          <w:color w:val="auto"/>
        </w:rPr>
      </w:pPr>
    </w:p>
    <w:p>
      <w:pPr>
        <w:ind w:left="680" w:hanging="321"/>
        <w:spacing w:after="0"/>
        <w:tabs>
          <w:tab w:leader="none" w:pos="6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540" w:firstLine="447"/>
        <w:spacing w:after="0" w:line="253" w:lineRule="auto"/>
        <w:tabs>
          <w:tab w:leader="none" w:pos="123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prior to September 30, 2021 (as such date may be extended pursuant to </w:t>
      </w:r>
      <w:r>
        <w:rPr>
          <w:rFonts w:ascii="Arial" w:cs="Arial" w:eastAsia="Arial" w:hAnsi="Arial"/>
          <w:sz w:val="18"/>
          <w:szCs w:val="18"/>
          <w:u w:val="single" w:color="auto"/>
          <w:color w:val="auto"/>
        </w:rPr>
        <w:t>Section 8.08</w:t>
      </w:r>
      <w:r>
        <w:rPr>
          <w:rFonts w:ascii="Arial" w:cs="Arial" w:eastAsia="Arial" w:hAnsi="Arial"/>
          <w:sz w:val="18"/>
          <w:szCs w:val="18"/>
          <w:color w:val="auto"/>
        </w:rPr>
        <w:t>,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8"/>
          <w:szCs w:val="18"/>
          <w:u w:val="single" w:color="auto"/>
          <w:color w:val="auto"/>
        </w:rPr>
        <w:t>Section 7.01(d)(iii)</w:t>
      </w:r>
      <w:r>
        <w:rPr>
          <w:rFonts w:ascii="Arial" w:cs="Arial" w:eastAsia="Arial" w:hAnsi="Arial"/>
          <w:sz w:val="18"/>
          <w:szCs w:val="18"/>
          <w:color w:val="auto"/>
        </w:rPr>
        <w:t>;</w:t>
      </w:r>
    </w:p>
    <w:p>
      <w:pPr>
        <w:spacing w:after="0" w:line="201" w:lineRule="exact"/>
        <w:rPr>
          <w:sz w:val="20"/>
          <w:szCs w:val="20"/>
          <w:color w:val="auto"/>
        </w:rPr>
      </w:pPr>
    </w:p>
    <w:p>
      <w:pPr>
        <w:jc w:val="both"/>
        <w:ind w:left="540" w:right="20" w:firstLine="433"/>
        <w:spacing w:after="0" w:line="256" w:lineRule="auto"/>
        <w:tabs>
          <w:tab w:leader="none" w:pos="1274" w:val="left"/>
        </w:tabs>
        <w:numPr>
          <w:ilvl w:val="2"/>
          <w:numId w:val="290"/>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7.01(b)(ii)</w:t>
      </w:r>
      <w:r>
        <w:rPr>
          <w:rFonts w:ascii="Arial" w:cs="Arial" w:eastAsia="Arial" w:hAnsi="Arial"/>
          <w:sz w:val="18"/>
          <w:szCs w:val="18"/>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96" w:lineRule="exact"/>
        <w:rPr>
          <w:rFonts w:ascii="Arial" w:cs="Arial" w:eastAsia="Arial" w:hAnsi="Arial"/>
          <w:sz w:val="18"/>
          <w:szCs w:val="18"/>
          <w:color w:val="auto"/>
        </w:rPr>
      </w:pPr>
    </w:p>
    <w:p>
      <w:pPr>
        <w:ind w:left="540" w:firstLine="536"/>
        <w:spacing w:after="0" w:line="268" w:lineRule="auto"/>
        <w:tabs>
          <w:tab w:leader="none" w:pos="1464" w:val="left"/>
        </w:tabs>
        <w:numPr>
          <w:ilvl w:val="4"/>
          <w:numId w:val="290"/>
        </w:numPr>
        <w:rPr>
          <w:rFonts w:ascii="Arial" w:cs="Arial" w:eastAsia="Arial" w:hAnsi="Arial"/>
          <w:sz w:val="18"/>
          <w:szCs w:val="18"/>
          <w:color w:val="auto"/>
        </w:rPr>
      </w:pPr>
      <w:r>
        <w:rPr>
          <w:rFonts w:ascii="Arial" w:cs="Arial" w:eastAsia="Arial" w:hAnsi="Arial"/>
          <w:sz w:val="18"/>
          <w:szCs w:val="18"/>
          <w:color w:val="auto"/>
        </w:rPr>
        <w:t>if the Company Shareholders Meeting (including any adjournments or postponements thereof) at which the vote was taken shall have concluded and the Required Shareholder Approvals shall not have been obtained;</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540" w:firstLine="478"/>
        <w:spacing w:after="0" w:line="285" w:lineRule="auto"/>
        <w:tabs>
          <w:tab w:leader="none" w:pos="1269" w:val="left"/>
        </w:tabs>
        <w:numPr>
          <w:ilvl w:val="2"/>
          <w:numId w:val="291"/>
        </w:numPr>
        <w:rPr>
          <w:rFonts w:ascii="Arial" w:cs="Arial" w:eastAsia="Arial" w:hAnsi="Arial"/>
          <w:sz w:val="16"/>
          <w:szCs w:val="16"/>
          <w:color w:val="auto"/>
        </w:rPr>
      </w:pPr>
      <w:r>
        <w:rPr>
          <w:rFonts w:ascii="Arial" w:cs="Arial" w:eastAsia="Arial" w:hAnsi="Arial"/>
          <w:sz w:val="16"/>
          <w:szCs w:val="16"/>
          <w:color w:val="auto"/>
        </w:rPr>
        <w:t>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w:t>
      </w:r>
    </w:p>
    <w:p>
      <w:pPr>
        <w:spacing w:after="0" w:line="1" w:lineRule="exact"/>
        <w:rPr>
          <w:rFonts w:ascii="Arial" w:cs="Arial" w:eastAsia="Arial" w:hAnsi="Arial"/>
          <w:sz w:val="16"/>
          <w:szCs w:val="16"/>
          <w:color w:val="auto"/>
        </w:rPr>
      </w:pPr>
    </w:p>
    <w:p>
      <w:pPr>
        <w:jc w:val="both"/>
        <w:ind w:left="540" w:firstLine="8"/>
        <w:spacing w:after="0" w:line="252" w:lineRule="auto"/>
        <w:tabs>
          <w:tab w:leader="none" w:pos="842"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would give rise to the failure of a condition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6.02(b)</w:t>
      </w:r>
      <w:r>
        <w:rPr>
          <w:rFonts w:ascii="Arial" w:cs="Arial" w:eastAsia="Arial" w:hAnsi="Arial"/>
          <w:sz w:val="18"/>
          <w:szCs w:val="18"/>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and the basis for such termination (or in any event has not been cured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if Parent or Merger Sub is then in material breach of any of its representations, warranties, obligations or agreements hereunder; or</w:t>
      </w:r>
    </w:p>
    <w:p>
      <w:pPr>
        <w:spacing w:after="0" w:line="201" w:lineRule="exact"/>
        <w:rPr>
          <w:rFonts w:ascii="Arial" w:cs="Arial" w:eastAsia="Arial" w:hAnsi="Arial"/>
          <w:sz w:val="18"/>
          <w:szCs w:val="18"/>
          <w:color w:val="auto"/>
        </w:rPr>
      </w:pPr>
    </w:p>
    <w:p>
      <w:pPr>
        <w:jc w:val="both"/>
        <w:ind w:left="540" w:firstLine="476"/>
        <w:spacing w:after="0" w:line="291" w:lineRule="auto"/>
        <w:tabs>
          <w:tab w:leader="none" w:pos="1326" w:val="left"/>
        </w:tabs>
        <w:numPr>
          <w:ilvl w:val="3"/>
          <w:numId w:val="291"/>
        </w:numPr>
        <w:rPr>
          <w:rFonts w:ascii="Arial" w:cs="Arial" w:eastAsia="Arial" w:hAnsi="Arial"/>
          <w:sz w:val="16"/>
          <w:szCs w:val="16"/>
          <w:color w:val="auto"/>
        </w:rPr>
      </w:pPr>
      <w:r>
        <w:rPr>
          <w:rFonts w:ascii="Arial" w:cs="Arial" w:eastAsia="Arial" w:hAnsi="Arial"/>
          <w:sz w:val="16"/>
          <w:szCs w:val="16"/>
          <w:color w:val="auto"/>
        </w:rPr>
        <w:t>prior to receipt of the Required Shareholder Approvals, (A) if an Adverse Recommendation Change shall have occurred, (B)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8" w:name="page239"/>
    <w:bookmarkEnd w:id="238"/>
    <w:p>
      <w:pPr>
        <w:ind w:left="540"/>
        <w:spacing w:after="0"/>
        <w:rPr>
          <w:sz w:val="20"/>
          <w:szCs w:val="20"/>
          <w:color w:val="auto"/>
        </w:rPr>
      </w:pPr>
      <w:r>
        <w:rPr>
          <w:rFonts w:ascii="Arial" w:cs="Arial" w:eastAsia="Arial" w:hAnsi="Arial"/>
          <w:sz w:val="18"/>
          <w:szCs w:val="18"/>
          <w:color w:val="auto"/>
        </w:rPr>
        <w:t>Company Board shall have resolved to effect or publicly announced an intention to effect any of the foregoing; or</w:t>
      </w:r>
    </w:p>
    <w:p>
      <w:pPr>
        <w:spacing w:after="0" w:line="225" w:lineRule="exact"/>
        <w:rPr>
          <w:sz w:val="20"/>
          <w:szCs w:val="20"/>
          <w:color w:val="auto"/>
        </w:rPr>
      </w:pPr>
    </w:p>
    <w:p>
      <w:pPr>
        <w:ind w:left="700" w:hanging="341"/>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left="540" w:firstLine="493"/>
        <w:spacing w:after="0" w:line="290" w:lineRule="auto"/>
        <w:tabs>
          <w:tab w:leader="none" w:pos="1288" w:val="left"/>
        </w:tabs>
        <w:numPr>
          <w:ilvl w:val="2"/>
          <w:numId w:val="292"/>
        </w:numPr>
        <w:rPr>
          <w:rFonts w:ascii="Arial" w:cs="Arial" w:eastAsia="Arial" w:hAnsi="Arial"/>
          <w:sz w:val="16"/>
          <w:szCs w:val="16"/>
          <w:color w:val="auto"/>
        </w:rPr>
      </w:pPr>
      <w:r>
        <w:rPr>
          <w:rFonts w:ascii="Arial" w:cs="Arial" w:eastAsia="Arial" w:hAnsi="Arial"/>
          <w:sz w:val="16"/>
          <w:szCs w:val="16"/>
          <w:color w:val="auto"/>
        </w:rPr>
        <w:t xml:space="preserve">if Parent or Merger Sub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6.03(b)</w:t>
      </w:r>
      <w:r>
        <w:rPr>
          <w:rFonts w:ascii="Arial" w:cs="Arial" w:eastAsia="Arial" w:hAnsi="Arial"/>
          <w:sz w:val="16"/>
          <w:szCs w:val="16"/>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the basis for such termination (or in any event has not been cured by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if the Company is then in material breach of any of its representations, warranties, obligations or agreements hereunder;</w:t>
      </w:r>
    </w:p>
    <w:p>
      <w:pPr>
        <w:spacing w:after="0" w:line="171" w:lineRule="exact"/>
        <w:rPr>
          <w:rFonts w:ascii="Arial" w:cs="Arial" w:eastAsia="Arial" w:hAnsi="Arial"/>
          <w:sz w:val="16"/>
          <w:szCs w:val="16"/>
          <w:color w:val="auto"/>
        </w:rPr>
      </w:pPr>
    </w:p>
    <w:p>
      <w:pPr>
        <w:jc w:val="both"/>
        <w:ind w:left="540" w:firstLine="487"/>
        <w:spacing w:after="0" w:line="306" w:lineRule="auto"/>
        <w:tabs>
          <w:tab w:leader="none" w:pos="1339" w:val="left"/>
        </w:tabs>
        <w:numPr>
          <w:ilvl w:val="2"/>
          <w:numId w:val="292"/>
        </w:numPr>
        <w:rPr>
          <w:rFonts w:ascii="Arial" w:cs="Arial" w:eastAsia="Arial" w:hAnsi="Arial"/>
          <w:sz w:val="16"/>
          <w:szCs w:val="16"/>
          <w:color w:val="auto"/>
        </w:rPr>
      </w:pPr>
      <w:r>
        <w:rPr>
          <w:rFonts w:ascii="Arial" w:cs="Arial" w:eastAsia="Arial" w:hAnsi="Arial"/>
          <w:sz w:val="16"/>
          <w:szCs w:val="16"/>
          <w:color w:val="auto"/>
        </w:rPr>
        <w:t xml:space="preserve">prior to receipt of the Required Shareholder Approvals, in connection with entering into a Company Acquisition Agreement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sentence of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termination the Company pays or causes to be paid the Company Termination Fee, so long as Parent has provided the Company with wire instructions for such payment; or</w:t>
      </w:r>
    </w:p>
    <w:p>
      <w:pPr>
        <w:spacing w:after="0" w:line="160" w:lineRule="exact"/>
        <w:rPr>
          <w:rFonts w:ascii="Arial" w:cs="Arial" w:eastAsia="Arial" w:hAnsi="Arial"/>
          <w:sz w:val="16"/>
          <w:szCs w:val="16"/>
          <w:color w:val="auto"/>
        </w:rPr>
      </w:pPr>
    </w:p>
    <w:p>
      <w:pPr>
        <w:jc w:val="both"/>
        <w:ind w:left="540" w:firstLine="384"/>
        <w:spacing w:after="0" w:line="288" w:lineRule="auto"/>
        <w:tabs>
          <w:tab w:leader="none" w:pos="1274"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if (A)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(C) the Merger is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(D) Parent and Merger Sub fail to consummate the Merger within three business days after the later of (i) receipt by Parent of the notice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(ii) the date the Merger was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to the contrary, no party shall be permitted to terminate this Agreement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during such three business day period.</w:t>
      </w:r>
    </w:p>
    <w:p>
      <w:pPr>
        <w:spacing w:after="0" w:line="173" w:lineRule="exact"/>
        <w:rPr>
          <w:sz w:val="20"/>
          <w:szCs w:val="20"/>
          <w:color w:val="auto"/>
        </w:rPr>
      </w:pPr>
    </w:p>
    <w:p>
      <w:pPr>
        <w:jc w:val="both"/>
        <w:ind w:firstLine="399"/>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Guarantee, the Confidentiality Agreement and the last sentence of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16"/>
          <w:szCs w:val="16"/>
          <w:u w:val="single" w:color="auto"/>
          <w:color w:val="auto"/>
        </w:rPr>
        <w:t>Section 7.03(d)</w:t>
      </w:r>
      <w:r>
        <w:rPr>
          <w:rFonts w:ascii="Arial" w:cs="Arial" w:eastAsia="Arial" w:hAnsi="Arial"/>
          <w:sz w:val="16"/>
          <w:szCs w:val="16"/>
          <w:color w:val="auto"/>
        </w:rPr>
        <w:t>, that no such termination shall relieve any party from liability for any Willful Breach.</w:t>
      </w:r>
    </w:p>
    <w:p>
      <w:pPr>
        <w:spacing w:after="0" w:line="174"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Termination Fees and Expense Reimbursement</w:t>
      </w:r>
      <w:r>
        <w:rPr>
          <w:rFonts w:ascii="Arial" w:cs="Arial" w:eastAsia="Arial" w:hAnsi="Arial"/>
          <w:sz w:val="15"/>
          <w:szCs w:val="15"/>
          <w:color w:val="auto"/>
        </w:rPr>
        <w:t>.</w:t>
      </w:r>
    </w:p>
    <w:p>
      <w:pPr>
        <w:spacing w:after="0" w:line="225" w:lineRule="exact"/>
        <w:rPr>
          <w:sz w:val="20"/>
          <w:szCs w:val="20"/>
          <w:color w:val="auto"/>
        </w:rPr>
      </w:pPr>
    </w:p>
    <w:p>
      <w:pPr>
        <w:ind w:left="680" w:hanging="321"/>
        <w:spacing w:after="0"/>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jc w:val="both"/>
        <w:ind w:left="540" w:firstLine="531"/>
        <w:spacing w:after="0" w:line="259" w:lineRule="auto"/>
        <w:tabs>
          <w:tab w:leader="none" w:pos="133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 xml:space="preserve">(A) this Agreement is terminated by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(B) at any time after the date of this Agreement but prior to the date of such termination (in the case of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prior to the date of the Company Shareholders Meeting (in the case of </w:t>
      </w:r>
      <w:r>
        <w:rPr>
          <w:rFonts w:ascii="Arial" w:cs="Arial" w:eastAsia="Arial" w:hAnsi="Arial"/>
          <w:sz w:val="18"/>
          <w:szCs w:val="18"/>
          <w:u w:val="single" w:color="auto"/>
          <w:color w:val="auto"/>
        </w:rPr>
        <w:t>Section 7.01(b)(iii)</w:t>
      </w:r>
      <w:r>
        <w:rPr>
          <w:rFonts w:ascii="Arial" w:cs="Arial" w:eastAsia="Arial" w:hAnsi="Arial"/>
          <w:sz w:val="18"/>
          <w:szCs w:val="18"/>
          <w:color w:val="auto"/>
        </w:rPr>
        <w:t>) and prior to the breach giving rise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9" w:name="page240"/>
    <w:bookmarkEnd w:id="239"/>
    <w:p>
      <w:pPr>
        <w:jc w:val="both"/>
        <w:spacing w:after="0" w:line="301" w:lineRule="auto"/>
        <w:rPr>
          <w:sz w:val="20"/>
          <w:szCs w:val="20"/>
          <w:color w:val="auto"/>
        </w:rPr>
      </w:pPr>
      <w:r>
        <w:rPr>
          <w:rFonts w:ascii="Arial" w:cs="Arial" w:eastAsia="Arial" w:hAnsi="Arial"/>
          <w:sz w:val="15"/>
          <w:szCs w:val="15"/>
          <w:color w:val="auto"/>
        </w:rPr>
        <w:t xml:space="preserve">right of such termination (in the case of </w:t>
      </w:r>
      <w:r>
        <w:rPr>
          <w:rFonts w:ascii="Arial" w:cs="Arial" w:eastAsia="Arial" w:hAnsi="Arial"/>
          <w:sz w:val="15"/>
          <w:szCs w:val="15"/>
          <w:u w:val="single" w:color="auto"/>
          <w:color w:val="auto"/>
        </w:rPr>
        <w:t>Section 7.01(c)(i)</w:t>
      </w:r>
      <w:r>
        <w:rPr>
          <w:rFonts w:ascii="Arial" w:cs="Arial" w:eastAsia="Arial" w:hAnsi="Arial"/>
          <w:sz w:val="15"/>
          <w:szCs w:val="15"/>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which,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was not withdrawn at least three business days prior to the Company Shareholders Meeting), (C) at the time of such termination, (1) the Company was not entitled to terminate the Agreement pursuant to </w:t>
      </w:r>
      <w:r>
        <w:rPr>
          <w:rFonts w:ascii="Arial" w:cs="Arial" w:eastAsia="Arial" w:hAnsi="Arial"/>
          <w:sz w:val="15"/>
          <w:szCs w:val="15"/>
          <w:u w:val="single" w:color="auto"/>
          <w:color w:val="auto"/>
        </w:rPr>
        <w:t>Section 7.01(d)(iii)</w:t>
      </w:r>
      <w:r>
        <w:rPr>
          <w:rFonts w:ascii="Arial" w:cs="Arial" w:eastAsia="Arial" w:hAnsi="Arial"/>
          <w:sz w:val="15"/>
          <w:szCs w:val="15"/>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 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5"/>
          <w:szCs w:val="15"/>
          <w:u w:val="single" w:color="auto"/>
          <w:color w:val="auto"/>
        </w:rPr>
        <w:t>Triggering Takeover Proposal</w:t>
      </w:r>
      <w:r>
        <w:rPr>
          <w:rFonts w:ascii="Arial" w:cs="Arial" w:eastAsia="Arial" w:hAnsi="Arial"/>
          <w:sz w:val="15"/>
          <w:szCs w:val="15"/>
          <w:color w:val="auto"/>
        </w:rPr>
        <w:t>”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w:t>
      </w:r>
    </w:p>
    <w:p>
      <w:pPr>
        <w:spacing w:after="0" w:line="1" w:lineRule="exact"/>
        <w:rPr>
          <w:sz w:val="20"/>
          <w:szCs w:val="20"/>
          <w:color w:val="auto"/>
        </w:rPr>
      </w:pPr>
    </w:p>
    <w:p>
      <w:pPr>
        <w:jc w:val="both"/>
        <w:ind w:firstLine="8"/>
        <w:spacing w:after="0" w:line="286" w:lineRule="auto"/>
        <w:tabs>
          <w:tab w:leader="none" w:pos="268"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180" w:lineRule="exact"/>
        <w:rPr>
          <w:rFonts w:ascii="Arial" w:cs="Arial" w:eastAsia="Arial" w:hAnsi="Arial"/>
          <w:sz w:val="16"/>
          <w:szCs w:val="16"/>
          <w:color w:val="auto"/>
        </w:rPr>
      </w:pPr>
    </w:p>
    <w:p>
      <w:pPr>
        <w:ind w:left="700" w:hanging="297"/>
        <w:spacing w:after="0"/>
        <w:tabs>
          <w:tab w:leader="none" w:pos="7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225" w:lineRule="exact"/>
        <w:rPr>
          <w:sz w:val="20"/>
          <w:szCs w:val="20"/>
          <w:color w:val="auto"/>
        </w:rPr>
      </w:pPr>
    </w:p>
    <w:p>
      <w:pPr>
        <w:ind w:firstLine="365"/>
        <w:spacing w:after="0" w:line="268" w:lineRule="auto"/>
        <w:tabs>
          <w:tab w:leader="none" w:pos="70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 xml:space="preserve"> or by Parent or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at a time at which this Agreement was terminable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then, in any such event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the Company shall pay or cause to be paid the Company Termination Fee to Parent or its designee by wire transfer of same-day funds (x) in the case of </w:t>
      </w:r>
      <w:r>
        <w:rPr>
          <w:rFonts w:ascii="Arial" w:cs="Arial" w:eastAsia="Arial" w:hAnsi="Arial"/>
          <w:sz w:val="18"/>
          <w:szCs w:val="18"/>
          <w:u w:val="single" w:color="auto"/>
          <w:color w:val="auto"/>
        </w:rPr>
        <w:t>Section 7.03(a)(iii)</w:t>
      </w:r>
      <w:r>
        <w:rPr>
          <w:rFonts w:ascii="Arial" w:cs="Arial" w:eastAsia="Arial" w:hAnsi="Arial"/>
          <w:sz w:val="18"/>
          <w:szCs w:val="18"/>
          <w:color w:val="auto"/>
        </w:rPr>
        <w:t xml:space="preserve">, within two business days after such termination, (y) in the case of </w:t>
      </w:r>
      <w:r>
        <w:rPr>
          <w:rFonts w:ascii="Arial" w:cs="Arial" w:eastAsia="Arial" w:hAnsi="Arial"/>
          <w:sz w:val="18"/>
          <w:szCs w:val="18"/>
          <w:u w:val="single" w:color="auto"/>
          <w:color w:val="auto"/>
        </w:rPr>
        <w:t>Section 7.03(a)(ii)</w:t>
      </w:r>
      <w:r>
        <w:rPr>
          <w:rFonts w:ascii="Arial" w:cs="Arial" w:eastAsia="Arial" w:hAnsi="Arial"/>
          <w:sz w:val="18"/>
          <w:szCs w:val="18"/>
          <w:color w:val="auto"/>
        </w:rPr>
        <w:t xml:space="preserve">, simultaneously with such termination or (z) in the case of </w:t>
      </w:r>
      <w:r>
        <w:rPr>
          <w:rFonts w:ascii="Arial" w:cs="Arial" w:eastAsia="Arial" w:hAnsi="Arial"/>
          <w:sz w:val="18"/>
          <w:szCs w:val="18"/>
          <w:u w:val="single" w:color="auto"/>
          <w:color w:val="auto"/>
        </w:rPr>
        <w:t>Section 7.03(a)(i)</w:t>
      </w:r>
      <w:r>
        <w:rPr>
          <w:rFonts w:ascii="Arial" w:cs="Arial" w:eastAsia="Arial" w:hAnsi="Arial"/>
          <w:sz w:val="18"/>
          <w:szCs w:val="18"/>
          <w:color w:val="auto"/>
        </w:rPr>
        <w:t>, within two business days after the earlier of entry into a Company Acquisition Agreement or consummation of a Triggering Takeover Proposal; it being understood that in no event shall the Company be required to pay or cause to be paid the Company Termination Fee more than once. As used herein,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shall mean a cash amount equal to $13,000,000.</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40" w:name="page241"/>
    <w:bookmarkEnd w:id="240"/>
    <w:p>
      <w:pPr>
        <w:jc w:val="both"/>
        <w:ind w:firstLine="401"/>
        <w:spacing w:after="0" w:line="254" w:lineRule="auto"/>
        <w:tabs>
          <w:tab w:leader="none" w:pos="745" w:val="left"/>
        </w:tabs>
        <w:numPr>
          <w:ilvl w:val="2"/>
          <w:numId w:val="29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paid under this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shall be credited, without interest, against any Company Termination Fee paid to Parent or its designee pursuant to the terms of this Agreement.</w:t>
      </w:r>
    </w:p>
    <w:p>
      <w:pPr>
        <w:spacing w:after="0" w:line="200" w:lineRule="exact"/>
        <w:rPr>
          <w:rFonts w:ascii="Arial" w:cs="Arial" w:eastAsia="Arial" w:hAnsi="Arial"/>
          <w:sz w:val="18"/>
          <w:szCs w:val="18"/>
          <w:color w:val="auto"/>
        </w:rPr>
      </w:pPr>
    </w:p>
    <w:p>
      <w:pPr>
        <w:jc w:val="both"/>
        <w:ind w:firstLine="488"/>
        <w:spacing w:after="0" w:line="291" w:lineRule="auto"/>
        <w:tabs>
          <w:tab w:leader="none" w:pos="854" w:val="left"/>
        </w:tabs>
        <w:numPr>
          <w:ilvl w:val="3"/>
          <w:numId w:val="296"/>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the Company pursuant to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at the time of such termination there is no state of facts or circumstances that would reasonably be expected to cause any of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(or is terminated by either party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at a time when this Agreement is terminable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shall mean a cash amount equal to $40,000,000.</w:t>
      </w:r>
    </w:p>
    <w:p>
      <w:pPr>
        <w:spacing w:after="0" w:line="173" w:lineRule="exact"/>
        <w:rPr>
          <w:rFonts w:ascii="Arial" w:cs="Arial" w:eastAsia="Arial" w:hAnsi="Arial"/>
          <w:sz w:val="16"/>
          <w:szCs w:val="16"/>
          <w:color w:val="auto"/>
        </w:rPr>
      </w:pPr>
    </w:p>
    <w:p>
      <w:pPr>
        <w:jc w:val="both"/>
        <w:ind w:firstLine="492"/>
        <w:spacing w:after="0" w:line="301" w:lineRule="auto"/>
        <w:tabs>
          <w:tab w:leader="none" w:pos="870" w:val="left"/>
        </w:tabs>
        <w:numPr>
          <w:ilvl w:val="3"/>
          <w:numId w:val="296"/>
        </w:numPr>
        <w:rPr>
          <w:rFonts w:ascii="Arial" w:cs="Arial" w:eastAsia="Arial" w:hAnsi="Arial"/>
          <w:sz w:val="15"/>
          <w:szCs w:val="15"/>
          <w:color w:val="auto"/>
        </w:rPr>
      </w:pPr>
      <w:r>
        <w:rPr>
          <w:rFonts w:ascii="Arial" w:cs="Arial" w:eastAsia="Arial" w:hAnsi="Arial"/>
          <w:sz w:val="15"/>
          <w:szCs w:val="15"/>
          <w:color w:val="auto"/>
        </w:rPr>
        <w:t xml:space="preserve">Subject in all respects to Company’s injunction, specific performance and equitable relief rights and related rights set forth in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solely in the event the Parent Termination Fee is paid to Parent or its designee in circumstances for which such fee is payable pursuant to </w:t>
      </w:r>
      <w:r>
        <w:rPr>
          <w:rFonts w:ascii="Arial" w:cs="Arial" w:eastAsia="Arial" w:hAnsi="Arial"/>
          <w:sz w:val="15"/>
          <w:szCs w:val="15"/>
          <w:u w:val="single" w:color="auto"/>
          <w:color w:val="auto"/>
        </w:rPr>
        <w:t>Section 7.03(c)</w:t>
      </w:r>
      <w:r>
        <w:rPr>
          <w:rFonts w:ascii="Arial" w:cs="Arial" w:eastAsia="Arial" w:hAnsi="Arial"/>
          <w:sz w:val="15"/>
          <w:szCs w:val="15"/>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5"/>
          <w:szCs w:val="15"/>
          <w:u w:val="single" w:color="auto"/>
          <w:color w:val="auto"/>
        </w:rPr>
        <w:t>Parent Related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for any loss suffered as a result of the failure of the Transactions to be consummated or for a breach or failure to perform hereunder or otherwise,</w:t>
      </w:r>
    </w:p>
    <w:p>
      <w:pPr>
        <w:spacing w:after="0" w:line="3" w:lineRule="exact"/>
        <w:rPr>
          <w:rFonts w:ascii="Arial" w:cs="Arial" w:eastAsia="Arial" w:hAnsi="Arial"/>
          <w:sz w:val="15"/>
          <w:szCs w:val="15"/>
          <w:color w:val="auto"/>
        </w:rPr>
      </w:pPr>
    </w:p>
    <w:p>
      <w:pPr>
        <w:jc w:val="both"/>
        <w:ind w:firstLine="8"/>
        <w:spacing w:after="0" w:line="285" w:lineRule="auto"/>
        <w:tabs>
          <w:tab w:leader="none" w:pos="27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 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179" w:lineRule="exact"/>
        <w:rPr>
          <w:rFonts w:ascii="Arial" w:cs="Arial" w:eastAsia="Arial" w:hAnsi="Arial"/>
          <w:sz w:val="16"/>
          <w:szCs w:val="16"/>
          <w:color w:val="auto"/>
        </w:rPr>
      </w:pPr>
    </w:p>
    <w:p>
      <w:pPr>
        <w:ind w:firstLine="379"/>
        <w:spacing w:after="0" w:line="268" w:lineRule="auto"/>
        <w:tabs>
          <w:tab w:leader="none" w:pos="70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If Parent fails to pay the Parent Termination Fee when due and, in order to obtain such payment, the Company commences an Action that results in a judgment against Parent for the Parent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1" w:name="page242"/>
    <w:bookmarkEnd w:id="241"/>
    <w:p>
      <w:pPr>
        <w:jc w:val="both"/>
        <w:spacing w:after="0" w:line="256" w:lineRule="auto"/>
        <w:rPr>
          <w:sz w:val="20"/>
          <w:szCs w:val="20"/>
          <w:color w:val="auto"/>
        </w:rPr>
      </w:pPr>
      <w:r>
        <w:rPr>
          <w:rFonts w:ascii="Arial" w:cs="Arial" w:eastAsia="Arial" w:hAnsi="Arial"/>
          <w:sz w:val="18"/>
          <w:szCs w:val="18"/>
          <w:color w:val="auto"/>
        </w:rPr>
        <w:t xml:space="preserve">Fee, then Parent shall pay to the Company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fees, costs and expenses (including legal fees) incurred by the Company and its Affiliates in connection with any such Action, up to a maximum amount of $10,000,000.</w:t>
      </w:r>
    </w:p>
    <w:p>
      <w:pPr>
        <w:spacing w:after="0" w:line="197" w:lineRule="exact"/>
        <w:rPr>
          <w:sz w:val="20"/>
          <w:szCs w:val="20"/>
          <w:color w:val="auto"/>
        </w:rPr>
      </w:pPr>
    </w:p>
    <w:p>
      <w:pPr>
        <w:jc w:val="both"/>
        <w:ind w:firstLine="362"/>
        <w:spacing w:after="0" w:line="298" w:lineRule="auto"/>
        <w:tabs>
          <w:tab w:leader="none" w:pos="707"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the Parent Termination Fee if, as and when required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Survival of Representations, Warranties and Covenants</w:t>
      </w:r>
      <w:r>
        <w:rPr>
          <w:rFonts w:ascii="Arial" w:cs="Arial" w:eastAsia="Arial" w:hAnsi="Arial"/>
          <w:sz w:val="18"/>
          <w:szCs w:val="18"/>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97"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Amendment or Supplement</w:t>
      </w:r>
      <w:r>
        <w:rPr>
          <w:rFonts w:ascii="Arial" w:cs="Arial" w:eastAsia="Arial" w:hAnsi="Arial"/>
          <w:sz w:val="18"/>
          <w:szCs w:val="18"/>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amendment or change to the provisions hereof which by applicable Law would require further approval by the Company’s shareholders without such approval having first been obtained.</w:t>
      </w:r>
    </w:p>
    <w:p>
      <w:pPr>
        <w:spacing w:after="0" w:line="201" w:lineRule="exact"/>
        <w:rPr>
          <w:sz w:val="20"/>
          <w:szCs w:val="20"/>
          <w:color w:val="auto"/>
        </w:rPr>
      </w:pPr>
    </w:p>
    <w:p>
      <w:pPr>
        <w:ind w:left="440"/>
        <w:spacing w:after="0"/>
        <w:tabs>
          <w:tab w:leader="none" w:pos="1760" w:val="left"/>
          <w:tab w:leader="none" w:pos="42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8"/>
          <w:szCs w:val="18"/>
          <w:u w:val="single" w:color="auto"/>
          <w:color w:val="auto"/>
        </w:rPr>
        <w:t>Extension of Time, Waiver,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any time prior to the Effective Time, Parent and the Company may, subject to applicable Law,</w:t>
      </w:r>
    </w:p>
    <w:p>
      <w:pPr>
        <w:spacing w:after="0" w:line="15" w:lineRule="exact"/>
        <w:rPr>
          <w:sz w:val="20"/>
          <w:szCs w:val="20"/>
          <w:color w:val="auto"/>
        </w:rPr>
      </w:pPr>
    </w:p>
    <w:p>
      <w:pPr>
        <w:jc w:val="both"/>
        <w:ind w:firstLine="8"/>
        <w:spacing w:after="0" w:line="287" w:lineRule="auto"/>
        <w:tabs>
          <w:tab w:leader="none" w:pos="24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8"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null and 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2" w:name="page243"/>
    <w:bookmarkEnd w:id="242"/>
    <w:p>
      <w:pPr>
        <w:jc w:val="both"/>
        <w:ind w:firstLine="519"/>
        <w:spacing w:after="0" w:line="30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(ii) the rights of the Parent Related Parties set forth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which are intended for the benefit of the Persons and shall be enforceable by the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firstLine="47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it will not assert that a remedy of specific enforcement is unenforceable, invalid, contrary to Law or inequitable for any reason, and not assert that a remedy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3" w:name="page244"/>
    <w:bookmarkEnd w:id="243"/>
    <w:p>
      <w:pPr>
        <w:jc w:val="both"/>
        <w:spacing w:after="0" w:line="288" w:lineRule="auto"/>
        <w:rPr>
          <w:sz w:val="20"/>
          <w:szCs w:val="20"/>
          <w:color w:val="auto"/>
        </w:rPr>
      </w:pPr>
      <w:r>
        <w:rPr>
          <w:rFonts w:ascii="Arial" w:cs="Arial" w:eastAsia="Arial" w:hAnsi="Arial"/>
          <w:sz w:val="16"/>
          <w:szCs w:val="16"/>
          <w:color w:val="auto"/>
        </w:rPr>
        <w:t xml:space="preserve">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 (ii) payment of the Parent Termination Fee, if, as and when required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and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 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173" w:lineRule="exact"/>
        <w:rPr>
          <w:sz w:val="20"/>
          <w:szCs w:val="20"/>
          <w:color w:val="auto"/>
        </w:rPr>
      </w:pPr>
    </w:p>
    <w:p>
      <w:pPr>
        <w:jc w:val="both"/>
        <w:ind w:firstLine="435"/>
        <w:spacing w:after="0" w:line="28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5" w:lineRule="exact"/>
        <w:rPr>
          <w:sz w:val="20"/>
          <w:szCs w:val="20"/>
          <w:color w:val="auto"/>
        </w:rPr>
      </w:pPr>
    </w:p>
    <w:p>
      <w:pPr>
        <w:ind w:firstLine="8"/>
        <w:spacing w:after="0" w:line="260" w:lineRule="auto"/>
        <w:tabs>
          <w:tab w:leader="none" w:pos="3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IT MAKES SUCH WAIVER VOLUNTARILY AND (D) IT HAS BEEN INDUCED TO ENTER INTO THIS AGREEMENT BY, AMONG OTHER THINGS, THE MUTUAL WAIVER AND CERTIFICATIONS IN THIS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93"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or Merger Sub,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Office of the General Counsel</w:t>
      </w:r>
    </w:p>
    <w:p>
      <w:pPr>
        <w:ind w:left="108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ind w:left="108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Alexandros Laios, General Counsel</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1800" w:space="160"/>
            <w:col w:w="928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7"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intend that the remedies and limitations thereon set forth in </w:t>
      </w:r>
      <w:r>
        <w:rPr>
          <w:rFonts w:ascii="Arial" w:cs="Arial" w:eastAsia="Arial" w:hAnsi="Arial"/>
          <w:sz w:val="16"/>
          <w:szCs w:val="16"/>
          <w:u w:val="single" w:color="auto"/>
          <w:color w:val="auto"/>
        </w:rPr>
        <w:t>Section 7.03(d)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45" w:name="page246"/>
    <w:bookmarkEnd w:id="245"/>
    <w:p>
      <w:pPr>
        <w:ind w:left="360"/>
        <w:spacing w:after="0"/>
        <w:tabs>
          <w:tab w:leader="none" w:pos="1660" w:val="left"/>
          <w:tab w:leader="none" w:pos="26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used in this Agreement, the following terms have the meanings ascribed thereto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6" w:name="page247"/>
    <w:bookmarkEnd w:id="24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w:t>
      </w:r>
      <w:r>
        <w:rPr>
          <w:rFonts w:ascii="Arial" w:cs="Arial" w:eastAsia="Arial" w:hAnsi="Arial"/>
          <w:sz w:val="18"/>
          <w:szCs w:val="18"/>
          <w:color w:val="auto"/>
        </w:rPr>
        <w:t>” means a Company Option, Company SAR, Company RSU Award or Company PSU Award, as applicable.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Bye-Laws</w:t>
      </w:r>
      <w:r>
        <w:rPr>
          <w:rFonts w:ascii="Arial" w:cs="Arial" w:eastAsia="Arial" w:hAnsi="Arial"/>
          <w:sz w:val="18"/>
          <w:szCs w:val="18"/>
          <w:color w:val="auto"/>
        </w:rPr>
        <w:t>” means the Company’s Bye-Laws,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Company’s Memorandum of Association,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means the Company Charter and the Company Bye-Laws.</w:t>
      </w:r>
    </w:p>
    <w:p>
      <w:pPr>
        <w:spacing w:after="0" w:line="225"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Pension Plan</w:t>
      </w:r>
      <w:r>
        <w:rPr>
          <w:rFonts w:ascii="Arial" w:cs="Arial" w:eastAsia="Arial" w:hAnsi="Arial"/>
          <w:sz w:val="18"/>
          <w:szCs w:val="18"/>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97"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w:t>
      </w:r>
    </w:p>
    <w:p>
      <w:pPr>
        <w:spacing w:after="0" w:line="1" w:lineRule="exact"/>
        <w:rPr>
          <w:sz w:val="20"/>
          <w:szCs w:val="20"/>
          <w:color w:val="auto"/>
        </w:rPr>
      </w:pPr>
    </w:p>
    <w:p>
      <w:pPr>
        <w:ind w:left="260" w:hanging="252"/>
        <w:spacing w:after="0"/>
        <w:tabs>
          <w:tab w:leader="none" w:pos="2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an individual employment, consulting, severance, retention or other similar agreement between such Person and the Company or any of its Subsidiaries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2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99" w:lineRule="exact"/>
        <w:rPr>
          <w:sz w:val="20"/>
          <w:szCs w:val="20"/>
          <w:color w:val="auto"/>
        </w:rPr>
      </w:pPr>
    </w:p>
    <w:p>
      <w:pPr>
        <w:ind w:firstLine="55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means a restricted stock unit award with respect to a Common Share that remains subject to performance-based vesting conditions.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 restricted stock unit award with respect to a Common Share that is not a Company PSU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means the GasLog Ltd. 2013 Omnibus Incentive Plan as may be amended or restated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waiver, approval, clearance, order, license, Permit, order, non-objection, non-action, expiration of waiting periods or authorization.</w:t>
      </w:r>
    </w:p>
    <w:p>
      <w:pPr>
        <w:spacing w:after="0" w:line="186"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loan or credit agreement, debenture, note, bond, mortgage, indenture, deed of trust, lease, capital lease, sale-leaseback, sublease, license, contract or other agreement, instrument, obligation or arrangement.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public health emergencies or disease outbreaks.</w:t>
      </w:r>
    </w:p>
    <w:p>
      <w:pPr>
        <w:spacing w:after="0" w:line="186"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Measure</w:t>
      </w:r>
      <w:r>
        <w:rPr>
          <w:rFonts w:ascii="Arial" w:cs="Arial" w:eastAsia="Arial" w:hAnsi="Arial"/>
          <w:sz w:val="16"/>
          <w:szCs w:val="16"/>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66"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Preference Shares</w:t>
      </w:r>
      <w:r>
        <w:rPr>
          <w:rFonts w:ascii="Arial" w:cs="Arial" w:eastAsia="Arial" w:hAnsi="Arial"/>
          <w:sz w:val="16"/>
          <w:szCs w:val="16"/>
          <w:color w:val="auto"/>
        </w:rPr>
        <w:t>” means Preference Shares held by a holder of Preference Shares who (a) did not vote in favor of the Merger, (b) 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160"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8" w:name="page249"/>
    <w:bookmarkEnd w:id="248"/>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Company Plan that is maintained (a) pursuant to or is subject to the Laws of a country other than the United States or</w:t>
      </w:r>
    </w:p>
    <w:p>
      <w:pPr>
        <w:spacing w:after="0" w:line="38" w:lineRule="exact"/>
        <w:rPr>
          <w:sz w:val="20"/>
          <w:szCs w:val="20"/>
          <w:color w:val="auto"/>
        </w:rPr>
      </w:pPr>
    </w:p>
    <w:p>
      <w:pPr>
        <w:ind w:right="20" w:firstLine="8"/>
        <w:spacing w:after="0" w:line="260" w:lineRule="auto"/>
        <w:tabs>
          <w:tab w:leader="none" w:pos="25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19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Hook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9" w:name="page250"/>
    <w:bookmarkEnd w:id="24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Maritime Guidelines</w:t>
      </w:r>
      <w:r>
        <w:rPr>
          <w:rFonts w:ascii="Arial" w:cs="Arial" w:eastAsia="Arial" w:hAnsi="Arial"/>
          <w:sz w:val="18"/>
          <w:szCs w:val="18"/>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197"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 fact, circumstance, effect, change, event or development resulting 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 (ii) 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0" w:name="page251"/>
    <w:bookmarkEnd w:id="250"/>
    <w:p>
      <w:pPr>
        <w:jc w:val="both"/>
        <w:spacing w:after="0" w:line="307" w:lineRule="auto"/>
        <w:rPr>
          <w:sz w:val="20"/>
          <w:szCs w:val="20"/>
          <w:color w:val="auto"/>
        </w:rPr>
      </w:pPr>
      <w:r>
        <w:rPr>
          <w:rFonts w:ascii="Arial" w:cs="Arial" w:eastAsia="Arial" w:hAnsi="Arial"/>
          <w:sz w:val="15"/>
          <w:szCs w:val="15"/>
          <w:color w:val="auto"/>
        </w:rPr>
        <w:t xml:space="preserve">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fact, circumstance, effect, change, event or development set forth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above may be taken into account in determining whether a Material Adverse Effect has occurred to the extent such fact, circumstance, effect, change, event 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15"/>
          <w:szCs w:val="15"/>
          <w:u w:val="single" w:color="auto"/>
          <w:color w:val="auto"/>
        </w:rPr>
        <w:t>clauses (i)</w:t>
      </w:r>
      <w:r>
        <w:rPr>
          <w:rFonts w:ascii="Arial" w:cs="Arial" w:eastAsia="Arial" w:hAnsi="Arial"/>
          <w:sz w:val="15"/>
          <w:szCs w:val="15"/>
          <w:color w:val="auto"/>
        </w:rPr>
        <w:t>—</w:t>
      </w:r>
      <w:r>
        <w:rPr>
          <w:rFonts w:ascii="Arial" w:cs="Arial" w:eastAsia="Arial" w:hAnsi="Arial"/>
          <w:sz w:val="15"/>
          <w:szCs w:val="15"/>
          <w:u w:val="single" w:color="auto"/>
          <w:color w:val="auto"/>
        </w:rPr>
        <w:t>(ix)</w:t>
      </w:r>
      <w:r>
        <w:rPr>
          <w:rFonts w:ascii="Arial" w:cs="Arial" w:eastAsia="Arial" w:hAnsi="Arial"/>
          <w:sz w:val="15"/>
          <w:szCs w:val="15"/>
          <w:color w:val="auto"/>
        </w:rPr>
        <w:t xml:space="preserve"> of this definition).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3.16(a)(vii)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1" w:name="page252"/>
    <w:bookmarkEnd w:id="25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 a Marshall Islands Limited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Payments</w:t>
      </w:r>
      <w:r>
        <w:rPr>
          <w:rFonts w:ascii="Arial" w:cs="Arial" w:eastAsia="Arial" w:hAnsi="Arial"/>
          <w:sz w:val="18"/>
          <w:szCs w:val="18"/>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165"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2" w:name="page253"/>
    <w:bookmarkEnd w:id="25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dumping or disposing into the environment, whether intentional or unintentional.</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its officers, directors, equityholders, employees, agents, financial advisors, investment bankers, attorneys, accountants, consultants and other advisors and representatives.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13E-3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means the form of Shareholder Agreement, among the Company, Parent and the Rolling Shareholders, attached as Exhibit B to the Rollover Agreement and to be duly executed and delivered at the Closing.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Merger Agreement</w:t>
      </w:r>
      <w:r>
        <w:rPr>
          <w:rFonts w:ascii="Arial" w:cs="Arial" w:eastAsia="Arial" w:hAnsi="Arial"/>
          <w:sz w:val="18"/>
          <w:szCs w:val="18"/>
          <w:color w:val="auto"/>
        </w:rPr>
        <w:t xml:space="preserve">” means the Statutory Merger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executed and delivered by the Company, Parent and Merger Sub as contemplated by the terms hereof.</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3" w:name="page254"/>
    <w:bookmarkEnd w:id="25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5.02(h)</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6"/>
          <w:szCs w:val="16"/>
          <w:i w:val="1"/>
          <w:iCs w:val="1"/>
          <w:color w:val="auto"/>
        </w:rPr>
        <w:t>ad valorem</w:t>
      </w:r>
      <w:r>
        <w:rPr>
          <w:rFonts w:ascii="Arial" w:cs="Arial" w:eastAsia="Arial" w:hAnsi="Arial"/>
          <w:sz w:val="16"/>
          <w:szCs w:val="16"/>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74" w:lineRule="exact"/>
        <w:rPr>
          <w:sz w:val="20"/>
          <w:szCs w:val="20"/>
          <w:color w:val="auto"/>
        </w:rPr>
      </w:pPr>
    </w:p>
    <w:p>
      <w:pPr>
        <w:jc w:val="both"/>
        <w:ind w:right="20" w:firstLine="52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this Agreement, the Statutory Merger Agreement and the Rollover Agreement, including the Merger and, in the case of Parent and Merger Sub, the Equity Financing.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66"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194"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372"/>
        <w:spacing w:after="0" w:line="288" w:lineRule="auto"/>
        <w:tabs>
          <w:tab w:leader="none" w:pos="693" w:val="left"/>
        </w:tabs>
        <w:numPr>
          <w:ilvl w:val="0"/>
          <w:numId w:val="303"/>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4" w:name="page255"/>
    <w:bookmarkEnd w:id="254"/>
    <w:p>
      <w:pPr>
        <w:jc w:val="both"/>
        <w:spacing w:after="0" w:line="288" w:lineRule="auto"/>
        <w:rPr>
          <w:sz w:val="20"/>
          <w:szCs w:val="20"/>
          <w:color w:val="auto"/>
        </w:rPr>
      </w:pPr>
      <w:r>
        <w:rPr>
          <w:rFonts w:ascii="Arial" w:cs="Arial" w:eastAsia="Arial" w:hAnsi="Arial"/>
          <w:sz w:val="16"/>
          <w:szCs w:val="16"/>
          <w:color w:val="auto"/>
        </w:rPr>
        <w:t>Company on or prior to 6:00 pm prevailing Eastern Time on the day immediately prior to the date of this Agreement or (B)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173" w:lineRule="exact"/>
        <w:rPr>
          <w:sz w:val="20"/>
          <w:szCs w:val="20"/>
          <w:color w:val="auto"/>
        </w:rPr>
      </w:pPr>
    </w:p>
    <w:p>
      <w:pPr>
        <w:jc w:val="both"/>
        <w:ind w:firstLine="411"/>
        <w:spacing w:after="0" w:line="259" w:lineRule="auto"/>
        <w:tabs>
          <w:tab w:leader="none" w:pos="7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9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No Recourse</w:t>
      </w:r>
      <w:r>
        <w:rPr>
          <w:rFonts w:ascii="Arial" w:cs="Arial" w:eastAsia="Arial" w:hAnsi="Arial"/>
          <w:sz w:val="16"/>
          <w:szCs w:val="16"/>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color w:val="auto"/>
        </w:rPr>
        <w:t>IN WITNESS WHEREOF, the parties hereto have caused this Agreement to be executed and delivered as of the date first above written.</w:t>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71120</wp:posOffset>
            </wp:positionV>
            <wp:extent cx="26657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Paul A. Wogan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 &amp; CEO</w:t>
      </w:r>
    </w:p>
    <w:p>
      <w:pPr>
        <w:spacing w:after="0" w:line="222" w:lineRule="exact"/>
        <w:rPr>
          <w:sz w:val="20"/>
          <w:szCs w:val="20"/>
          <w:color w:val="auto"/>
        </w:rPr>
      </w:pPr>
    </w:p>
    <w:p>
      <w:pPr>
        <w:sectPr>
          <w:pgSz w:w="11900" w:h="16838" w:orient="portrait"/>
          <w:cols w:equalWidth="0" w:num="2">
            <w:col w:w="6040" w:space="400"/>
            <w:col w:w="3339"/>
          </w:cols>
          <w:pgMar w:left="680" w:top="131" w:right="1440" w:bottom="1440" w:gutter="0" w:footer="0" w:header="0"/>
          <w:type w:val="continuous"/>
        </w:sectPr>
      </w:pPr>
    </w:p>
    <w:p>
      <w:pPr>
        <w:spacing w:after="0" w:line="30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168275</wp:posOffset>
            </wp:positionV>
            <wp:extent cx="713613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type w:val="continuous"/>
        </w:sectPr>
      </w:pPr>
    </w:p>
    <w:bookmarkStart w:id="256" w:name="page257"/>
    <w:bookmarkEnd w:id="256"/>
    <w:p>
      <w:pPr>
        <w:ind w:left="430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20"/>
          </w:cols>
          <w:pgMar w:left="1440" w:top="131" w:right="14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B</w:t>
      </w: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259" w:name="page260"/>
    <w:bookmarkEnd w:id="259"/>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4883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8315"/>
                    </a:xfrm>
                    <a:prstGeom prst="rect">
                      <a:avLst/>
                    </a:prstGeom>
                    <a:noFill/>
                  </pic:spPr>
                </pic:pic>
              </a:graphicData>
            </a:graphic>
          </wp:anchor>
        </w:drawing>
        <w:t>BYE-LAWS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Canon’s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HM 1179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11" w:right="1440"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3"/>
              </w:rPr>
              <w:t>Bye-Law</w:t>
            </w:r>
          </w:p>
        </w:tc>
        <w:tc>
          <w:tcPr>
            <w:tcW w:w="8100" w:type="dxa"/>
            <w:vAlign w:val="bottom"/>
            <w:gridSpan w:val="27"/>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Page</w:t>
            </w:r>
          </w:p>
        </w:tc>
        <w:tc>
          <w:tcPr>
            <w:tcW w:w="1140" w:type="dxa"/>
            <w:vAlign w:val="bottom"/>
            <w:gridSpan w:val="2"/>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0000EE"/>
            </w:tcBorders>
            <w:gridSpan w:val="5"/>
          </w:tcPr>
          <w:p>
            <w:pPr>
              <w:spacing w:after="0" w:line="169"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Interpretation</w:t>
              </w:r>
            </w:hyperlink>
          </w:p>
        </w:tc>
        <w:tc>
          <w:tcPr>
            <w:tcW w:w="7660" w:type="dxa"/>
            <w:vAlign w:val="bottom"/>
            <w:gridSpan w:val="25"/>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69" w:lineRule="exact"/>
              <w:rPr>
                <w:rFonts w:ascii="Arial" w:cs="Arial" w:eastAsia="Arial" w:hAnsi="Arial"/>
                <w:sz w:val="15"/>
                <w:szCs w:val="15"/>
                <w:color w:val="0000EE"/>
                <w:w w:val="71"/>
              </w:rPr>
            </w:pPr>
            <w:hyperlink w:anchor="page263">
              <w:r>
                <w:rPr>
                  <w:rFonts w:ascii="Arial" w:cs="Arial" w:eastAsia="Arial" w:hAnsi="Arial"/>
                  <w:sz w:val="15"/>
                  <w:szCs w:val="15"/>
                  <w:color w:val="0000EE"/>
                  <w:w w:val="71"/>
                </w:rPr>
                <w:t>1</w:t>
              </w:r>
            </w:hyperlink>
          </w:p>
        </w:tc>
        <w:tc>
          <w:tcPr>
            <w:tcW w:w="20" w:type="dxa"/>
            <w:vAlign w:val="bottom"/>
            <w:tcBorders>
              <w:bottom w:val="single" w:sz="8" w:color="0000EE"/>
            </w:tcBorders>
          </w:tcPr>
          <w:p>
            <w:pPr>
              <w:spacing w:after="0"/>
              <w:rPr>
                <w:sz w:val="14"/>
                <w:szCs w:val="14"/>
                <w:color w:val="auto"/>
              </w:rPr>
            </w:pPr>
          </w:p>
        </w:tc>
        <w:tc>
          <w:tcPr>
            <w:tcW w:w="1120" w:type="dxa"/>
            <w:vAlign w:val="bottom"/>
          </w:tcPr>
          <w:p>
            <w:pPr>
              <w:spacing w:after="0"/>
              <w:rPr>
                <w:sz w:val="14"/>
                <w:szCs w:val="1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5">
              <w:r>
                <w:rPr>
                  <w:rFonts w:ascii="Arial" w:cs="Arial" w:eastAsia="Arial" w:hAnsi="Arial"/>
                  <w:sz w:val="18"/>
                  <w:szCs w:val="18"/>
                  <w:color w:val="0000EE"/>
                  <w:w w:val="87"/>
                </w:rPr>
                <w:t>General Meetings</w:t>
              </w:r>
            </w:hyperlink>
          </w:p>
        </w:tc>
        <w:tc>
          <w:tcPr>
            <w:tcW w:w="7360" w:type="dxa"/>
            <w:vAlign w:val="bottom"/>
            <w:gridSpan w:val="21"/>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5">
              <w:r>
                <w:rPr>
                  <w:rFonts w:ascii="Arial" w:cs="Arial" w:eastAsia="Arial" w:hAnsi="Arial"/>
                  <w:sz w:val="18"/>
                  <w:szCs w:val="18"/>
                  <w:color w:val="0000EE"/>
                  <w:w w:val="79"/>
                </w:rPr>
                <w:t>3</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Notice of General Meetings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6">
              <w:r>
                <w:rPr>
                  <w:rFonts w:ascii="Arial" w:cs="Arial" w:eastAsia="Arial" w:hAnsi="Arial"/>
                  <w:sz w:val="18"/>
                  <w:szCs w:val="18"/>
                  <w:color w:val="0000EE"/>
                </w:rPr>
                <w:t>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EE"/>
            </w:tcBorders>
            <w:gridSpan w:val="22"/>
          </w:tcPr>
          <w:p>
            <w:pPr>
              <w:spacing w:after="0"/>
              <w:rPr>
                <w:rFonts w:ascii="Arial" w:cs="Arial" w:eastAsia="Arial" w:hAnsi="Arial"/>
                <w:sz w:val="18"/>
                <w:szCs w:val="18"/>
                <w:color w:val="0000EE"/>
                <w:w w:val="86"/>
              </w:rPr>
            </w:pPr>
            <w:hyperlink w:anchor="page266">
              <w:r>
                <w:rPr>
                  <w:rFonts w:ascii="Arial" w:cs="Arial" w:eastAsia="Arial" w:hAnsi="Arial"/>
                  <w:sz w:val="18"/>
                  <w:szCs w:val="18"/>
                  <w:color w:val="0000EE"/>
                  <w:w w:val="86"/>
                </w:rPr>
                <w:t>Proceedings at General Meetings</w:t>
              </w:r>
            </w:hyperlink>
          </w:p>
        </w:tc>
        <w:tc>
          <w:tcPr>
            <w:tcW w:w="6300" w:type="dxa"/>
            <w:vAlign w:val="bottom"/>
            <w:gridSpan w:val="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6">
              <w:r>
                <w:rPr>
                  <w:rFonts w:ascii="Arial" w:cs="Arial" w:eastAsia="Arial" w:hAnsi="Arial"/>
                  <w:sz w:val="18"/>
                  <w:szCs w:val="18"/>
                  <w:color w:val="0000EE"/>
                  <w:w w:val="79"/>
                </w:rPr>
                <w:t>4</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67">
              <w:r>
                <w:rPr>
                  <w:rFonts w:ascii="Arial" w:cs="Arial" w:eastAsia="Arial" w:hAnsi="Arial"/>
                  <w:sz w:val="18"/>
                  <w:szCs w:val="18"/>
                  <w:color w:val="0000EE"/>
                  <w:w w:val="86"/>
                </w:rPr>
                <w:t>Voting</w:t>
              </w:r>
            </w:hyperlink>
          </w:p>
        </w:tc>
        <w:tc>
          <w:tcPr>
            <w:tcW w:w="8160" w:type="dxa"/>
            <w:vAlign w:val="bottom"/>
            <w:gridSpan w:val="2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5</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27"/>
          </w:tcPr>
          <w:p>
            <w:pPr>
              <w:spacing w:after="0"/>
              <w:rPr>
                <w:rFonts w:ascii="Arial" w:cs="Arial" w:eastAsia="Arial" w:hAnsi="Arial"/>
                <w:sz w:val="18"/>
                <w:szCs w:val="18"/>
                <w:color w:val="0000EE"/>
                <w:w w:val="85"/>
              </w:rPr>
            </w:pPr>
            <w:hyperlink w:anchor="page268">
              <w:r>
                <w:rPr>
                  <w:rFonts w:ascii="Arial" w:cs="Arial" w:eastAsia="Arial" w:hAnsi="Arial"/>
                  <w:sz w:val="18"/>
                  <w:szCs w:val="18"/>
                  <w:color w:val="0000EE"/>
                  <w:w w:val="85"/>
                </w:rPr>
                <w:t>Proxies and Corporate Representatives</w:t>
              </w:r>
            </w:hyperlink>
          </w:p>
        </w:tc>
        <w:tc>
          <w:tcPr>
            <w:tcW w:w="590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8">
              <w:r>
                <w:rPr>
                  <w:rFonts w:ascii="Arial" w:cs="Arial" w:eastAsia="Arial" w:hAnsi="Arial"/>
                  <w:sz w:val="18"/>
                  <w:szCs w:val="18"/>
                  <w:color w:val="0000EE"/>
                  <w:w w:val="79"/>
                </w:rPr>
                <w:t>6</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Written Resolutions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9">
              <w:r>
                <w:rPr>
                  <w:rFonts w:ascii="Arial" w:cs="Arial" w:eastAsia="Arial" w:hAnsi="Arial"/>
                  <w:sz w:val="18"/>
                  <w:szCs w:val="18"/>
                  <w:color w:val="0000EE"/>
                </w:rPr>
                <w:t>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Appointment and Removal of Directors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0">
              <w:r>
                <w:rPr>
                  <w:rFonts w:ascii="Arial" w:cs="Arial" w:eastAsia="Arial" w:hAnsi="Arial"/>
                  <w:sz w:val="18"/>
                  <w:szCs w:val="18"/>
                  <w:color w:val="0000EE"/>
                </w:rPr>
                <w:t>8</w:t>
              </w:r>
            </w:hyperlink>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8"/>
              </w:rPr>
            </w:pPr>
            <w:hyperlink w:anchor="page270">
              <w:r>
                <w:rPr>
                  <w:rFonts w:ascii="Arial" w:cs="Arial" w:eastAsia="Arial" w:hAnsi="Arial"/>
                  <w:sz w:val="18"/>
                  <w:szCs w:val="18"/>
                  <w:color w:val="0000EE"/>
                  <w:w w:val="88"/>
                </w:rPr>
                <w:t>Register of Directors and Officers</w:t>
              </w:r>
            </w:hyperlink>
          </w:p>
        </w:tc>
        <w:tc>
          <w:tcPr>
            <w:tcW w:w="400" w:type="dxa"/>
            <w:vAlign w:val="bottom"/>
            <w:tcBorders>
              <w:top w:val="single" w:sz="8" w:color="0000EE"/>
            </w:tcBorders>
            <w:gridSpan w:val="4"/>
          </w:tcPr>
          <w:p>
            <w:pPr>
              <w:spacing w:after="0"/>
              <w:rPr>
                <w:sz w:val="24"/>
                <w:szCs w:val="24"/>
                <w:color w:val="auto"/>
              </w:rPr>
            </w:pPr>
          </w:p>
        </w:tc>
        <w:tc>
          <w:tcPr>
            <w:tcW w:w="584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70">
              <w:r>
                <w:rPr>
                  <w:rFonts w:ascii="Arial" w:cs="Arial" w:eastAsia="Arial" w:hAnsi="Arial"/>
                  <w:sz w:val="18"/>
                  <w:szCs w:val="18"/>
                  <w:color w:val="0000EE"/>
                  <w:w w:val="90"/>
                </w:rPr>
                <w:t>Resignation and Disqualification of Directors</w:t>
              </w:r>
            </w:hyperlink>
          </w:p>
        </w:tc>
        <w:tc>
          <w:tcPr>
            <w:tcW w:w="54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70">
              <w:r>
                <w:rPr>
                  <w:rFonts w:ascii="Arial" w:cs="Arial" w:eastAsia="Arial" w:hAnsi="Arial"/>
                  <w:sz w:val="18"/>
                  <w:szCs w:val="18"/>
                  <w:color w:val="0000EE"/>
                  <w:w w:val="91"/>
                </w:rPr>
                <w:t>Alternate Directors</w:t>
              </w:r>
            </w:hyperlink>
          </w:p>
        </w:tc>
        <w:tc>
          <w:tcPr>
            <w:tcW w:w="7240" w:type="dxa"/>
            <w:vAlign w:val="bottom"/>
            <w:gridSpan w:val="17"/>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0">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EE"/>
            </w:tcBorders>
            <w:gridSpan w:val="20"/>
          </w:tcPr>
          <w:p>
            <w:pPr>
              <w:spacing w:after="0"/>
              <w:rPr>
                <w:rFonts w:ascii="Arial" w:cs="Arial" w:eastAsia="Arial" w:hAnsi="Arial"/>
                <w:sz w:val="18"/>
                <w:szCs w:val="18"/>
                <w:color w:val="0000EE"/>
                <w:w w:val="85"/>
              </w:rPr>
            </w:pPr>
            <w:hyperlink w:anchor="page271">
              <w:r>
                <w:rPr>
                  <w:rFonts w:ascii="Arial" w:cs="Arial" w:eastAsia="Arial" w:hAnsi="Arial"/>
                  <w:sz w:val="18"/>
                  <w:szCs w:val="18"/>
                  <w:color w:val="0000EE"/>
                  <w:w w:val="85"/>
                </w:rPr>
                <w:t>Directors’ Fees and Expenses</w:t>
              </w:r>
            </w:hyperlink>
          </w:p>
        </w:tc>
        <w:tc>
          <w:tcPr>
            <w:tcW w:w="6540" w:type="dxa"/>
            <w:vAlign w:val="bottom"/>
            <w:gridSpan w:val="10"/>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71">
              <w:r>
                <w:rPr>
                  <w:rFonts w:ascii="Arial" w:cs="Arial" w:eastAsia="Arial" w:hAnsi="Arial"/>
                  <w:sz w:val="18"/>
                  <w:szCs w:val="18"/>
                  <w:color w:val="0000EE"/>
                  <w:w w:val="89"/>
                </w:rPr>
                <w:t>Directors’ Interests</w:t>
              </w:r>
            </w:hyperlink>
          </w:p>
        </w:tc>
        <w:tc>
          <w:tcPr>
            <w:tcW w:w="7260" w:type="dxa"/>
            <w:vAlign w:val="bottom"/>
            <w:gridSpan w:val="1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1">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21"/>
          </w:tcPr>
          <w:p>
            <w:pPr>
              <w:spacing w:after="0"/>
              <w:rPr>
                <w:rFonts w:ascii="Arial" w:cs="Arial" w:eastAsia="Arial" w:hAnsi="Arial"/>
                <w:sz w:val="18"/>
                <w:szCs w:val="18"/>
                <w:color w:val="0000EE"/>
                <w:w w:val="86"/>
              </w:rPr>
            </w:pPr>
            <w:hyperlink w:anchor="page272">
              <w:r>
                <w:rPr>
                  <w:rFonts w:ascii="Arial" w:cs="Arial" w:eastAsia="Arial" w:hAnsi="Arial"/>
                  <w:sz w:val="18"/>
                  <w:szCs w:val="18"/>
                  <w:color w:val="0000EE"/>
                  <w:w w:val="86"/>
                </w:rPr>
                <w:t>Powers and Duties of the Board</w:t>
              </w:r>
            </w:hyperlink>
          </w:p>
        </w:tc>
        <w:tc>
          <w:tcPr>
            <w:tcW w:w="6380" w:type="dxa"/>
            <w:vAlign w:val="bottom"/>
            <w:gridSpan w:val="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2">
              <w:r>
                <w:rPr>
                  <w:rFonts w:ascii="Arial" w:cs="Arial" w:eastAsia="Arial" w:hAnsi="Arial"/>
                  <w:sz w:val="18"/>
                  <w:szCs w:val="18"/>
                  <w:color w:val="0000EE"/>
                </w:rPr>
                <w:t>10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Delegation of the Board’s Powers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2"/>
              </w:rPr>
            </w:pPr>
            <w:hyperlink w:anchor="page273">
              <w:r>
                <w:rPr>
                  <w:rFonts w:ascii="Arial" w:cs="Arial" w:eastAsia="Arial" w:hAnsi="Arial"/>
                  <w:sz w:val="18"/>
                  <w:szCs w:val="18"/>
                  <w:color w:val="0000EE"/>
                  <w:w w:val="82"/>
                </w:rPr>
                <w:t>Proceedings of the Board</w:t>
              </w:r>
            </w:hyperlink>
          </w:p>
        </w:tc>
        <w:tc>
          <w:tcPr>
            <w:tcW w:w="640" w:type="dxa"/>
            <w:vAlign w:val="bottom"/>
            <w:gridSpan w:val="5"/>
          </w:tcPr>
          <w:p>
            <w:pPr>
              <w:spacing w:after="0"/>
              <w:rPr>
                <w:sz w:val="24"/>
                <w:szCs w:val="24"/>
                <w:color w:val="auto"/>
              </w:rPr>
            </w:pPr>
          </w:p>
        </w:tc>
        <w:tc>
          <w:tcPr>
            <w:tcW w:w="6260" w:type="dxa"/>
            <w:vAlign w:val="bottom"/>
            <w:gridSpan w:val="7"/>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Officers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w w:val="85"/>
              </w:rPr>
            </w:pPr>
            <w:hyperlink w:anchor="page275">
              <w:r>
                <w:rPr>
                  <w:rFonts w:ascii="Arial" w:cs="Arial" w:eastAsia="Arial" w:hAnsi="Arial"/>
                  <w:sz w:val="18"/>
                  <w:szCs w:val="18"/>
                  <w:color w:val="0000EE"/>
                  <w:w w:val="85"/>
                </w:rPr>
                <w:t>Secretary and Resident Representative</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rPr>
            </w:pPr>
            <w:hyperlink w:anchor="page275">
              <w:r>
                <w:rPr>
                  <w:rFonts w:ascii="Arial" w:cs="Arial" w:eastAsia="Arial" w:hAnsi="Arial"/>
                  <w:sz w:val="18"/>
                  <w:szCs w:val="18"/>
                  <w:color w:val="0000EE"/>
                </w:rPr>
                <w:t>Shares and Share Rights</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spacing w:after="0"/>
              <w:rPr>
                <w:rFonts w:ascii="Arial" w:cs="Arial" w:eastAsia="Arial" w:hAnsi="Arial"/>
                <w:sz w:val="18"/>
                <w:szCs w:val="18"/>
                <w:color w:val="0000EE"/>
                <w:w w:val="83"/>
              </w:rPr>
            </w:pPr>
            <w:hyperlink w:anchor="page275">
              <w:r>
                <w:rPr>
                  <w:rFonts w:ascii="Arial" w:cs="Arial" w:eastAsia="Arial" w:hAnsi="Arial"/>
                  <w:sz w:val="18"/>
                  <w:szCs w:val="18"/>
                  <w:color w:val="0000EE"/>
                  <w:w w:val="83"/>
                </w:rPr>
                <w:t>Issue of Shares</w:t>
              </w:r>
            </w:hyperlink>
          </w:p>
        </w:tc>
        <w:tc>
          <w:tcPr>
            <w:tcW w:w="580" w:type="dxa"/>
            <w:vAlign w:val="bottom"/>
            <w:gridSpan w:val="11"/>
          </w:tcPr>
          <w:p>
            <w:pPr>
              <w:spacing w:after="0"/>
              <w:rPr>
                <w:sz w:val="24"/>
                <w:szCs w:val="24"/>
                <w:color w:val="auto"/>
              </w:rPr>
            </w:pPr>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11"/>
          </w:tcPr>
          <w:p>
            <w:pPr>
              <w:spacing w:after="0"/>
              <w:rPr>
                <w:rFonts w:ascii="Arial" w:cs="Arial" w:eastAsia="Arial" w:hAnsi="Arial"/>
                <w:sz w:val="18"/>
                <w:szCs w:val="18"/>
                <w:color w:val="0000EE"/>
                <w:w w:val="80"/>
              </w:rPr>
            </w:pPr>
            <w:hyperlink w:anchor="page276">
              <w:r>
                <w:rPr>
                  <w:rFonts w:ascii="Arial" w:cs="Arial" w:eastAsia="Arial" w:hAnsi="Arial"/>
                  <w:sz w:val="18"/>
                  <w:szCs w:val="18"/>
                  <w:color w:val="0000EE"/>
                  <w:w w:val="80"/>
                </w:rPr>
                <w:t>Purchase of Shares</w:t>
              </w:r>
            </w:hyperlink>
          </w:p>
        </w:tc>
        <w:tc>
          <w:tcPr>
            <w:tcW w:w="7300" w:type="dxa"/>
            <w:vAlign w:val="bottom"/>
            <w:gridSpan w:val="1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3"/>
              </w:rPr>
            </w:pPr>
            <w:hyperlink w:anchor="page276">
              <w:r>
                <w:rPr>
                  <w:rFonts w:ascii="Arial" w:cs="Arial" w:eastAsia="Arial" w:hAnsi="Arial"/>
                  <w:sz w:val="18"/>
                  <w:szCs w:val="18"/>
                  <w:color w:val="0000EE"/>
                  <w:w w:val="83"/>
                </w:rPr>
                <w:t>Variation of Share Rights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Share Certificates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19"/>
          </w:tcPr>
          <w:p>
            <w:pPr>
              <w:spacing w:after="0"/>
              <w:rPr>
                <w:rFonts w:ascii="Arial" w:cs="Arial" w:eastAsia="Arial" w:hAnsi="Arial"/>
                <w:sz w:val="18"/>
                <w:szCs w:val="18"/>
                <w:color w:val="0000EE"/>
                <w:w w:val="87"/>
              </w:rPr>
            </w:pPr>
            <w:hyperlink w:anchor="page277">
              <w:r>
                <w:rPr>
                  <w:rFonts w:ascii="Arial" w:cs="Arial" w:eastAsia="Arial" w:hAnsi="Arial"/>
                  <w:sz w:val="18"/>
                  <w:szCs w:val="18"/>
                  <w:color w:val="0000EE"/>
                  <w:w w:val="87"/>
                </w:rPr>
                <w:t>Non-Recognition of Trusts</w:t>
              </w:r>
            </w:hyperlink>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8"/>
              </w:rPr>
            </w:pPr>
            <w:hyperlink w:anchor="page277">
              <w:r>
                <w:rPr>
                  <w:rFonts w:ascii="Arial" w:cs="Arial" w:eastAsia="Arial" w:hAnsi="Arial"/>
                  <w:sz w:val="18"/>
                  <w:szCs w:val="18"/>
                  <w:color w:val="0000EE"/>
                  <w:w w:val="88"/>
                </w:rPr>
                <w:t>Lien</w:t>
              </w:r>
            </w:hyperlink>
          </w:p>
        </w:tc>
        <w:tc>
          <w:tcPr>
            <w:tcW w:w="1560" w:type="dxa"/>
            <w:vAlign w:val="bottom"/>
            <w:gridSpan w:val="18"/>
          </w:tcPr>
          <w:p>
            <w:pPr>
              <w:spacing w:after="0"/>
              <w:rPr>
                <w:sz w:val="24"/>
                <w:szCs w:val="24"/>
                <w:color w:val="auto"/>
              </w:rPr>
            </w:pPr>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Calls on Shares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14"/>
          </w:tcPr>
          <w:p>
            <w:pPr>
              <w:spacing w:after="0"/>
              <w:rPr>
                <w:rFonts w:ascii="Arial" w:cs="Arial" w:eastAsia="Arial" w:hAnsi="Arial"/>
                <w:sz w:val="18"/>
                <w:szCs w:val="18"/>
                <w:color w:val="0000EE"/>
                <w:w w:val="86"/>
              </w:rPr>
            </w:pPr>
            <w:hyperlink w:anchor="page278">
              <w:r>
                <w:rPr>
                  <w:rFonts w:ascii="Arial" w:cs="Arial" w:eastAsia="Arial" w:hAnsi="Arial"/>
                  <w:sz w:val="18"/>
                  <w:szCs w:val="18"/>
                  <w:color w:val="0000EE"/>
                  <w:w w:val="86"/>
                </w:rPr>
                <w:t>Forfeiture of Shares</w:t>
              </w:r>
            </w:hyperlink>
          </w:p>
        </w:tc>
        <w:tc>
          <w:tcPr>
            <w:tcW w:w="7220" w:type="dxa"/>
            <w:vAlign w:val="bottom"/>
            <w:gridSpan w:val="16"/>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16</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Register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Transfer of Shares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w w:val="84"/>
              </w:rPr>
            </w:pPr>
            <w:hyperlink w:anchor="page280">
              <w:r>
                <w:rPr>
                  <w:rFonts w:ascii="Arial" w:cs="Arial" w:eastAsia="Arial" w:hAnsi="Arial"/>
                  <w:sz w:val="18"/>
                  <w:szCs w:val="18"/>
                  <w:color w:val="0000EE"/>
                  <w:w w:val="84"/>
                </w:rPr>
                <w:t>Transmission of Shares</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0">
              <w:r>
                <w:rPr>
                  <w:rFonts w:ascii="Arial" w:cs="Arial" w:eastAsia="Arial" w:hAnsi="Arial"/>
                  <w:sz w:val="18"/>
                  <w:szCs w:val="18"/>
                  <w:color w:val="0000EE"/>
                </w:rPr>
                <w:t>18</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Increase of Capital</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1">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1">
              <w:r>
                <w:rPr>
                  <w:rFonts w:ascii="Arial" w:cs="Arial" w:eastAsia="Arial" w:hAnsi="Arial"/>
                  <w:sz w:val="18"/>
                  <w:szCs w:val="18"/>
                  <w:color w:val="0000EE"/>
                </w:rPr>
                <w:t>Alteration of Capital</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1">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6"/>
          </w:tcPr>
          <w:p>
            <w:pPr>
              <w:spacing w:after="0"/>
              <w:rPr>
                <w:rFonts w:ascii="Arial" w:cs="Arial" w:eastAsia="Arial" w:hAnsi="Arial"/>
                <w:sz w:val="18"/>
                <w:szCs w:val="18"/>
                <w:color w:val="0000EE"/>
                <w:w w:val="88"/>
              </w:rPr>
            </w:pPr>
            <w:hyperlink w:anchor="page282">
              <w:r>
                <w:rPr>
                  <w:rFonts w:ascii="Arial" w:cs="Arial" w:eastAsia="Arial" w:hAnsi="Arial"/>
                  <w:sz w:val="18"/>
                  <w:szCs w:val="18"/>
                  <w:color w:val="0000EE"/>
                  <w:w w:val="88"/>
                </w:rPr>
                <w:t>Reduction of Capital</w:t>
              </w:r>
            </w:hyperlink>
          </w:p>
        </w:tc>
        <w:tc>
          <w:tcPr>
            <w:tcW w:w="7160" w:type="dxa"/>
            <w:vAlign w:val="bottom"/>
            <w:gridSpan w:val="1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20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16"/>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Dividends and Other Payments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82">
              <w:r>
                <w:rPr>
                  <w:rFonts w:ascii="Arial" w:cs="Arial" w:eastAsia="Arial" w:hAnsi="Arial"/>
                  <w:sz w:val="18"/>
                  <w:szCs w:val="18"/>
                  <w:color w:val="0000EE"/>
                </w:rPr>
                <w:t>20</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4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93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gridSpan w:val="12"/>
          </w:tcPr>
          <w:p>
            <w:pPr>
              <w:spacing w:after="0"/>
              <w:rPr>
                <w:sz w:val="20"/>
                <w:szCs w:val="20"/>
                <w:color w:val="auto"/>
              </w:rPr>
            </w:pPr>
            <w:r>
              <w:rPr>
                <w:rFonts w:ascii="Arial" w:cs="Arial" w:eastAsia="Arial" w:hAnsi="Arial"/>
                <w:sz w:val="13"/>
                <w:szCs w:val="13"/>
                <w:b w:val="1"/>
                <w:bCs w:val="1"/>
                <w:color w:val="auto"/>
              </w:rPr>
              <w:t>Bye-Law</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r>
      <w:tr>
        <w:trPr>
          <w:trHeight w:val="169"/>
        </w:trPr>
        <w:tc>
          <w:tcPr>
            <w:tcW w:w="1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line="169" w:lineRule="exact"/>
              <w:rPr>
                <w:rFonts w:ascii="Arial" w:cs="Arial" w:eastAsia="Arial" w:hAnsi="Arial"/>
                <w:sz w:val="16"/>
                <w:szCs w:val="16"/>
                <w:color w:val="0000EE"/>
                <w:w w:val="73"/>
              </w:rPr>
            </w:pPr>
            <w:hyperlink w:anchor="page283">
              <w:r>
                <w:rPr>
                  <w:rFonts w:ascii="Arial" w:cs="Arial" w:eastAsia="Arial" w:hAnsi="Arial"/>
                  <w:sz w:val="16"/>
                  <w:szCs w:val="16"/>
                  <w:color w:val="0000EE"/>
                  <w:w w:val="73"/>
                </w:rPr>
                <w:t>Reserves</w:t>
              </w:r>
            </w:hyperlink>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283">
              <w:r>
                <w:rPr>
                  <w:rFonts w:ascii="Arial" w:cs="Arial" w:eastAsia="Arial" w:hAnsi="Arial"/>
                  <w:sz w:val="16"/>
                  <w:szCs w:val="16"/>
                  <w:color w:val="0000EE"/>
                  <w:w w:val="78"/>
                </w:rPr>
                <w:t>21</w:t>
              </w:r>
            </w:hyperlink>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w w:val="87"/>
              </w:rPr>
            </w:pPr>
            <w:hyperlink w:anchor="page283">
              <w:r>
                <w:rPr>
                  <w:rFonts w:ascii="Arial" w:cs="Arial" w:eastAsia="Arial" w:hAnsi="Arial"/>
                  <w:sz w:val="18"/>
                  <w:szCs w:val="18"/>
                  <w:color w:val="0000EE"/>
                  <w:w w:val="87"/>
                </w:rPr>
                <w:t>Capitalisation of Profits</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3">
              <w:r>
                <w:rPr>
                  <w:rFonts w:ascii="Arial" w:cs="Arial" w:eastAsia="Arial" w:hAnsi="Arial"/>
                  <w:sz w:val="18"/>
                  <w:szCs w:val="18"/>
                  <w:color w:val="0000EE"/>
                </w:rPr>
                <w:t>21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w w:val="85"/>
              </w:rPr>
            </w:pPr>
            <w:hyperlink w:anchor="page284">
              <w:r>
                <w:rPr>
                  <w:rFonts w:ascii="Arial" w:cs="Arial" w:eastAsia="Arial" w:hAnsi="Arial"/>
                  <w:sz w:val="18"/>
                  <w:szCs w:val="18"/>
                  <w:color w:val="0000EE"/>
                  <w:w w:val="85"/>
                </w:rPr>
                <w:t>Record Date</w:t>
              </w:r>
            </w:hyperlink>
          </w:p>
        </w:tc>
        <w:tc>
          <w:tcPr>
            <w:tcW w:w="780" w:type="dxa"/>
            <w:vAlign w:val="bottom"/>
            <w:gridSpan w:val="4"/>
          </w:tcPr>
          <w:p>
            <w:pPr>
              <w:spacing w:after="0"/>
              <w:rPr>
                <w:sz w:val="24"/>
                <w:szCs w:val="24"/>
                <w:color w:val="auto"/>
              </w:rPr>
            </w:pPr>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color w:val="0000EE"/>
                <w:w w:val="87"/>
              </w:rPr>
            </w:pPr>
            <w:hyperlink w:anchor="page284">
              <w:r>
                <w:rPr>
                  <w:rFonts w:ascii="Arial" w:cs="Arial" w:eastAsia="Arial" w:hAnsi="Arial"/>
                  <w:sz w:val="18"/>
                  <w:szCs w:val="18"/>
                  <w:color w:val="0000EE"/>
                  <w:w w:val="87"/>
                </w:rPr>
                <w:t>Accounting Records and Tax Matters</w:t>
              </w:r>
            </w:hyperlink>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9"/>
          </w:tcPr>
          <w:p>
            <w:pPr>
              <w:spacing w:after="0"/>
              <w:rPr>
                <w:rFonts w:ascii="Arial" w:cs="Arial" w:eastAsia="Arial" w:hAnsi="Arial"/>
                <w:sz w:val="18"/>
                <w:szCs w:val="18"/>
                <w:color w:val="0000EE"/>
                <w:w w:val="87"/>
              </w:rPr>
            </w:pPr>
            <w:hyperlink w:anchor="page284">
              <w:r>
                <w:rPr>
                  <w:rFonts w:ascii="Arial" w:cs="Arial" w:eastAsia="Arial" w:hAnsi="Arial"/>
                  <w:sz w:val="18"/>
                  <w:szCs w:val="18"/>
                  <w:color w:val="0000EE"/>
                  <w:w w:val="87"/>
                </w:rPr>
                <w:t>Service of Notices and Documents</w:t>
              </w:r>
            </w:hyperlink>
          </w:p>
        </w:tc>
        <w:tc>
          <w:tcPr>
            <w:tcW w:w="18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5">
              <w:r>
                <w:rPr>
                  <w:rFonts w:ascii="Arial" w:cs="Arial" w:eastAsia="Arial" w:hAnsi="Arial"/>
                  <w:sz w:val="18"/>
                  <w:szCs w:val="18"/>
                  <w:color w:val="0000EE"/>
                </w:rPr>
                <w:t>Indemnity, Insurance, and Liability</w:t>
              </w:r>
            </w:hyperlink>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w w:val="89"/>
              </w:rPr>
            </w:pPr>
            <w:hyperlink w:anchor="page286">
              <w:r>
                <w:rPr>
                  <w:rFonts w:ascii="Arial" w:cs="Arial" w:eastAsia="Arial" w:hAnsi="Arial"/>
                  <w:sz w:val="18"/>
                  <w:szCs w:val="18"/>
                  <w:color w:val="0000EE"/>
                  <w:w w:val="89"/>
                </w:rPr>
                <w:t>Continuation</w:t>
              </w:r>
            </w:hyperlink>
          </w:p>
        </w:tc>
        <w:tc>
          <w:tcPr>
            <w:tcW w:w="1540" w:type="dxa"/>
            <w:vAlign w:val="bottom"/>
            <w:gridSpan w:val="5"/>
          </w:tcPr>
          <w:p>
            <w:pPr>
              <w:spacing w:after="0"/>
              <w:rPr>
                <w:sz w:val="24"/>
                <w:szCs w:val="24"/>
                <w:color w:val="auto"/>
              </w:rPr>
            </w:pPr>
          </w:p>
        </w:tc>
        <w:tc>
          <w:tcPr>
            <w:tcW w:w="6160" w:type="dxa"/>
            <w:vAlign w:val="bottom"/>
            <w:gridSpan w:val="2"/>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81"/>
              </w:rPr>
            </w:pPr>
            <w:hyperlink w:anchor="page286">
              <w:r>
                <w:rPr>
                  <w:rFonts w:ascii="Arial" w:cs="Arial" w:eastAsia="Arial" w:hAnsi="Arial"/>
                  <w:sz w:val="18"/>
                  <w:szCs w:val="18"/>
                  <w:color w:val="0000EE"/>
                  <w:w w:val="81"/>
                </w:rPr>
                <w:t>Precedence</w:t>
              </w:r>
            </w:hyperlink>
          </w:p>
        </w:tc>
        <w:tc>
          <w:tcPr>
            <w:tcW w:w="120" w:type="dxa"/>
            <w:vAlign w:val="bottom"/>
            <w:gridSpan w:val="2"/>
          </w:tcPr>
          <w:p>
            <w:pPr>
              <w:spacing w:after="0"/>
              <w:rPr>
                <w:sz w:val="24"/>
                <w:szCs w:val="24"/>
                <w:color w:val="auto"/>
              </w:rPr>
            </w:pPr>
          </w:p>
        </w:tc>
        <w:tc>
          <w:tcPr>
            <w:tcW w:w="7700" w:type="dxa"/>
            <w:vAlign w:val="bottom"/>
            <w:gridSpan w:val="7"/>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Alteration of Bye-Laws</w:t>
              </w:r>
            </w:hyperlink>
          </w:p>
        </w:tc>
        <w:tc>
          <w:tcPr>
            <w:tcW w:w="1480" w:type="dxa"/>
            <w:vAlign w:val="bottom"/>
            <w:gridSpan w:val="4"/>
          </w:tcPr>
          <w:p>
            <w:pPr>
              <w:ind w:left="180"/>
              <w:spacing w:after="0"/>
              <w:rPr>
                <w:rFonts w:ascii="Arial" w:cs="Arial" w:eastAsia="Arial" w:hAnsi="Arial"/>
                <w:sz w:val="18"/>
                <w:szCs w:val="18"/>
                <w:color w:val="0000EE"/>
              </w:rPr>
            </w:pPr>
            <w:hyperlink w:anchor="page286">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SCHEDULE 1</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7">
              <w:r>
                <w:rPr>
                  <w:rFonts w:ascii="Arial" w:cs="Arial" w:eastAsia="Arial" w:hAnsi="Arial"/>
                  <w:sz w:val="18"/>
                  <w:szCs w:val="18"/>
                  <w:color w:val="0000EE"/>
                </w:rPr>
                <w:t>Existing Shareholders</w:t>
              </w:r>
            </w:hyperlink>
          </w:p>
        </w:tc>
        <w:tc>
          <w:tcPr>
            <w:tcW w:w="1480" w:type="dxa"/>
            <w:vAlign w:val="bottom"/>
            <w:gridSpan w:val="4"/>
          </w:tcPr>
          <w:p>
            <w:pPr>
              <w:ind w:left="180"/>
              <w:spacing w:after="0"/>
              <w:rPr>
                <w:rFonts w:ascii="Arial" w:cs="Arial" w:eastAsia="Arial" w:hAnsi="Arial"/>
                <w:sz w:val="18"/>
                <w:szCs w:val="18"/>
                <w:color w:val="0000EE"/>
              </w:rPr>
            </w:pPr>
            <w:hyperlink w:anchor="page287">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8"/>
                <w:szCs w:val="18"/>
                <w:color w:val="0000EE"/>
              </w:rPr>
            </w:pPr>
            <w:hyperlink w:anchor="page288">
              <w:r>
                <w:rPr>
                  <w:rFonts w:ascii="Arial" w:cs="Arial" w:eastAsia="Arial" w:hAnsi="Arial"/>
                  <w:sz w:val="18"/>
                  <w:szCs w:val="18"/>
                  <w:color w:val="0000EE"/>
                </w:rPr>
                <w:t>SCHEDULE 2</w:t>
              </w:r>
            </w:hyperlink>
          </w:p>
        </w:tc>
        <w:tc>
          <w:tcPr>
            <w:tcW w:w="7080" w:type="dxa"/>
            <w:vAlign w:val="bottom"/>
            <w:gridSpan w:val="5"/>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8">
              <w:r>
                <w:rPr>
                  <w:rFonts w:ascii="Arial" w:cs="Arial" w:eastAsia="Arial" w:hAnsi="Arial"/>
                  <w:sz w:val="18"/>
                  <w:szCs w:val="18"/>
                  <w:color w:val="0000EE"/>
                </w:rPr>
                <w:t>26</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45" w:lineRule="exact"/>
        <w:rPr>
          <w:sz w:val="20"/>
          <w:szCs w:val="20"/>
          <w:color w:val="auto"/>
        </w:rPr>
      </w:pPr>
    </w:p>
    <w:p>
      <w:pPr>
        <w:ind w:left="540" w:right="2780" w:hanging="532"/>
        <w:spacing w:after="0" w:line="559" w:lineRule="auto"/>
        <w:tabs>
          <w:tab w:leader="none" w:pos="5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In these Bye-Laws, the following terms shall have the following meanings unless the context otherwise requires: </w:t>
      </w:r>
      <w:r>
        <w:rPr>
          <w:rFonts w:ascii="Arial" w:cs="Arial" w:eastAsia="Arial" w:hAnsi="Arial"/>
          <w:sz w:val="16"/>
          <w:szCs w:val="16"/>
          <w:b w:val="1"/>
          <w:bCs w:val="1"/>
          <w:color w:val="auto"/>
        </w:rPr>
        <w:t xml:space="preserve">Action: </w:t>
      </w:r>
      <w:r>
        <w:rPr>
          <w:rFonts w:ascii="Arial" w:cs="Arial" w:eastAsia="Arial" w:hAnsi="Arial"/>
          <w:sz w:val="16"/>
          <w:szCs w:val="16"/>
          <w:color w:val="auto"/>
        </w:rPr>
        <w:t>any legal or administrative proceeding, suit, investigation, arbitration or action;</w:t>
      </w:r>
    </w:p>
    <w:p>
      <w:pPr>
        <w:jc w:val="both"/>
        <w:ind w:left="54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as to any person, any other person that, directly or indirectly, controls, or is controlled by, or is under common control with,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9"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Affiliated Fund: </w:t>
      </w:r>
      <w:r>
        <w:rPr>
          <w:rFonts w:ascii="Arial" w:cs="Arial" w:eastAsia="Arial" w:hAnsi="Arial"/>
          <w:sz w:val="18"/>
          <w:szCs w:val="18"/>
          <w:color w:val="auto"/>
        </w:rPr>
        <w:t>with respect to any specified person, any Fund or co-investment vehicle that is an Affiliate of such person or that is advised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investment advisor as such person or by an Affiliate of such investment advisor or such person;</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the auditors for the time being of the Company;</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BHL:  </w:t>
      </w:r>
      <w:r>
        <w:rPr>
          <w:rFonts w:ascii="Arial" w:cs="Arial" w:eastAsia="Arial" w:hAnsi="Arial"/>
          <w:sz w:val="18"/>
          <w:szCs w:val="18"/>
          <w:color w:val="auto"/>
        </w:rPr>
        <w:t>Blenheim Holdings Ltd.</w:t>
      </w:r>
    </w:p>
    <w:p>
      <w:pPr>
        <w:spacing w:after="0" w:line="225" w:lineRule="exact"/>
        <w:rPr>
          <w:rFonts w:ascii="Arial" w:cs="Arial" w:eastAsia="Arial" w:hAnsi="Arial"/>
          <w:sz w:val="16"/>
          <w:szCs w:val="16"/>
          <w:color w:val="auto"/>
        </w:rPr>
      </w:pPr>
    </w:p>
    <w:p>
      <w:pPr>
        <w:ind w:left="540" w:right="20"/>
        <w:spacing w:after="0" w:line="339" w:lineRule="auto"/>
        <w:rPr>
          <w:rFonts w:ascii="Arial" w:cs="Arial" w:eastAsia="Arial" w:hAnsi="Arial"/>
          <w:sz w:val="16"/>
          <w:szCs w:val="16"/>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the Directors of the Company appointed or elected pursuant to the Shareholders’ Agreement and acting by resolution as provided for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Acts and in accordance with the Shareholders’ Agreement or the Directors present at a meeting of Directors at which there is a quorum;</w:t>
      </w:r>
    </w:p>
    <w:p>
      <w:pPr>
        <w:spacing w:after="0" w:line="128"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 day except a Saturday, a Sunday or other day on which banks in the City of New York or Bermuda are authorized or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to be closed;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Certificate of Designation of Series A Preference Shares:  </w:t>
      </w:r>
      <w:r>
        <w:rPr>
          <w:rFonts w:ascii="Arial" w:cs="Arial" w:eastAsia="Arial" w:hAnsi="Arial"/>
          <w:sz w:val="18"/>
          <w:szCs w:val="18"/>
          <w:color w:val="auto"/>
        </w:rPr>
        <w:t>the certificate attached as Schedule 2 to the Bye-laws;</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Common Shares:  </w:t>
      </w:r>
      <w:r>
        <w:rPr>
          <w:rFonts w:ascii="Arial" w:cs="Arial" w:eastAsia="Arial" w:hAnsi="Arial"/>
          <w:sz w:val="16"/>
          <w:szCs w:val="16"/>
          <w:color w:val="auto"/>
        </w:rPr>
        <w:t>the class of Shares par value US$0.01 each designated as “Common Shares” in the share capital of the Company;</w:t>
      </w:r>
    </w:p>
    <w:p>
      <w:pPr>
        <w:spacing w:after="0" w:line="24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every Bermuda statute from time to time in force insofar as the same applies to the Company;</w:t>
      </w:r>
    </w:p>
    <w:p>
      <w:pPr>
        <w:spacing w:after="0" w:line="225"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the above named company, being the surviving company consequent upon the merger of GasLog Ltd. and GEPIF III Crown MergerCo</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on the Merger Effective Date;</w:t>
      </w:r>
    </w:p>
    <w:p>
      <w:pPr>
        <w:spacing w:after="0" w:line="173"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any person duly elected or appointed as a director of the Company, or alternate director and any person occupying the position of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by whatever name called;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 1999;</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Existing Shareholders:  </w:t>
      </w:r>
      <w:r>
        <w:rPr>
          <w:rFonts w:ascii="Arial" w:cs="Arial" w:eastAsia="Arial" w:hAnsi="Arial"/>
          <w:sz w:val="18"/>
          <w:szCs w:val="18"/>
          <w:color w:val="auto"/>
        </w:rPr>
        <w:t>each of the existing Shareholders of the Company listed on Schedule 1;</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a private equity, infrastructure or other investment fund (including a co-invest vehicle);</w:t>
      </w:r>
    </w:p>
    <w:p>
      <w:pPr>
        <w:spacing w:after="0" w:line="225"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any government, court, regulatory or administrative agency, arbitral body or self-regulated entity, tribunal,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other legislative, executive or judicial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3" w:name="page264"/>
    <w:bookmarkEnd w:id="263"/>
    <w:p>
      <w:pPr>
        <w:jc w:val="both"/>
        <w:ind w:right="20"/>
        <w:spacing w:after="0" w:line="268" w:lineRule="auto"/>
        <w:rPr>
          <w:sz w:val="20"/>
          <w:szCs w:val="20"/>
          <w:color w:val="auto"/>
        </w:rPr>
      </w:pPr>
      <w:r>
        <w:rPr>
          <w:rFonts w:ascii="Arial" w:cs="Arial" w:eastAsia="Arial" w:hAnsi="Arial"/>
          <w:sz w:val="18"/>
          <w:szCs w:val="18"/>
          <w:color w:val="auto"/>
        </w:rPr>
        <w:t>governmental or any agency, department, division, commission or political subdivision thereof, whether federal, national, provincial, state, local or multinational;</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any Director, Officer, Resident Representative, member of a committee duly constituted under these Bye-Laws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any offering of Shares pursuant to a registration statement filed in accordance with the Securities Act after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Merger Effective Date: </w:t>
      </w:r>
      <w:r>
        <w:rPr>
          <w:rFonts w:ascii="Arial" w:cs="Arial" w:eastAsia="Arial" w:hAnsi="Arial"/>
          <w:sz w:val="18"/>
          <w:szCs w:val="18"/>
          <w:color w:val="auto"/>
        </w:rPr>
        <w:t>the effective date listed in the Certificate of Merger issued by the Bermuda Registrar of Companies in respect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of Gaslog Ltd. and GEPIF III Crown MergerCo Limited;</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New Investor:</w:t>
      </w:r>
      <w:r>
        <w:rPr>
          <w:sz w:val="20"/>
          <w:szCs w:val="20"/>
          <w:color w:val="auto"/>
        </w:rPr>
        <w:tab/>
      </w:r>
      <w:r>
        <w:rPr>
          <w:rFonts w:ascii="Arial" w:cs="Arial" w:eastAsia="Arial" w:hAnsi="Arial"/>
          <w:sz w:val="16"/>
          <w:szCs w:val="16"/>
          <w:color w:val="auto"/>
        </w:rPr>
        <w:t>GEPIF III Crown Bidco 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Officer:</w:t>
      </w:r>
      <w:r>
        <w:rPr>
          <w:sz w:val="20"/>
          <w:szCs w:val="20"/>
          <w:color w:val="auto"/>
        </w:rPr>
        <w:tab/>
      </w:r>
      <w:r>
        <w:rPr>
          <w:rFonts w:ascii="Arial" w:cs="Arial" w:eastAsia="Arial" w:hAnsi="Arial"/>
          <w:sz w:val="15"/>
          <w:szCs w:val="15"/>
          <w:color w:val="auto"/>
        </w:rPr>
        <w:t>a person appointed by the Board pursuant to these Bye-Laws and the Shareholders’ Agreement but shall not include the Auditor;</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Register:</w:t>
      </w:r>
      <w:r>
        <w:rPr>
          <w:sz w:val="20"/>
          <w:szCs w:val="20"/>
          <w:color w:val="auto"/>
        </w:rPr>
        <w:tab/>
      </w:r>
      <w:r>
        <w:rPr>
          <w:rFonts w:ascii="Arial" w:cs="Arial" w:eastAsia="Arial" w:hAnsi="Arial"/>
          <w:sz w:val="15"/>
          <w:szCs w:val="15"/>
          <w:color w:val="auto"/>
        </w:rPr>
        <w:t>the register of Shareholders to be kept in accordance with the Companies Acts maintained by the Company in Bermuda;</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6"/>
          <w:szCs w:val="16"/>
          <w:color w:val="auto"/>
        </w:rPr>
        <w:t>the registered office for the time being of the Company in Bermuda;</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Reserved Matters: </w:t>
      </w:r>
      <w:r>
        <w:rPr>
          <w:rFonts w:ascii="Arial" w:cs="Arial" w:eastAsia="Arial" w:hAnsi="Arial"/>
          <w:sz w:val="18"/>
          <w:szCs w:val="18"/>
          <w:color w:val="auto"/>
        </w:rPr>
        <w:t>the actions of the Company requiring the consent of the New Investor and BHL pursuant to Annex A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4"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Resident Representative: </w:t>
      </w:r>
      <w:r>
        <w:rPr>
          <w:rFonts w:ascii="Arial" w:cs="Arial" w:eastAsia="Arial" w:hAnsi="Arial"/>
          <w:sz w:val="15"/>
          <w:szCs w:val="15"/>
          <w:color w:val="auto"/>
        </w:rPr>
        <w:t>(if any) the individual or the company appointed to perform the duties of resident representative set out in the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Acts and includes any assistant or deputy Resident Representative appointed by the Board to perform any of the duties of the Resident Representative;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a resolution of a general meeting passed by a majority of the Shareholders entitled to vote present in person or by proxy at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a written resolution adopted by all the Shareholders in accordance with the Companies Acts and these Bye-laws;</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5"/>
          <w:szCs w:val="15"/>
          <w:color w:val="auto"/>
        </w:rPr>
        <w:t>the common seal of the Company (if any) and includes every authorised duplicate seal;</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5"/>
          <w:szCs w:val="15"/>
          <w:color w:val="auto"/>
        </w:rPr>
        <w:t>the secretary for the time being of the Company and any person appointed to perform any of the duties of the secretary;</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Securities Act:</w:t>
      </w:r>
      <w:r>
        <w:rPr>
          <w:sz w:val="20"/>
          <w:szCs w:val="20"/>
          <w:color w:val="auto"/>
        </w:rPr>
        <w:tab/>
      </w:r>
      <w:r>
        <w:rPr>
          <w:rFonts w:ascii="Arial" w:cs="Arial" w:eastAsia="Arial" w:hAnsi="Arial"/>
          <w:sz w:val="15"/>
          <w:szCs w:val="15"/>
          <w:color w:val="auto"/>
        </w:rPr>
        <w:t>the Securities Act of 1933 of the United States and the rules and regulations promulgated thereunder;</w:t>
      </w:r>
    </w:p>
    <w:p>
      <w:pPr>
        <w:spacing w:after="0" w:line="22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Series A Preference Shares: </w:t>
      </w:r>
      <w:r>
        <w:rPr>
          <w:rFonts w:ascii="Arial" w:cs="Arial" w:eastAsia="Arial" w:hAnsi="Arial"/>
          <w:sz w:val="16"/>
          <w:szCs w:val="16"/>
          <w:color w:val="auto"/>
        </w:rPr>
        <w:t>the series of 8.75% Series A Preference Shares or par value US$0.01 each in the share capital of the Company,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it the rights, qualifications, limitations and restrictions as set out in the Certificate of Designation of Series A Preference Shares;</w:t>
      </w:r>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Share:</w:t>
      </w:r>
      <w:r>
        <w:rPr>
          <w:sz w:val="20"/>
          <w:szCs w:val="20"/>
          <w:color w:val="auto"/>
        </w:rPr>
        <w:tab/>
      </w:r>
      <w:r>
        <w:rPr>
          <w:rFonts w:ascii="Arial" w:cs="Arial" w:eastAsia="Arial" w:hAnsi="Arial"/>
          <w:sz w:val="15"/>
          <w:szCs w:val="15"/>
          <w:color w:val="auto"/>
        </w:rPr>
        <w:t>a share in the capital of the Company and includes stock, treasury shares and a fraction of a share/stock;</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Shareholder:</w:t>
      </w:r>
      <w:r>
        <w:rPr>
          <w:sz w:val="20"/>
          <w:szCs w:val="20"/>
          <w:color w:val="auto"/>
        </w:rPr>
        <w:tab/>
      </w:r>
      <w:r>
        <w:rPr>
          <w:rFonts w:ascii="Arial" w:cs="Arial" w:eastAsia="Arial" w:hAnsi="Arial"/>
          <w:sz w:val="15"/>
          <w:szCs w:val="15"/>
          <w:color w:val="auto"/>
        </w:rPr>
        <w:t>has the same meaning as “member” in the Companies Acts;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the shareholders’ agreement dated the Merger Effective Date by and among the New Investor, the Existing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as may be amended, restated, amended and restated, supplemented or otherwise modified in any way from time to time, and all annexures, schedules or addendums thereto;</w:t>
      </w:r>
    </w:p>
    <w:p>
      <w:pPr>
        <w:spacing w:after="0" w:line="18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 Shareholder:</w:t>
      </w:r>
      <w:r>
        <w:rPr>
          <w:sz w:val="20"/>
          <w:szCs w:val="20"/>
          <w:color w:val="auto"/>
        </w:rPr>
        <w:tab/>
      </w:r>
      <w:r>
        <w:rPr>
          <w:rFonts w:ascii="Arial" w:cs="Arial" w:eastAsia="Arial" w:hAnsi="Arial"/>
          <w:sz w:val="15"/>
          <w:szCs w:val="15"/>
          <w:color w:val="auto"/>
        </w:rPr>
        <w:t>a Shareholder party to the Shareholders’ Agreement;</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these Bye-Laws:  </w:t>
            </w:r>
            <w:r>
              <w:rPr>
                <w:rFonts w:ascii="Arial" w:cs="Arial" w:eastAsia="Arial" w:hAnsi="Arial"/>
                <w:sz w:val="18"/>
                <w:szCs w:val="18"/>
                <w:color w:val="auto"/>
              </w:rPr>
              <w:t>the bye-laws of the Company in their present form; and</w:t>
            </w:r>
          </w:p>
        </w:tc>
      </w:tr>
      <w:tr>
        <w:trPr>
          <w:trHeight w:val="426"/>
        </w:trPr>
        <w:tc>
          <w:tcPr>
            <w:tcW w:w="3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or</w:t>
            </w:r>
            <w:r>
              <w:rPr>
                <w:rFonts w:ascii="Arial" w:cs="Arial" w:eastAsia="Arial" w:hAnsi="Arial"/>
                <w:sz w:val="18"/>
                <w:szCs w:val="18"/>
                <w:b w:val="1"/>
                <w:bCs w:val="1"/>
                <w:color w:val="auto"/>
              </w:rPr>
              <w:t xml:space="preserve"> Transferred</w:t>
            </w:r>
            <w:r>
              <w:rPr>
                <w:rFonts w:ascii="Arial" w:cs="Arial" w:eastAsia="Arial" w:hAnsi="Arial"/>
                <w:sz w:val="18"/>
                <w:szCs w:val="18"/>
                <w:color w:val="auto"/>
              </w:rPr>
              <w:t>:</w:t>
            </w:r>
          </w:p>
        </w:tc>
        <w:tc>
          <w:tcPr>
            <w:tcW w:w="8640" w:type="dxa"/>
            <w:vAlign w:val="bottom"/>
          </w:tcPr>
          <w:p>
            <w:pPr>
              <w:ind w:left="160"/>
              <w:spacing w:after="0"/>
              <w:rPr>
                <w:sz w:val="20"/>
                <w:szCs w:val="20"/>
                <w:color w:val="auto"/>
              </w:rPr>
            </w:pPr>
            <w:r>
              <w:rPr>
                <w:rFonts w:ascii="Arial" w:cs="Arial" w:eastAsia="Arial" w:hAnsi="Arial"/>
                <w:sz w:val="18"/>
                <w:szCs w:val="18"/>
                <w:color w:val="auto"/>
                <w:w w:val="94"/>
              </w:rPr>
              <w:t>(a) any direct or indirect transfer, sale, gift, assignment, exchange, or any other disposition (whether voluntary or</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2"/>
              </w:rPr>
              <w:t>involuntary or by operation of law) of any Common Shares (or any interest (pecuniary or otherwise) therein or rights thereto) beneficially owned by</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any Shareholder, including pursuant to the creation of a derivative security or (b) in respect of any such Common Shares or interest therein, to enter into</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any swap or any other agreement, transaction or series of transactions that hedges or transfers, in whole or in part, directly or indirectly, the economic</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consequence of ownership of such Common Shares or interest, whether any such swap, agreement, transaction or series of transactions is to be settled</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by delivery of securities, in cash or otherwise. For the avoidance of doubt, a grant of or existence of a security interest or Lien over any Common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4"/>
              </w:rPr>
              <w:t>Shares which is required by any bank or financial institution, and any enforcement of remedies in respect thereof, shall not be deemed to be a</w:t>
            </w:r>
          </w:p>
        </w:tc>
      </w:tr>
      <w:tr>
        <w:trPr>
          <w:trHeight w:val="222"/>
        </w:trPr>
        <w:tc>
          <w:tcPr>
            <w:tcW w:w="3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“Transfer” hereunder.</w:t>
            </w:r>
          </w:p>
        </w:tc>
        <w:tc>
          <w:tcPr>
            <w:tcW w:w="8640" w:type="dxa"/>
            <w:vAlign w:val="bottom"/>
          </w:tcPr>
          <w:p>
            <w:pPr>
              <w:spacing w:after="0"/>
              <w:rPr>
                <w:sz w:val="19"/>
                <w:szCs w:val="19"/>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7"/>
              </w:rPr>
              <w:t>For the purposes of these Bye-Laws, a corporation which is a Shareholder shall be deemed to be present in person at a general meeting if, in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Companies Acts, its authorised representative(s) is/are present.</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For the purposes of these Bye-Laws, a corporation which is a Director shall be deemed to be present in person at a meeting of the Board if a person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authorised to attend on its behalf is present, and shall be deemed to discharge its duties and carry out any actions required under these Bye-Laws and</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the Companies Acts, including the signing and execution of documents, deeds and other instruments, if a person authorised to act on its behalf so acts.</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Words importing persons include any individual, corporation, limited liability company, limited or general partnership, joint venture, association, trust,</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5"/>
              </w:rPr>
              <w:t>unincorporated organization or any other entity, including a Governmental Authority, or any group comprised of two or more of the foregoing.</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1.6</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Any reference to writing includes all modes of representing or reproducing words in a visible form, including in the form of an Electronic Record.</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1.7</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6"/>
              </w:rPr>
              <w:t>Unless the context otherwise requires, words and expressions defined in the Companies Acts bear the same meanings in these Bye-Laws.</w:t>
            </w: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Headings are used for convenience only and shall not affect the construction of these Bye-Laws.</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1.9</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For the purposes of these Bye-Laws, the wording “subject to the Shareholders’ Agreement” (or similar phrases) shall mean “subject to, and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terms of, the Shareholders’ Agreement and subject to any Reserved Matters”.</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96"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in the case of a general meeting called as an annual general meeting, by all the Shareholders entitled to attend and vote thereat;</w:t>
      </w:r>
    </w:p>
    <w:p>
      <w:pPr>
        <w:spacing w:after="0" w:line="261"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38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207"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223"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187"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6" w:name="page267"/>
    <w:bookmarkEnd w:id="266"/>
    <w:p>
      <w:pPr>
        <w:jc w:val="both"/>
        <w:ind w:left="540" w:hanging="532"/>
        <w:spacing w:after="0" w:line="298"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193"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45" w:lineRule="exact"/>
        <w:rPr>
          <w:sz w:val="20"/>
          <w:szCs w:val="20"/>
          <w:color w:val="auto"/>
        </w:rPr>
      </w:pPr>
    </w:p>
    <w:p>
      <w:pPr>
        <w:ind w:left="540" w:hanging="532"/>
        <w:spacing w:after="0" w:line="331"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87"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7" w:name="page268"/>
    <w:bookmarkEnd w:id="267"/>
    <w:p>
      <w:pPr>
        <w:ind w:left="540" w:hanging="532"/>
        <w:spacing w:after="0"/>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52"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207"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212"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5" w:lineRule="exact"/>
        <w:rPr>
          <w:sz w:val="20"/>
          <w:szCs w:val="20"/>
          <w:color w:val="auto"/>
        </w:rPr>
      </w:pPr>
    </w:p>
    <w:p>
      <w:pPr>
        <w:ind w:left="540" w:hanging="532"/>
        <w:spacing w:after="0" w:line="331"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154"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93"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210"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210"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8" w:name="page269"/>
    <w:bookmarkEnd w:id="268"/>
    <w:p>
      <w:pPr>
        <w:jc w:val="both"/>
        <w:ind w:left="540"/>
        <w:spacing w:after="0" w:line="254" w:lineRule="auto"/>
        <w:rPr>
          <w:sz w:val="20"/>
          <w:szCs w:val="20"/>
          <w:color w:val="auto"/>
        </w:rPr>
      </w:pPr>
      <w:r>
        <w:rPr>
          <w:rFonts w:ascii="Arial" w:cs="Arial" w:eastAsia="Arial" w:hAnsi="Arial"/>
          <w:sz w:val="18"/>
          <w:szCs w:val="18"/>
          <w:color w:val="auto"/>
        </w:rPr>
        <w:t>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214" w:lineRule="exact"/>
        <w:rPr>
          <w:sz w:val="20"/>
          <w:szCs w:val="20"/>
          <w:color w:val="auto"/>
        </w:rPr>
      </w:pPr>
    </w:p>
    <w:p>
      <w:pPr>
        <w:jc w:val="both"/>
        <w:ind w:left="540" w:hanging="532"/>
        <w:spacing w:after="0" w:line="306"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207"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21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224"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SHAREHOLDERS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9" w:name="page270"/>
    <w:bookmarkEnd w:id="269"/>
    <w:p>
      <w:pPr>
        <w:jc w:val="both"/>
        <w:ind w:left="540"/>
        <w:spacing w:after="0" w:line="259" w:lineRule="auto"/>
        <w:rPr>
          <w:sz w:val="20"/>
          <w:szCs w:val="20"/>
          <w:color w:val="auto"/>
        </w:rPr>
      </w:pPr>
      <w:r>
        <w:rPr>
          <w:rFonts w:ascii="Arial" w:cs="Arial" w:eastAsia="Arial" w:hAnsi="Arial"/>
          <w:sz w:val="18"/>
          <w:szCs w:val="18"/>
          <w:color w:val="auto"/>
        </w:rPr>
        <w:t>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220"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45" w:lineRule="exact"/>
        <w:rPr>
          <w:sz w:val="20"/>
          <w:szCs w:val="20"/>
          <w:color w:val="auto"/>
        </w:rPr>
      </w:pPr>
    </w:p>
    <w:p>
      <w:pPr>
        <w:ind w:left="540" w:hanging="532"/>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if he is prohibited by law from being a Director or, in the case of a corporate Director, is otherwise unable to carry on or transact business;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if he ceases to be a Director by virtue of the Companies Acts or is removed from office pursuant to the Shareholders’ Agreement.</w:t>
      </w:r>
    </w:p>
    <w:p>
      <w:pPr>
        <w:spacing w:after="0" w:line="242"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ALTERNATE DIRECTORS</w:t>
      </w:r>
    </w:p>
    <w:p>
      <w:pPr>
        <w:spacing w:after="0" w:line="24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0" w:name="page271"/>
    <w:bookmarkEnd w:id="270"/>
    <w:p>
      <w:pPr>
        <w:jc w:val="both"/>
        <w:ind w:left="540" w:hanging="532"/>
        <w:spacing w:after="0" w:line="259"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220"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45" w:lineRule="exact"/>
        <w:rPr>
          <w:sz w:val="20"/>
          <w:szCs w:val="20"/>
          <w:color w:val="auto"/>
        </w:rPr>
      </w:pPr>
    </w:p>
    <w:p>
      <w:pPr>
        <w:ind w:left="540" w:right="20" w:hanging="532"/>
        <w:spacing w:after="0" w:line="331" w:lineRule="auto"/>
        <w:tabs>
          <w:tab w:leader="none" w:pos="5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16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199"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85"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1" w:name="page272"/>
    <w:bookmarkEnd w:id="271"/>
    <w:p>
      <w:pPr>
        <w:ind w:left="540"/>
        <w:spacing w:after="0"/>
        <w:rPr>
          <w:sz w:val="20"/>
          <w:szCs w:val="20"/>
          <w:color w:val="auto"/>
        </w:rPr>
      </w:pPr>
      <w:r>
        <w:rPr>
          <w:rFonts w:ascii="Arial" w:cs="Arial" w:eastAsia="Arial" w:hAnsi="Arial"/>
          <w:sz w:val="16"/>
          <w:szCs w:val="16"/>
          <w:color w:val="auto"/>
        </w:rPr>
        <w:t>Bye-Laws allow him to be interested, and no such transaction or arrangement shall be liable to be avoided on the ground of any interest or benefit.</w:t>
      </w:r>
    </w:p>
    <w:p>
      <w:pPr>
        <w:spacing w:after="0" w:line="262" w:lineRule="exact"/>
        <w:rPr>
          <w:sz w:val="20"/>
          <w:szCs w:val="20"/>
          <w:color w:val="auto"/>
        </w:rPr>
      </w:pPr>
    </w:p>
    <w:p>
      <w:pPr>
        <w:jc w:val="both"/>
        <w:ind w:left="540" w:hanging="532"/>
        <w:spacing w:after="0" w:line="298"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19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THE BOARD</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21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212"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182" w:lineRule="exact"/>
        <w:rPr>
          <w:rFonts w:ascii="Arial" w:cs="Arial" w:eastAsia="Arial" w:hAnsi="Arial"/>
          <w:sz w:val="16"/>
          <w:szCs w:val="16"/>
          <w:color w:val="auto"/>
        </w:rPr>
      </w:pPr>
    </w:p>
    <w:p>
      <w:pPr>
        <w:jc w:val="both"/>
        <w:ind w:left="540" w:hanging="532"/>
        <w:spacing w:after="0" w:line="290"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200"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45" w:lineRule="exact"/>
        <w:rPr>
          <w:sz w:val="20"/>
          <w:szCs w:val="20"/>
          <w:color w:val="auto"/>
        </w:rPr>
      </w:pPr>
    </w:p>
    <w:p>
      <w:pPr>
        <w:jc w:val="both"/>
        <w:ind w:left="540" w:hanging="532"/>
        <w:spacing w:after="0" w:line="253"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14" w:lineRule="exact"/>
        <w:rPr>
          <w:rFonts w:ascii="Arial" w:cs="Arial" w:eastAsia="Arial" w:hAnsi="Arial"/>
          <w:sz w:val="18"/>
          <w:szCs w:val="18"/>
          <w:color w:val="auto"/>
        </w:rPr>
      </w:pPr>
    </w:p>
    <w:p>
      <w:pPr>
        <w:jc w:val="both"/>
        <w:ind w:left="540" w:hanging="532"/>
        <w:spacing w:after="0" w:line="288"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Board per year will be held in-person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199"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3" w:name="page274"/>
    <w:bookmarkEnd w:id="273"/>
    <w:p>
      <w:pPr>
        <w:ind w:left="1080" w:right="20" w:hanging="532"/>
        <w:spacing w:after="0" w:line="268" w:lineRule="auto"/>
        <w:tabs>
          <w:tab w:leader="none" w:pos="10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99"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54"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167"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8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196"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4" w:name="page275"/>
    <w:bookmarkEnd w:id="274"/>
    <w:p>
      <w:pPr>
        <w:ind w:left="540"/>
        <w:spacing w:after="0" w:line="268" w:lineRule="auto"/>
        <w:rPr>
          <w:sz w:val="20"/>
          <w:szCs w:val="20"/>
          <w:color w:val="auto"/>
        </w:rPr>
      </w:pPr>
      <w:r>
        <w:rPr>
          <w:rFonts w:ascii="Arial" w:cs="Arial" w:eastAsia="Arial" w:hAnsi="Arial"/>
          <w:sz w:val="18"/>
          <w:szCs w:val="18"/>
          <w:color w:val="auto"/>
        </w:rPr>
        <w:t>termination. Save as provided in the Companies Acts or these Bye-Laws, the powers and duties of the Officers of the Company shall be such (if any) as are determined from time to time by the Directors.</w:t>
      </w:r>
    </w:p>
    <w:p>
      <w:pPr>
        <w:spacing w:after="0" w:line="199" w:lineRule="exact"/>
        <w:rPr>
          <w:sz w:val="20"/>
          <w:szCs w:val="20"/>
          <w:color w:val="auto"/>
        </w:rPr>
      </w:pPr>
    </w:p>
    <w:p>
      <w:pPr>
        <w:ind w:left="540" w:hanging="532"/>
        <w:spacing w:after="0" w:line="268" w:lineRule="auto"/>
        <w:tabs>
          <w:tab w:leader="none" w:pos="5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58" w:lineRule="exact"/>
        <w:rPr>
          <w:sz w:val="20"/>
          <w:szCs w:val="20"/>
          <w:color w:val="auto"/>
        </w:rPr>
      </w:pPr>
    </w:p>
    <w:p>
      <w:pPr>
        <w:jc w:val="both"/>
        <w:ind w:left="540" w:hanging="532"/>
        <w:spacing w:after="0" w:line="298"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79" w:lineRule="exact"/>
        <w:rPr>
          <w:rFonts w:ascii="Arial" w:cs="Arial" w:eastAsia="Arial" w:hAnsi="Arial"/>
          <w:sz w:val="16"/>
          <w:szCs w:val="16"/>
          <w:color w:val="auto"/>
        </w:rPr>
      </w:pPr>
    </w:p>
    <w:p>
      <w:pPr>
        <w:ind w:left="540" w:right="20" w:hanging="532"/>
        <w:spacing w:after="0" w:line="331"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RIGHTS</w:t>
      </w:r>
    </w:p>
    <w:p>
      <w:pPr>
        <w:spacing w:after="0" w:line="245" w:lineRule="exact"/>
        <w:rPr>
          <w:sz w:val="20"/>
          <w:szCs w:val="20"/>
          <w:color w:val="auto"/>
        </w:rPr>
      </w:pPr>
    </w:p>
    <w:p>
      <w:pPr>
        <w:ind w:left="540" w:hanging="532"/>
        <w:spacing w:after="0" w:line="268"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Share shall be issued at a discount (except in accordance with the provisions of the Companies Acts).</w:t>
      </w:r>
    </w:p>
    <w:p>
      <w:pPr>
        <w:spacing w:after="0" w:line="22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if authorised by the memorandum of association of the Company, that they are liable to be redeemed at the option of the holder.</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200" w:lineRule="exact"/>
        <w:rPr>
          <w:rFonts w:ascii="Arial" w:cs="Arial" w:eastAsia="Arial" w:hAnsi="Arial"/>
          <w:sz w:val="16"/>
          <w:szCs w:val="16"/>
          <w:color w:val="auto"/>
        </w:rPr>
      </w:pPr>
    </w:p>
    <w:p>
      <w:pPr>
        <w:jc w:val="both"/>
        <w:ind w:left="540" w:hanging="532"/>
        <w:spacing w:after="0" w:line="369" w:lineRule="auto"/>
        <w:tabs>
          <w:tab w:leader="none" w:pos="54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19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86"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7" w:name="page278"/>
    <w:bookmarkEnd w:id="277"/>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issue Shares with different terms as to the amount and times of payment of calls.</w:t>
      </w:r>
    </w:p>
    <w:p>
      <w:pPr>
        <w:spacing w:after="0" w:line="242"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b w:val="1"/>
          <w:bCs w:val="1"/>
          <w:color w:val="auto"/>
        </w:rPr>
        <w:t>FORFEITURE OF SHARES</w:t>
      </w:r>
    </w:p>
    <w:p>
      <w:pPr>
        <w:spacing w:after="0" w:line="244"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7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22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214"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t>REGISTER OF SHAREHOLDERS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58" w:lineRule="exact"/>
        <w:rPr>
          <w:sz w:val="20"/>
          <w:szCs w:val="20"/>
          <w:color w:val="auto"/>
        </w:rPr>
      </w:pPr>
    </w:p>
    <w:p>
      <w:pPr>
        <w:jc w:val="both"/>
        <w:ind w:left="540" w:hanging="532"/>
        <w:spacing w:after="0" w:line="256"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210"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331" w:lineRule="auto"/>
        <w:tabs>
          <w:tab w:leader="none" w:pos="108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199"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9" w:name="page280"/>
    <w:bookmarkEnd w:id="279"/>
    <w:p>
      <w:pPr>
        <w:ind w:left="540" w:hanging="532"/>
        <w:spacing w:after="0" w:line="268"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212" w:lineRule="exact"/>
        <w:rPr>
          <w:rFonts w:ascii="Arial" w:cs="Arial" w:eastAsia="Arial" w:hAnsi="Arial"/>
          <w:sz w:val="18"/>
          <w:szCs w:val="18"/>
          <w:color w:val="auto"/>
        </w:rPr>
      </w:pPr>
    </w:p>
    <w:p>
      <w:pPr>
        <w:jc w:val="both"/>
        <w:ind w:left="540" w:hanging="532"/>
        <w:spacing w:after="0" w:line="286"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182" w:lineRule="exact"/>
        <w:rPr>
          <w:rFonts w:ascii="Arial" w:cs="Arial" w:eastAsia="Arial" w:hAnsi="Arial"/>
          <w:sz w:val="16"/>
          <w:szCs w:val="16"/>
          <w:color w:val="auto"/>
        </w:rPr>
      </w:pPr>
    </w:p>
    <w:p>
      <w:pPr>
        <w:jc w:val="both"/>
        <w:ind w:left="540" w:hanging="532"/>
        <w:spacing w:after="0" w:line="288"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20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0" w:name="page281"/>
    <w:bookmarkEnd w:id="280"/>
    <w:p>
      <w:pPr>
        <w:ind w:left="540"/>
        <w:spacing w:after="0" w:line="268" w:lineRule="auto"/>
        <w:rPr>
          <w:sz w:val="20"/>
          <w:szCs w:val="20"/>
          <w:color w:val="auto"/>
        </w:rPr>
      </w:pPr>
      <w:r>
        <w:rPr>
          <w:rFonts w:ascii="Arial" w:cs="Arial" w:eastAsia="Arial" w:hAnsi="Arial"/>
          <w:sz w:val="18"/>
          <w:szCs w:val="18"/>
          <w:color w:val="auto"/>
        </w:rPr>
        <w:t>sixty days, the Board may thereafter withhold payment of all dividends and other monies payable in respect of the Shares until the requirements of the notice have been complied with.</w:t>
      </w:r>
    </w:p>
    <w:p>
      <w:pPr>
        <w:spacing w:after="0" w:line="199" w:lineRule="exact"/>
        <w:rPr>
          <w:sz w:val="20"/>
          <w:szCs w:val="20"/>
          <w:color w:val="auto"/>
        </w:rPr>
      </w:pPr>
    </w:p>
    <w:p>
      <w:pPr>
        <w:ind w:left="54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58" w:lineRule="exact"/>
        <w:rPr>
          <w:sz w:val="20"/>
          <w:szCs w:val="20"/>
          <w:color w:val="auto"/>
        </w:rPr>
      </w:pPr>
    </w:p>
    <w:p>
      <w:pPr>
        <w:ind w:left="540" w:hanging="532"/>
        <w:spacing w:after="0" w:line="331" w:lineRule="auto"/>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73"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58" w:lineRule="exact"/>
        <w:rPr>
          <w:sz w:val="20"/>
          <w:szCs w:val="20"/>
          <w:color w:val="auto"/>
        </w:rPr>
      </w:pPr>
    </w:p>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1" w:name="page282"/>
    <w:bookmarkEnd w:id="281"/>
    <w:p>
      <w:pPr>
        <w:ind w:left="540" w:hanging="532"/>
        <w:spacing w:after="0" w:line="268" w:lineRule="auto"/>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20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45"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5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No dividend, distribution or other monies payable by the Company on or in respect of any Share shall bear interest against the Company.</w:t>
      </w:r>
    </w:p>
    <w:p>
      <w:pPr>
        <w:spacing w:after="0" w:line="275" w:lineRule="exact"/>
        <w:rPr>
          <w:rFonts w:ascii="Arial" w:cs="Arial" w:eastAsia="Arial" w:hAnsi="Arial"/>
          <w:sz w:val="16"/>
          <w:szCs w:val="16"/>
          <w:color w:val="auto"/>
        </w:rPr>
      </w:pPr>
    </w:p>
    <w:p>
      <w:pPr>
        <w:jc w:val="both"/>
        <w:ind w:left="540" w:hanging="532"/>
        <w:spacing w:after="0" w:line="314" w:lineRule="auto"/>
        <w:tabs>
          <w:tab w:leader="none" w:pos="540" w:val="left"/>
        </w:tabs>
        <w:numPr>
          <w:ilvl w:val="0"/>
          <w:numId w:val="349"/>
        </w:numPr>
        <w:rPr>
          <w:rFonts w:ascii="Arial" w:cs="Arial" w:eastAsia="Arial" w:hAnsi="Arial"/>
          <w:sz w:val="15"/>
          <w:szCs w:val="15"/>
          <w:color w:val="auto"/>
        </w:rPr>
      </w:pPr>
      <w:r>
        <w:rPr>
          <w:rFonts w:ascii="Arial" w:cs="Arial" w:eastAsia="Arial" w:hAnsi="Arial"/>
          <w:sz w:val="15"/>
          <w:szCs w:val="15"/>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2" w:name="page283"/>
    <w:bookmarkEnd w:id="282"/>
    <w:p>
      <w:pPr>
        <w:ind w:left="540" w:right="20"/>
        <w:spacing w:after="0" w:line="268" w:lineRule="auto"/>
        <w:rPr>
          <w:sz w:val="20"/>
          <w:szCs w:val="20"/>
          <w:color w:val="auto"/>
        </w:rPr>
      </w:pPr>
      <w:r>
        <w:rPr>
          <w:rFonts w:ascii="Arial" w:cs="Arial" w:eastAsia="Arial" w:hAnsi="Arial"/>
          <w:sz w:val="18"/>
          <w:szCs w:val="18"/>
          <w:color w:val="auto"/>
        </w:rPr>
        <w:t>good discharge to the Company. Any one of two (2) or more joint holders may give effectual receipts for any dividends, distributions or other monies payable or property distributable in respect of the Shares held by such joint holders.</w:t>
      </w:r>
    </w:p>
    <w:p>
      <w:pPr>
        <w:spacing w:after="0" w:line="199" w:lineRule="exact"/>
        <w:rPr>
          <w:sz w:val="20"/>
          <w:szCs w:val="20"/>
          <w:color w:val="auto"/>
        </w:rPr>
      </w:pPr>
    </w:p>
    <w:p>
      <w:pPr>
        <w:jc w:val="both"/>
        <w:ind w:left="540" w:hanging="532"/>
        <w:spacing w:after="0" w:line="306" w:lineRule="auto"/>
        <w:tabs>
          <w:tab w:leader="none" w:pos="5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87" w:lineRule="exact"/>
        <w:rPr>
          <w:rFonts w:ascii="Arial" w:cs="Arial" w:eastAsia="Arial" w:hAnsi="Arial"/>
          <w:sz w:val="16"/>
          <w:szCs w:val="16"/>
          <w:color w:val="auto"/>
        </w:rPr>
      </w:pPr>
    </w:p>
    <w:p>
      <w:pPr>
        <w:jc w:val="both"/>
        <w:ind w:left="540" w:hanging="532"/>
        <w:spacing w:after="0" w:line="253"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211"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45" w:lineRule="exact"/>
        <w:rPr>
          <w:sz w:val="20"/>
          <w:szCs w:val="20"/>
          <w:color w:val="auto"/>
        </w:rPr>
      </w:pPr>
    </w:p>
    <w:p>
      <w:pPr>
        <w:jc w:val="both"/>
        <w:ind w:left="540" w:hanging="532"/>
        <w:spacing w:after="0" w:line="298" w:lineRule="auto"/>
        <w:tabs>
          <w:tab w:leader="none" w:pos="5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Bye-Law, a Share premium account may be applied only in paying up of unissued Shares to be issued to such Shareholders credited as fully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t>RECORD DATE</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 AND TAX MATTERS</w:t>
      </w:r>
    </w:p>
    <w:p>
      <w:pPr>
        <w:spacing w:after="0" w:line="258" w:lineRule="exact"/>
        <w:rPr>
          <w:sz w:val="20"/>
          <w:szCs w:val="20"/>
          <w:color w:val="auto"/>
        </w:rPr>
      </w:pPr>
    </w:p>
    <w:p>
      <w:pPr>
        <w:ind w:left="540" w:hanging="532"/>
        <w:spacing w:after="0" w:line="268" w:lineRule="auto"/>
        <w:tabs>
          <w:tab w:leader="none" w:pos="5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45" w:lineRule="exact"/>
        <w:rPr>
          <w:sz w:val="20"/>
          <w:szCs w:val="20"/>
          <w:color w:val="auto"/>
        </w:rPr>
      </w:pPr>
    </w:p>
    <w:p>
      <w:pPr>
        <w:ind w:left="540" w:hanging="532"/>
        <w:spacing w:after="0" w:line="268" w:lineRule="auto"/>
        <w:tabs>
          <w:tab w:leader="none" w:pos="5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99" w:lineRule="exact"/>
        <w:rPr>
          <w:sz w:val="20"/>
          <w:szCs w:val="20"/>
          <w:color w:val="auto"/>
        </w:rPr>
      </w:pPr>
    </w:p>
    <w:p>
      <w:pPr>
        <w:ind w:left="540" w:hanging="532"/>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4" w:name="page285"/>
    <w:bookmarkEnd w:id="284"/>
    <w:p>
      <w:pPr>
        <w:jc w:val="both"/>
        <w:ind w:left="540"/>
        <w:spacing w:after="0" w:line="268" w:lineRule="auto"/>
        <w:rPr>
          <w:sz w:val="20"/>
          <w:szCs w:val="20"/>
          <w:color w:val="auto"/>
        </w:rPr>
      </w:pPr>
      <w:r>
        <w:rPr>
          <w:rFonts w:ascii="Arial" w:cs="Arial" w:eastAsia="Arial" w:hAnsi="Arial"/>
          <w:sz w:val="18"/>
          <w:szCs w:val="18"/>
          <w:color w:val="auto"/>
        </w:rPr>
        <w:t>Companies Acts and the provisions of these Bye-Laws, or sent by courier, facsimile, email or as an Electronic Record by electronic means, as the case may be, in accordance with these Bye-Laws.</w:t>
      </w:r>
    </w:p>
    <w:p>
      <w:pPr>
        <w:spacing w:after="0" w:line="186"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74" w:lineRule="exact"/>
        <w:rPr>
          <w:sz w:val="20"/>
          <w:szCs w:val="20"/>
          <w:color w:val="auto"/>
        </w:rPr>
      </w:pPr>
    </w:p>
    <w:p>
      <w:pPr>
        <w:jc w:val="both"/>
        <w:ind w:left="540" w:hanging="532"/>
        <w:spacing w:after="0" w:line="291" w:lineRule="auto"/>
        <w:tabs>
          <w:tab w:leader="none" w:pos="54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200"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INSURANCE, AND LIABILITY</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191" w:lineRule="exact"/>
        <w:rPr>
          <w:rFonts w:ascii="Arial" w:cs="Arial" w:eastAsia="Arial" w:hAnsi="Arial"/>
          <w:sz w:val="16"/>
          <w:szCs w:val="16"/>
          <w:color w:val="auto"/>
        </w:rPr>
      </w:pPr>
    </w:p>
    <w:p>
      <w:pPr>
        <w:ind w:left="540" w:hanging="532"/>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52" w:lineRule="exact"/>
        <w:rPr>
          <w:rFonts w:ascii="Arial" w:cs="Arial" w:eastAsia="Arial" w:hAnsi="Arial"/>
          <w:sz w:val="18"/>
          <w:szCs w:val="18"/>
          <w:color w:val="auto"/>
        </w:rPr>
      </w:pPr>
    </w:p>
    <w:p>
      <w:pPr>
        <w:jc w:val="both"/>
        <w:ind w:left="540" w:hanging="532"/>
        <w:spacing w:after="0" w:line="369" w:lineRule="auto"/>
        <w:tabs>
          <w:tab w:leader="none" w:pos="54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131" w:lineRule="exact"/>
        <w:rPr>
          <w:rFonts w:ascii="Arial" w:cs="Arial" w:eastAsia="Arial" w:hAnsi="Arial"/>
          <w:sz w:val="15"/>
          <w:szCs w:val="15"/>
          <w:color w:val="auto"/>
        </w:rPr>
      </w:pPr>
    </w:p>
    <w:p>
      <w:pPr>
        <w:jc w:val="both"/>
        <w:ind w:left="540" w:hanging="532"/>
        <w:spacing w:after="0" w:line="298" w:lineRule="auto"/>
        <w:tabs>
          <w:tab w:leader="none" w:pos="5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179"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5" w:name="page286"/>
    <w:bookmarkEnd w:id="285"/>
    <w:p>
      <w:pPr>
        <w:ind w:left="540"/>
        <w:spacing w:after="0"/>
        <w:rPr>
          <w:sz w:val="20"/>
          <w:szCs w:val="20"/>
          <w:color w:val="auto"/>
        </w:rPr>
      </w:pPr>
      <w:r>
        <w:rPr>
          <w:rFonts w:ascii="Arial" w:cs="Arial" w:eastAsia="Arial" w:hAnsi="Arial"/>
          <w:sz w:val="16"/>
          <w:szCs w:val="16"/>
          <w:color w:val="auto"/>
        </w:rPr>
        <w:t>person shall repay such portion of the advance attributable to any claim of fraud or dishonesty if such a claim is proved against the Indemnified person.</w:t>
      </w:r>
    </w:p>
    <w:p>
      <w:pPr>
        <w:spacing w:after="0" w:line="262" w:lineRule="exact"/>
        <w:rPr>
          <w:sz w:val="20"/>
          <w:szCs w:val="20"/>
          <w:color w:val="auto"/>
        </w:rPr>
      </w:pPr>
    </w:p>
    <w:p>
      <w:pPr>
        <w:jc w:val="both"/>
        <w:ind w:left="540" w:hanging="532"/>
        <w:spacing w:after="0" w:line="294" w:lineRule="auto"/>
        <w:tabs>
          <w:tab w:leader="none" w:pos="5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196"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210"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PRECEDENCE</w:t>
      </w:r>
    </w:p>
    <w:p>
      <w:pPr>
        <w:spacing w:after="0" w:line="258" w:lineRule="exact"/>
        <w:rPr>
          <w:sz w:val="20"/>
          <w:szCs w:val="20"/>
          <w:color w:val="auto"/>
        </w:rPr>
      </w:pPr>
    </w:p>
    <w:p>
      <w:pPr>
        <w:jc w:val="both"/>
        <w:ind w:left="540" w:hanging="532"/>
        <w:spacing w:after="0" w:line="254" w:lineRule="auto"/>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214"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BYE-LAWS</w:t>
      </w:r>
    </w:p>
    <w:p>
      <w:pPr>
        <w:spacing w:after="0" w:line="258" w:lineRule="exact"/>
        <w:rPr>
          <w:sz w:val="20"/>
          <w:szCs w:val="20"/>
          <w:color w:val="auto"/>
        </w:rPr>
      </w:pPr>
    </w:p>
    <w:p>
      <w:pPr>
        <w:ind w:left="5540" w:right="1460" w:hanging="5532"/>
        <w:spacing w:after="0" w:line="518" w:lineRule="auto"/>
        <w:tabs>
          <w:tab w:leader="none" w:pos="55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6" w:name="page287"/>
    <w:bookmarkEnd w:id="286"/>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Existing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87" w:name="page288"/>
    <w:bookmarkEnd w:id="287"/>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Certificate of Designation of Preference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t>EXHIBIT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SURVIVING COMPANY BOARD</w:t>
      </w:r>
    </w:p>
    <w:p>
      <w:pPr>
        <w:spacing w:after="0" w:line="245" w:lineRule="exact"/>
        <w:rPr>
          <w:sz w:val="20"/>
          <w:szCs w:val="20"/>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Eduard Ruijs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289" w:name="page290"/>
    <w:bookmarkEnd w:id="289"/>
    <w:p>
      <w:pPr>
        <w:ind w:left="10440"/>
        <w:spacing w:after="0"/>
        <w:rPr>
          <w:sz w:val="20"/>
          <w:szCs w:val="20"/>
          <w:color w:val="auto"/>
        </w:rPr>
      </w:pPr>
      <w:r>
        <w:rPr>
          <w:rFonts w:ascii="Arial" w:cs="Arial" w:eastAsia="Arial" w:hAnsi="Arial"/>
          <w:sz w:val="16"/>
          <w:szCs w:val="16"/>
          <w:b w:val="1"/>
          <w:bCs w:val="1"/>
          <w:color w:val="auto"/>
        </w:rPr>
        <w:t>Annex A-2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AND PLAN OF MERGER</w:t>
      </w:r>
    </w:p>
    <w:p>
      <w:pPr>
        <w:spacing w:after="0" w:line="219"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auto"/>
        </w:rPr>
        <w:t>This AMENDMENT NO. 1 TO AGREEMENT AND PLAN OF MERGER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as of April 20, 2021, by and among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Capitalized terms not otherwise defined in this Amendment shall have the meanings ascribed to such terms in the Merger Agreement (as defined below).</w:t>
      </w:r>
    </w:p>
    <w:p>
      <w:pPr>
        <w:spacing w:after="0" w:line="16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Parent and Merger Sub are party to that certain Agreement and Plan of Merger, dated as of February 21, 2021 (the “</w:t>
      </w:r>
      <w:r>
        <w:rPr>
          <w:rFonts w:ascii="Arial" w:cs="Arial" w:eastAsia="Arial" w:hAnsi="Arial"/>
          <w:sz w:val="18"/>
          <w:szCs w:val="18"/>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the Merger Agreement as set forth herein, in accordance with Section 8.02 of the Merger Agreement.</w:t>
      </w:r>
    </w:p>
    <w:p>
      <w:pPr>
        <w:spacing w:after="0" w:line="248"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hereby agree as follows:</w:t>
      </w:r>
    </w:p>
    <w:p>
      <w:pPr>
        <w:spacing w:after="0" w:line="193" w:lineRule="exact"/>
        <w:rPr>
          <w:sz w:val="20"/>
          <w:szCs w:val="20"/>
          <w:color w:val="auto"/>
        </w:rPr>
      </w:pPr>
    </w:p>
    <w:p>
      <w:pPr>
        <w:ind w:left="540" w:hanging="532"/>
        <w:spacing w:after="0" w:line="268"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2.02(a) of the Merger Agreement is hereby amended by deleting the phrase “(such aggregate Merger Consideration to be calculated assuming there shall be no Dissenting Shares)” from the first sentence thereof.</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2.02(b) of the Merger Agreement is hereby amended by deleting the phrase “(other than any holder of Common Shares representing Dissenting Shares)” from the second sentence thereof.</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2.04(a)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“Notwithstanding anything in this Agreement to the contrary, at the Effective Time, all Dissenting Shares shall automatically be canceled and, unless otherwise required by applicable Law, converted into the right to receive the Merger Consideration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 and any holder of Dissenting Shares shall, in the event that the fair value of a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is greater than the Merger Consideration, be entitled to receive such difference (the “</w:t>
      </w:r>
      <w:r>
        <w:rPr>
          <w:rFonts w:ascii="Arial" w:cs="Arial" w:eastAsia="Arial" w:hAnsi="Arial"/>
          <w:sz w:val="16"/>
          <w:szCs w:val="16"/>
          <w:u w:val="single" w:color="auto"/>
          <w:color w:val="auto"/>
        </w:rPr>
        <w:t>Additional Common Amount</w:t>
      </w:r>
      <w:r>
        <w:rPr>
          <w:rFonts w:ascii="Arial" w:cs="Arial" w:eastAsia="Arial" w:hAnsi="Arial"/>
          <w:sz w:val="16"/>
          <w:szCs w:val="16"/>
          <w:color w:val="auto"/>
        </w:rPr>
        <w:t>”), in addition to the Merger Consideration, from the Surviving Company by payment to the holder of the Dissenting Shares made within one month after such Appraised Fair Value is finally determined pursuant to such statutory appraisal procedure.”</w:t>
      </w:r>
    </w:p>
    <w:p>
      <w:pPr>
        <w:spacing w:after="0" w:line="187" w:lineRule="exact"/>
        <w:rPr>
          <w:rFonts w:ascii="Arial" w:cs="Arial" w:eastAsia="Arial" w:hAnsi="Arial"/>
          <w:sz w:val="18"/>
          <w:szCs w:val="18"/>
          <w:color w:val="auto"/>
        </w:rPr>
      </w:pPr>
    </w:p>
    <w:p>
      <w:pPr>
        <w:ind w:left="540" w:hanging="532"/>
        <w:spacing w:after="0"/>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2.04(b) of the Merger Agreement is hereby replaced in its entirety by the following:</w:t>
      </w:r>
    </w:p>
    <w:p>
      <w:pPr>
        <w:spacing w:after="0" w:line="225" w:lineRule="exact"/>
        <w:rPr>
          <w:rFonts w:ascii="Arial" w:cs="Arial" w:eastAsia="Arial" w:hAnsi="Arial"/>
          <w:sz w:val="18"/>
          <w:szCs w:val="18"/>
          <w:color w:val="auto"/>
        </w:rPr>
      </w:pPr>
    </w:p>
    <w:p>
      <w:pPr>
        <w:jc w:val="both"/>
        <w:ind w:left="540"/>
        <w:spacing w:after="0" w:line="254" w:lineRule="auto"/>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retain such Dissenting Preference Shares as Surviving Company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(collectively with the Additional Common Amount,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2.04(e) of the Merger Agreement is hereby replaced in its entirety by the following:</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Merger Consideration to holders of Dissenting Shares.”</w:t>
      </w:r>
    </w:p>
    <w:p>
      <w:pPr>
        <w:spacing w:after="0" w:line="238" w:lineRule="exact"/>
        <w:rPr>
          <w:rFonts w:ascii="Arial" w:cs="Arial" w:eastAsia="Arial" w:hAnsi="Arial"/>
          <w:sz w:val="18"/>
          <w:szCs w:val="18"/>
          <w:color w:val="auto"/>
        </w:rPr>
      </w:pPr>
    </w:p>
    <w:p>
      <w:pPr>
        <w:ind w:left="540" w:right="1680" w:hanging="532"/>
        <w:spacing w:after="0" w:line="518"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Section 8.12 of the Merger Agreement is hereby amended to add the following definition in the proper lexicographical ordering: “</w:t>
      </w:r>
      <w:r>
        <w:rPr>
          <w:rFonts w:ascii="Arial" w:cs="Arial" w:eastAsia="Arial" w:hAnsi="Arial"/>
          <w:sz w:val="18"/>
          <w:szCs w:val="18"/>
          <w:u w:val="single" w:color="auto"/>
          <w:color w:val="auto"/>
        </w:rPr>
        <w:t>Additional Common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0" w:name="page291"/>
    <w:bookmarkEnd w:id="290"/>
    <w:p>
      <w:pPr>
        <w:ind w:left="532" w:hanging="532"/>
        <w:spacing w:after="0" w:line="268" w:lineRule="auto"/>
        <w:tabs>
          <w:tab w:leader="none" w:pos="5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Section 7(g)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224" w:lineRule="exact"/>
        <w:rPr>
          <w:rFonts w:ascii="Arial" w:cs="Arial" w:eastAsia="Arial" w:hAnsi="Arial"/>
          <w:sz w:val="18"/>
          <w:szCs w:val="18"/>
          <w:color w:val="auto"/>
        </w:rPr>
      </w:pPr>
    </w:p>
    <w:p>
      <w:pPr>
        <w:ind w:left="532" w:hanging="532"/>
        <w:spacing w:after="0" w:line="268" w:lineRule="auto"/>
        <w:tabs>
          <w:tab w:leader="none" w:pos="5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Section 7(h) of the form of the Statutory Merger Agreement, attached to the Merger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 is hereby replaced in its entirety by the following:</w:t>
      </w:r>
    </w:p>
    <w:p>
      <w:pPr>
        <w:spacing w:after="0" w:line="185" w:lineRule="exact"/>
        <w:rPr>
          <w:rFonts w:ascii="Arial" w:cs="Arial" w:eastAsia="Arial" w:hAnsi="Arial"/>
          <w:sz w:val="18"/>
          <w:szCs w:val="18"/>
          <w:color w:val="auto"/>
        </w:rPr>
      </w:pPr>
    </w:p>
    <w:p>
      <w:pPr>
        <w:jc w:val="both"/>
        <w:ind w:left="532"/>
        <w:spacing w:after="0" w:line="254" w:lineRule="auto"/>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214" w:lineRule="exact"/>
        <w:rPr>
          <w:rFonts w:ascii="Arial" w:cs="Arial" w:eastAsia="Arial" w:hAnsi="Arial"/>
          <w:sz w:val="18"/>
          <w:szCs w:val="18"/>
          <w:color w:val="auto"/>
        </w:rPr>
      </w:pPr>
    </w:p>
    <w:p>
      <w:pPr>
        <w:ind w:left="532" w:right="20" w:hanging="532"/>
        <w:spacing w:after="0" w:line="268" w:lineRule="auto"/>
        <w:tabs>
          <w:tab w:leader="none" w:pos="5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All of the provisions of this Amendment shall be effective as of the date of this Amendment. Except to the extent specifically amended by this Amendment, the Merger Agreement remains unchanged.</w:t>
      </w:r>
    </w:p>
    <w:p>
      <w:pPr>
        <w:spacing w:after="0" w:line="199" w:lineRule="exact"/>
        <w:rPr>
          <w:rFonts w:ascii="Arial" w:cs="Arial" w:eastAsia="Arial" w:hAnsi="Arial"/>
          <w:sz w:val="18"/>
          <w:szCs w:val="18"/>
          <w:color w:val="auto"/>
        </w:rPr>
      </w:pPr>
    </w:p>
    <w:p>
      <w:pPr>
        <w:jc w:val="both"/>
        <w:ind w:left="532" w:hanging="532"/>
        <w:spacing w:after="0" w:line="294" w:lineRule="auto"/>
        <w:tabs>
          <w:tab w:leader="none" w:pos="532" w:val="left"/>
        </w:tabs>
        <w:numPr>
          <w:ilvl w:val="0"/>
          <w:numId w:val="365"/>
        </w:numPr>
        <w:rPr>
          <w:rFonts w:ascii="Arial" w:cs="Arial" w:eastAsia="Arial" w:hAnsi="Arial"/>
          <w:sz w:val="16"/>
          <w:szCs w:val="16"/>
          <w:color w:val="auto"/>
        </w:rPr>
      </w:pPr>
      <w:r>
        <w:rPr>
          <w:rFonts w:ascii="Arial" w:cs="Arial" w:eastAsia="Arial" w:hAnsi="Arial"/>
          <w:sz w:val="16"/>
          <w:szCs w:val="16"/>
          <w:color w:val="auto"/>
        </w:rPr>
        <w:t>After giving effect to this Amendment, any references in the Merger Agreement to “this Agreement,” or to the words “hereof” or “hereunder” or words of similar import, and all references to the Merger Agreement in any and all agreements, instruments, documents, notes, certificates and other writings of every kind of nature (other than in this Amendment or as otherwise expressly provided), shall mean the Merger Agreement as amended by this Amendment, whether or not this Amendment is expressly referenced. All references in the Merger Agreement to “the date hereof” or “the date of this Agreement” shall refer to February 21, 2021.</w:t>
      </w:r>
    </w:p>
    <w:p>
      <w:pPr>
        <w:spacing w:after="0" w:line="196" w:lineRule="exact"/>
        <w:rPr>
          <w:rFonts w:ascii="Arial" w:cs="Arial" w:eastAsia="Arial" w:hAnsi="Arial"/>
          <w:sz w:val="16"/>
          <w:szCs w:val="16"/>
          <w:color w:val="auto"/>
        </w:rPr>
      </w:pPr>
    </w:p>
    <w:p>
      <w:pPr>
        <w:jc w:val="both"/>
        <w:ind w:left="532" w:hanging="532"/>
        <w:spacing w:after="0" w:line="259" w:lineRule="auto"/>
        <w:tabs>
          <w:tab w:leader="none" w:pos="53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(Miscellaneous) of the Merger Agreement shall, to the extent not already set forth in this Amendment, apply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xml:space="preserve"> to this Amendment, and to the Merger Agreement as modified by this Amendment, taken together as a single agreement, reflecting the terms as modified hereby.</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32"/>
          </w:cols>
          <w:pgMar w:left="328" w:top="145" w:right="339" w:bottom="1440" w:gutter="0" w:footer="0" w:header="0"/>
        </w:sectPr>
      </w:pPr>
    </w:p>
    <w:bookmarkStart w:id="291" w:name="page292"/>
    <w:bookmarkEnd w:id="29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Amendment to be executed as of the date first above written.</w:t>
      </w: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Paul A. Wogan</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Managing Director</w:t>
      </w: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71120</wp:posOffset>
            </wp:positionV>
            <wp:extent cx="2674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James Berner</w:t>
      </w:r>
    </w:p>
    <w:p>
      <w:pPr>
        <w:spacing w:after="0" w:line="1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Amendment No. 1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292" w:name="page293"/>
    <w:bookmarkEnd w:id="292"/>
    <w:p>
      <w:pPr>
        <w:ind w:left="1054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spacing w:after="0"/>
        <w:tabs>
          <w:tab w:leader="none" w:pos="4400" w:val="left"/>
          <w:tab w:leader="none" w:pos="4620" w:val="left"/>
        </w:tabs>
        <w:rPr>
          <w:sz w:val="20"/>
          <w:szCs w:val="20"/>
          <w:color w:val="auto"/>
        </w:rPr>
      </w:pPr>
      <w:r>
        <w:rPr>
          <w:rFonts w:ascii="Arial" w:cs="Arial" w:eastAsia="Arial" w:hAnsi="Arial"/>
          <w:sz w:val="18"/>
          <w:szCs w:val="18"/>
          <w:b w:val="1"/>
          <w:bCs w:val="1"/>
          <w:color w:val="auto"/>
        </w:rPr>
        <w:t xml:space="preserve">THIS STATUTORY MERGER AGREEMENT </w:t>
      </w:r>
      <w:r>
        <w:rPr>
          <w:rFonts w:ascii="Arial" w:cs="Arial" w:eastAsia="Arial" w:hAnsi="Arial"/>
          <w:sz w:val="18"/>
          <w:szCs w:val="18"/>
          <w:color w:val="auto"/>
        </w:rPr>
        <w:t>is dated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2021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line="275" w:lineRule="auto"/>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Hamilton HM11, Bermuda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 Victoria</w:t>
      </w:r>
      <w:r>
        <w:rPr>
          <w:rFonts w:ascii="Arial" w:cs="Arial" w:eastAsia="Arial" w:hAnsi="Arial"/>
          <w:sz w:val="18"/>
          <w:szCs w:val="18"/>
          <w:b w:val="1"/>
          <w:bCs w:val="1"/>
          <w:color w:val="auto"/>
        </w:rPr>
        <w:t xml:space="preserve"> </w:t>
      </w:r>
      <w:r>
        <w:rPr>
          <w:rFonts w:ascii="Arial" w:cs="Arial" w:eastAsia="Arial" w:hAnsi="Arial"/>
          <w:sz w:val="18"/>
          <w:szCs w:val="18"/>
          <w:color w:val="auto"/>
        </w:rPr>
        <w:t>Place, 31 Victoria Street, Hamilton HM10, Bermuda (hereinafter called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45" w:lineRule="exact"/>
        <w:rPr>
          <w:sz w:val="20"/>
          <w:szCs w:val="20"/>
          <w:color w:val="auto"/>
        </w:rPr>
      </w:pPr>
    </w:p>
    <w:p>
      <w:pPr>
        <w:ind w:left="1080" w:hanging="532"/>
        <w:spacing w:after="0" w:line="268"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w:t>
      </w:r>
      <w:r>
        <w:rPr>
          <w:rFonts w:ascii="Arial" w:cs="Arial" w:eastAsia="Arial" w:hAnsi="Arial"/>
          <w:sz w:val="18"/>
          <w:szCs w:val="18"/>
          <w:u w:val="single" w:color="auto"/>
          <w:color w:val="auto"/>
        </w:rPr>
        <w:t>Agreement and Plan of Merger</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Merger Sub and the Company (together, the “</w:t>
      </w:r>
      <w:r>
        <w:rPr>
          <w:rFonts w:ascii="Arial" w:cs="Arial" w:eastAsia="Arial" w:hAnsi="Arial"/>
          <w:sz w:val="16"/>
          <w:szCs w:val="16"/>
          <w:u w:val="single" w:color="auto"/>
          <w:color w:val="auto"/>
        </w:rPr>
        <w:t>Merging Companies</w:t>
      </w:r>
      <w:r>
        <w:rPr>
          <w:rFonts w:ascii="Arial" w:cs="Arial" w:eastAsia="Arial" w:hAnsi="Arial"/>
          <w:sz w:val="16"/>
          <w:szCs w:val="16"/>
          <w:color w:val="auto"/>
        </w:rPr>
        <w:t>”) have agreed that Merger Sub will, subject to the terms and conditions set forth herein and in the Agreement and Plan of Merger, merge with and into the Company in accordance with the provisions of the Companies Act 1981 of Bermuda, as amended (the “</w:t>
      </w:r>
      <w:r>
        <w:rPr>
          <w:rFonts w:ascii="Arial" w:cs="Arial" w:eastAsia="Arial" w:hAnsi="Arial"/>
          <w:sz w:val="16"/>
          <w:szCs w:val="16"/>
          <w:u w:val="single" w:color="auto"/>
          <w:color w:val="auto"/>
        </w:rPr>
        <w:t>Companies Act</w:t>
      </w:r>
      <w:r>
        <w:rPr>
          <w:rFonts w:ascii="Arial" w:cs="Arial" w:eastAsia="Arial" w:hAnsi="Arial"/>
          <w:sz w:val="16"/>
          <w:szCs w:val="16"/>
          <w:color w:val="auto"/>
        </w:rPr>
        <w:t>”), with the Company continuing as the Surviving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defined herein, capitalized terms have the same meaning as used and defined in the Agreement and Plan of Merger.</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58" w:lineRule="exact"/>
        <w:rPr>
          <w:rFonts w:ascii="Arial" w:cs="Arial" w:eastAsia="Arial" w:hAnsi="Arial"/>
          <w:sz w:val="18"/>
          <w:szCs w:val="18"/>
          <w:b w:val="1"/>
          <w:bCs w:val="1"/>
          <w:color w:val="auto"/>
        </w:rPr>
      </w:pPr>
    </w:p>
    <w:p>
      <w:pPr>
        <w:jc w:val="both"/>
        <w:ind w:left="1080" w:hanging="532"/>
        <w:spacing w:after="0" w:line="298" w:lineRule="auto"/>
        <w:tabs>
          <w:tab w:leader="none" w:pos="108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name of the Surviving Company shall be GasLog Ltd.</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31" w:lineRule="exact"/>
        <w:rPr>
          <w:sz w:val="20"/>
          <w:szCs w:val="20"/>
          <w:color w:val="auto"/>
        </w:rPr>
      </w:pPr>
    </w:p>
    <w:p>
      <w:pPr>
        <w:ind w:firstLine="369"/>
        <w:spacing w:after="0" w:line="268" w:lineRule="auto"/>
        <w:rPr>
          <w:sz w:val="20"/>
          <w:szCs w:val="20"/>
          <w:color w:val="auto"/>
        </w:rPr>
      </w:pPr>
      <w:r>
        <w:rPr>
          <w:rFonts w:ascii="Arial" w:cs="Arial" w:eastAsia="Arial" w:hAnsi="Arial"/>
          <w:sz w:val="18"/>
          <w:szCs w:val="18"/>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3" w:name="page294"/>
    <w:bookmarkEnd w:id="293"/>
    <w:p>
      <w:pPr>
        <w:ind w:left="360" w:hanging="352"/>
        <w:spacing w:after="0"/>
        <w:tabs>
          <w:tab w:leader="none" w:pos="3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31" w:lineRule="exact"/>
        <w:rPr>
          <w:sz w:val="20"/>
          <w:szCs w:val="20"/>
          <w:color w:val="auto"/>
        </w:rPr>
      </w:pPr>
    </w:p>
    <w:p>
      <w:pPr>
        <w:ind w:right="20" w:firstLine="350"/>
        <w:spacing w:after="0" w:line="268" w:lineRule="auto"/>
        <w:rPr>
          <w:sz w:val="20"/>
          <w:szCs w:val="20"/>
          <w:color w:val="auto"/>
        </w:rPr>
      </w:pPr>
      <w:r>
        <w:rPr>
          <w:rFonts w:ascii="Arial" w:cs="Arial" w:eastAsia="Arial" w:hAnsi="Arial"/>
          <w:sz w:val="18"/>
          <w:szCs w:val="18"/>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80" w:lineRule="exact"/>
        <w:rPr>
          <w:sz w:val="20"/>
          <w:szCs w:val="20"/>
          <w:color w:val="auto"/>
        </w:rPr>
      </w:pPr>
    </w:p>
    <w:p>
      <w:pPr>
        <w:ind w:left="360" w:hanging="352"/>
        <w:spacing w:after="0"/>
        <w:tabs>
          <w:tab w:leader="none" w:pos="3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directors of the Company in office immediately prior to the Effective Time whose names and addresses are set out below shall be the directors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Surviving Company until the earlier of their resignation or removal or until their respective successors are elected and qualified, as the case may be: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3"/>
                <w:szCs w:val="13"/>
                <w:b w:val="1"/>
                <w:bCs w:val="1"/>
                <w:color w:val="auto"/>
                <w:w w:val="97"/>
              </w:rPr>
              <w:t>ADDRESS</w:t>
            </w:r>
          </w:p>
        </w:tc>
      </w:tr>
      <w:tr>
        <w:trPr>
          <w:trHeight w:val="201"/>
        </w:trPr>
        <w:tc>
          <w:tcPr>
            <w:tcW w:w="4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[Name]</w:t>
            </w:r>
          </w:p>
        </w:tc>
        <w:tc>
          <w:tcPr>
            <w:tcW w:w="2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1"/>
              </w:rPr>
              <w:t>[Address]</w:t>
            </w:r>
          </w:p>
        </w:tc>
        <w:tc>
          <w:tcPr>
            <w:tcW w:w="40" w:type="dxa"/>
            <w:vAlign w:val="bottom"/>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bl>
    <w:p>
      <w:pPr>
        <w:spacing w:after="0" w:line="210"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180" w:lineRule="exact"/>
        <w:rPr>
          <w:sz w:val="20"/>
          <w:szCs w:val="20"/>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SECURITIES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At the Effective Time, by virtue of the Merger and without any action on the part of Merging Companies or the holder of any equity thereof:</w:t>
      </w:r>
    </w:p>
    <w:p>
      <w:pPr>
        <w:spacing w:after="0" w:line="261" w:lineRule="exact"/>
        <w:rPr>
          <w:rFonts w:ascii="Arial" w:cs="Arial" w:eastAsia="Arial" w:hAnsi="Arial"/>
          <w:sz w:val="18"/>
          <w:szCs w:val="18"/>
          <w:b w:val="1"/>
          <w:bCs w:val="1"/>
          <w:color w:val="auto"/>
        </w:rPr>
      </w:pPr>
    </w:p>
    <w:p>
      <w:pPr>
        <w:jc w:val="both"/>
        <w:ind w:left="1080" w:hanging="532"/>
        <w:spacing w:after="0" w:line="294" w:lineRule="auto"/>
        <w:tabs>
          <w:tab w:leader="none" w:pos="108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each common share, par value $1.00 per share, of Merger Sub (each, a “</w:t>
      </w:r>
      <w:r>
        <w:rPr>
          <w:rFonts w:ascii="Arial" w:cs="Arial" w:eastAsia="Arial" w:hAnsi="Arial"/>
          <w:sz w:val="16"/>
          <w:szCs w:val="16"/>
          <w:u w:val="single" w:color="auto"/>
          <w:color w:val="auto"/>
        </w:rPr>
        <w:t>Merger Sub Share</w:t>
      </w:r>
      <w:r>
        <w:rPr>
          <w:rFonts w:ascii="Arial" w:cs="Arial" w:eastAsia="Arial" w:hAnsi="Arial"/>
          <w:sz w:val="16"/>
          <w:szCs w:val="16"/>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6"/>
          <w:szCs w:val="16"/>
          <w:u w:val="single" w:color="auto"/>
          <w:color w:val="auto"/>
        </w:rPr>
        <w:t>Surviving Company Shares</w:t>
      </w:r>
      <w:r>
        <w:rPr>
          <w:rFonts w:ascii="Arial" w:cs="Arial" w:eastAsia="Arial" w:hAnsi="Arial"/>
          <w:sz w:val="16"/>
          <w:szCs w:val="16"/>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Company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and shall instead remain outstanding as one authorized, validly issued, fully paid and nonassessable Surviving Company Share;</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Rolling Shareholder or the Additional Rolling Shareholders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1"/>
          <w:numId w:val="371"/>
        </w:numPr>
        <w:rPr>
          <w:rFonts w:ascii="Arial" w:cs="Arial" w:eastAsia="Arial" w:hAnsi="Arial"/>
          <w:sz w:val="15"/>
          <w:szCs w:val="15"/>
          <w:color w:val="auto"/>
        </w:rPr>
      </w:pPr>
      <w:r>
        <w:rPr>
          <w:rFonts w:ascii="Arial" w:cs="Arial" w:eastAsia="Arial" w:hAnsi="Arial"/>
          <w:sz w:val="15"/>
          <w:szCs w:val="15"/>
          <w:color w:val="auto"/>
        </w:rPr>
        <w:t>subject to paragraphs (b), (c), (d) and (g), each Common Share that is issued and outstanding immediately prior to the Effective Time, other than</w:t>
      </w:r>
    </w:p>
    <w:p>
      <w:pPr>
        <w:spacing w:after="0" w:line="49" w:lineRule="exact"/>
        <w:rPr>
          <w:rFonts w:ascii="Arial" w:cs="Arial" w:eastAsia="Arial" w:hAnsi="Arial"/>
          <w:sz w:val="15"/>
          <w:szCs w:val="15"/>
          <w:color w:val="auto"/>
        </w:rPr>
      </w:pPr>
    </w:p>
    <w:p>
      <w:pPr>
        <w:jc w:val="both"/>
        <w:ind w:left="1080"/>
        <w:spacing w:after="0" w:line="292" w:lineRule="auto"/>
        <w:rPr>
          <w:rFonts w:ascii="Arial" w:cs="Arial" w:eastAsia="Arial" w:hAnsi="Arial"/>
          <w:sz w:val="15"/>
          <w:szCs w:val="15"/>
          <w:color w:val="auto"/>
        </w:rPr>
      </w:pPr>
      <w:r>
        <w:rPr>
          <w:rFonts w:ascii="Arial" w:cs="Arial" w:eastAsia="Arial" w:hAnsi="Arial"/>
          <w:sz w:val="16"/>
          <w:szCs w:val="16"/>
          <w:color w:val="auto"/>
        </w:rPr>
        <w:t>(i)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3613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4" w:name="page295"/>
    <w:bookmarkEnd w:id="294"/>
    <w:p>
      <w:pPr>
        <w:jc w:val="both"/>
        <w:ind w:left="1080" w:hanging="532"/>
        <w:spacing w:after="0" w:line="298" w:lineRule="auto"/>
        <w:tabs>
          <w:tab w:leader="none" w:pos="10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6"/>
          <w:szCs w:val="16"/>
          <w:u w:val="single" w:color="auto"/>
          <w:color w:val="auto"/>
        </w:rPr>
        <w:t>Preference Share</w:t>
      </w:r>
      <w:r>
        <w:rPr>
          <w:rFonts w:ascii="Arial" w:cs="Arial" w:eastAsia="Arial" w:hAnsi="Arial"/>
          <w:sz w:val="16"/>
          <w:szCs w:val="16"/>
          <w:color w:val="auto"/>
        </w:rPr>
        <w:t>”) shall remain outstanding as a preference share of the Surviving Company (a “</w:t>
      </w:r>
      <w:r>
        <w:rPr>
          <w:rFonts w:ascii="Arial" w:cs="Arial" w:eastAsia="Arial" w:hAnsi="Arial"/>
          <w:sz w:val="16"/>
          <w:szCs w:val="16"/>
          <w:u w:val="single" w:color="auto"/>
          <w:color w:val="auto"/>
        </w:rPr>
        <w:t>Surviving Company Preference Share</w:t>
      </w:r>
      <w:r>
        <w:rPr>
          <w:rFonts w:ascii="Arial" w:cs="Arial" w:eastAsia="Arial" w:hAnsi="Arial"/>
          <w:sz w:val="16"/>
          <w:szCs w:val="16"/>
          <w:color w:val="auto"/>
        </w:rPr>
        <w:t>”) and shall be entitled to the same dividend and other relative rights, preferences, limitations and restrictions as are now provided by the certificate of designations of such existing preference shares;</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all Dissenting Shares shall automatically be canceled and, unless otherwise required by applicable law, converted into the right to receive the Merger Consideration as set out in the Agreement and Plan of Merger, and any holder of Dissenting Shares shall, in the event that the fair value of a Dissenting Share as appraised by the Supreme Court of Bermuda under Section 106(6) of the Companies Act (the “</w:t>
      </w:r>
      <w:r>
        <w:rPr>
          <w:rFonts w:ascii="Arial" w:cs="Arial" w:eastAsia="Arial" w:hAnsi="Arial"/>
          <w:sz w:val="16"/>
          <w:szCs w:val="16"/>
          <w:i w:val="1"/>
          <w:iCs w:val="1"/>
          <w:color w:val="auto"/>
        </w:rPr>
        <w:t>Appraised Fair Value</w:t>
      </w:r>
      <w:r>
        <w:rPr>
          <w:rFonts w:ascii="Arial" w:cs="Arial" w:eastAsia="Arial" w:hAnsi="Arial"/>
          <w:sz w:val="16"/>
          <w:szCs w:val="16"/>
          <w:color w:val="auto"/>
        </w:rPr>
        <w:t>”) is greater than the Merger Consideration, be entitled to receive such difference, in addition to the Merger Consideration, from the Surviving Company by payment to the holder of the Dissenting Shares made within one month after such Appraised Fair Value is finally determined pursuant to such statutory appraisal procedure; and</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This Agreement may be executed in counterparts each of which when executed and delivered shall constitute an original but all such counterparts together shall constitute one and the same instrument.</w:t>
      </w:r>
    </w:p>
    <w:p>
      <w:pPr>
        <w:spacing w:after="0" w:line="180" w:lineRule="exact"/>
        <w:rPr>
          <w:sz w:val="20"/>
          <w:szCs w:val="20"/>
          <w:color w:val="auto"/>
        </w:rPr>
      </w:pPr>
    </w:p>
    <w:p>
      <w:pPr>
        <w:ind w:left="360" w:hanging="352"/>
        <w:spacing w:after="0"/>
        <w:tabs>
          <w:tab w:leader="none" w:pos="3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MERGER SUB,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Matt Raben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matthew.raben@blackrock.com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Office of the General Counsel</w:t>
      </w:r>
    </w:p>
    <w:p>
      <w:pPr>
        <w:ind w:left="54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Jelena Napolitano</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legaltransactions@blackrock.com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Wakefield Quin Limited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Victoria Place, 31 Victoria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95" w:name="page296"/>
    <w:bookmarkEnd w:id="295"/>
    <w:p>
      <w:pPr>
        <w:ind w:left="540"/>
        <w:spacing w:after="0"/>
        <w:rPr>
          <w:sz w:val="20"/>
          <w:szCs w:val="20"/>
          <w:color w:val="auto"/>
        </w:rPr>
      </w:pPr>
      <w:r>
        <w:rPr>
          <w:rFonts w:ascii="Arial" w:cs="Arial" w:eastAsia="Arial" w:hAnsi="Arial"/>
          <w:sz w:val="16"/>
          <w:szCs w:val="16"/>
          <w:color w:val="auto"/>
        </w:rPr>
        <w:t>Hamilton, HM10</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Bermuda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Ian Stone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istone@wq.bm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COMPANY,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 GasLog LNG Services Ltd.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Greece</w:t>
      </w:r>
    </w:p>
    <w:p>
      <w:pPr>
        <w:sectPr>
          <w:pgSz w:w="11900" w:h="16838" w:orient="portrait"/>
          <w:cols w:equalWidth="0" w:num="1">
            <w:col w:w="11240"/>
          </w:cols>
          <w:pgMar w:left="320" w:top="131" w:right="339" w:bottom="1440" w:gutter="0" w:footer="0" w:header="0"/>
          <w:type w:val="continuous"/>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Alexandros Laios, General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alaios@gaslogltd.com</w:t>
      </w:r>
    </w:p>
    <w:p>
      <w:pPr>
        <w:spacing w:after="0" w:line="200" w:lineRule="exact"/>
        <w:rPr>
          <w:sz w:val="20"/>
          <w:szCs w:val="20"/>
          <w:color w:val="auto"/>
        </w:rPr>
      </w:pPr>
    </w:p>
    <w:p>
      <w:pPr>
        <w:sectPr>
          <w:pgSz w:w="11900" w:h="16838" w:orient="portrait"/>
          <w:cols w:equalWidth="0" w:num="2">
            <w:col w:w="3140" w:space="720"/>
            <w:col w:w="7380"/>
          </w:cols>
          <w:pgMar w:left="320" w:top="131" w:right="339" w:bottom="1440" w:gutter="0" w:footer="0" w:header="0"/>
          <w:type w:val="continuous"/>
        </w:sectPr>
      </w:pPr>
    </w:p>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Cravath, Swaine &amp; Moore LLP</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New York, NY 10019 U.S.A.</w:t>
      </w:r>
    </w:p>
    <w:p>
      <w:pPr>
        <w:sectPr>
          <w:pgSz w:w="11900" w:h="16838" w:orient="portrait"/>
          <w:cols w:equalWidth="0" w:num="1">
            <w:col w:w="11240"/>
          </w:cols>
          <w:pgMar w:left="320" w:top="131" w:right="339" w:bottom="1440" w:gutter="0" w:footer="0" w:header="0"/>
          <w:type w:val="continuous"/>
        </w:sectPr>
      </w:pP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Bermuda and the parties hereto submit to the exclusive jurisdiction of the courts of Bermuda.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6" w:name="page297"/>
    <w:bookmarkEnd w:id="296"/>
    <w:p>
      <w:pPr>
        <w:ind w:left="3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the day and year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CROWN MERGERCO LIMITED</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GASLOG LTD.</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t>ANNEXURE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t>ANNEXURE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9" w:name="page300"/>
    <w:bookmarkEnd w:id="299"/>
    <w:p>
      <w:pPr>
        <w:jc w:val="right"/>
        <w:ind w:right="40"/>
        <w:spacing w:after="0"/>
        <w:rPr>
          <w:sz w:val="20"/>
          <w:szCs w:val="20"/>
          <w:color w:val="auto"/>
        </w:rPr>
      </w:pPr>
      <w:r>
        <w:rPr>
          <w:rFonts w:ascii="Arial" w:cs="Arial" w:eastAsia="Arial" w:hAnsi="Arial"/>
          <w:sz w:val="18"/>
          <w:szCs w:val="18"/>
          <w:b w:val="1"/>
          <w:bCs w:val="1"/>
          <w:color w:val="auto"/>
        </w:rPr>
        <w:t>Annex C</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ROLLOVER AGREEMENT</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This ROLLOVER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21, 2021, among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executing this Agreement as “Rolling Shareholders” on the signature page hereto (each a “</w:t>
      </w:r>
      <w:r>
        <w:rPr>
          <w:rFonts w:ascii="Arial" w:cs="Arial" w:eastAsia="Arial" w:hAnsi="Arial"/>
          <w:sz w:val="16"/>
          <w:szCs w:val="16"/>
          <w:u w:val="single" w:color="auto"/>
          <w:color w:val="auto"/>
        </w:rPr>
        <w:t>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w:t>
      </w:r>
    </w:p>
    <w:p>
      <w:pPr>
        <w:spacing w:after="0" w:line="160"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are entering into an Agreement and Plan of Merger (as the same may be amended, restated or supplemented from time to time in accordance with its terms,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providing for, among other things, the merger of Merger Sub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66"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of and is entitled to dispose and vote (a) the number of common shares, par value $0.01 per share, of the Company (“</w:t>
      </w:r>
      <w:r>
        <w:rPr>
          <w:rFonts w:ascii="Arial" w:cs="Arial" w:eastAsia="Arial" w:hAnsi="Arial"/>
          <w:sz w:val="16"/>
          <w:szCs w:val="16"/>
          <w:u w:val="single" w:color="auto"/>
          <w:color w:val="auto"/>
        </w:rPr>
        <w:t>Common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and (b) the number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Owned Preference Shares</w:t>
      </w:r>
      <w:r>
        <w:rPr>
          <w:rFonts w:ascii="Arial" w:cs="Arial" w:eastAsia="Arial" w:hAnsi="Arial"/>
          <w:sz w:val="16"/>
          <w:szCs w:val="16"/>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6"/>
          <w:szCs w:val="16"/>
          <w:u w:val="single" w:color="auto"/>
          <w:color w:val="auto"/>
        </w:rPr>
        <w:t>Owned Shares</w:t>
      </w:r>
      <w:r>
        <w:rPr>
          <w:rFonts w:ascii="Arial" w:cs="Arial" w:eastAsia="Arial" w:hAnsi="Arial"/>
          <w:sz w:val="16"/>
          <w:szCs w:val="16"/>
          <w:color w:val="auto"/>
        </w:rPr>
        <w:t>”);</w:t>
      </w:r>
    </w:p>
    <w:p>
      <w:pPr>
        <w:spacing w:after="0" w:line="172"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16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w:t>
      </w:r>
    </w:p>
    <w:p>
      <w:pPr>
        <w:spacing w:after="0" w:line="18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w:t>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00" w:val="left"/>
          <w:tab w:leader="none" w:pos="2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Capitalized terms used but not defined herein shall have the meanings given to such terms in the Merger Agreement.</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8"/>
        <w:spacing w:after="0" w:line="259" w:lineRule="auto"/>
        <w:tabs>
          <w:tab w:leader="none" w:pos="1241"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0" w:name="page301"/>
    <w:bookmarkEnd w:id="300"/>
    <w:p>
      <w:pPr>
        <w:jc w:val="both"/>
        <w:ind w:left="540"/>
        <w:spacing w:after="0" w:line="286" w:lineRule="auto"/>
        <w:rPr>
          <w:sz w:val="20"/>
          <w:szCs w:val="20"/>
          <w:color w:val="auto"/>
        </w:rPr>
      </w:pPr>
      <w:r>
        <w:rPr>
          <w:rFonts w:ascii="Arial" w:cs="Arial" w:eastAsia="Arial" w:hAnsi="Arial"/>
          <w:sz w:val="16"/>
          <w:szCs w:val="16"/>
          <w:color w:val="auto"/>
        </w:rPr>
        <w:t>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77" w:lineRule="exact"/>
        <w:rPr>
          <w:sz w:val="20"/>
          <w:szCs w:val="20"/>
          <w:color w:val="auto"/>
        </w:rPr>
      </w:pPr>
    </w:p>
    <w:p>
      <w:pPr>
        <w:jc w:val="both"/>
        <w:ind w:left="540" w:firstLine="438"/>
        <w:spacing w:after="0" w:line="306" w:lineRule="auto"/>
        <w:tabs>
          <w:tab w:leader="none" w:pos="133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Rollover</w:t>
      </w:r>
    </w:p>
    <w:p>
      <w:pPr>
        <w:spacing w:after="0" w:line="200" w:lineRule="exact"/>
        <w:rPr>
          <w:sz w:val="20"/>
          <w:szCs w:val="20"/>
          <w:color w:val="auto"/>
        </w:rPr>
      </w:pPr>
    </w:p>
    <w:p>
      <w:pPr>
        <w:spacing w:after="0" w:line="235"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Rollover</w:t>
      </w:r>
      <w:r>
        <w:rPr>
          <w:rFonts w:ascii="Arial" w:cs="Arial" w:eastAsia="Arial" w:hAnsi="Arial"/>
          <w:sz w:val="16"/>
          <w:szCs w:val="16"/>
          <w:color w:val="auto"/>
        </w:rPr>
        <w:t>. Each Rolling Shareholder agrees that, in accordance with the terms of the Merger Agreement and by virtue of the occurrence of the Merger, (a) each Rollover Share that is issued and outstanding prior to the Effective Time and owned by it shall remain outstanding as one duly authorized, validly issued, fully paid and nonassessable Surviving 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390"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To the fullest extent permitted by applicable Law, each Rolling Shareholder hereby waives, and shall cause to be waived, any rights of appraisal or rights to dissent from the Merger or the other transactions contemplated by the Merger that such Rolling Shareholder may have under applicable Law.</w:t>
      </w:r>
    </w:p>
    <w:p>
      <w:pPr>
        <w:spacing w:after="0" w:line="200" w:lineRule="exact"/>
        <w:rPr>
          <w:sz w:val="20"/>
          <w:szCs w:val="20"/>
          <w:color w:val="auto"/>
        </w:rPr>
      </w:pPr>
    </w:p>
    <w:p>
      <w:pPr>
        <w:spacing w:after="0" w:line="210"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In connection with the transactions contemplated by this Agreement and the 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1" w:name="page302"/>
    <w:bookmarkEnd w:id="301"/>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Each Rolling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Rolling Shareholder hereby represents and warrants, severally and not jointly, to Parent and the Company that:</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Such Rolling Shareholder is duly incorporated or organized, validly existing and in good standing (where such concept is recognized under applicable Law) under the Laws of the jurisdiction of its incorporation or organization.</w:t>
      </w:r>
    </w:p>
    <w:p>
      <w:pPr>
        <w:spacing w:after="0" w:line="200" w:lineRule="exact"/>
        <w:rPr>
          <w:sz w:val="20"/>
          <w:szCs w:val="20"/>
          <w:color w:val="auto"/>
        </w:rPr>
      </w:pPr>
    </w:p>
    <w:p>
      <w:pPr>
        <w:spacing w:after="0" w:line="202" w:lineRule="exact"/>
        <w:rPr>
          <w:sz w:val="20"/>
          <w:szCs w:val="20"/>
          <w:color w:val="auto"/>
        </w:rPr>
      </w:pPr>
    </w:p>
    <w:p>
      <w:pPr>
        <w:jc w:val="both"/>
        <w:ind w:firstLine="435"/>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Ownership of Owned Shares</w:t>
      </w:r>
      <w:r>
        <w:rPr>
          <w:rFonts w:ascii="Arial" w:cs="Arial" w:eastAsia="Arial" w:hAnsi="Arial"/>
          <w:sz w:val="16"/>
          <w:szCs w:val="16"/>
          <w:color w:val="auto"/>
        </w:rPr>
        <w:t>. Such Rolling Shareholder is the beneficial owner of, and has good and 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6"/>
          <w:szCs w:val="16"/>
          <w:u w:val="single" w:color="auto"/>
          <w:color w:val="auto"/>
        </w:rPr>
        <w:t>Blenheim 13D/A</w:t>
      </w:r>
      <w:r>
        <w:rPr>
          <w:rFonts w:ascii="Arial" w:cs="Arial" w:eastAsia="Arial" w:hAnsi="Arial"/>
          <w:sz w:val="16"/>
          <w:szCs w:val="16"/>
          <w:color w:val="auto"/>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or cause to be Transferred any Owned Shares or otherwise relating to the Transfer of any Owned Shares and (ii) no Person has any contractual or other right or obligation to purchase or otherwise acquire any of such Owned Shares.</w:t>
      </w:r>
    </w:p>
    <w:p>
      <w:pPr>
        <w:spacing w:after="0" w:line="40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Such Rolling Shareholder has all necessary power 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388"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540" w:firstLine="499"/>
        <w:spacing w:after="0" w:line="253" w:lineRule="auto"/>
        <w:tabs>
          <w:tab w:leader="none" w:pos="141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2" w:name="page303"/>
    <w:bookmarkEnd w:id="302"/>
    <w:p>
      <w:pPr>
        <w:jc w:val="both"/>
        <w:ind w:left="540"/>
        <w:spacing w:after="0" w:line="306" w:lineRule="auto"/>
        <w:rPr>
          <w:sz w:val="20"/>
          <w:szCs w:val="20"/>
          <w:color w:val="auto"/>
        </w:rPr>
      </w:pPr>
      <w:r>
        <w:rPr>
          <w:rFonts w:ascii="Arial" w:cs="Arial" w:eastAsia="Arial" w:hAnsi="Arial"/>
          <w:sz w:val="16"/>
          <w:szCs w:val="16"/>
          <w:color w:val="auto"/>
        </w:rPr>
        <w:t xml:space="preserve">tag-along right, transfer right or other similar right of any other party to a Contract to which such Rolling Shareholder is a party or bound or (z) result in the creation of any Lien on any properties or assets of such Rolling Shareholder (including the Owned Shares),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such Rolling Shareholder to perform its obligations hereunder.</w:t>
      </w:r>
    </w:p>
    <w:p>
      <w:pPr>
        <w:spacing w:after="0" w:line="160" w:lineRule="exact"/>
        <w:rPr>
          <w:sz w:val="20"/>
          <w:szCs w:val="20"/>
          <w:color w:val="auto"/>
        </w:rPr>
      </w:pPr>
    </w:p>
    <w:p>
      <w:pPr>
        <w:jc w:val="both"/>
        <w:ind w:left="540" w:firstLine="467"/>
        <w:spacing w:after="0" w:line="298" w:lineRule="auto"/>
        <w:tabs>
          <w:tab w:leader="none" w:pos="1376" w:val="left"/>
        </w:tabs>
        <w:numPr>
          <w:ilvl w:val="0"/>
          <w:numId w:val="378"/>
        </w:numPr>
        <w:rPr>
          <w:rFonts w:ascii="Arial" w:cs="Arial" w:eastAsia="Arial" w:hAnsi="Arial"/>
          <w:sz w:val="16"/>
          <w:szCs w:val="16"/>
          <w:color w:val="auto"/>
        </w:rPr>
      </w:pPr>
      <w:r>
        <w:rPr>
          <w:rFonts w:ascii="Arial" w:cs="Arial" w:eastAsia="Arial" w:hAnsi="Arial"/>
          <w:sz w:val="16"/>
          <w:szCs w:val="16"/>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382"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there is no pending or, to the knowledge of such Rolling 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 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200" w:lineRule="exact"/>
        <w:rPr>
          <w:sz w:val="20"/>
          <w:szCs w:val="20"/>
          <w:color w:val="auto"/>
        </w:rPr>
      </w:pPr>
    </w:p>
    <w:p>
      <w:pPr>
        <w:spacing w:after="0" w:line="214"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Accredited Investor; Investment Intent</w:t>
      </w:r>
      <w:r>
        <w:rPr>
          <w:rFonts w:ascii="Arial" w:cs="Arial" w:eastAsia="Arial" w:hAnsi="Arial"/>
          <w:sz w:val="16"/>
          <w:szCs w:val="16"/>
          <w:color w:val="auto"/>
        </w:rPr>
        <w:t>. Such Rolling Shareholder is an “accredited investor” (as such 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38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Advisors</w:t>
      </w:r>
      <w:r>
        <w:rPr>
          <w:rFonts w:ascii="Arial" w:cs="Arial" w:eastAsia="Arial" w:hAnsi="Arial"/>
          <w:sz w:val="18"/>
          <w:szCs w:val="18"/>
          <w:color w:val="auto"/>
        </w:rPr>
        <w:t>. Each Rolling Shareholder has carefully considered and has, to the extent such Rolling 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Parent hereby represents and warrants to the Rolling Shareholders and the Company that: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440"/>
              <w:spacing w:after="0"/>
              <w:rPr>
                <w:sz w:val="20"/>
                <w:szCs w:val="20"/>
                <w:color w:val="auto"/>
              </w:rPr>
            </w:pPr>
            <w:r>
              <w:rPr>
                <w:rFonts w:ascii="Arial" w:cs="Arial" w:eastAsia="Arial" w:hAnsi="Arial"/>
                <w:sz w:val="18"/>
                <w:szCs w:val="18"/>
                <w:color w:val="auto"/>
                <w:w w:val="99"/>
              </w:rPr>
              <w:t>Section 4.01</w:t>
            </w: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Organization.</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w w:val="92"/>
              </w:rPr>
              <w:t>Parent is an exempted limited partnership duly organized, validly existing and in good standing under the Laws of the</w:t>
            </w:r>
          </w:p>
        </w:tc>
      </w:tr>
      <w:tr>
        <w:trPr>
          <w:trHeight w:val="235"/>
        </w:trPr>
        <w:tc>
          <w:tcPr>
            <w:tcW w:w="1460" w:type="dxa"/>
            <w:vAlign w:val="bottom"/>
          </w:tcPr>
          <w:p>
            <w:pPr>
              <w:spacing w:after="0"/>
              <w:rPr>
                <w:sz w:val="20"/>
                <w:szCs w:val="20"/>
                <w:color w:val="auto"/>
              </w:rPr>
            </w:pPr>
            <w:r>
              <w:rPr>
                <w:rFonts w:ascii="Arial" w:cs="Arial" w:eastAsia="Arial" w:hAnsi="Arial"/>
                <w:sz w:val="18"/>
                <w:szCs w:val="18"/>
                <w:color w:val="auto"/>
              </w:rPr>
              <w:t>Cayman Islands.</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609"/>
        </w:trPr>
        <w:tc>
          <w:tcPr>
            <w:tcW w:w="1460" w:type="dxa"/>
            <w:vAlign w:val="bottom"/>
          </w:tcPr>
          <w:p>
            <w:pPr>
              <w:ind w:left="400"/>
              <w:spacing w:after="0"/>
              <w:rPr>
                <w:sz w:val="20"/>
                <w:szCs w:val="20"/>
                <w:color w:val="auto"/>
              </w:rPr>
            </w:pPr>
            <w:r>
              <w:rPr>
                <w:rFonts w:ascii="Arial" w:cs="Arial" w:eastAsia="Arial" w:hAnsi="Arial"/>
                <w:sz w:val="18"/>
                <w:szCs w:val="18"/>
                <w:color w:val="auto"/>
              </w:rPr>
              <w:t>Section 4.02</w:t>
            </w:r>
          </w:p>
        </w:tc>
        <w:tc>
          <w:tcPr>
            <w:tcW w:w="978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Authority; Execution and Delivery; Enforceability.   Parent has all necessary power and authority to execute and deliver this Agreement</w:t>
            </w:r>
          </w:p>
        </w:tc>
      </w:tr>
      <w:tr>
        <w:trPr>
          <w:trHeight w:val="20"/>
        </w:trPr>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3" w:name="page304"/>
    <w:bookmarkEnd w:id="303"/>
    <w:p>
      <w:pPr>
        <w:spacing w:after="0"/>
        <w:tabs>
          <w:tab w:leader="none" w:pos="1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180" w:firstLine="496"/>
        <w:spacing w:after="0" w:line="288" w:lineRule="auto"/>
        <w:tabs>
          <w:tab w:leader="none" w:pos="1046" w:val="left"/>
        </w:tabs>
        <w:numPr>
          <w:ilvl w:val="1"/>
          <w:numId w:val="379"/>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 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Parent to perform its obligations hereunder.</w:t>
      </w:r>
    </w:p>
    <w:p>
      <w:pPr>
        <w:spacing w:after="0" w:line="177" w:lineRule="exact"/>
        <w:rPr>
          <w:rFonts w:ascii="Arial" w:cs="Arial" w:eastAsia="Arial" w:hAnsi="Arial"/>
          <w:sz w:val="16"/>
          <w:szCs w:val="16"/>
          <w:color w:val="auto"/>
        </w:rPr>
      </w:pPr>
    </w:p>
    <w:p>
      <w:pPr>
        <w:ind w:left="180" w:firstLine="457"/>
        <w:spacing w:after="0" w:line="331" w:lineRule="auto"/>
        <w:tabs>
          <w:tab w:leader="none" w:pos="1002" w:val="left"/>
        </w:tabs>
        <w:numPr>
          <w:ilvl w:val="0"/>
          <w:numId w:val="380"/>
        </w:numPr>
        <w:rPr>
          <w:rFonts w:ascii="Arial" w:cs="Arial" w:eastAsia="Arial" w:hAnsi="Arial"/>
          <w:sz w:val="16"/>
          <w:szCs w:val="16"/>
          <w:color w:val="auto"/>
        </w:rPr>
      </w:pPr>
      <w:r>
        <w:rPr>
          <w:rFonts w:ascii="Arial" w:cs="Arial" w:eastAsia="Arial" w:hAnsi="Arial"/>
          <w:sz w:val="16"/>
          <w:szCs w:val="16"/>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Covenants of Rolling Shareholders</w:t>
      </w:r>
    </w:p>
    <w:p>
      <w:pPr>
        <w:spacing w:after="0" w:line="200" w:lineRule="exact"/>
        <w:rPr>
          <w:sz w:val="20"/>
          <w:szCs w:val="20"/>
          <w:color w:val="auto"/>
        </w:rPr>
      </w:pPr>
    </w:p>
    <w:p>
      <w:pPr>
        <w:spacing w:after="0" w:line="2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u w:val="single" w:color="auto"/>
          <w:color w:val="auto"/>
        </w:rPr>
        <w:t>Agreement to Vote</w:t>
      </w:r>
      <w:r>
        <w:rPr>
          <w:rFonts w:ascii="Arial" w:cs="Arial" w:eastAsia="Arial" w:hAnsi="Arial"/>
          <w:sz w:val="15"/>
          <w:szCs w:val="15"/>
          <w:color w:val="auto"/>
        </w:rPr>
        <w:t>.</w:t>
      </w:r>
    </w:p>
    <w:p>
      <w:pPr>
        <w:spacing w:after="0" w:line="225" w:lineRule="exact"/>
        <w:rPr>
          <w:sz w:val="20"/>
          <w:szCs w:val="20"/>
          <w:color w:val="auto"/>
        </w:rPr>
      </w:pPr>
    </w:p>
    <w:p>
      <w:pPr>
        <w:jc w:val="both"/>
        <w:ind w:left="180" w:firstLine="600"/>
        <w:spacing w:after="0" w:line="301" w:lineRule="auto"/>
        <w:tabs>
          <w:tab w:leader="none" w:pos="1189" w:val="left"/>
        </w:tabs>
        <w:numPr>
          <w:ilvl w:val="1"/>
          <w:numId w:val="381"/>
        </w:numPr>
        <w:rPr>
          <w:rFonts w:ascii="Arial" w:cs="Arial" w:eastAsia="Arial" w:hAnsi="Arial"/>
          <w:sz w:val="15"/>
          <w:szCs w:val="15"/>
          <w:color w:val="auto"/>
        </w:rPr>
      </w:pPr>
      <w:r>
        <w:rPr>
          <w:rFonts w:ascii="Arial" w:cs="Arial" w:eastAsia="Arial" w:hAnsi="Arial"/>
          <w:sz w:val="15"/>
          <w:szCs w:val="15"/>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w:t>
      </w:r>
    </w:p>
    <w:p>
      <w:pPr>
        <w:spacing w:after="0" w:line="3" w:lineRule="exact"/>
        <w:rPr>
          <w:rFonts w:ascii="Arial" w:cs="Arial" w:eastAsia="Arial" w:hAnsi="Arial"/>
          <w:sz w:val="15"/>
          <w:szCs w:val="15"/>
          <w:color w:val="auto"/>
        </w:rPr>
      </w:pPr>
    </w:p>
    <w:p>
      <w:pPr>
        <w:jc w:val="both"/>
        <w:ind w:left="180" w:firstLine="8"/>
        <w:spacing w:after="0" w:line="300" w:lineRule="auto"/>
        <w:tabs>
          <w:tab w:leader="none" w:pos="494" w:val="left"/>
        </w:tabs>
        <w:numPr>
          <w:ilvl w:val="0"/>
          <w:numId w:val="382"/>
        </w:numPr>
        <w:rPr>
          <w:rFonts w:ascii="Arial" w:cs="Arial" w:eastAsia="Arial" w:hAnsi="Arial"/>
          <w:sz w:val="15"/>
          <w:szCs w:val="15"/>
          <w:color w:val="auto"/>
        </w:rPr>
      </w:pPr>
      <w:r>
        <w:rPr>
          <w:rFonts w:ascii="Arial" w:cs="Arial" w:eastAsia="Arial" w:hAnsi="Arial"/>
          <w:sz w:val="15"/>
          <w:szCs w:val="15"/>
          <w:color w:val="auto"/>
        </w:rPr>
        <w:t>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 (iv)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w:t>
      </w:r>
    </w:p>
    <w:p>
      <w:pPr>
        <w:spacing w:after="0" w:line="3"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(A) result in a breach of any representation, warranty, covenant or other obligation or agreement of the Company under the Merger Agreement,</w:t>
      </w:r>
    </w:p>
    <w:p>
      <w:pPr>
        <w:spacing w:after="0" w:line="32"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8"/>
          <w:szCs w:val="18"/>
          <w:color w:val="auto"/>
        </w:rPr>
        <w:t>(B) result in the conditions of the consummation of the Merger under Article VI</w:t>
      </w: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347" w:right="339" w:bottom="1440" w:gutter="0" w:footer="0" w:header="0"/>
        </w:sectPr>
      </w:pPr>
    </w:p>
    <w:bookmarkStart w:id="304" w:name="page305"/>
    <w:bookmarkEnd w:id="304"/>
    <w:p>
      <w:pPr>
        <w:jc w:val="both"/>
        <w:ind w:left="540"/>
        <w:spacing w:after="0" w:line="256" w:lineRule="auto"/>
        <w:rPr>
          <w:sz w:val="20"/>
          <w:szCs w:val="20"/>
          <w:color w:val="auto"/>
        </w:rPr>
      </w:pPr>
      <w:r>
        <w:rPr>
          <w:rFonts w:ascii="Arial" w:cs="Arial" w:eastAsia="Arial" w:hAnsi="Arial"/>
          <w:sz w:val="18"/>
          <w:szCs w:val="18"/>
          <w:color w:val="auto"/>
        </w:rPr>
        <w:t xml:space="preserve">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that are at any time or from time to time presented for consideration to the shareholders of the Company.</w:t>
      </w:r>
    </w:p>
    <w:p>
      <w:pPr>
        <w:spacing w:after="0" w:line="197" w:lineRule="exact"/>
        <w:rPr>
          <w:sz w:val="20"/>
          <w:szCs w:val="20"/>
          <w:color w:val="auto"/>
        </w:rPr>
      </w:pPr>
    </w:p>
    <w:p>
      <w:pPr>
        <w:ind w:left="540" w:firstLine="359"/>
        <w:spacing w:after="0" w:line="331" w:lineRule="auto"/>
        <w:tabs>
          <w:tab w:leader="none" w:pos="122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140" w:lineRule="exact"/>
        <w:rPr>
          <w:rFonts w:ascii="Arial" w:cs="Arial" w:eastAsia="Arial" w:hAnsi="Arial"/>
          <w:sz w:val="16"/>
          <w:szCs w:val="16"/>
          <w:color w:val="auto"/>
        </w:rPr>
      </w:pPr>
    </w:p>
    <w:p>
      <w:pPr>
        <w:jc w:val="both"/>
        <w:ind w:left="540" w:firstLine="397"/>
        <w:spacing w:after="0" w:line="259" w:lineRule="auto"/>
        <w:tabs>
          <w:tab w:leader="none" w:pos="127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u w:val="single" w:color="auto"/>
          <w:color w:val="auto"/>
        </w:rPr>
        <w:t>Transfer and Other Restrictions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03"/>
        <w:spacing w:after="0" w:line="288" w:lineRule="auto"/>
        <w:tabs>
          <w:tab w:leader="none" w:pos="127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prohibit Transfers or acquisitions of Common Shares, Preference Shares or any other Company Securities solely to the extent contemplated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540" w:firstLine="443"/>
        <w:spacing w:after="0" w:line="286" w:lineRule="auto"/>
        <w:tabs>
          <w:tab w:leader="none" w:pos="1342" w:val="left"/>
        </w:tabs>
        <w:numPr>
          <w:ilvl w:val="1"/>
          <w:numId w:val="384"/>
        </w:numPr>
        <w:rPr>
          <w:rFonts w:ascii="Arial" w:cs="Arial" w:eastAsia="Arial" w:hAnsi="Arial"/>
          <w:sz w:val="16"/>
          <w:szCs w:val="16"/>
          <w:color w:val="auto"/>
        </w:rPr>
      </w:pPr>
      <w:r>
        <w:rPr>
          <w:rFonts w:ascii="Arial" w:cs="Arial" w:eastAsia="Arial" w:hAnsi="Arial"/>
          <w:sz w:val="16"/>
          <w:szCs w:val="16"/>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6"/>
          <w:szCs w:val="16"/>
          <w:u w:val="single" w:color="auto"/>
          <w:color w:val="auto"/>
        </w:rPr>
        <w:t>Blenheim Rolling Shareholders</w:t>
      </w:r>
      <w:r>
        <w:rPr>
          <w:rFonts w:ascii="Arial" w:cs="Arial" w:eastAsia="Arial" w:hAnsi="Arial"/>
          <w:sz w:val="16"/>
          <w:szCs w:val="16"/>
          <w:color w:val="auto"/>
        </w:rPr>
        <w:t>”) shall Transfer to Blenheim Special Investments Holding Ltd.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6"/>
          <w:szCs w:val="16"/>
          <w:u w:val="single" w:color="auto"/>
          <w:color w:val="auto"/>
        </w:rPr>
        <w:t>Additional 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xml:space="preserve">”), all of the Common Shares owned by such Additional Rolling Shareholders (which amounts are set forth on Section 3.02(f)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Transfer be made to the extent that such Transfer would result in the Rolling Shareholders owning, collectively, in excess of 52,625,102 Common Shares.</w:t>
      </w:r>
    </w:p>
    <w:p>
      <w:pPr>
        <w:spacing w:after="0" w:line="39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No-Solicitation</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5" w:name="page306"/>
    <w:bookmarkEnd w:id="305"/>
    <w:p>
      <w:pPr>
        <w:jc w:val="both"/>
        <w:ind w:firstLine="8"/>
        <w:spacing w:after="0" w:line="294" w:lineRule="auto"/>
        <w:tabs>
          <w:tab w:leader="none" w:pos="259"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385"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Share Dividends, etc</w:t>
      </w:r>
      <w:r>
        <w:rPr>
          <w:rFonts w:ascii="Arial" w:cs="Arial" w:eastAsia="Arial" w:hAnsi="Arial"/>
          <w:sz w:val="18"/>
          <w:szCs w:val="18"/>
          <w:color w:val="auto"/>
        </w:rPr>
        <w:t>. If between the date of this Agreement and the Effective Time any class of the 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Disclosure</w:t>
      </w:r>
      <w:r>
        <w:rPr>
          <w:rFonts w:ascii="Arial" w:cs="Arial" w:eastAsia="Arial" w:hAnsi="Arial"/>
          <w:sz w:val="15"/>
          <w:szCs w:val="15"/>
          <w:color w:val="auto"/>
        </w:rPr>
        <w:t>.</w:t>
      </w:r>
    </w:p>
    <w:p>
      <w:pPr>
        <w:spacing w:after="0" w:line="225" w:lineRule="exact"/>
        <w:rPr>
          <w:sz w:val="20"/>
          <w:szCs w:val="20"/>
          <w:color w:val="auto"/>
        </w:rPr>
      </w:pPr>
    </w:p>
    <w:p>
      <w:pPr>
        <w:jc w:val="both"/>
        <w:ind w:left="540" w:firstLine="489"/>
        <w:spacing w:after="0" w:line="286" w:lineRule="auto"/>
        <w:tabs>
          <w:tab w:leader="none" w:pos="1396" w:val="left"/>
        </w:tabs>
        <w:numPr>
          <w:ilvl w:val="1"/>
          <w:numId w:val="386"/>
        </w:numPr>
        <w:rPr>
          <w:rFonts w:ascii="Arial" w:cs="Arial" w:eastAsia="Arial" w:hAnsi="Arial"/>
          <w:sz w:val="16"/>
          <w:szCs w:val="16"/>
          <w:color w:val="auto"/>
        </w:rPr>
      </w:pPr>
      <w:r>
        <w:rPr>
          <w:rFonts w:ascii="Arial" w:cs="Arial" w:eastAsia="Arial" w:hAnsi="Arial"/>
          <w:sz w:val="16"/>
          <w:szCs w:val="16"/>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180" w:lineRule="exact"/>
        <w:rPr>
          <w:rFonts w:ascii="Arial" w:cs="Arial" w:eastAsia="Arial" w:hAnsi="Arial"/>
          <w:sz w:val="16"/>
          <w:szCs w:val="16"/>
          <w:color w:val="auto"/>
        </w:rPr>
      </w:pPr>
    </w:p>
    <w:p>
      <w:pPr>
        <w:jc w:val="both"/>
        <w:ind w:left="540" w:firstLine="402"/>
        <w:spacing w:after="0" w:line="254" w:lineRule="auto"/>
        <w:tabs>
          <w:tab w:leader="none" w:pos="1283"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Rolling Shareholders hereby authorize the Company, Parent and Merger Sub to publish and disclose in any announcement or disclosure required by the SEC, and 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Fiduciary Responsibilities</w:t>
      </w:r>
      <w:r>
        <w:rPr>
          <w:rFonts w:ascii="Arial" w:cs="Arial" w:eastAsia="Arial" w:hAnsi="Arial"/>
          <w:sz w:val="16"/>
          <w:szCs w:val="16"/>
          <w:color w:val="auto"/>
        </w:rPr>
        <w:t>. Notwithstanding any provision of this Agreement to the contrary, this 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385" w:lineRule="exact"/>
        <w:rPr>
          <w:sz w:val="20"/>
          <w:szCs w:val="20"/>
          <w:color w:val="auto"/>
        </w:rPr>
      </w:pPr>
    </w:p>
    <w:p>
      <w:pPr>
        <w:jc w:val="both"/>
        <w:ind w:firstLine="507"/>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Legal Action</w:t>
      </w:r>
      <w:r>
        <w:rPr>
          <w:rFonts w:ascii="Arial" w:cs="Arial" w:eastAsia="Arial" w:hAnsi="Arial"/>
          <w:sz w:val="18"/>
          <w:szCs w:val="18"/>
          <w:color w:val="auto"/>
        </w:rPr>
        <w:t>. Each Rolling Shareholder shall not, and shall cause its officers, employees and directors not to, and shall use reasonable best efforts to cause its other Representatives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6" w:name="page307"/>
    <w:bookmarkEnd w:id="306"/>
    <w:p>
      <w:pPr>
        <w:jc w:val="both"/>
        <w:spacing w:after="0" w:line="298" w:lineRule="auto"/>
        <w:rPr>
          <w:sz w:val="20"/>
          <w:szCs w:val="20"/>
          <w:color w:val="auto"/>
        </w:rPr>
      </w:pPr>
      <w:r>
        <w:rPr>
          <w:rFonts w:ascii="Arial" w:cs="Arial" w:eastAsia="Arial" w:hAnsi="Arial"/>
          <w:sz w:val="16"/>
          <w:szCs w:val="16"/>
          <w:color w:val="auto"/>
        </w:rPr>
        <w:t>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382"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Each Rolling Shareholder shall notify Parent in writing promptly of (a) any 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382"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Taxes</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883(a)(1) of the Code.</w:t>
      </w:r>
    </w:p>
    <w:p>
      <w:pPr>
        <w:spacing w:after="0" w:line="200" w:lineRule="exact"/>
        <w:rPr>
          <w:sz w:val="20"/>
          <w:szCs w:val="20"/>
          <w:color w:val="auto"/>
        </w:rPr>
      </w:pPr>
    </w:p>
    <w:p>
      <w:pPr>
        <w:spacing w:after="0" w:line="213"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In connection with the transactions contemplated by this Agreement and the Merger Agreement, (a) each of the shareholders party to that certain Registration Rights Agreement, dated as of April 4, 2012 (the “</w:t>
      </w:r>
      <w:r>
        <w:rPr>
          <w:rFonts w:ascii="Arial" w:cs="Arial" w:eastAsia="Arial" w:hAnsi="Arial"/>
          <w:sz w:val="16"/>
          <w:szCs w:val="16"/>
          <w:u w:val="single" w:color="auto"/>
          <w:color w:val="auto"/>
        </w:rPr>
        <w:t>2012 Registration Rights Agreement</w:t>
      </w:r>
      <w:r>
        <w:rPr>
          <w:rFonts w:ascii="Arial" w:cs="Arial" w:eastAsia="Arial" w:hAnsi="Arial"/>
          <w:sz w:val="16"/>
          <w:szCs w:val="16"/>
          <w:color w:val="auto"/>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 2012 Registration Rights Agreement concurrently with, and effective as of, the Closing and shall deliver to Parent documentation in form and substance reasonably satisfactory to Parent evidencing such termination.</w:t>
      </w:r>
    </w:p>
    <w:p>
      <w:pPr>
        <w:spacing w:after="0" w:line="390"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or any other agreement or 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3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Matt Raben</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Office of the General Counsel</w:t>
      </w:r>
    </w:p>
    <w:p>
      <w:pPr>
        <w:ind w:left="170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19th floor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Jelena Napolitano</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legaltransactions@blackrock.com</w:t>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77002</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Chris May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 ASOFIN AE</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7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Zefyrou 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Pal. Faliro 17564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Gialouris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mgg@asofin.eu</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8" w:name="page309"/>
    <w:bookmarkEnd w:id="308"/>
    <w:p>
      <w:pPr>
        <w:ind w:left="360"/>
        <w:spacing w:after="0"/>
        <w:rPr>
          <w:sz w:val="20"/>
          <w:szCs w:val="20"/>
          <w:color w:val="auto"/>
        </w:rPr>
      </w:pPr>
      <w:r>
        <w:rPr>
          <w:rFonts w:ascii="Arial" w:cs="Arial" w:eastAsia="Arial" w:hAnsi="Arial"/>
          <w:sz w:val="16"/>
          <w:szCs w:val="16"/>
          <w:color w:val="auto"/>
        </w:rPr>
        <w:t>If to any other Rolling Shareholder, to</w:t>
      </w:r>
    </w:p>
    <w:p>
      <w:pPr>
        <w:sectPr>
          <w:pgSz w:w="11900" w:h="16838" w:orient="portrait"/>
          <w:cols w:equalWidth="0" w:num="1">
            <w:col w:w="11240"/>
          </w:cols>
          <w:pgMar w:left="320" w:top="131" w:right="339" w:bottom="1440" w:gutter="0" w:footer="0" w:header="0"/>
        </w:sectPr>
      </w:pPr>
    </w:p>
    <w:p>
      <w:pPr>
        <w:spacing w:after="0" w:line="24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Blenheim Special Investments Holding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Ceres Monaco SAM</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6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Linklaters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United Kingdom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Owen Clay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owen.clay@linklaters.com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Greece</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Alexandros Laios, General Counsel</w:t>
      </w:r>
    </w:p>
    <w:p>
      <w:pPr>
        <w:spacing w:after="0" w:line="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type w:val="continuous"/>
        </w:sectPr>
      </w:pP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9" w:name="page310"/>
    <w:bookmarkEnd w:id="309"/>
    <w:p>
      <w:pPr>
        <w:jc w:val="both"/>
        <w:spacing w:after="0" w:line="268" w:lineRule="auto"/>
        <w:rPr>
          <w:sz w:val="20"/>
          <w:szCs w:val="20"/>
          <w:color w:val="auto"/>
        </w:rPr>
      </w:pPr>
      <w:r>
        <w:rPr>
          <w:rFonts w:ascii="Arial" w:cs="Arial" w:eastAsia="Arial" w:hAnsi="Arial"/>
          <w:sz w:val="18"/>
          <w:szCs w:val="18"/>
          <w:color w:val="auto"/>
        </w:rPr>
        <w:t>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02"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200" w:lineRule="exact"/>
        <w:rPr>
          <w:sz w:val="20"/>
          <w:szCs w:val="20"/>
          <w:color w:val="auto"/>
        </w:rPr>
      </w:pPr>
    </w:p>
    <w:p>
      <w:pPr>
        <w:spacing w:after="0" w:line="217"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76"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together with the Exhibits attached 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5"/>
        <w:spacing w:after="0" w:line="286" w:lineRule="auto"/>
        <w:tabs>
          <w:tab w:leader="none" w:pos="123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rFonts w:ascii="Arial" w:cs="Arial" w:eastAsia="Arial" w:hAnsi="Arial"/>
          <w:sz w:val="16"/>
          <w:szCs w:val="16"/>
          <w:color w:val="auto"/>
        </w:rPr>
      </w:pPr>
    </w:p>
    <w:p>
      <w:pPr>
        <w:jc w:val="both"/>
        <w:ind w:left="540" w:firstLine="417"/>
        <w:spacing w:after="0" w:line="256" w:lineRule="auto"/>
        <w:tabs>
          <w:tab w:leader="none" w:pos="1308" w:val="left"/>
        </w:tabs>
        <w:numPr>
          <w:ilvl w:val="1"/>
          <w:numId w:val="388"/>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0" w:name="page311"/>
    <w:bookmarkEnd w:id="310"/>
    <w:p>
      <w:pPr>
        <w:jc w:val="both"/>
        <w:ind w:left="540"/>
        <w:spacing w:after="0" w:line="291" w:lineRule="auto"/>
        <w:rPr>
          <w:sz w:val="20"/>
          <w:szCs w:val="20"/>
          <w:color w:val="auto"/>
        </w:rPr>
      </w:pPr>
      <w:r>
        <w:rPr>
          <w:rFonts w:ascii="Arial" w:cs="Arial" w:eastAsia="Arial" w:hAnsi="Arial"/>
          <w:sz w:val="16"/>
          <w:szCs w:val="16"/>
          <w:color w:val="auto"/>
        </w:rPr>
        <w:t xml:space="preserve">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6.05(b)</w:t>
      </w:r>
      <w:r>
        <w:rPr>
          <w:rFonts w:ascii="Arial" w:cs="Arial" w:eastAsia="Arial" w:hAnsi="Arial"/>
          <w:sz w:val="16"/>
          <w:szCs w:val="16"/>
          <w:color w:val="auto"/>
        </w:rPr>
        <w:t>.</w:t>
      </w:r>
    </w:p>
    <w:p>
      <w:pPr>
        <w:spacing w:after="0" w:line="390" w:lineRule="exact"/>
        <w:rPr>
          <w:sz w:val="20"/>
          <w:szCs w:val="20"/>
          <w:color w:val="auto"/>
        </w:rPr>
      </w:pPr>
    </w:p>
    <w:p>
      <w:pPr>
        <w:jc w:val="both"/>
        <w:ind w:firstLine="411"/>
        <w:spacing w:after="0" w:line="314"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5"/>
          <w:szCs w:val="15"/>
          <w:u w:val="single" w:color="auto"/>
          <w:color w:val="auto"/>
        </w:rPr>
        <w:t>Section 6.06</w:t>
      </w:r>
      <w:r>
        <w:rPr>
          <w:rFonts w:ascii="Arial" w:cs="Arial" w:eastAsia="Arial" w:hAnsi="Arial"/>
          <w:sz w:val="15"/>
          <w:szCs w:val="15"/>
          <w:color w:val="auto"/>
        </w:rPr>
        <w:t xml:space="preserve"> shall be null and void.</w:t>
      </w:r>
    </w:p>
    <w:p>
      <w:pPr>
        <w:spacing w:after="0" w:line="374"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389"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 Waiver</w:t>
      </w:r>
      <w:r>
        <w:rPr>
          <w:rFonts w:ascii="Arial" w:cs="Arial" w:eastAsia="Arial" w:hAnsi="Arial"/>
          <w:sz w:val="18"/>
          <w:szCs w:val="18"/>
          <w:color w:val="auto"/>
        </w:rPr>
        <w:t>. At any time prior to the Effective Time, this Agreement may be amended or 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17"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obligations of the parties hereto hereunder shall automatically 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 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1" w:name="page312"/>
    <w:bookmarkEnd w:id="311"/>
    <w:p>
      <w:pPr>
        <w:jc w:val="both"/>
        <w:spacing w:after="0" w:line="288" w:lineRule="auto"/>
        <w:rPr>
          <w:sz w:val="20"/>
          <w:szCs w:val="20"/>
          <w:color w:val="auto"/>
        </w:rPr>
      </w:pPr>
      <w:r>
        <w:rPr>
          <w:rFonts w:ascii="Arial" w:cs="Arial" w:eastAsia="Arial" w:hAnsi="Arial"/>
          <w:sz w:val="16"/>
          <w:szCs w:val="16"/>
          <w:color w:val="auto"/>
        </w:rPr>
        <w:t xml:space="preserve">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survive the termination of this Agreement. For purposes of this Agreement, a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t>IN WITNESS WHEREOF, the parties hereto have duly executed this Agreement, all as of the date first written above.</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20"/>
        <w:spacing w:after="0"/>
        <w:tabs>
          <w:tab w:leader="none" w:pos="568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71120</wp:posOffset>
            </wp:positionV>
            <wp:extent cx="33000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30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bookmarkStart w:id="313" w:name="page314"/>
    <w:bookmarkEnd w:id="313"/>
    <w:p>
      <w:pPr>
        <w:ind w:left="55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Paul A. Wogan</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 &amp; CEO</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4" w:name="page315"/>
    <w:bookmarkEnd w:id="314"/>
    <w:p>
      <w:pPr>
        <w:ind w:left="558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5" w:name="page316"/>
    <w:bookmarkEnd w:id="315"/>
    <w:p>
      <w:pPr>
        <w:ind w:left="558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Anthony S. Papadimitriou</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6" w:name="page317"/>
    <w:bookmarkEnd w:id="316"/>
    <w:p>
      <w:pPr>
        <w:ind w:left="556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71120</wp:posOffset>
            </wp:positionV>
            <wp:extent cx="330898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7" w:name="page318"/>
    <w:bookmarkEnd w:id="317"/>
    <w:p>
      <w:pPr>
        <w:ind w:left="5580"/>
        <w:spacing w:after="0"/>
        <w:rPr>
          <w:sz w:val="20"/>
          <w:szCs w:val="20"/>
          <w:color w:val="auto"/>
        </w:rPr>
      </w:pPr>
      <w:r>
        <w:rPr>
          <w:rFonts w:ascii="Arial" w:cs="Arial" w:eastAsia="Arial" w:hAnsi="Arial"/>
          <w:sz w:val="18"/>
          <w:szCs w:val="18"/>
          <w:color w:val="auto"/>
        </w:rPr>
        <w:t>FALCONERA NAVIGATION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8" w:name="page319"/>
    <w:bookmarkEnd w:id="318"/>
    <w:p>
      <w:pPr>
        <w:ind w:left="5580"/>
        <w:spacing w:after="0"/>
        <w:rPr>
          <w:sz w:val="20"/>
          <w:szCs w:val="20"/>
          <w:color w:val="auto"/>
        </w:rPr>
      </w:pPr>
      <w:r>
        <w:rPr>
          <w:rFonts w:ascii="Arial" w:cs="Arial" w:eastAsia="Arial" w:hAnsi="Arial"/>
          <w:sz w:val="18"/>
          <w:szCs w:val="18"/>
          <w:color w:val="auto"/>
        </w:rPr>
        <w:t>CHIARA HOLDINGS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9" w:name="page320"/>
    <w:bookmarkEnd w:id="319"/>
    <w:p>
      <w:pPr>
        <w:ind w:left="5580"/>
        <w:spacing w:after="0"/>
        <w:rPr>
          <w:sz w:val="20"/>
          <w:szCs w:val="20"/>
          <w:color w:val="auto"/>
        </w:rPr>
      </w:pPr>
      <w:r>
        <w:rPr>
          <w:rFonts w:ascii="Arial" w:cs="Arial" w:eastAsia="Arial" w:hAnsi="Arial"/>
          <w:sz w:val="18"/>
          <w:szCs w:val="18"/>
          <w:color w:val="auto"/>
        </w:rPr>
        <w:t>MAPLE TREE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0" w:name="page321"/>
    <w:bookmarkEnd w:id="320"/>
    <w:p>
      <w:pPr>
        <w:ind w:left="5580"/>
        <w:spacing w:after="0"/>
        <w:rPr>
          <w:sz w:val="20"/>
          <w:szCs w:val="20"/>
          <w:color w:val="auto"/>
        </w:rPr>
      </w:pPr>
      <w:r>
        <w:rPr>
          <w:rFonts w:ascii="Arial" w:cs="Arial" w:eastAsia="Arial" w:hAnsi="Arial"/>
          <w:sz w:val="18"/>
          <w:szCs w:val="18"/>
          <w:color w:val="auto"/>
        </w:rPr>
        <w:t>ASH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1" w:name="page322"/>
    <w:bookmarkEnd w:id="321"/>
    <w:p>
      <w:pPr>
        <w:ind w:left="5580"/>
        <w:spacing w:after="0"/>
        <w:rPr>
          <w:sz w:val="20"/>
          <w:szCs w:val="20"/>
          <w:color w:val="auto"/>
        </w:rPr>
      </w:pPr>
      <w:r>
        <w:rPr>
          <w:rFonts w:ascii="Arial" w:cs="Arial" w:eastAsia="Arial" w:hAnsi="Arial"/>
          <w:sz w:val="18"/>
          <w:szCs w:val="18"/>
          <w:color w:val="auto"/>
        </w:rPr>
        <w:t>ACER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2" w:name="page323"/>
    <w:bookmarkEnd w:id="322"/>
    <w:p>
      <w:pPr>
        <w:ind w:left="5580"/>
        <w:spacing w:after="0"/>
        <w:rPr>
          <w:sz w:val="20"/>
          <w:szCs w:val="20"/>
          <w:color w:val="auto"/>
        </w:rPr>
      </w:pPr>
      <w:r>
        <w:rPr>
          <w:rFonts w:ascii="Arial" w:cs="Arial" w:eastAsia="Arial" w:hAnsi="Arial"/>
          <w:sz w:val="18"/>
          <w:szCs w:val="18"/>
          <w:color w:val="auto"/>
        </w:rPr>
        <w:t>THATCHER INVESTMENTS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3" w:name="page324"/>
    <w:bookmarkEnd w:id="323"/>
    <w:p>
      <w:pPr>
        <w:ind w:left="5580"/>
        <w:spacing w:after="0"/>
        <w:rPr>
          <w:sz w:val="20"/>
          <w:szCs w:val="20"/>
          <w:color w:val="auto"/>
        </w:rPr>
      </w:pPr>
      <w:r>
        <w:rPr>
          <w:rFonts w:ascii="Arial" w:cs="Arial" w:eastAsia="Arial" w:hAnsi="Arial"/>
          <w:sz w:val="18"/>
          <w:szCs w:val="18"/>
          <w:color w:val="auto"/>
        </w:rPr>
        <w:t>ELEANOR INVESTMENTS HOLDINGS</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4" w:name="page325"/>
    <w:bookmarkEnd w:id="324"/>
    <w:p>
      <w:pPr>
        <w:ind w:left="5580"/>
        <w:spacing w:after="0"/>
        <w:rPr>
          <w:sz w:val="20"/>
          <w:szCs w:val="20"/>
          <w:color w:val="auto"/>
        </w:rPr>
      </w:pPr>
      <w:r>
        <w:rPr>
          <w:rFonts w:ascii="Arial" w:cs="Arial" w:eastAsia="Arial" w:hAnsi="Arial"/>
          <w:sz w:val="18"/>
          <w:szCs w:val="18"/>
          <w:color w:val="auto"/>
        </w:rPr>
        <w:t>NELSON EQUITY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5" w:name="page326"/>
    <w:bookmarkEnd w:id="325"/>
    <w:p>
      <w:pPr>
        <w:ind w:left="5580"/>
        <w:spacing w:after="0"/>
        <w:rPr>
          <w:sz w:val="20"/>
          <w:szCs w:val="20"/>
          <w:color w:val="auto"/>
        </w:rPr>
      </w:pPr>
      <w:r>
        <w:rPr>
          <w:rFonts w:ascii="Arial" w:cs="Arial" w:eastAsia="Arial" w:hAnsi="Arial"/>
          <w:sz w:val="18"/>
          <w:szCs w:val="18"/>
          <w:color w:val="auto"/>
        </w:rPr>
        <w:t>JP JONES HOLDINGS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6" w:name="page327"/>
    <w:bookmarkEnd w:id="326"/>
    <w:p>
      <w:pPr>
        <w:ind w:left="10480"/>
        <w:spacing w:after="0"/>
        <w:rPr>
          <w:sz w:val="20"/>
          <w:szCs w:val="20"/>
          <w:color w:val="auto"/>
        </w:rPr>
      </w:pPr>
      <w:r>
        <w:rPr>
          <w:rFonts w:ascii="Arial" w:cs="Arial" w:eastAsia="Arial" w:hAnsi="Arial"/>
          <w:sz w:val="16"/>
          <w:szCs w:val="16"/>
          <w:b w:val="1"/>
          <w:bCs w:val="1"/>
          <w:color w:val="auto"/>
        </w:rPr>
        <w:t>Exhibit A</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Number of</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Rolling Shareholder</w:t>
            </w:r>
          </w:p>
        </w:tc>
        <w:tc>
          <w:tcPr>
            <w:tcW w:w="494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3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60" w:type="dxa"/>
            <w:vAlign w:val="bottom"/>
          </w:tcPr>
          <w:p>
            <w:pPr>
              <w:spacing w:after="0"/>
              <w:rPr>
                <w:sz w:val="14"/>
                <w:szCs w:val="14"/>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Holdings Ltd.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Olympic LNG Investments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11,164,904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Special Investments Holding Ltd.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Falconera Navigation Inc.*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2,602,000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Chiara Holdings Inc.*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Maple Tree Holdings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2,239,044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Ash Tree SA*</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Acer Tree SA*</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214,500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Thatcher Investments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Eleanor Investments Holdings*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Nelson Equity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JP Jones Holdings Limited*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(Rolling Shareholders)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50,584,448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9,366</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49"/>
        <w:spacing w:after="0" w:line="250" w:lineRule="auto"/>
        <w:tabs>
          <w:tab w:leader="none" w:pos="1680" w:val="left"/>
        </w:tabs>
        <w:numPr>
          <w:ilvl w:val="0"/>
          <w:numId w:val="389"/>
        </w:numPr>
        <w:rPr>
          <w:rFonts w:ascii="Arial" w:cs="Arial" w:eastAsia="Arial" w:hAnsi="Arial"/>
          <w:sz w:val="13"/>
          <w:szCs w:val="13"/>
          <w:color w:val="auto"/>
        </w:rPr>
      </w:pPr>
      <w:r>
        <w:rPr>
          <w:rFonts w:ascii="Arial" w:cs="Arial" w:eastAsia="Arial" w:hAnsi="Arial"/>
          <w:sz w:val="13"/>
          <w:szCs w:val="13"/>
          <w:color w:val="auto"/>
        </w:rPr>
        <w:t xml:space="preserve">Does not include Common Shares to be Transferred by the shareholders indicated with an *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Number of</w:t>
            </w:r>
          </w:p>
        </w:tc>
        <w:tc>
          <w:tcPr>
            <w:tcW w:w="25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20" w:type="dxa"/>
            <w:vAlign w:val="bottom"/>
          </w:tcPr>
          <w:p>
            <w:pPr>
              <w:spacing w:after="0"/>
              <w:rPr>
                <w:sz w:val="14"/>
                <w:szCs w:val="14"/>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Additional Rolling Shareholder</w:t>
            </w:r>
          </w:p>
        </w:tc>
        <w:tc>
          <w:tcPr>
            <w:tcW w:w="44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300" w:type="dxa"/>
            <w:vAlign w:val="bottom"/>
            <w:gridSpan w:val="2"/>
          </w:tcPr>
          <w:p>
            <w:pPr>
              <w:spacing w:after="0"/>
              <w:rPr>
                <w:sz w:val="14"/>
                <w:szCs w:val="14"/>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Blythe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Jean Haramis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338,706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Monhegetti Transport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Dimitris Kolias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Stray Shipping Investments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(Additional Rolling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2,040,654</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52,625,102</w:t>
            </w:r>
          </w:p>
        </w:tc>
        <w:tc>
          <w:tcPr>
            <w:tcW w:w="13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9,366</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9"/>
        </w:trPr>
        <w:tc>
          <w:tcPr>
            <w:tcW w:w="11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BLENHEIM SPECIAL INVESTMENTS HOLDING LTD,</w:t>
      </w:r>
    </w:p>
    <w:p>
      <w:pPr>
        <w:spacing w:after="0" w:line="24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3620"/>
        <w:spacing w:after="0"/>
        <w:tabs>
          <w:tab w:leader="none" w:pos="4640" w:val="left"/>
          <w:tab w:leader="none" w:pos="4860" w:val="left"/>
        </w:tabs>
        <w:rPr>
          <w:sz w:val="20"/>
          <w:szCs w:val="20"/>
          <w:color w:val="auto"/>
        </w:rPr>
      </w:pPr>
      <w:r>
        <w:rPr>
          <w:rFonts w:ascii="Arial" w:cs="Arial" w:eastAsia="Arial" w:hAnsi="Arial"/>
          <w:sz w:val="18"/>
          <w:szCs w:val="18"/>
          <w:color w:val="auto"/>
        </w:rPr>
        <w:t>dated as of [</w:t>
        <w:tab/>
        <w: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328" w:name="page329"/>
    <w:bookmarkEnd w:id="328"/>
    <w:tbl>
      <w:tblPr>
        <w:tblLayout w:type="fixed"/>
        <w:tblInd w:w="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vMerge w:val="restart"/>
          </w:tcPr>
          <w:p>
            <w:pPr>
              <w:jc w:val="center"/>
              <w:ind w:right="3720"/>
              <w:spacing w:after="0"/>
              <w:rPr>
                <w:rFonts w:ascii="Arial" w:cs="Arial" w:eastAsia="Arial" w:hAnsi="Arial"/>
                <w:sz w:val="18"/>
                <w:szCs w:val="18"/>
                <w:color w:val="0000EE"/>
                <w:w w:val="97"/>
              </w:rPr>
            </w:pPr>
            <w:hyperlink w:anchor="page331">
              <w:r>
                <w:rPr>
                  <w:rFonts w:ascii="Arial" w:cs="Arial" w:eastAsia="Arial" w:hAnsi="Arial"/>
                  <w:sz w:val="18"/>
                  <w:szCs w:val="18"/>
                  <w:color w:val="0000EE"/>
                  <w:w w:val="97"/>
                </w:rPr>
                <w:t>ARTICLE I</w:t>
              </w:r>
            </w:hyperlink>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5"/>
          </w:tcPr>
          <w:p>
            <w:pPr>
              <w:jc w:val="center"/>
              <w:ind w:right="3460"/>
              <w:spacing w:after="0"/>
              <w:rPr>
                <w:rFonts w:ascii="Arial" w:cs="Arial" w:eastAsia="Arial" w:hAnsi="Arial"/>
                <w:sz w:val="18"/>
                <w:szCs w:val="18"/>
                <w:color w:val="0000EE"/>
                <w:w w:val="94"/>
              </w:rPr>
            </w:pPr>
            <w:hyperlink w:anchor="page331">
              <w:r>
                <w:rPr>
                  <w:rFonts w:ascii="Arial" w:cs="Arial" w:eastAsia="Arial" w:hAnsi="Arial"/>
                  <w:sz w:val="18"/>
                  <w:szCs w:val="18"/>
                  <w:color w:val="0000EE"/>
                  <w:w w:val="94"/>
                </w:rPr>
                <w:t>DEFINITIONS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40" w:type="dxa"/>
            <w:vAlign w:val="bottom"/>
            <w:gridSpan w:val="25"/>
          </w:tcPr>
          <w:p>
            <w:pPr>
              <w:spacing w:after="0"/>
              <w:rPr>
                <w:rFonts w:ascii="Arial" w:cs="Arial" w:eastAsia="Arial" w:hAnsi="Arial"/>
                <w:sz w:val="18"/>
                <w:szCs w:val="18"/>
                <w:color w:val="0000EE"/>
              </w:rPr>
            </w:pPr>
            <w:hyperlink w:anchor="page331">
              <w:r>
                <w:rPr>
                  <w:rFonts w:ascii="Arial" w:cs="Arial" w:eastAsia="Arial" w:hAnsi="Arial"/>
                  <w:sz w:val="18"/>
                  <w:szCs w:val="18"/>
                  <w:color w:val="0000EE"/>
                </w:rPr>
                <w:t>Section 1.01.   Certain Defined Terms</w:t>
              </w:r>
            </w:hyperlink>
          </w:p>
        </w:tc>
        <w:tc>
          <w:tcPr>
            <w:tcW w:w="1080" w:type="dxa"/>
            <w:vAlign w:val="bottom"/>
            <w:tcBorders>
              <w:top w:val="single" w:sz="8" w:color="0000EE"/>
            </w:tcBorders>
            <w:gridSpan w:val="8"/>
          </w:tcPr>
          <w:p>
            <w:pPr>
              <w:spacing w:after="0"/>
              <w:rPr>
                <w:sz w:val="24"/>
                <w:szCs w:val="24"/>
                <w:color w:val="auto"/>
              </w:rPr>
            </w:pPr>
          </w:p>
        </w:tc>
        <w:tc>
          <w:tcPr>
            <w:tcW w:w="3600" w:type="dxa"/>
            <w:vAlign w:val="bottom"/>
            <w:gridSpan w:val="6"/>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31">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38">
              <w:r>
                <w:rPr>
                  <w:rFonts w:ascii="Arial" w:cs="Arial" w:eastAsia="Arial" w:hAnsi="Arial"/>
                  <w:sz w:val="18"/>
                  <w:szCs w:val="18"/>
                  <w:color w:val="0000EE"/>
                  <w:w w:val="85"/>
                </w:rPr>
                <w:t>Section 1.02.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Construction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Section 1.03.   Effectuating the Intent of the Parties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700"/>
              <w:spacing w:after="0"/>
              <w:rPr>
                <w:rFonts w:ascii="Arial" w:cs="Arial" w:eastAsia="Arial" w:hAnsi="Arial"/>
                <w:sz w:val="18"/>
                <w:szCs w:val="18"/>
                <w:color w:val="0000EE"/>
                <w:w w:val="96"/>
              </w:rPr>
            </w:pPr>
            <w:hyperlink w:anchor="page339">
              <w:r>
                <w:rPr>
                  <w:rFonts w:ascii="Arial" w:cs="Arial" w:eastAsia="Arial" w:hAnsi="Arial"/>
                  <w:sz w:val="18"/>
                  <w:szCs w:val="18"/>
                  <w:color w:val="0000EE"/>
                  <w:w w:val="96"/>
                </w:rPr>
                <w:t>ARTICLE II</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0"/>
          </w:tcPr>
          <w:p>
            <w:pPr>
              <w:jc w:val="center"/>
              <w:ind w:right="3000"/>
              <w:spacing w:after="0"/>
              <w:rPr>
                <w:rFonts w:ascii="Arial" w:cs="Arial" w:eastAsia="Arial" w:hAnsi="Arial"/>
                <w:sz w:val="18"/>
                <w:szCs w:val="18"/>
                <w:color w:val="0000EE"/>
                <w:w w:val="89"/>
              </w:rPr>
            </w:pPr>
            <w:hyperlink w:anchor="page339">
              <w:r>
                <w:rPr>
                  <w:rFonts w:ascii="Arial" w:cs="Arial" w:eastAsia="Arial" w:hAnsi="Arial"/>
                  <w:sz w:val="18"/>
                  <w:szCs w:val="18"/>
                  <w:color w:val="0000EE"/>
                  <w:w w:val="89"/>
                </w:rPr>
                <w:t>CORPORATE GOVERNANCE</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39">
              <w:r>
                <w:rPr>
                  <w:rFonts w:ascii="Arial" w:cs="Arial" w:eastAsia="Arial" w:hAnsi="Arial"/>
                  <w:sz w:val="18"/>
                  <w:szCs w:val="18"/>
                  <w:color w:val="0000EE"/>
                </w:rPr>
                <w:t>Section 2.01.   Company Board Representation</w:t>
              </w:r>
            </w:hyperlink>
          </w:p>
        </w:tc>
        <w:tc>
          <w:tcPr>
            <w:tcW w:w="360" w:type="dxa"/>
            <w:vAlign w:val="bottom"/>
            <w:gridSpan w:val="3"/>
          </w:tcPr>
          <w:p>
            <w:pPr>
              <w:jc w:val="right"/>
              <w:spacing w:after="0"/>
              <w:rPr>
                <w:rFonts w:ascii="Arial" w:cs="Arial" w:eastAsia="Arial" w:hAnsi="Arial"/>
                <w:sz w:val="18"/>
                <w:szCs w:val="18"/>
                <w:color w:val="0000EE"/>
              </w:rPr>
            </w:pPr>
            <w:hyperlink w:anchor="page33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Section 2.02.   Company Board Committees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Section 2.03.   Meetings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Section 2.04.   Quorum; Acts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2.05.   Action by Written Consent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2.06.   Conflicts and Competitively Sensitive 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Section 2.07.   Company Organizational Documents; Conflicting Agreements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2.08.   Termination of Governance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Section 2.09.   Directors’ and Officers’ Insurance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Section 2.10.   No Liability for Directors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344">
              <w:r>
                <w:rPr>
                  <w:rFonts w:ascii="Arial" w:cs="Arial" w:eastAsia="Arial" w:hAnsi="Arial"/>
                  <w:sz w:val="18"/>
                  <w:szCs w:val="18"/>
                  <w:color w:val="0000EE"/>
                  <w:w w:val="95"/>
                </w:rPr>
                <w:t>ARTICLE III</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31"/>
          </w:tcPr>
          <w:p>
            <w:pPr>
              <w:jc w:val="center"/>
              <w:ind w:right="1920"/>
              <w:spacing w:after="0"/>
              <w:rPr>
                <w:rFonts w:ascii="Arial" w:cs="Arial" w:eastAsia="Arial" w:hAnsi="Arial"/>
                <w:sz w:val="18"/>
                <w:szCs w:val="18"/>
                <w:color w:val="0000EE"/>
                <w:w w:val="93"/>
              </w:rPr>
            </w:pPr>
            <w:hyperlink w:anchor="page344">
              <w:r>
                <w:rPr>
                  <w:rFonts w:ascii="Arial" w:cs="Arial" w:eastAsia="Arial" w:hAnsi="Arial"/>
                  <w:sz w:val="18"/>
                  <w:szCs w:val="18"/>
                  <w:color w:val="0000EE"/>
                  <w:w w:val="93"/>
                </w:rPr>
                <w:t>TRANSFERABILITY OF SHARES; PREEMPTIVE RIGHTS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44">
              <w:r>
                <w:rPr>
                  <w:rFonts w:ascii="Arial" w:cs="Arial" w:eastAsia="Arial" w:hAnsi="Arial"/>
                  <w:sz w:val="18"/>
                  <w:szCs w:val="18"/>
                  <w:color w:val="0000EE"/>
                </w:rPr>
                <w:t>Section 3.01.   General Restrictions on Transfer of Shares</w:t>
              </w:r>
            </w:hyperlink>
          </w:p>
        </w:tc>
        <w:tc>
          <w:tcPr>
            <w:tcW w:w="360" w:type="dxa"/>
            <w:vAlign w:val="bottom"/>
            <w:gridSpan w:val="3"/>
          </w:tcPr>
          <w:p>
            <w:pPr>
              <w:jc w:val="right"/>
              <w:spacing w:after="0"/>
              <w:rPr>
                <w:rFonts w:ascii="Arial" w:cs="Arial" w:eastAsia="Arial" w:hAnsi="Arial"/>
                <w:sz w:val="18"/>
                <w:szCs w:val="18"/>
                <w:color w:val="0000EE"/>
              </w:rPr>
            </w:pPr>
            <w:hyperlink w:anchor="page34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Section 3.02.   Right of First Offer.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3.03.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Tag-Along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Section 3.04.   Cooperation with Transfer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660"/>
              <w:spacing w:after="0"/>
              <w:rPr>
                <w:rFonts w:ascii="Arial" w:cs="Arial" w:eastAsia="Arial" w:hAnsi="Arial"/>
                <w:sz w:val="18"/>
                <w:szCs w:val="18"/>
                <w:color w:val="0000EE"/>
                <w:w w:val="93"/>
              </w:rPr>
            </w:pPr>
            <w:hyperlink w:anchor="page349">
              <w:r>
                <w:rPr>
                  <w:rFonts w:ascii="Arial" w:cs="Arial" w:eastAsia="Arial" w:hAnsi="Arial"/>
                  <w:sz w:val="18"/>
                  <w:szCs w:val="18"/>
                  <w:color w:val="0000EE"/>
                  <w:w w:val="93"/>
                </w:rPr>
                <w:t>ARTICLE IV</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8"/>
          </w:tcPr>
          <w:p>
            <w:pPr>
              <w:jc w:val="center"/>
              <w:ind w:right="3300"/>
              <w:spacing w:after="0"/>
              <w:rPr>
                <w:rFonts w:ascii="Arial" w:cs="Arial" w:eastAsia="Arial" w:hAnsi="Arial"/>
                <w:sz w:val="18"/>
                <w:szCs w:val="18"/>
                <w:color w:val="0000EE"/>
                <w:w w:val="93"/>
              </w:rPr>
            </w:pPr>
            <w:hyperlink w:anchor="page349">
              <w:r>
                <w:rPr>
                  <w:rFonts w:ascii="Arial" w:cs="Arial" w:eastAsia="Arial" w:hAnsi="Arial"/>
                  <w:sz w:val="18"/>
                  <w:szCs w:val="18"/>
                  <w:color w:val="0000EE"/>
                  <w:w w:val="93"/>
                </w:rPr>
                <w:t>OTHER COVENANTS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49">
              <w:r>
                <w:rPr>
                  <w:rFonts w:ascii="Arial" w:cs="Arial" w:eastAsia="Arial" w:hAnsi="Arial"/>
                  <w:sz w:val="18"/>
                  <w:szCs w:val="18"/>
                  <w:color w:val="0000EE"/>
                  <w:w w:val="85"/>
                </w:rPr>
                <w:t>Section 4.01.</w:t>
              </w:r>
            </w:hyperlink>
          </w:p>
        </w:tc>
        <w:tc>
          <w:tcPr>
            <w:tcW w:w="2720" w:type="dxa"/>
            <w:vAlign w:val="bottom"/>
            <w:gridSpan w:val="20"/>
          </w:tcPr>
          <w:p>
            <w:pPr>
              <w:ind w:left="240"/>
              <w:spacing w:after="0"/>
              <w:rPr>
                <w:rFonts w:ascii="Arial" w:cs="Arial" w:eastAsia="Arial" w:hAnsi="Arial"/>
                <w:sz w:val="18"/>
                <w:szCs w:val="18"/>
                <w:color w:val="0000EE"/>
              </w:rPr>
            </w:pPr>
            <w:hyperlink w:anchor="page349">
              <w:r>
                <w:rPr>
                  <w:rFonts w:ascii="Arial" w:cs="Arial" w:eastAsia="Arial" w:hAnsi="Arial"/>
                  <w:sz w:val="18"/>
                  <w:szCs w:val="18"/>
                  <w:color w:val="0000EE"/>
                </w:rPr>
                <w:t>Further Assurances</w:t>
              </w:r>
            </w:hyperlink>
          </w:p>
        </w:tc>
        <w:tc>
          <w:tcPr>
            <w:tcW w:w="1680" w:type="dxa"/>
            <w:vAlign w:val="bottom"/>
            <w:tcBorders>
              <w:top w:val="single" w:sz="8" w:color="0000EE"/>
            </w:tcBorders>
            <w:gridSpan w:val="14"/>
          </w:tcPr>
          <w:p>
            <w:pPr>
              <w:spacing w:after="0"/>
              <w:rPr>
                <w:sz w:val="24"/>
                <w:szCs w:val="24"/>
                <w:color w:val="auto"/>
              </w:rPr>
            </w:pPr>
          </w:p>
        </w:tc>
        <w:tc>
          <w:tcPr>
            <w:tcW w:w="3300" w:type="dxa"/>
            <w:vAlign w:val="bottom"/>
            <w:gridSpan w:val="4"/>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9">
              <w:r>
                <w:rPr>
                  <w:rFonts w:ascii="Arial" w:cs="Arial" w:eastAsia="Arial" w:hAnsi="Arial"/>
                  <w:sz w:val="18"/>
                  <w:szCs w:val="18"/>
                  <w:color w:val="0000EE"/>
                  <w:w w:val="85"/>
                </w:rPr>
                <w:t>Section 4.02.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0">
              <w:r>
                <w:rPr>
                  <w:rFonts w:ascii="Arial" w:cs="Arial" w:eastAsia="Arial" w:hAnsi="Arial"/>
                  <w:sz w:val="18"/>
                  <w:szCs w:val="18"/>
                  <w:color w:val="0000EE"/>
                  <w:w w:val="85"/>
                </w:rPr>
                <w:t>Section 4.03.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Corporate Opportunities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Dividend Policy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4.06.</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Registration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2">
              <w:r>
                <w:rPr>
                  <w:rFonts w:ascii="Arial" w:cs="Arial" w:eastAsia="Arial" w:hAnsi="Arial"/>
                  <w:sz w:val="18"/>
                  <w:szCs w:val="18"/>
                  <w:color w:val="0000EE"/>
                  <w:w w:val="85"/>
                </w:rPr>
                <w:t>Section 4.07.</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Audit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4.08.</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Tax Matters.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3">
              <w:r>
                <w:rPr>
                  <w:rFonts w:ascii="Arial" w:cs="Arial" w:eastAsia="Arial" w:hAnsi="Arial"/>
                  <w:sz w:val="18"/>
                  <w:szCs w:val="18"/>
                  <w:color w:val="0000EE"/>
                  <w:w w:val="85"/>
                </w:rPr>
                <w:t>Section 4.09.</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Emergency Funding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ind w:right="20"/>
              <w:spacing w:after="0"/>
              <w:rPr>
                <w:rFonts w:ascii="Arial" w:cs="Arial" w:eastAsia="Arial" w:hAnsi="Arial"/>
                <w:sz w:val="18"/>
                <w:szCs w:val="18"/>
                <w:color w:val="0000EE"/>
                <w:w w:val="96"/>
              </w:rPr>
            </w:pPr>
            <w:hyperlink w:anchor="page354">
              <w:r>
                <w:rPr>
                  <w:rFonts w:ascii="Arial" w:cs="Arial" w:eastAsia="Arial" w:hAnsi="Arial"/>
                  <w:sz w:val="18"/>
                  <w:szCs w:val="18"/>
                  <w:color w:val="0000EE"/>
                  <w:w w:val="96"/>
                </w:rPr>
                <w:t>ARTICLE V</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6"/>
          </w:tcPr>
          <w:p>
            <w:pPr>
              <w:jc w:val="center"/>
              <w:ind w:right="3360"/>
              <w:spacing w:after="0"/>
              <w:rPr>
                <w:rFonts w:ascii="Arial" w:cs="Arial" w:eastAsia="Arial" w:hAnsi="Arial"/>
                <w:sz w:val="18"/>
                <w:szCs w:val="18"/>
                <w:color w:val="0000EE"/>
                <w:w w:val="95"/>
              </w:rPr>
            </w:pPr>
            <w:hyperlink w:anchor="page354">
              <w:r>
                <w:rPr>
                  <w:rFonts w:ascii="Arial" w:cs="Arial" w:eastAsia="Arial" w:hAnsi="Arial"/>
                  <w:sz w:val="18"/>
                  <w:szCs w:val="18"/>
                  <w:color w:val="0000EE"/>
                  <w:w w:val="95"/>
                </w:rPr>
                <w:t>MISCELLANEOUS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54">
              <w:r>
                <w:rPr>
                  <w:rFonts w:ascii="Arial" w:cs="Arial" w:eastAsia="Arial" w:hAnsi="Arial"/>
                  <w:sz w:val="18"/>
                  <w:szCs w:val="18"/>
                  <w:color w:val="0000EE"/>
                  <w:w w:val="85"/>
                </w:rPr>
                <w:t>Section 5.01.</w:t>
              </w:r>
            </w:hyperlink>
          </w:p>
        </w:tc>
        <w:tc>
          <w:tcPr>
            <w:tcW w:w="2880" w:type="dxa"/>
            <w:vAlign w:val="bottom"/>
            <w:gridSpan w:val="23"/>
          </w:tcPr>
          <w:p>
            <w:pPr>
              <w:ind w:left="240"/>
              <w:spacing w:after="0"/>
              <w:rPr>
                <w:rFonts w:ascii="Arial" w:cs="Arial" w:eastAsia="Arial" w:hAnsi="Arial"/>
                <w:sz w:val="18"/>
                <w:szCs w:val="18"/>
                <w:color w:val="0000EE"/>
              </w:rPr>
            </w:pPr>
            <w:hyperlink w:anchor="page354">
              <w:r>
                <w:rPr>
                  <w:rFonts w:ascii="Arial" w:cs="Arial" w:eastAsia="Arial" w:hAnsi="Arial"/>
                  <w:sz w:val="18"/>
                  <w:szCs w:val="18"/>
                  <w:color w:val="0000EE"/>
                </w:rPr>
                <w:t>Termination</w:t>
              </w:r>
            </w:hyperlink>
          </w:p>
        </w:tc>
        <w:tc>
          <w:tcPr>
            <w:tcW w:w="1420" w:type="dxa"/>
            <w:vAlign w:val="bottom"/>
            <w:tcBorders>
              <w:top w:val="single" w:sz="8" w:color="0000EE"/>
            </w:tcBorders>
            <w:gridSpan w:val="10"/>
          </w:tcPr>
          <w:p>
            <w:pPr>
              <w:spacing w:after="0"/>
              <w:rPr>
                <w:sz w:val="24"/>
                <w:szCs w:val="24"/>
                <w:color w:val="auto"/>
              </w:rPr>
            </w:pPr>
          </w:p>
        </w:tc>
        <w:tc>
          <w:tcPr>
            <w:tcW w:w="3400" w:type="dxa"/>
            <w:vAlign w:val="bottom"/>
            <w:gridSpan w:val="5"/>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Section 5.02.   Amendments and Waivers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Section 5.03.   Successors, Assigns and Transferees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5">
              <w:r>
                <w:rPr>
                  <w:rFonts w:ascii="Arial" w:cs="Arial" w:eastAsia="Arial" w:hAnsi="Arial"/>
                  <w:sz w:val="18"/>
                  <w:szCs w:val="18"/>
                  <w:color w:val="0000EE"/>
                  <w:w w:val="85"/>
                </w:rPr>
                <w:t>Section 5.04.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20" w:type="dxa"/>
            <w:vAlign w:val="bottom"/>
            <w:gridSpan w:val="3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7">
              <w:r>
                <w:rPr>
                  <w:rFonts w:ascii="Arial" w:cs="Arial" w:eastAsia="Arial" w:hAnsi="Arial"/>
                  <w:sz w:val="18"/>
                  <w:szCs w:val="18"/>
                  <w:color w:val="0000EE"/>
                  <w:w w:val="85"/>
                </w:rPr>
                <w:t>Section 5.05.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Entire Agreement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9" w:name="page330"/>
    <w:bookmarkEnd w:id="329"/>
    <w:tbl>
      <w:tblPr>
        <w:tblLayout w:type="fixed"/>
        <w:tblInd w:w="20" w:type="dxa"/>
        <w:tblCellMar>
          <w:top w:w="0" w:type="dxa"/>
          <w:left w:w="0" w:type="dxa"/>
          <w:bottom w:w="0" w:type="dxa"/>
          <w:right w:w="0" w:type="dxa"/>
        </w:tblCellMar>
      </w:tblPr>
      <w:tr>
        <w:trPr>
          <w:trHeight w:val="161"/>
        </w:trPr>
        <w:tc>
          <w:tcPr>
            <w:tcW w:w="860" w:type="dxa"/>
            <w:vAlign w:val="bottom"/>
            <w:gridSpan w:val="5"/>
            <w:vMerge w:val="restart"/>
          </w:tcPr>
          <w:p>
            <w:pPr>
              <w:spacing w:after="0"/>
              <w:rPr>
                <w:rFonts w:ascii="Arial" w:cs="Arial" w:eastAsia="Arial" w:hAnsi="Arial"/>
                <w:sz w:val="18"/>
                <w:szCs w:val="18"/>
                <w:color w:val="0000EE"/>
                <w:w w:val="77"/>
              </w:rPr>
            </w:pPr>
            <w:hyperlink w:anchor="page357">
              <w:r>
                <w:rPr>
                  <w:rFonts w:ascii="Arial" w:cs="Arial" w:eastAsia="Arial" w:hAnsi="Arial"/>
                  <w:sz w:val="18"/>
                  <w:szCs w:val="18"/>
                  <w:color w:val="0000EE"/>
                  <w:w w:val="77"/>
                </w:rPr>
                <w:t>Section 5.06.</w:t>
              </w:r>
            </w:hyperlink>
          </w:p>
        </w:tc>
        <w:tc>
          <w:tcPr>
            <w:tcW w:w="7760" w:type="dxa"/>
            <w:vAlign w:val="bottom"/>
            <w:gridSpan w:val="14"/>
            <w:vMerge w:val="restart"/>
          </w:tcPr>
          <w:p>
            <w:pPr>
              <w:ind w:left="300"/>
              <w:spacing w:after="0"/>
              <w:rPr>
                <w:rFonts w:ascii="Arial" w:cs="Arial" w:eastAsia="Arial" w:hAnsi="Arial"/>
                <w:sz w:val="18"/>
                <w:szCs w:val="18"/>
                <w:color w:val="0000EE"/>
              </w:rPr>
            </w:pPr>
            <w:hyperlink w:anchor="page357">
              <w:r>
                <w:rPr>
                  <w:rFonts w:ascii="Arial" w:cs="Arial" w:eastAsia="Arial" w:hAnsi="Arial"/>
                  <w:sz w:val="18"/>
                  <w:szCs w:val="18"/>
                  <w:color w:val="0000EE"/>
                </w:rPr>
                <w:t>Governing Law</w:t>
              </w:r>
            </w:hyperlink>
          </w:p>
        </w:tc>
        <w:tc>
          <w:tcPr>
            <w:tcW w:w="36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860" w:type="dxa"/>
            <w:vAlign w:val="bottom"/>
            <w:gridSpan w:val="5"/>
            <w:vMerge w:val="continue"/>
          </w:tcPr>
          <w:p>
            <w:pPr>
              <w:spacing w:after="0"/>
              <w:rPr>
                <w:sz w:val="14"/>
                <w:szCs w:val="14"/>
                <w:color w:val="auto"/>
              </w:rPr>
            </w:pPr>
          </w:p>
        </w:tc>
        <w:tc>
          <w:tcPr>
            <w:tcW w:w="7760" w:type="dxa"/>
            <w:vAlign w:val="bottom"/>
            <w:gridSpan w:val="14"/>
            <w:vMerge w:val="continue"/>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357">
              <w:r>
                <w:rPr>
                  <w:rFonts w:ascii="Arial" w:cs="Arial" w:eastAsia="Arial" w:hAnsi="Arial"/>
                  <w:sz w:val="16"/>
                  <w:szCs w:val="16"/>
                  <w:color w:val="0000EE"/>
                  <w:w w:val="78"/>
                </w:rPr>
                <w:t>27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7">
              <w:r>
                <w:rPr>
                  <w:rFonts w:ascii="Arial" w:cs="Arial" w:eastAsia="Arial" w:hAnsi="Arial"/>
                  <w:sz w:val="18"/>
                  <w:szCs w:val="18"/>
                  <w:color w:val="0000EE"/>
                  <w:w w:val="77"/>
                </w:rPr>
                <w:t>Section 5.07.</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7">
              <w:r>
                <w:rPr>
                  <w:rFonts w:ascii="Arial" w:cs="Arial" w:eastAsia="Arial" w:hAnsi="Arial"/>
                  <w:sz w:val="18"/>
                  <w:szCs w:val="18"/>
                  <w:color w:val="0000EE"/>
                </w:rPr>
                <w:t>Specific Enforcement</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7">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5.08.</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Counterparts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5.09.</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Severability</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8">
              <w:r>
                <w:rPr>
                  <w:rFonts w:ascii="Arial" w:cs="Arial" w:eastAsia="Arial" w:hAnsi="Arial"/>
                  <w:sz w:val="18"/>
                  <w:szCs w:val="18"/>
                  <w:color w:val="0000EE"/>
                  <w:w w:val="77"/>
                </w:rPr>
                <w:t>Section 5.10.</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8">
              <w:r>
                <w:rPr>
                  <w:rFonts w:ascii="Arial" w:cs="Arial" w:eastAsia="Arial" w:hAnsi="Arial"/>
                  <w:sz w:val="18"/>
                  <w:szCs w:val="18"/>
                  <w:color w:val="0000EE"/>
                </w:rPr>
                <w:t>Existing Shareholders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8">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5"/>
          </w:tcPr>
          <w:p>
            <w:pPr>
              <w:spacing w:after="0"/>
              <w:rPr>
                <w:rFonts w:ascii="Arial" w:cs="Arial" w:eastAsia="Arial" w:hAnsi="Arial"/>
                <w:sz w:val="18"/>
                <w:szCs w:val="18"/>
                <w:color w:val="0000EE"/>
              </w:rPr>
            </w:pPr>
            <w:hyperlink w:anchor="page378">
              <w:r>
                <w:rPr>
                  <w:rFonts w:ascii="Arial" w:cs="Arial" w:eastAsia="Arial" w:hAnsi="Arial"/>
                  <w:sz w:val="18"/>
                  <w:szCs w:val="18"/>
                  <w:color w:val="0000EE"/>
                </w:rPr>
                <w:t>Annexes</w:t>
              </w:r>
            </w:hyperlink>
          </w:p>
        </w:tc>
        <w:tc>
          <w:tcPr>
            <w:tcW w:w="3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Annex A</w:t>
              </w:r>
            </w:hyperlink>
          </w:p>
        </w:tc>
        <w:tc>
          <w:tcPr>
            <w:tcW w:w="7760" w:type="dxa"/>
            <w:vAlign w:val="bottom"/>
            <w:gridSpan w:val="14"/>
          </w:tcPr>
          <w:p>
            <w:pPr>
              <w:ind w:left="300"/>
              <w:spacing w:after="0"/>
              <w:rPr>
                <w:rFonts w:ascii="Arial" w:cs="Arial" w:eastAsia="Arial" w:hAnsi="Arial"/>
                <w:sz w:val="18"/>
                <w:szCs w:val="18"/>
                <w:color w:val="0000EE"/>
              </w:rPr>
            </w:pPr>
            <w:hyperlink w:anchor="page190">
              <w:r>
                <w:rPr>
                  <w:rFonts w:ascii="Arial" w:cs="Arial" w:eastAsia="Arial" w:hAnsi="Arial"/>
                  <w:sz w:val="18"/>
                  <w:szCs w:val="18"/>
                  <w:color w:val="0000EE"/>
                </w:rPr>
                <w:t>Approval Rights of the New Investor and BHL</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Schedules and Exhibits</w:t>
            </w:r>
          </w:p>
        </w:tc>
        <w:tc>
          <w:tcPr>
            <w:tcW w:w="698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w w:val="96"/>
              </w:rPr>
            </w:pPr>
            <w:hyperlink w:anchor="page287">
              <w:r>
                <w:rPr>
                  <w:rFonts w:ascii="Arial" w:cs="Arial" w:eastAsia="Arial" w:hAnsi="Arial"/>
                  <w:sz w:val="18"/>
                  <w:szCs w:val="18"/>
                  <w:color w:val="0000EE"/>
                  <w:w w:val="96"/>
                </w:rPr>
                <w:t>Schedule I</w:t>
              </w:r>
            </w:hyperlink>
          </w:p>
        </w:tc>
        <w:tc>
          <w:tcPr>
            <w:tcW w:w="7760" w:type="dxa"/>
            <w:vAlign w:val="bottom"/>
            <w:gridSpan w:val="14"/>
          </w:tcPr>
          <w:p>
            <w:pPr>
              <w:ind w:left="300"/>
              <w:spacing w:after="0"/>
              <w:rPr>
                <w:rFonts w:ascii="Arial" w:cs="Arial" w:eastAsia="Arial" w:hAnsi="Arial"/>
                <w:sz w:val="18"/>
                <w:szCs w:val="18"/>
                <w:color w:val="0000EE"/>
              </w:rPr>
            </w:pPr>
            <w:hyperlink w:anchor="page287">
              <w:r>
                <w:rPr>
                  <w:rFonts w:ascii="Arial" w:cs="Arial" w:eastAsia="Arial" w:hAnsi="Arial"/>
                  <w:sz w:val="18"/>
                  <w:szCs w:val="18"/>
                  <w:color w:val="0000EE"/>
                </w:rPr>
                <w:t>Share Ownership</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color w:val="0000EE"/>
                <w:w w:val="86"/>
              </w:rPr>
            </w:pPr>
            <w:hyperlink w:anchor="page288">
              <w:r>
                <w:rPr>
                  <w:rFonts w:ascii="Arial" w:cs="Arial" w:eastAsia="Arial" w:hAnsi="Arial"/>
                  <w:sz w:val="18"/>
                  <w:szCs w:val="18"/>
                  <w:color w:val="0000EE"/>
                  <w:w w:val="86"/>
                </w:rPr>
                <w:t>Schedule II</w:t>
              </w:r>
            </w:hyperlink>
          </w:p>
        </w:tc>
        <w:tc>
          <w:tcPr>
            <w:tcW w:w="60" w:type="dxa"/>
            <w:vAlign w:val="bottom"/>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Initial Directors and New Investor Board Observer of the Company Board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86"/>
              </w:rPr>
            </w:pPr>
            <w:hyperlink w:anchor="page370">
              <w:r>
                <w:rPr>
                  <w:rFonts w:ascii="Arial" w:cs="Arial" w:eastAsia="Arial" w:hAnsi="Arial"/>
                  <w:sz w:val="18"/>
                  <w:szCs w:val="18"/>
                  <w:color w:val="0000EE"/>
                  <w:w w:val="86"/>
                </w:rPr>
                <w:t>Schedule III</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0">
              <w:r>
                <w:rPr>
                  <w:rFonts w:ascii="Arial" w:cs="Arial" w:eastAsia="Arial" w:hAnsi="Arial"/>
                  <w:sz w:val="18"/>
                  <w:szCs w:val="18"/>
                  <w:color w:val="0000EE"/>
                </w:rPr>
                <w:t>Competitors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2"/>
          </w:tcPr>
          <w:p>
            <w:pPr>
              <w:spacing w:after="0"/>
              <w:rPr>
                <w:rFonts w:ascii="Arial" w:cs="Arial" w:eastAsia="Arial" w:hAnsi="Arial"/>
                <w:sz w:val="18"/>
                <w:szCs w:val="18"/>
                <w:color w:val="0000EE"/>
                <w:w w:val="81"/>
              </w:rPr>
            </w:pPr>
            <w:hyperlink w:anchor="page371">
              <w:r>
                <w:rPr>
                  <w:rFonts w:ascii="Arial" w:cs="Arial" w:eastAsia="Arial" w:hAnsi="Arial"/>
                  <w:sz w:val="18"/>
                  <w:szCs w:val="18"/>
                  <w:color w:val="0000EE"/>
                  <w:w w:val="81"/>
                </w:rPr>
                <w:t>Exhibit A</w:t>
              </w:r>
            </w:hyperlink>
          </w:p>
        </w:tc>
        <w:tc>
          <w:tcPr>
            <w:tcW w:w="240" w:type="dxa"/>
            <w:vAlign w:val="bottom"/>
            <w:gridSpan w:val="3"/>
          </w:tcPr>
          <w:p>
            <w:pPr>
              <w:spacing w:after="0"/>
              <w:rPr>
                <w:sz w:val="24"/>
                <w:szCs w:val="24"/>
                <w:color w:val="auto"/>
              </w:rPr>
            </w:pPr>
          </w:p>
        </w:tc>
        <w:tc>
          <w:tcPr>
            <w:tcW w:w="7760" w:type="dxa"/>
            <w:vAlign w:val="bottom"/>
            <w:gridSpan w:val="14"/>
          </w:tcPr>
          <w:p>
            <w:pPr>
              <w:ind w:left="300"/>
              <w:spacing w:after="0"/>
              <w:rPr>
                <w:rFonts w:ascii="Arial" w:cs="Arial" w:eastAsia="Arial" w:hAnsi="Arial"/>
                <w:sz w:val="18"/>
                <w:szCs w:val="18"/>
                <w:color w:val="0000EE"/>
              </w:rPr>
            </w:pPr>
            <w:hyperlink w:anchor="page371">
              <w:r>
                <w:rPr>
                  <w:rFonts w:ascii="Arial" w:cs="Arial" w:eastAsia="Arial" w:hAnsi="Arial"/>
                  <w:sz w:val="18"/>
                  <w:szCs w:val="18"/>
                  <w:color w:val="0000EE"/>
                </w:rPr>
                <w:t>Company Organizational Documents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1"/>
              </w:rPr>
            </w:pPr>
            <w:hyperlink w:anchor="page372">
              <w:r>
                <w:rPr>
                  <w:rFonts w:ascii="Arial" w:cs="Arial" w:eastAsia="Arial" w:hAnsi="Arial"/>
                  <w:sz w:val="18"/>
                  <w:szCs w:val="18"/>
                  <w:color w:val="0000EE"/>
                  <w:w w:val="81"/>
                </w:rPr>
                <w:t>Exhibit B</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2">
              <w:r>
                <w:rPr>
                  <w:rFonts w:ascii="Arial" w:cs="Arial" w:eastAsia="Arial" w:hAnsi="Arial"/>
                  <w:sz w:val="18"/>
                  <w:szCs w:val="18"/>
                  <w:color w:val="0000EE"/>
                </w:rPr>
                <w:t>Form of Joinder Agreement</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0"/>
              </w:rPr>
            </w:pPr>
            <w:hyperlink w:anchor="page373">
              <w:r>
                <w:rPr>
                  <w:rFonts w:ascii="Arial" w:cs="Arial" w:eastAsia="Arial" w:hAnsi="Arial"/>
                  <w:sz w:val="18"/>
                  <w:szCs w:val="18"/>
                  <w:color w:val="0000EE"/>
                  <w:w w:val="80"/>
                </w:rPr>
                <w:t>Exhibit C</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73">
              <w:r>
                <w:rPr>
                  <w:rFonts w:ascii="Arial" w:cs="Arial" w:eastAsia="Arial" w:hAnsi="Arial"/>
                  <w:sz w:val="18"/>
                  <w:szCs w:val="18"/>
                  <w:color w:val="0000EE"/>
                </w:rPr>
                <w:t>Form of Emergency Funding Loan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330" w:name="page331"/>
    <w:bookmarkEnd w:id="330"/>
    <w:p>
      <w:pPr>
        <w:jc w:val="both"/>
        <w:ind w:firstLine="501"/>
        <w:spacing w:after="0" w:line="254" w:lineRule="auto"/>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(the “</w:t>
      </w:r>
      <w:r>
        <w:rPr>
          <w:rFonts w:ascii="Arial" w:cs="Arial" w:eastAsia="Arial" w:hAnsi="Arial"/>
          <w:sz w:val="18"/>
          <w:szCs w:val="18"/>
          <w:u w:val="single" w:color="auto"/>
          <w:color w:val="auto"/>
        </w:rPr>
        <w:t>New Investor</w:t>
      </w:r>
      <w:r>
        <w:rPr>
          <w:rFonts w:ascii="Arial" w:cs="Arial" w:eastAsia="Arial" w:hAnsi="Arial"/>
          <w:sz w:val="18"/>
          <w:szCs w:val="18"/>
          <w:color w:val="auto"/>
        </w:rPr>
        <w:t xml:space="preserve">”), and each of those existing shareholders of the Company that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18"/>
          <w:szCs w:val="18"/>
          <w:u w:val="single" w:color="auto"/>
          <w:color w:val="auto"/>
        </w:rPr>
        <w:t>Shareholders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20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WHEREAS, the Company, the New Investor and GEPIF III Crown MergerCo Limited, a Bermuda exempted company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merged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 and</w:t>
      </w:r>
    </w:p>
    <w:p>
      <w:pPr>
        <w:spacing w:after="0" w:line="194" w:lineRule="exact"/>
        <w:rPr>
          <w:sz w:val="20"/>
          <w:szCs w:val="20"/>
          <w:color w:val="auto"/>
        </w:rPr>
      </w:pPr>
    </w:p>
    <w:p>
      <w:pPr>
        <w:jc w:val="both"/>
        <w:ind w:firstLine="431"/>
        <w:spacing w:after="0" w:line="331" w:lineRule="auto"/>
        <w:rPr>
          <w:sz w:val="20"/>
          <w:szCs w:val="20"/>
          <w:color w:val="auto"/>
        </w:rPr>
      </w:pPr>
      <w:r>
        <w:rPr>
          <w:rFonts w:ascii="Arial" w:cs="Arial" w:eastAsia="Arial" w:hAnsi="Arial"/>
          <w:sz w:val="16"/>
          <w:szCs w:val="16"/>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141" w:lineRule="exact"/>
        <w:rPr>
          <w:sz w:val="20"/>
          <w:szCs w:val="20"/>
          <w:color w:val="auto"/>
        </w:rPr>
      </w:pPr>
    </w:p>
    <w:p>
      <w:pPr>
        <w:jc w:val="both"/>
        <w:ind w:firstLine="537"/>
        <w:spacing w:after="0" w:line="331" w:lineRule="auto"/>
        <w:rPr>
          <w:sz w:val="20"/>
          <w:szCs w:val="20"/>
          <w:color w:val="auto"/>
        </w:rPr>
      </w:pPr>
      <w:r>
        <w:rPr>
          <w:rFonts w:ascii="Arial" w:cs="Arial" w:eastAsia="Arial" w:hAnsi="Arial"/>
          <w:sz w:val="16"/>
          <w:szCs w:val="16"/>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 w:leader="none" w:pos="33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jc w:val="both"/>
        <w:ind w:firstLine="56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160"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t>anti-bribery or anti-corruption of any jurisdiction in which the Company or any of its Subsidiaries conducts business or owns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attempted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BHL</w:t>
      </w:r>
      <w:r>
        <w:rPr>
          <w:rFonts w:ascii="Arial" w:cs="Arial" w:eastAsia="Arial" w:hAnsi="Arial"/>
          <w:sz w:val="18"/>
          <w:szCs w:val="18"/>
          <w:color w:val="auto"/>
        </w:rPr>
        <w:t>” means Blenheim Holdings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Blenheim</w:t>
      </w:r>
      <w:r>
        <w:rPr>
          <w:rFonts w:ascii="Arial" w:cs="Arial" w:eastAsia="Arial" w:hAnsi="Arial"/>
          <w:sz w:val="18"/>
          <w:szCs w:val="18"/>
          <w:color w:val="auto"/>
        </w:rPr>
        <w:t>” means BHL and BSIH together.</w:t>
      </w:r>
    </w:p>
    <w:p>
      <w:pPr>
        <w:spacing w:after="0" w:line="225"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194"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the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BSIH</w:t>
      </w:r>
      <w:r>
        <w:rPr>
          <w:rFonts w:ascii="Arial" w:cs="Arial" w:eastAsia="Arial" w:hAnsi="Arial"/>
          <w:sz w:val="18"/>
          <w:szCs w:val="18"/>
          <w:color w:val="auto"/>
        </w:rPr>
        <w:t>” means Blenheim Special Investments Holding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14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xml:space="preserve">” means the Persons listed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definition of “Competitor” shall not include a Fund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t>other financial institution solely by virtue of holding an investment or economic interest in a Person engaged, directly or indirectly, in the Business.</w:t>
      </w:r>
    </w:p>
    <w:p>
      <w:pPr>
        <w:spacing w:after="0" w:line="248" w:lineRule="exact"/>
        <w:rPr>
          <w:sz w:val="20"/>
          <w:szCs w:val="20"/>
          <w:color w:val="auto"/>
        </w:rPr>
      </w:pPr>
    </w:p>
    <w:p>
      <w:pPr>
        <w:jc w:val="both"/>
        <w:ind w:firstLine="41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 (a) was or becomes generally available to the public other than as a result of a breach of this Agreement by such party or such of its Representatives, (b) 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source thereof is not known by such party or such of its Representatives to be 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6"/>
          <w:szCs w:val="16"/>
          <w:u w:val="single" w:color="auto"/>
          <w:color w:val="auto"/>
        </w:rPr>
        <w:t>clauses (a)-(d)</w:t>
      </w:r>
      <w:r>
        <w:rPr>
          <w:rFonts w:ascii="Arial" w:cs="Arial" w:eastAsia="Arial" w:hAnsi="Arial"/>
          <w:sz w:val="16"/>
          <w:szCs w:val="16"/>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Company Board.</w:t>
      </w:r>
    </w:p>
    <w:p>
      <w:pPr>
        <w:spacing w:after="0" w:line="225"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194"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Emergency</w:t>
      </w:r>
      <w:r>
        <w:rPr>
          <w:rFonts w:ascii="Arial" w:cs="Arial" w:eastAsia="Arial" w:hAnsi="Arial"/>
          <w:sz w:val="16"/>
          <w:szCs w:val="16"/>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within the timeframe necessary remedy such Emergency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3" w:name="page334"/>
    <w:bookmarkEnd w:id="333"/>
    <w:p>
      <w:pPr>
        <w:jc w:val="both"/>
        <w:ind w:firstLine="48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 Value</w:t>
      </w:r>
      <w:r>
        <w:rPr>
          <w:rFonts w:ascii="Arial" w:cs="Arial" w:eastAsia="Arial" w:hAnsi="Arial"/>
          <w:sz w:val="16"/>
          <w:szCs w:val="16"/>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 assumed, as applicable, in connection with such sale or disposal less the amount of any unrestricted cash being sold or disposed of in such sale.</w:t>
      </w:r>
    </w:p>
    <w:p>
      <w:pPr>
        <w:spacing w:after="0" w:line="169"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99"/>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Shareholders’ Agreement</w:t>
      </w:r>
      <w:r>
        <w:rPr>
          <w:rFonts w:ascii="Arial" w:cs="Arial" w:eastAsia="Arial" w:hAnsi="Arial"/>
          <w:sz w:val="16"/>
          <w:szCs w:val="16"/>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private equity, infrastructure or other investment fund (including a co-invest vehicle).</w:t>
      </w:r>
    </w:p>
    <w:p>
      <w:pPr>
        <w:spacing w:after="0" w:line="225" w:lineRule="exact"/>
        <w:rPr>
          <w:sz w:val="20"/>
          <w:szCs w:val="20"/>
          <w:color w:val="auto"/>
        </w:rPr>
      </w:pPr>
    </w:p>
    <w:p>
      <w:pPr>
        <w:jc w:val="both"/>
        <w:ind w:firstLine="41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GEPIF Fund</w:t>
      </w:r>
      <w:r>
        <w:rPr>
          <w:rFonts w:ascii="Arial" w:cs="Arial" w:eastAsia="Arial" w:hAnsi="Arial"/>
          <w:sz w:val="18"/>
          <w:szCs w:val="18"/>
          <w:color w:val="auto"/>
        </w:rPr>
        <w:t>” means Global Energy and Power Infrastructure Fund III, L.P.</w:t>
      </w:r>
    </w:p>
    <w:p>
      <w:pPr>
        <w:spacing w:after="0" w:line="225"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GEPIF Fund Group</w:t>
      </w:r>
      <w:r>
        <w:rPr>
          <w:rFonts w:ascii="Arial" w:cs="Arial" w:eastAsia="Arial" w:hAnsi="Arial"/>
          <w:sz w:val="16"/>
          <w:szCs w:val="16"/>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 (d) 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 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4" w:name="page335"/>
    <w:bookmarkEnd w:id="334"/>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186" w:lineRule="exact"/>
        <w:rPr>
          <w:sz w:val="20"/>
          <w:szCs w:val="20"/>
          <w:color w:val="auto"/>
        </w:rPr>
      </w:pPr>
    </w:p>
    <w:p>
      <w:pPr>
        <w:jc w:val="both"/>
        <w:ind w:firstLine="5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w:t>
      </w:r>
    </w:p>
    <w:p>
      <w:pPr>
        <w:spacing w:after="0" w:line="5" w:lineRule="exact"/>
        <w:rPr>
          <w:sz w:val="20"/>
          <w:szCs w:val="20"/>
          <w:color w:val="auto"/>
        </w:rPr>
      </w:pPr>
    </w:p>
    <w:p>
      <w:pPr>
        <w:jc w:val="both"/>
        <w:ind w:firstLine="8"/>
        <w:spacing w:after="0" w:line="287" w:lineRule="auto"/>
        <w:tabs>
          <w:tab w:leader="none" w:pos="26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means any offering of Shares pursuant to a registration statement filed in accordance with the Securities Act after the date hereof.</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any federal, national, provincial, state, local or multinational laws statutes, common laws, ordinances, codes, rules and regulations.</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5" w:name="page336"/>
    <w:bookmarkEnd w:id="335"/>
    <w:p>
      <w:pPr>
        <w:jc w:val="both"/>
        <w:spacing w:after="0" w:line="268" w:lineRule="auto"/>
        <w:rPr>
          <w:sz w:val="20"/>
          <w:szCs w:val="20"/>
          <w:color w:val="auto"/>
        </w:rPr>
      </w:pPr>
      <w:r>
        <w:rPr>
          <w:rFonts w:ascii="Arial" w:cs="Arial" w:eastAsia="Arial" w:hAnsi="Arial"/>
          <w:sz w:val="18"/>
          <w:szCs w:val="18"/>
          <w:color w:val="auto"/>
        </w:rPr>
        <w:t>Subsidiaries conducts business, the rules and regulations thereunder and any related or similar rules, regulations or guidelines issued, administered or enforced by any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means any vessel contracted to be constructed, under construction or newly constructed for, but not yet delivered to, the Company or any of its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with respect to any Shareholder, (i) any wholly owned Subsidiary of such Shareholder, (ii) any Affiliate that alone or together with one or more other Affiliates directly or indirectly wholly owns such Shareholder, (iii) any Affiliated Fund of such Shareholder and (iv) any successor entity of such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72"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Exchange</w:t>
      </w:r>
      <w:r>
        <w:rPr>
          <w:rFonts w:ascii="Arial" w:cs="Arial" w:eastAsia="Arial" w:hAnsi="Arial"/>
          <w:sz w:val="18"/>
          <w:szCs w:val="18"/>
          <w:color w:val="auto"/>
        </w:rPr>
        <w:t>” means the New York Stock Exchange, the Nasdaq Global Market, the London Stock Exchange, Euronext or any replacement or successor stock exchange of any of the foregoing.</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Equity Interests of the Company owned by a Holder which are the same class as the Equity Interests sold in the Initial Public Offering.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6" w:name="page337"/>
    <w:bookmarkEnd w:id="33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Transfer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14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Shareholder</w:t>
      </w:r>
      <w:r>
        <w:rPr>
          <w:rFonts w:ascii="Arial" w:cs="Arial" w:eastAsia="Arial" w:hAnsi="Arial"/>
          <w:sz w:val="16"/>
          <w:szCs w:val="16"/>
          <w:color w:val="auto"/>
        </w:rPr>
        <w:t>” means, as of any date of measurement, any Shareholder that holds 5% or more of the then-issued and outstanding Shares.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Tag-Eligible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7" w:name="page338"/>
    <w:bookmarkEnd w:id="337"/>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w:t>
      </w:r>
      <w:r>
        <w:rPr>
          <w:rFonts w:ascii="Arial" w:cs="Arial" w:eastAsia="Arial" w:hAnsi="Arial"/>
          <w:sz w:val="16"/>
          <w:szCs w:val="16"/>
          <w:u w:val="single" w:color="auto"/>
          <w:color w:val="auto"/>
        </w:rPr>
        <w:t>Transferred</w:t>
      </w:r>
      <w:r>
        <w:rPr>
          <w:rFonts w:ascii="Arial" w:cs="Arial" w:eastAsia="Arial" w:hAnsi="Arial"/>
          <w:sz w:val="16"/>
          <w:szCs w:val="16"/>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Transaction</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U.S. federal income tax regulations promulgated under the IRC,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vessel, the fair market value of such vessel, as determined in good faith by the Company Board.</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When a reference is made in this Agreement to an Article, a Section, an Annex, 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395"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Effectuating the Intent of the Parties</w:t>
      </w:r>
      <w:r>
        <w:rPr>
          <w:rFonts w:ascii="Arial" w:cs="Arial" w:eastAsia="Arial" w:hAnsi="Arial"/>
          <w:sz w:val="16"/>
          <w:szCs w:val="16"/>
          <w:color w:val="auto"/>
        </w:rPr>
        <w:t>. The Company and each Shareholder shall take all actions 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8" w:name="page339"/>
    <w:bookmarkEnd w:id="338"/>
    <w:p>
      <w:pPr>
        <w:jc w:val="both"/>
        <w:spacing w:after="0" w:line="259" w:lineRule="auto"/>
        <w:rPr>
          <w:sz w:val="20"/>
          <w:szCs w:val="20"/>
          <w:color w:val="auto"/>
        </w:rPr>
      </w:pPr>
      <w:r>
        <w:rPr>
          <w:rFonts w:ascii="Arial" w:cs="Arial" w:eastAsia="Arial" w:hAnsi="Arial"/>
          <w:sz w:val="18"/>
          <w:szCs w:val="18"/>
          <w:color w:val="auto"/>
        </w:rPr>
        <w:t xml:space="preserve">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CORPORATE GOVERNANCE</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Company Board Representation</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Company Board Size</w:t>
      </w:r>
      <w:r>
        <w:rPr>
          <w:rFonts w:ascii="Arial" w:cs="Arial" w:eastAsia="Arial" w:hAnsi="Arial"/>
          <w:sz w:val="18"/>
          <w:szCs w:val="18"/>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shall consist of five Directors.</w:t>
      </w:r>
    </w:p>
    <w:p>
      <w:pPr>
        <w:spacing w:after="0" w:line="196" w:lineRule="exact"/>
        <w:rPr>
          <w:rFonts w:ascii="Arial" w:cs="Arial" w:eastAsia="Arial" w:hAnsi="Arial"/>
          <w:sz w:val="18"/>
          <w:szCs w:val="18"/>
          <w:color w:val="auto"/>
        </w:rPr>
      </w:pPr>
    </w:p>
    <w:p>
      <w:pPr>
        <w:jc w:val="both"/>
        <w:ind w:left="540" w:firstLine="440"/>
        <w:spacing w:after="0" w:line="288" w:lineRule="auto"/>
        <w:tabs>
          <w:tab w:leader="none" w:pos="1393" w:val="left"/>
        </w:tabs>
        <w:numPr>
          <w:ilvl w:val="3"/>
          <w:numId w:val="391"/>
        </w:numPr>
        <w:rPr>
          <w:rFonts w:ascii="Arial" w:cs="Arial" w:eastAsia="Arial" w:hAnsi="Arial"/>
          <w:sz w:val="16"/>
          <w:szCs w:val="16"/>
          <w:color w:val="auto"/>
        </w:rPr>
      </w:pPr>
      <w:r>
        <w:rPr>
          <w:rFonts w:ascii="Arial" w:cs="Arial" w:eastAsia="Arial" w:hAnsi="Arial"/>
          <w:sz w:val="16"/>
          <w:szCs w:val="16"/>
          <w:u w:val="single" w:color="auto"/>
          <w:color w:val="auto"/>
        </w:rPr>
        <w:t>Company Board Composition</w:t>
      </w:r>
      <w:r>
        <w:rPr>
          <w:rFonts w:ascii="Arial" w:cs="Arial" w:eastAsia="Arial" w:hAnsi="Arial"/>
          <w:sz w:val="16"/>
          <w:szCs w:val="16"/>
          <w:color w:val="auto"/>
        </w:rPr>
        <w:t xml:space="preserve">. From and after the date hereof, subject to </w:t>
      </w:r>
      <w:r>
        <w:rPr>
          <w:rFonts w:ascii="Arial" w:cs="Arial" w:eastAsia="Arial" w:hAnsi="Arial"/>
          <w:sz w:val="16"/>
          <w:szCs w:val="16"/>
          <w:u w:val="single" w:color="auto"/>
          <w:color w:val="auto"/>
        </w:rPr>
        <w:t>Section 2.08</w:t>
      </w:r>
      <w:r>
        <w:rPr>
          <w:rFonts w:ascii="Arial" w:cs="Arial" w:eastAsia="Arial" w:hAnsi="Arial"/>
          <w:sz w:val="16"/>
          <w:szCs w:val="16"/>
          <w:color w:val="auto"/>
        </w:rPr>
        <w:t>, (i) the Existing Shareholders shall be entitled to designate three individuals (each, an “</w:t>
      </w:r>
      <w:r>
        <w:rPr>
          <w:rFonts w:ascii="Arial" w:cs="Arial" w:eastAsia="Arial" w:hAnsi="Arial"/>
          <w:sz w:val="16"/>
          <w:szCs w:val="16"/>
          <w:u w:val="single" w:color="auto"/>
          <w:color w:val="auto"/>
        </w:rPr>
        <w:t>Existing Shareholder Designated Director</w:t>
      </w:r>
      <w:r>
        <w:rPr>
          <w:rFonts w:ascii="Arial" w:cs="Arial" w:eastAsia="Arial" w:hAnsi="Arial"/>
          <w:sz w:val="16"/>
          <w:szCs w:val="16"/>
          <w:color w:val="auto"/>
        </w:rPr>
        <w:t>”) to serve as Directors and (ii) the New Investor shall be entitled to designate two individuals (each, a “</w:t>
      </w:r>
      <w:r>
        <w:rPr>
          <w:rFonts w:ascii="Arial" w:cs="Arial" w:eastAsia="Arial" w:hAnsi="Arial"/>
          <w:sz w:val="16"/>
          <w:szCs w:val="16"/>
          <w:u w:val="single" w:color="auto"/>
          <w:color w:val="auto"/>
        </w:rPr>
        <w:t>New Investor Designated Director</w:t>
      </w:r>
      <w:r>
        <w:rPr>
          <w:rFonts w:ascii="Arial" w:cs="Arial" w:eastAsia="Arial" w:hAnsi="Arial"/>
          <w:sz w:val="16"/>
          <w:szCs w:val="16"/>
          <w:color w:val="auto"/>
        </w:rPr>
        <w:t xml:space="preserve">”) to serve as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The initial Existing Shareholder Designated Directors and the initial New Investor Designated Directors, in each case as of the date hereof, are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For the avoidance of doubt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Company and the Shareholders agree to take all actions necessary from time to time to ensure that any individuals validly designated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are promptly elected to the Company Board.</w:t>
      </w:r>
    </w:p>
    <w:p>
      <w:pPr>
        <w:spacing w:after="0" w:line="172" w:lineRule="exact"/>
        <w:rPr>
          <w:rFonts w:ascii="Arial" w:cs="Arial" w:eastAsia="Arial" w:hAnsi="Arial"/>
          <w:sz w:val="16"/>
          <w:szCs w:val="16"/>
          <w:color w:val="auto"/>
        </w:rPr>
      </w:pPr>
    </w:p>
    <w:p>
      <w:pPr>
        <w:jc w:val="both"/>
        <w:ind w:left="540" w:firstLine="480"/>
        <w:spacing w:after="0" w:line="259" w:lineRule="auto"/>
        <w:tabs>
          <w:tab w:leader="none" w:pos="1450" w:val="left"/>
        </w:tabs>
        <w:numPr>
          <w:ilvl w:val="4"/>
          <w:numId w:val="391"/>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Any such designation shall be made in writing to the Company and to the other Shareholders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426"/>
        <w:spacing w:after="0" w:line="291" w:lineRule="auto"/>
        <w:tabs>
          <w:tab w:leader="none" w:pos="1366" w:val="left"/>
        </w:tabs>
        <w:numPr>
          <w:ilvl w:val="2"/>
          <w:numId w:val="391"/>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Each Shareholder agrees that it shall not vote any of its Shares in favor of the removal of any Director designated by another Shareholder pursuant to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unless the Shareholder or Shareholders entitled to designate such Director shall have consented to such removal in writing;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40" w:firstLine="386"/>
        <w:spacing w:after="0" w:line="298" w:lineRule="auto"/>
        <w:tabs>
          <w:tab w:leader="none" w:pos="1302"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If a vacancy on the Company Board occurs at any time as a result of the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the Shareholder or Shareholders that were entitled to designate the Director whose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9" w:name="page340"/>
    <w:bookmarkEnd w:id="339"/>
    <w:p>
      <w:pPr>
        <w:ind w:left="540"/>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notwithstanding that there are one or more vacancies on the Company Board.</w:t>
      </w:r>
    </w:p>
    <w:p>
      <w:pPr>
        <w:spacing w:after="0" w:line="225" w:lineRule="exact"/>
        <w:rPr>
          <w:sz w:val="20"/>
          <w:szCs w:val="20"/>
          <w:color w:val="auto"/>
        </w:rPr>
      </w:pPr>
    </w:p>
    <w:p>
      <w:pPr>
        <w:jc w:val="both"/>
        <w:ind w:left="540" w:firstLine="507"/>
        <w:spacing w:after="0" w:line="253" w:lineRule="auto"/>
        <w:tabs>
          <w:tab w:leader="none" w:pos="1458" w:val="left"/>
        </w:tabs>
        <w:numPr>
          <w:ilvl w:val="1"/>
          <w:numId w:val="392"/>
        </w:numPr>
        <w:rPr>
          <w:rFonts w:ascii="Arial" w:cs="Arial" w:eastAsia="Arial" w:hAnsi="Arial"/>
          <w:sz w:val="18"/>
          <w:szCs w:val="18"/>
          <w:color w:val="auto"/>
        </w:rPr>
      </w:pPr>
      <w:r>
        <w:rPr>
          <w:rFonts w:ascii="Arial" w:cs="Arial" w:eastAsia="Arial" w:hAnsi="Arial"/>
          <w:sz w:val="18"/>
          <w:szCs w:val="18"/>
          <w:u w:val="single" w:color="auto"/>
          <w:color w:val="auto"/>
        </w:rPr>
        <w:t>Immediate Effect</w:t>
      </w:r>
      <w:r>
        <w:rPr>
          <w:rFonts w:ascii="Arial" w:cs="Arial" w:eastAsia="Arial" w:hAnsi="Arial"/>
          <w:sz w:val="18"/>
          <w:szCs w:val="18"/>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shall be effective to remove such director from such role, in each case (A) with immediate effect upon the valid delivery of such designation or notice to the Company, (B) without any requirement for a meeting or vote of the shareholders or the Company Board and (C) without notice to any other Person other than as set forth in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as applicable.</w:t>
      </w:r>
    </w:p>
    <w:p>
      <w:pPr>
        <w:spacing w:after="0" w:line="200" w:lineRule="exact"/>
        <w:rPr>
          <w:rFonts w:ascii="Arial" w:cs="Arial" w:eastAsia="Arial" w:hAnsi="Arial"/>
          <w:sz w:val="18"/>
          <w:szCs w:val="18"/>
          <w:color w:val="auto"/>
        </w:rPr>
      </w:pPr>
    </w:p>
    <w:p>
      <w:pPr>
        <w:jc w:val="both"/>
        <w:ind w:left="540" w:firstLine="372"/>
        <w:spacing w:after="0" w:line="259" w:lineRule="auto"/>
        <w:tabs>
          <w:tab w:leader="none" w:pos="1285"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Company Board Committees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16"/>
        <w:spacing w:after="0" w:line="288" w:lineRule="auto"/>
        <w:tabs>
          <w:tab w:leader="none" w:pos="1293" w:val="left"/>
        </w:tabs>
        <w:numPr>
          <w:ilvl w:val="2"/>
          <w:numId w:val="394"/>
        </w:numPr>
        <w:rPr>
          <w:rFonts w:ascii="Arial" w:cs="Arial" w:eastAsia="Arial" w:hAnsi="Arial"/>
          <w:sz w:val="16"/>
          <w:szCs w:val="16"/>
          <w:color w:val="auto"/>
        </w:rPr>
      </w:pPr>
      <w:r>
        <w:rPr>
          <w:rFonts w:ascii="Arial" w:cs="Arial" w:eastAsia="Arial" w:hAnsi="Arial"/>
          <w:sz w:val="16"/>
          <w:szCs w:val="16"/>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177" w:lineRule="exact"/>
        <w:rPr>
          <w:rFonts w:ascii="Arial" w:cs="Arial" w:eastAsia="Arial" w:hAnsi="Arial"/>
          <w:sz w:val="16"/>
          <w:szCs w:val="16"/>
          <w:color w:val="auto"/>
        </w:rPr>
      </w:pPr>
    </w:p>
    <w:p>
      <w:pPr>
        <w:jc w:val="both"/>
        <w:ind w:left="540" w:firstLine="393"/>
        <w:spacing w:after="0" w:line="259" w:lineRule="auto"/>
        <w:tabs>
          <w:tab w:leader="none" w:pos="1274" w:val="left"/>
        </w:tabs>
        <w:numPr>
          <w:ilvl w:val="1"/>
          <w:numId w:val="395"/>
        </w:numPr>
        <w:rPr>
          <w:rFonts w:ascii="Arial" w:cs="Arial" w:eastAsia="Arial" w:hAnsi="Arial"/>
          <w:sz w:val="18"/>
          <w:szCs w:val="18"/>
          <w:color w:val="auto"/>
        </w:rPr>
      </w:pPr>
      <w:r>
        <w:rPr>
          <w:rFonts w:ascii="Arial" w:cs="Arial" w:eastAsia="Arial" w:hAnsi="Arial"/>
          <w:sz w:val="18"/>
          <w:szCs w:val="18"/>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93" w:lineRule="exact"/>
        <w:rPr>
          <w:rFonts w:ascii="Arial" w:cs="Arial" w:eastAsia="Arial" w:hAnsi="Arial"/>
          <w:sz w:val="18"/>
          <w:szCs w:val="18"/>
          <w:color w:val="auto"/>
        </w:rPr>
      </w:pPr>
    </w:p>
    <w:p>
      <w:pPr>
        <w:jc w:val="both"/>
        <w:ind w:left="540" w:firstLine="359"/>
        <w:spacing w:after="0" w:line="290" w:lineRule="auto"/>
        <w:tabs>
          <w:tab w:leader="none" w:pos="121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So long as the New Investor has the right to appoint a Director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the New Investor shall have the right to designate one additional representative (the “</w:t>
      </w:r>
      <w:r>
        <w:rPr>
          <w:rFonts w:ascii="Arial" w:cs="Arial" w:eastAsia="Arial" w:hAnsi="Arial"/>
          <w:sz w:val="16"/>
          <w:szCs w:val="16"/>
          <w:u w:val="single" w:color="auto"/>
          <w:color w:val="auto"/>
        </w:rPr>
        <w:t>New Investor Board Observer</w:t>
      </w:r>
      <w:r>
        <w:rPr>
          <w:rFonts w:ascii="Arial" w:cs="Arial" w:eastAsia="Arial" w:hAnsi="Arial"/>
          <w:sz w:val="16"/>
          <w:szCs w:val="16"/>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388"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Meetings of the Company Board</w:t>
      </w:r>
      <w:r>
        <w:rPr>
          <w:rFonts w:ascii="Arial" w:cs="Arial" w:eastAsia="Arial" w:hAnsi="Arial"/>
          <w:sz w:val="16"/>
          <w:szCs w:val="16"/>
          <w:color w:val="auto"/>
        </w:rPr>
        <w:t xml:space="preserve">. The Company Board shall hold meetings at such times and at such places as shall from time to time be determined by the Chairperson, and shall be called on at least five business days’ notice to each Director;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Company Board shall hold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0" w:name="page341"/>
    <w:bookmarkEnd w:id="340"/>
    <w:p>
      <w:pPr>
        <w:jc w:val="both"/>
        <w:spacing w:after="0" w:line="254" w:lineRule="auto"/>
        <w:rPr>
          <w:sz w:val="20"/>
          <w:szCs w:val="20"/>
          <w:color w:val="auto"/>
        </w:rPr>
      </w:pPr>
      <w:r>
        <w:rPr>
          <w:rFonts w:ascii="Arial" w:cs="Arial" w:eastAsia="Arial" w:hAnsi="Arial"/>
          <w:sz w:val="18"/>
          <w:szCs w:val="18"/>
          <w:color w:val="auto"/>
        </w:rPr>
        <w:t>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Quorum; Acts of the Company Board</w:t>
      </w:r>
      <w:r>
        <w:rPr>
          <w:rFonts w:ascii="Arial" w:cs="Arial" w:eastAsia="Arial" w:hAnsi="Arial"/>
          <w:sz w:val="16"/>
          <w:szCs w:val="16"/>
          <w:color w:val="auto"/>
        </w:rPr>
        <w:t>.</w:t>
      </w:r>
    </w:p>
    <w:p>
      <w:pPr>
        <w:spacing w:after="0" w:line="225" w:lineRule="exact"/>
        <w:rPr>
          <w:sz w:val="20"/>
          <w:szCs w:val="20"/>
          <w:color w:val="auto"/>
        </w:rPr>
      </w:pPr>
    </w:p>
    <w:p>
      <w:pPr>
        <w:jc w:val="both"/>
        <w:ind w:left="540" w:firstLine="448"/>
        <w:spacing w:after="0" w:line="285" w:lineRule="auto"/>
        <w:tabs>
          <w:tab w:leader="none" w:pos="1331" w:val="left"/>
        </w:tabs>
        <w:numPr>
          <w:ilvl w:val="1"/>
          <w:numId w:val="397"/>
        </w:numPr>
        <w:rPr>
          <w:rFonts w:ascii="Arial" w:cs="Arial" w:eastAsia="Arial" w:hAnsi="Arial"/>
          <w:sz w:val="16"/>
          <w:szCs w:val="16"/>
          <w:color w:val="auto"/>
        </w:rPr>
      </w:pPr>
      <w:r>
        <w:rPr>
          <w:rFonts w:ascii="Arial" w:cs="Arial" w:eastAsia="Arial" w:hAnsi="Arial"/>
          <w:sz w:val="16"/>
          <w:szCs w:val="16"/>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an “attempted meeting” means a meeting duly called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Company Board per year will be held in-person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6"/>
          <w:szCs w:val="16"/>
          <w:u w:val="single" w:color="auto"/>
          <w:color w:val="auto"/>
        </w:rPr>
        <w:t>Section 2.02(a)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540" w:firstLine="365"/>
        <w:spacing w:after="0" w:line="259" w:lineRule="auto"/>
        <w:tabs>
          <w:tab w:leader="none" w:pos="123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shall be required to be given as to any reconvened meeting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376"/>
        <w:spacing w:after="0" w:line="294" w:lineRule="auto"/>
        <w:tabs>
          <w:tab w:leader="none" w:pos="124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 xml:space="preserve">Each Director shall be entitled to one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taking by the Company Board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also require the affirmative prior written consent of the New Investor and BHL.</w:t>
      </w:r>
    </w:p>
    <w:p>
      <w:pPr>
        <w:spacing w:after="0" w:line="169" w:lineRule="exact"/>
        <w:rPr>
          <w:rFonts w:ascii="Arial" w:cs="Arial" w:eastAsia="Arial" w:hAnsi="Arial"/>
          <w:sz w:val="16"/>
          <w:szCs w:val="16"/>
          <w:color w:val="auto"/>
        </w:rPr>
      </w:pPr>
    </w:p>
    <w:p>
      <w:pPr>
        <w:ind w:left="540" w:firstLine="505"/>
        <w:spacing w:after="0" w:line="268" w:lineRule="auto"/>
        <w:tabs>
          <w:tab w:leader="none" w:pos="1419"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1" w:name="page342"/>
    <w:bookmarkEnd w:id="341"/>
    <w:p>
      <w:pPr>
        <w:jc w:val="both"/>
        <w:ind w:firstLine="387"/>
        <w:spacing w:after="0" w:line="30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Any action required or permitted to be taken at a meeting of the Company Board (or a committee thereof) may be taken without a meeting and without a vote, if a consent or consents in writing (including by e-mail) setting forth the action so taken shall be given by all of the Directors. A copy of any action taken by written consent shall be promptly furnished to each Director.</w:t>
      </w:r>
    </w:p>
    <w:p>
      <w:pPr>
        <w:spacing w:after="0" w:line="376" w:lineRule="exact"/>
        <w:rPr>
          <w:sz w:val="20"/>
          <w:szCs w:val="20"/>
          <w:color w:val="auto"/>
        </w:rPr>
      </w:pPr>
    </w:p>
    <w:p>
      <w:pPr>
        <w:ind w:left="360"/>
        <w:spacing w:after="0"/>
        <w:tabs>
          <w:tab w:leader="none" w:pos="1440" w:val="left"/>
          <w:tab w:leader="none" w:pos="5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8"/>
          <w:szCs w:val="18"/>
          <w:u w:val="single" w:color="auto"/>
          <w:color w:val="auto"/>
        </w:rPr>
        <w:t>Conflicts and Competitively Sensitive Information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Notwithstanding anything in this Agreement to the contrary:</w:t>
      </w:r>
    </w:p>
    <w:p>
      <w:pPr>
        <w:spacing w:after="0" w:line="225" w:lineRule="exact"/>
        <w:rPr>
          <w:sz w:val="20"/>
          <w:szCs w:val="20"/>
          <w:color w:val="auto"/>
        </w:rPr>
      </w:pPr>
    </w:p>
    <w:p>
      <w:pPr>
        <w:jc w:val="both"/>
        <w:ind w:left="540" w:firstLine="405"/>
        <w:spacing w:after="0" w:line="254" w:lineRule="auto"/>
        <w:tabs>
          <w:tab w:leader="none" w:pos="12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200" w:lineRule="exact"/>
        <w:rPr>
          <w:rFonts w:ascii="Arial" w:cs="Arial" w:eastAsia="Arial" w:hAnsi="Arial"/>
          <w:sz w:val="18"/>
          <w:szCs w:val="18"/>
          <w:color w:val="auto"/>
        </w:rPr>
      </w:pPr>
    </w:p>
    <w:p>
      <w:pPr>
        <w:jc w:val="both"/>
        <w:ind w:left="540" w:firstLine="529"/>
        <w:spacing w:after="0" w:line="254" w:lineRule="auto"/>
        <w:tabs>
          <w:tab w:leader="none" w:pos="1461" w:val="left"/>
        </w:tabs>
        <w:numPr>
          <w:ilvl w:val="2"/>
          <w:numId w:val="399"/>
        </w:numPr>
        <w:rPr>
          <w:rFonts w:ascii="Arial" w:cs="Arial" w:eastAsia="Arial" w:hAnsi="Arial"/>
          <w:sz w:val="18"/>
          <w:szCs w:val="18"/>
          <w:color w:val="auto"/>
        </w:rPr>
      </w:pPr>
      <w:r>
        <w:rPr>
          <w:rFonts w:ascii="Arial" w:cs="Arial" w:eastAsia="Arial" w:hAnsi="Arial"/>
          <w:sz w:val="18"/>
          <w:szCs w:val="18"/>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 (ii) not be entitled to receive, and shall not receive, competitively sensitive information from the Company or any of its Subsidiaries with respect to any business in which the New Investor or the GEPIF Fund Group compete; and</w:t>
      </w:r>
    </w:p>
    <w:p>
      <w:pPr>
        <w:spacing w:after="0" w:line="200" w:lineRule="exact"/>
        <w:rPr>
          <w:rFonts w:ascii="Arial" w:cs="Arial" w:eastAsia="Arial" w:hAnsi="Arial"/>
          <w:sz w:val="18"/>
          <w:szCs w:val="18"/>
          <w:color w:val="auto"/>
        </w:rPr>
      </w:pPr>
    </w:p>
    <w:p>
      <w:pPr>
        <w:jc w:val="both"/>
        <w:ind w:left="540" w:firstLine="482"/>
        <w:spacing w:after="0" w:line="285" w:lineRule="auto"/>
        <w:tabs>
          <w:tab w:leader="none" w:pos="1387"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6"/>
          <w:szCs w:val="16"/>
          <w:u w:val="single" w:color="auto"/>
          <w:color w:val="auto"/>
        </w:rPr>
        <w:t>Non-Conflicted Directors</w:t>
      </w:r>
      <w:r>
        <w:rPr>
          <w:rFonts w:ascii="Arial" w:cs="Arial" w:eastAsia="Arial" w:hAnsi="Arial"/>
          <w:sz w:val="16"/>
          <w:szCs w:val="16"/>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to cause to be hired on the Company’s behalf advisors, consultants and other representatives to the Company and the Company shall be responsible for all fees, costs and expenses of any of the foregoing.</w:t>
      </w:r>
    </w:p>
    <w:p>
      <w:pPr>
        <w:spacing w:after="0" w:line="3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Company Organizational Documents; Conflicting Agreements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368"/>
        <w:spacing w:after="0" w:line="298" w:lineRule="auto"/>
        <w:tabs>
          <w:tab w:leader="none" w:pos="1227" w:val="left"/>
        </w:tabs>
        <w:numPr>
          <w:ilvl w:val="0"/>
          <w:numId w:val="400"/>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42" w:name="page343"/>
    <w:bookmarkEnd w:id="342"/>
    <w:p>
      <w:pPr>
        <w:jc w:val="both"/>
        <w:ind w:left="180" w:firstLine="481"/>
        <w:spacing w:after="0" w:line="298" w:lineRule="auto"/>
        <w:tabs>
          <w:tab w:leader="none" w:pos="1032" w:val="left"/>
        </w:tabs>
        <w:numPr>
          <w:ilvl w:val="1"/>
          <w:numId w:val="401"/>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Shareholders and the Company shall take, or cause to be taken, all necessary action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to remove such conflict from the Company Organizational Documents or the organizational documents of the applicable Subsidiary.</w:t>
      </w:r>
    </w:p>
    <w:p>
      <w:pPr>
        <w:spacing w:after="0" w:line="166" w:lineRule="exact"/>
        <w:rPr>
          <w:rFonts w:ascii="Arial" w:cs="Arial" w:eastAsia="Arial" w:hAnsi="Arial"/>
          <w:sz w:val="16"/>
          <w:szCs w:val="16"/>
          <w:color w:val="auto"/>
        </w:rPr>
      </w:pPr>
    </w:p>
    <w:p>
      <w:pPr>
        <w:jc w:val="both"/>
        <w:ind w:left="180" w:firstLine="380"/>
        <w:spacing w:after="0" w:line="259" w:lineRule="auto"/>
        <w:tabs>
          <w:tab w:leader="none" w:pos="883"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u w:val="single" w:color="auto"/>
          <w:color w:val="auto"/>
        </w:rPr>
        <w:t>Termination of Governance Rights</w:t>
      </w:r>
      <w:r>
        <w:rPr>
          <w:rFonts w:ascii="Arial" w:cs="Arial" w:eastAsia="Arial" w:hAnsi="Arial"/>
          <w:sz w:val="15"/>
          <w:szCs w:val="15"/>
          <w:color w:val="auto"/>
        </w:rPr>
        <w:t>.</w:t>
      </w:r>
    </w:p>
    <w:p>
      <w:pPr>
        <w:spacing w:after="0" w:line="225" w:lineRule="exact"/>
        <w:rPr>
          <w:sz w:val="20"/>
          <w:szCs w:val="20"/>
          <w:color w:val="auto"/>
        </w:rPr>
      </w:pPr>
    </w:p>
    <w:p>
      <w:pPr>
        <w:jc w:val="both"/>
        <w:ind w:left="180" w:firstLine="415"/>
        <w:spacing w:after="0" w:line="286" w:lineRule="auto"/>
        <w:tabs>
          <w:tab w:leader="none" w:pos="934"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In the event that the Existing Shareholders (together with their Permitted Transferees) collectively cease 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Existing Shareholder Designated Director; (ii) an aggregate number of Shares equal to at least 20% of the issued and outstanding shares on the date of this Agreement, then (A)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three Existing Shareholder Designated Directors.</w:t>
      </w:r>
    </w:p>
    <w:p>
      <w:pPr>
        <w:spacing w:after="0" w:line="177" w:lineRule="exact"/>
        <w:rPr>
          <w:rFonts w:ascii="Arial" w:cs="Arial" w:eastAsia="Arial" w:hAnsi="Arial"/>
          <w:sz w:val="16"/>
          <w:szCs w:val="16"/>
          <w:color w:val="auto"/>
        </w:rPr>
      </w:pPr>
    </w:p>
    <w:p>
      <w:pPr>
        <w:jc w:val="both"/>
        <w:ind w:left="180" w:firstLine="381"/>
        <w:spacing w:after="0" w:line="288" w:lineRule="auto"/>
        <w:tabs>
          <w:tab w:leader="none" w:pos="897"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New Investor Designated Director; (ii) an aggregate number of Shares equal 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two New Investor Designated Directors.</w:t>
      </w:r>
    </w:p>
    <w:p>
      <w:pPr>
        <w:spacing w:after="0" w:line="172" w:lineRule="exact"/>
        <w:rPr>
          <w:rFonts w:ascii="Arial" w:cs="Arial" w:eastAsia="Arial" w:hAnsi="Arial"/>
          <w:sz w:val="16"/>
          <w:szCs w:val="16"/>
          <w:color w:val="auto"/>
        </w:rPr>
      </w:pPr>
    </w:p>
    <w:p>
      <w:pPr>
        <w:jc w:val="both"/>
        <w:ind w:left="180" w:firstLine="443"/>
        <w:spacing w:after="0" w:line="254" w:lineRule="auto"/>
        <w:tabs>
          <w:tab w:leader="none" w:pos="973" w:val="left"/>
        </w:tabs>
        <w:numPr>
          <w:ilvl w:val="2"/>
          <w:numId w:val="404"/>
        </w:numPr>
        <w:rPr>
          <w:rFonts w:ascii="Arial" w:cs="Arial" w:eastAsia="Arial" w:hAnsi="Arial"/>
          <w:sz w:val="18"/>
          <w:szCs w:val="18"/>
          <w:color w:val="auto"/>
        </w:rPr>
      </w:pPr>
      <w:r>
        <w:rPr>
          <w:rFonts w:ascii="Arial" w:cs="Arial" w:eastAsia="Arial" w:hAnsi="Arial"/>
          <w:sz w:val="18"/>
          <w:szCs w:val="18"/>
          <w:color w:val="auto"/>
        </w:rPr>
        <w:t xml:space="preserve">Upon any resignation by an Existing Shareholder Designated Director or New Investor Designated Director pursuant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any vacancies resulting therefrom shall be filled, notwithstanding anything to the contrary in </w:t>
      </w:r>
      <w:r>
        <w:rPr>
          <w:rFonts w:ascii="Arial" w:cs="Arial" w:eastAsia="Arial" w:hAnsi="Arial"/>
          <w:sz w:val="18"/>
          <w:szCs w:val="18"/>
          <w:u w:val="single" w:color="auto"/>
          <w:color w:val="auto"/>
        </w:rPr>
        <w:t>Section 2.01(e)</w:t>
      </w:r>
      <w:r>
        <w:rPr>
          <w:rFonts w:ascii="Arial" w:cs="Arial" w:eastAsia="Arial" w:hAnsi="Arial"/>
          <w:sz w:val="18"/>
          <w:szCs w:val="18"/>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3" w:name="page344"/>
    <w:bookmarkEnd w:id="343"/>
    <w:p>
      <w:pPr>
        <w:jc w:val="both"/>
        <w:ind w:firstLine="399"/>
        <w:spacing w:after="0" w:line="298"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Directors’ and Officers’ Insurance</w:t>
      </w:r>
      <w:r>
        <w:rPr>
          <w:rFonts w:ascii="Arial" w:cs="Arial" w:eastAsia="Arial" w:hAnsi="Arial"/>
          <w:sz w:val="16"/>
          <w:szCs w:val="16"/>
          <w:color w:val="auto"/>
        </w:rPr>
        <w:t>. The Company shall purchase and shall use its 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382" w:lineRule="exact"/>
        <w:rPr>
          <w:sz w:val="20"/>
          <w:szCs w:val="20"/>
          <w:color w:val="auto"/>
        </w:rPr>
      </w:pPr>
    </w:p>
    <w:p>
      <w:pPr>
        <w:jc w:val="both"/>
        <w:ind w:right="20" w:firstLine="387"/>
        <w:spacing w:after="0" w:line="33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No Liability for Directors</w:t>
      </w:r>
      <w:r>
        <w:rPr>
          <w:rFonts w:ascii="Arial" w:cs="Arial" w:eastAsia="Arial" w:hAnsi="Arial"/>
          <w:sz w:val="16"/>
          <w:szCs w:val="16"/>
          <w:color w:val="auto"/>
        </w:rPr>
        <w:t>. No Shareholder, nor any Affiliate or Affiliated Fund of such Shareholder, shall have any liability as a result of designating a Director in accordance with the provisions of this Agreement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SHARES; PREEMPTIVE RIGHTS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General Restrictions on Transfer of Shares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Transfers Generally</w:t>
      </w:r>
      <w:r>
        <w:rPr>
          <w:rFonts w:ascii="Arial" w:cs="Arial" w:eastAsia="Arial" w:hAnsi="Arial"/>
          <w:sz w:val="18"/>
          <w:szCs w:val="18"/>
          <w:color w:val="auto"/>
        </w:rPr>
        <w:t xml:space="preserve">. No Shares may be Transferred unless such Transfer is made in accordance with the requirements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may be applicable, and any purported Transfer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null and void ab initio. The Company shall not record upon its books any purported Transfer made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For the purposes of Article III, BHL and BSIH shall be treated as a single shareholder.</w:t>
      </w:r>
    </w:p>
    <w:p>
      <w:pPr>
        <w:spacing w:after="0" w:line="196" w:lineRule="exact"/>
        <w:rPr>
          <w:rFonts w:ascii="Arial" w:cs="Arial" w:eastAsia="Arial" w:hAnsi="Arial"/>
          <w:sz w:val="18"/>
          <w:szCs w:val="18"/>
          <w:color w:val="auto"/>
        </w:rPr>
      </w:pPr>
    </w:p>
    <w:p>
      <w:pPr>
        <w:jc w:val="both"/>
        <w:ind w:left="540" w:firstLine="372"/>
        <w:spacing w:after="0" w:line="285" w:lineRule="auto"/>
        <w:tabs>
          <w:tab w:leader="none" w:pos="1285"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Rights and Obligations of Transferees</w:t>
      </w:r>
      <w:r>
        <w:rPr>
          <w:rFonts w:ascii="Arial" w:cs="Arial" w:eastAsia="Arial" w:hAnsi="Arial"/>
          <w:sz w:val="16"/>
          <w:szCs w:val="16"/>
          <w:color w:val="auto"/>
        </w:rPr>
        <w:t xml:space="preserve">. Other than in connection with a Transfer to a Permitted Transferee, no transferee of Shares from the New Investor or the Existing Shareholders shall be entitled to any rights granted to the New Investor or the Existing Shareholders,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178" w:lineRule="exact"/>
        <w:rPr>
          <w:rFonts w:ascii="Arial" w:cs="Arial" w:eastAsia="Arial" w:hAnsi="Arial"/>
          <w:sz w:val="16"/>
          <w:szCs w:val="16"/>
          <w:color w:val="auto"/>
        </w:rPr>
      </w:pPr>
    </w:p>
    <w:p>
      <w:pPr>
        <w:jc w:val="both"/>
        <w:ind w:left="540" w:firstLine="413"/>
        <w:spacing w:after="0" w:line="259" w:lineRule="auto"/>
        <w:tabs>
          <w:tab w:leader="none" w:pos="1342" w:val="left"/>
        </w:tabs>
        <w:numPr>
          <w:ilvl w:val="1"/>
          <w:numId w:val="405"/>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From the date hereof until the date that is two years after the date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 Transfer of any Shares shall be permitted by any Shareholder without the prior written consent of the other Shareholders other than Transfers by a Shareholder to a Permitted Transferee of such Shareholder.</w:t>
      </w:r>
    </w:p>
    <w:p>
      <w:pPr>
        <w:spacing w:after="0" w:line="193" w:lineRule="exact"/>
        <w:rPr>
          <w:rFonts w:ascii="Arial" w:cs="Arial" w:eastAsia="Arial" w:hAnsi="Arial"/>
          <w:sz w:val="18"/>
          <w:szCs w:val="18"/>
          <w:color w:val="auto"/>
        </w:rPr>
      </w:pPr>
    </w:p>
    <w:p>
      <w:pPr>
        <w:ind w:left="540" w:firstLine="494"/>
        <w:spacing w:after="0" w:line="268" w:lineRule="auto"/>
        <w:tabs>
          <w:tab w:leader="none" w:pos="1474" w:val="left"/>
        </w:tabs>
        <w:numPr>
          <w:ilvl w:val="2"/>
          <w:numId w:val="405"/>
        </w:numPr>
        <w:rPr>
          <w:rFonts w:ascii="Arial" w:cs="Arial" w:eastAsia="Arial" w:hAnsi="Arial"/>
          <w:sz w:val="18"/>
          <w:szCs w:val="18"/>
          <w:color w:val="auto"/>
        </w:rPr>
      </w:pPr>
      <w:r>
        <w:rPr>
          <w:rFonts w:ascii="Arial" w:cs="Arial" w:eastAsia="Arial" w:hAnsi="Arial"/>
          <w:sz w:val="18"/>
          <w:szCs w:val="18"/>
          <w:u w:val="single" w:color="auto"/>
          <w:color w:val="auto"/>
        </w:rPr>
        <w:t>Post-Restricted Period</w:t>
      </w:r>
      <w:r>
        <w:rPr>
          <w:rFonts w:ascii="Arial" w:cs="Arial" w:eastAsia="Arial" w:hAnsi="Arial"/>
          <w:sz w:val="18"/>
          <w:szCs w:val="18"/>
          <w:color w:val="auto"/>
        </w:rPr>
        <w:t xml:space="preserve">. From and after the end of the Restricted Period, Transfers of Shares shall be freely permitted, subject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i w:val="1"/>
          <w:iCs w:val="1"/>
          <w:color w:val="auto"/>
        </w:rPr>
        <w:t>No Transfers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4" w:name="page345"/>
    <w:bookmarkEnd w:id="344"/>
    <w:p>
      <w:pPr>
        <w:ind w:left="540" w:right="20"/>
        <w:spacing w:after="0" w:line="268" w:lineRule="auto"/>
        <w:rPr>
          <w:sz w:val="20"/>
          <w:szCs w:val="20"/>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Transfers to Sanctioned Persons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 of First Offer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Tag-Along Rights</w:t>
      </w:r>
      <w:r>
        <w:rPr>
          <w:rFonts w:ascii="Arial" w:cs="Arial" w:eastAsia="Arial" w:hAnsi="Arial"/>
          <w:sz w:val="18"/>
          <w:szCs w:val="18"/>
          <w:color w:val="auto"/>
        </w:rPr>
        <w:t>)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(including U.S. securities Laws).</w:t>
      </w:r>
    </w:p>
    <w:p>
      <w:pPr>
        <w:spacing w:after="0" w:line="186" w:lineRule="exact"/>
        <w:rPr>
          <w:sz w:val="20"/>
          <w:szCs w:val="20"/>
          <w:color w:val="auto"/>
        </w:rPr>
      </w:pPr>
    </w:p>
    <w:p>
      <w:pPr>
        <w:ind w:left="540" w:firstLine="359"/>
        <w:spacing w:after="0" w:line="268" w:lineRule="auto"/>
        <w:tabs>
          <w:tab w:leader="none" w:pos="1261"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No Transfers to Competitors</w:t>
      </w:r>
      <w:r>
        <w:rPr>
          <w:rFonts w:ascii="Arial" w:cs="Arial" w:eastAsia="Arial" w:hAnsi="Arial"/>
          <w:sz w:val="18"/>
          <w:szCs w:val="18"/>
          <w:color w:val="auto"/>
        </w:rPr>
        <w:t>. Each Shareholder agrees not to Transfer any Shares at any time, whether during or after the Restricted Period, to any Competitor.</w:t>
      </w:r>
    </w:p>
    <w:p>
      <w:pPr>
        <w:spacing w:after="0" w:line="185" w:lineRule="exact"/>
        <w:rPr>
          <w:rFonts w:ascii="Arial" w:cs="Arial" w:eastAsia="Arial" w:hAnsi="Arial"/>
          <w:sz w:val="18"/>
          <w:szCs w:val="18"/>
          <w:color w:val="auto"/>
        </w:rPr>
      </w:pPr>
    </w:p>
    <w:p>
      <w:pPr>
        <w:ind w:left="540" w:firstLine="372"/>
        <w:spacing w:after="0" w:line="268" w:lineRule="auto"/>
        <w:tabs>
          <w:tab w:leader="none" w:pos="1255"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No Transfers to Sanctioned Persons</w:t>
      </w:r>
      <w:r>
        <w:rPr>
          <w:rFonts w:ascii="Arial" w:cs="Arial" w:eastAsia="Arial" w:hAnsi="Arial"/>
          <w:sz w:val="18"/>
          <w:szCs w:val="18"/>
          <w:color w:val="auto"/>
        </w:rPr>
        <w:t>. Each Shareholder agrees not to Transfer any Shares at any time, whether during or after the Restricted Period, to any Sanctioned Person.</w:t>
      </w:r>
    </w:p>
    <w:p>
      <w:pPr>
        <w:spacing w:after="0" w:line="185" w:lineRule="exact"/>
        <w:rPr>
          <w:rFonts w:ascii="Arial" w:cs="Arial" w:eastAsia="Arial" w:hAnsi="Arial"/>
          <w:sz w:val="18"/>
          <w:szCs w:val="18"/>
          <w:color w:val="auto"/>
        </w:rPr>
      </w:pPr>
    </w:p>
    <w:p>
      <w:pPr>
        <w:jc w:val="both"/>
        <w:ind w:left="540" w:firstLine="386"/>
        <w:spacing w:after="0" w:line="283" w:lineRule="auto"/>
        <w:tabs>
          <w:tab w:leader="none" w:pos="1312" w:val="left"/>
        </w:tabs>
        <w:numPr>
          <w:ilvl w:val="2"/>
          <w:numId w:val="406"/>
        </w:numPr>
        <w:rPr>
          <w:rFonts w:ascii="Arial" w:cs="Arial" w:eastAsia="Arial" w:hAnsi="Arial"/>
          <w:sz w:val="16"/>
          <w:szCs w:val="16"/>
          <w:color w:val="auto"/>
        </w:rPr>
      </w:pPr>
      <w:r>
        <w:rPr>
          <w:rFonts w:ascii="Arial" w:cs="Arial" w:eastAsia="Arial" w:hAnsi="Arial"/>
          <w:sz w:val="16"/>
          <w:szCs w:val="16"/>
          <w:u w:val="single" w:color="auto"/>
          <w:color w:val="auto"/>
        </w:rPr>
        <w:t>No Indirect Transfers</w:t>
      </w:r>
      <w:r>
        <w:rPr>
          <w:rFonts w:ascii="Arial" w:cs="Arial" w:eastAsia="Arial" w:hAnsi="Arial"/>
          <w:sz w:val="16"/>
          <w:szCs w:val="16"/>
          <w:color w:val="auto"/>
        </w:rPr>
        <w:t xml:space="preserve">. Each Shareholder agrees not to circumvent or otherwise avoid the transfer restrictions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or anything in this Agreement to the contrary, the foregoing does not prohibit, and the term “Transfer” does not include,</w:t>
      </w:r>
    </w:p>
    <w:p>
      <w:pPr>
        <w:spacing w:after="0" w:line="2" w:lineRule="exact"/>
        <w:rPr>
          <w:rFonts w:ascii="Arial" w:cs="Arial" w:eastAsia="Arial" w:hAnsi="Arial"/>
          <w:sz w:val="16"/>
          <w:szCs w:val="16"/>
          <w:color w:val="auto"/>
        </w:rPr>
      </w:pPr>
    </w:p>
    <w:p>
      <w:pPr>
        <w:jc w:val="both"/>
        <w:ind w:left="540" w:firstLine="8"/>
        <w:spacing w:after="0" w:line="302" w:lineRule="auto"/>
        <w:tabs>
          <w:tab w:leader="none" w:pos="78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 transfer of the equity interests in the publicly traded parent entity of a Shareholder or any Permitted Transferee thereof, including, with respect to the New Investor, BlackRock, Inc. or (b) 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6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(a) If at any time following the end of the Restricted Period, but prior to the consummation of an Initial Public Offering, a Shareholder (the “</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proposes to Transfer any Shares (the “</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owned by it (other than to a Permitted Transferee or as a Tag-Along Shareholder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Offering Shareholder shall first make an offering of the Offered Shares to the other Shareholders in accordance with the following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97" w:lineRule="exact"/>
        <w:rPr>
          <w:sz w:val="20"/>
          <w:szCs w:val="20"/>
          <w:color w:val="auto"/>
        </w:rPr>
      </w:pPr>
    </w:p>
    <w:p>
      <w:pPr>
        <w:jc w:val="both"/>
        <w:ind w:left="540" w:firstLine="494"/>
        <w:spacing w:after="0" w:line="259" w:lineRule="auto"/>
        <w:tabs>
          <w:tab w:leader="none" w:pos="1474"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give written notice (the “</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to the Company and the other Shareholders (the “</w:t>
      </w:r>
      <w:r>
        <w:rPr>
          <w:rFonts w:ascii="Arial" w:cs="Arial" w:eastAsia="Arial" w:hAnsi="Arial"/>
          <w:sz w:val="18"/>
          <w:szCs w:val="18"/>
          <w:u w:val="single" w:color="auto"/>
          <w:color w:val="auto"/>
        </w:rPr>
        <w:t>Non-Offering Shareholders</w:t>
      </w:r>
      <w:r>
        <w:rPr>
          <w:rFonts w:ascii="Arial" w:cs="Arial" w:eastAsia="Arial" w:hAnsi="Arial"/>
          <w:sz w:val="18"/>
          <w:szCs w:val="18"/>
          <w:color w:val="auto"/>
        </w:rPr>
        <w:t>”) stating its bona fide intention to Transfer the Offered Shares and specifying the number of Offered Shares.</w:t>
      </w:r>
    </w:p>
    <w:p>
      <w:pPr>
        <w:spacing w:after="0" w:line="193" w:lineRule="exact"/>
        <w:rPr>
          <w:rFonts w:ascii="Arial" w:cs="Arial" w:eastAsia="Arial" w:hAnsi="Arial"/>
          <w:sz w:val="18"/>
          <w:szCs w:val="18"/>
          <w:color w:val="auto"/>
        </w:rPr>
      </w:pPr>
    </w:p>
    <w:p>
      <w:pPr>
        <w:ind w:left="1260" w:hanging="361"/>
        <w:spacing w:after="0"/>
        <w:tabs>
          <w:tab w:leader="none" w:pos="1260"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80" w:firstLine="473"/>
        <w:spacing w:after="0" w:line="290" w:lineRule="auto"/>
        <w:tabs>
          <w:tab w:leader="none" w:pos="1804" w:val="left"/>
        </w:tabs>
        <w:numPr>
          <w:ilvl w:val="2"/>
          <w:numId w:val="409"/>
        </w:numPr>
        <w:rPr>
          <w:rFonts w:ascii="Arial" w:cs="Arial" w:eastAsia="Arial" w:hAnsi="Arial"/>
          <w:sz w:val="16"/>
          <w:szCs w:val="16"/>
          <w:color w:val="auto"/>
        </w:rPr>
      </w:pPr>
      <w:r>
        <w:rPr>
          <w:rFonts w:ascii="Arial" w:cs="Arial" w:eastAsia="Arial" w:hAnsi="Arial"/>
          <w:sz w:val="16"/>
          <w:szCs w:val="16"/>
          <w:color w:val="auto"/>
        </w:rPr>
        <w:t>Upon receipt of the Offering Shareholder Notice, each Non-Offering Shareholder interested in purchasing all (but not less than all) of the Offered Shares shall deliver a written notice (a “</w:t>
      </w:r>
      <w:r>
        <w:rPr>
          <w:rFonts w:ascii="Arial" w:cs="Arial" w:eastAsia="Arial" w:hAnsi="Arial"/>
          <w:sz w:val="16"/>
          <w:szCs w:val="16"/>
          <w:u w:val="single" w:color="auto"/>
          <w:color w:val="auto"/>
        </w:rPr>
        <w:t>ROFO Offer Notice</w:t>
      </w:r>
      <w:r>
        <w:rPr>
          <w:rFonts w:ascii="Arial" w:cs="Arial" w:eastAsia="Arial" w:hAnsi="Arial"/>
          <w:sz w:val="16"/>
          <w:szCs w:val="16"/>
          <w:color w:val="auto"/>
        </w:rPr>
        <w:t>”) to the Offering Shareholder and the Company within 30 days of receipt of such Offering Shareholder Notice (such period, the “</w:t>
      </w:r>
      <w:r>
        <w:rPr>
          <w:rFonts w:ascii="Arial" w:cs="Arial" w:eastAsia="Arial" w:hAnsi="Arial"/>
          <w:sz w:val="16"/>
          <w:szCs w:val="16"/>
          <w:u w:val="single" w:color="auto"/>
          <w:color w:val="auto"/>
        </w:rPr>
        <w:t>ROFO Notice Period</w:t>
      </w:r>
      <w:r>
        <w:rPr>
          <w:rFonts w:ascii="Arial" w:cs="Arial" w:eastAsia="Arial" w:hAnsi="Arial"/>
          <w:sz w:val="16"/>
          <w:szCs w:val="16"/>
          <w:color w:val="auto"/>
        </w:rPr>
        <w:t>” and any Non-Offering Shareholder delivering a ROFO Offer Notice timely, a “</w:t>
      </w:r>
      <w:r>
        <w:rPr>
          <w:rFonts w:ascii="Arial" w:cs="Arial" w:eastAsia="Arial" w:hAnsi="Arial"/>
          <w:sz w:val="16"/>
          <w:szCs w:val="16"/>
          <w:u w:val="single" w:color="auto"/>
          <w:color w:val="auto"/>
        </w:rPr>
        <w:t>Purchasing Shareholder</w:t>
      </w:r>
      <w:r>
        <w:rPr>
          <w:rFonts w:ascii="Arial" w:cs="Arial" w:eastAsia="Arial" w:hAnsi="Arial"/>
          <w:sz w:val="16"/>
          <w:szCs w:val="16"/>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6"/>
          <w:szCs w:val="16"/>
          <w:u w:val="single" w:color="auto"/>
          <w:color w:val="auto"/>
        </w:rPr>
        <w:t>Proposed Acquisition Agreement</w:t>
      </w:r>
      <w:r>
        <w:rPr>
          <w:rFonts w:ascii="Arial" w:cs="Arial" w:eastAsia="Arial" w:hAnsi="Arial"/>
          <w:sz w:val="16"/>
          <w:szCs w:val="16"/>
          <w:color w:val="auto"/>
        </w:rPr>
        <w:t>”). Any ROFO Offer Notice so delivered shall be binding upon delivery and irrevocable by the applicable Purchasing Shareholder.</w:t>
      </w:r>
    </w:p>
    <w:p>
      <w:pPr>
        <w:spacing w:after="0" w:line="172" w:lineRule="exact"/>
        <w:rPr>
          <w:sz w:val="20"/>
          <w:szCs w:val="20"/>
          <w:color w:val="auto"/>
        </w:rPr>
      </w:pPr>
    </w:p>
    <w:p>
      <w:pPr>
        <w:ind w:left="1080" w:firstLine="446"/>
        <w:spacing w:after="0" w:line="268" w:lineRule="auto"/>
        <w:tabs>
          <w:tab w:leader="none" w:pos="183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540" w:firstLine="453"/>
        <w:spacing w:after="0" w:line="298" w:lineRule="auto"/>
        <w:tabs>
          <w:tab w:leader="none" w:pos="1406"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t>Closing of a ROFO Transfer</w:t>
      </w:r>
      <w:r>
        <w:rPr>
          <w:rFonts w:ascii="Arial" w:cs="Arial" w:eastAsia="Arial" w:hAnsi="Arial"/>
          <w:sz w:val="16"/>
          <w:szCs w:val="16"/>
          <w:color w:val="auto"/>
        </w:rPr>
        <w:t>. Upon receipt of a ROFO Offer Notice, the Offering Shareholder shall have 45 days (the “</w:t>
      </w:r>
      <w:r>
        <w:rPr>
          <w:rFonts w:ascii="Arial" w:cs="Arial" w:eastAsia="Arial" w:hAnsi="Arial"/>
          <w:sz w:val="16"/>
          <w:szCs w:val="16"/>
          <w:u w:val="single" w:color="auto"/>
          <w:color w:val="auto"/>
        </w:rPr>
        <w:t>Second 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Period</w:t>
      </w:r>
      <w:r>
        <w:rPr>
          <w:rFonts w:ascii="Arial" w:cs="Arial" w:eastAsia="Arial" w:hAnsi="Arial"/>
          <w:sz w:val="16"/>
          <w:szCs w:val="16"/>
          <w:color w:val="auto"/>
        </w:rPr>
        <w:t>”) to deliver a written notice to the Purchasing Shareholder (the “</w:t>
      </w:r>
      <w:r>
        <w:rPr>
          <w:rFonts w:ascii="Arial" w:cs="Arial" w:eastAsia="Arial" w:hAnsi="Arial"/>
          <w:sz w:val="16"/>
          <w:szCs w:val="16"/>
          <w:u w:val="single" w:color="auto"/>
          <w:color w:val="auto"/>
        </w:rPr>
        <w:t>Second Offering Shareholder Notice</w:t>
      </w:r>
      <w:r>
        <w:rPr>
          <w:rFonts w:ascii="Arial" w:cs="Arial" w:eastAsia="Arial" w:hAnsi="Arial"/>
          <w:sz w:val="16"/>
          <w:szCs w:val="16"/>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5" w:name="page346"/>
    <w:bookmarkEnd w:id="345"/>
    <w:p>
      <w:pPr>
        <w:jc w:val="both"/>
        <w:ind w:left="180"/>
        <w:spacing w:after="0" w:line="285" w:lineRule="auto"/>
        <w:rPr>
          <w:sz w:val="20"/>
          <w:szCs w:val="20"/>
          <w:color w:val="auto"/>
        </w:rPr>
      </w:pPr>
      <w:r>
        <w:rPr>
          <w:rFonts w:ascii="Arial" w:cs="Arial" w:eastAsia="Arial" w:hAnsi="Arial"/>
          <w:sz w:val="16"/>
          <w:szCs w:val="16"/>
          <w:color w:val="auto"/>
        </w:rPr>
        <w:t>Offering Shareholder is so interested, the Offering Shareholder and any Purchasing Shareholders shall have 30 days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xml:space="preserve">”) pursuant to which such Purchasing Shareholder(s) will acquire all of the Offered Shares. For the avoidance of doubt, by delivering a ROFO Offer Notice, the Purchasing 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t>
      </w:r>
      <w:r>
        <w:rPr>
          <w:rFonts w:ascii="Arial" w:cs="Arial" w:eastAsia="Arial" w:hAnsi="Arial"/>
          <w:sz w:val="16"/>
          <w:szCs w:val="16"/>
          <w:u w:val="single" w:color="auto"/>
          <w:color w:val="auto"/>
        </w:rPr>
        <w:t>ROFO Pro Rata Portion</w:t>
      </w:r>
      <w:r>
        <w:rPr>
          <w:rFonts w:ascii="Arial" w:cs="Arial" w:eastAsia="Arial" w:hAnsi="Arial"/>
          <w:sz w:val="16"/>
          <w:szCs w:val="16"/>
          <w:color w:val="auto"/>
        </w:rPr>
        <w:t>” shall mean, with respect to any Purchasing Shareholder, the number of Shares equal to the product of (i) the total number of Offered Shares and (ii) a fraction determined by dividing (A) the number of Shares owned by such Purchasing Shareholder by (B) the total number of Shares owned by all of the Purchasing Shareholders.</w:t>
      </w:r>
    </w:p>
    <w:p>
      <w:pPr>
        <w:spacing w:after="0" w:line="184" w:lineRule="exact"/>
        <w:rPr>
          <w:sz w:val="20"/>
          <w:szCs w:val="20"/>
          <w:color w:val="auto"/>
        </w:rPr>
      </w:pPr>
    </w:p>
    <w:p>
      <w:pPr>
        <w:jc w:val="both"/>
        <w:ind w:left="180" w:firstLine="413"/>
        <w:spacing w:after="0" w:line="284" w:lineRule="auto"/>
        <w:tabs>
          <w:tab w:leader="none" w:pos="982"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Transfer to a Person other than a Permitted Transferee</w:t>
      </w:r>
      <w:r>
        <w:rPr>
          <w:rFonts w:ascii="Arial" w:cs="Arial" w:eastAsia="Arial" w:hAnsi="Arial"/>
          <w:sz w:val="16"/>
          <w:szCs w:val="16"/>
          <w:color w:val="auto"/>
        </w:rPr>
        <w:t xml:space="preserve">. If (i) no Non-Offering Shareholder delivers a ROFO Offer Notice to the Offering Shareholder in accordance with </w:t>
      </w:r>
      <w:r>
        <w:rPr>
          <w:rFonts w:ascii="Arial" w:cs="Arial" w:eastAsia="Arial" w:hAnsi="Arial"/>
          <w:sz w:val="16"/>
          <w:szCs w:val="16"/>
          <w:u w:val="single" w:color="auto"/>
          <w:color w:val="auto"/>
        </w:rPr>
        <w:t>Section 3.02(c)</w:t>
      </w:r>
      <w:r>
        <w:rPr>
          <w:rFonts w:ascii="Arial" w:cs="Arial" w:eastAsia="Arial" w:hAnsi="Arial"/>
          <w:sz w:val="16"/>
          <w:szCs w:val="16"/>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6"/>
          <w:szCs w:val="16"/>
          <w:u w:val="single" w:color="auto"/>
          <w:color w:val="auto"/>
        </w:rPr>
        <w:t>ROFO Transfer Period</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Transfer all of the Offered Shares and, subject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Tag-Along Rights</w:t>
      </w:r>
      <w:r>
        <w:rPr>
          <w:rFonts w:ascii="Arial" w:cs="Arial" w:eastAsia="Arial" w:hAnsi="Arial"/>
          <w:sz w:val="16"/>
          <w:szCs w:val="16"/>
          <w:color w:val="auto"/>
        </w:rPr>
        <w:t>.</w:t>
      </w:r>
    </w:p>
    <w:p>
      <w:pPr>
        <w:spacing w:after="0" w:line="225" w:lineRule="exact"/>
        <w:rPr>
          <w:sz w:val="20"/>
          <w:szCs w:val="20"/>
          <w:color w:val="auto"/>
        </w:rPr>
      </w:pPr>
    </w:p>
    <w:p>
      <w:pPr>
        <w:jc w:val="both"/>
        <w:ind w:left="180" w:firstLine="524"/>
        <w:spacing w:after="0" w:line="256" w:lineRule="auto"/>
        <w:tabs>
          <w:tab w:leader="none" w:pos="108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If at any time following the end of the Restricted Period, but prior to the consummation of an Initial Public Offering, Blenheim or its Permitted Transferees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proposes to Transfer (including to another Shareholder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any Shares to any Person other than a Permitted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in a Tag-Eligible Sale, each other Shareholder (each, a “</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shall be permitted to participate in such</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6" w:name="page347"/>
    <w:bookmarkEnd w:id="346"/>
    <w:p>
      <w:pPr>
        <w:jc w:val="both"/>
        <w:spacing w:after="0" w:line="259" w:lineRule="auto"/>
        <w:rPr>
          <w:sz w:val="20"/>
          <w:szCs w:val="20"/>
          <w:color w:val="auto"/>
        </w:rPr>
      </w:pPr>
      <w:r>
        <w:rPr>
          <w:rFonts w:ascii="Arial" w:cs="Arial" w:eastAsia="Arial" w:hAnsi="Arial"/>
          <w:sz w:val="18"/>
          <w:szCs w:val="18"/>
          <w:color w:val="auto"/>
        </w:rPr>
        <w:t>Transfer (a “</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on the terms and conditions set forth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For purposes of the foregoing, “</w:t>
      </w:r>
      <w:r>
        <w:rPr>
          <w:rFonts w:ascii="Arial" w:cs="Arial" w:eastAsia="Arial" w:hAnsi="Arial"/>
          <w:sz w:val="18"/>
          <w:szCs w:val="18"/>
          <w:u w:val="single" w:color="auto"/>
          <w:color w:val="auto"/>
        </w:rPr>
        <w:t>Tag-Eligible Sale</w:t>
      </w:r>
      <w:r>
        <w:rPr>
          <w:rFonts w:ascii="Arial" w:cs="Arial" w:eastAsia="Arial" w:hAnsi="Arial"/>
          <w:sz w:val="18"/>
          <w:szCs w:val="18"/>
          <w:color w:val="auto"/>
        </w:rPr>
        <w:t>” means any Transfer of Shares that would result in, or following such time as, Blenheim and its Permitted Transferees ceasing to own 25% of the Common Shares issued and outstanding on the date of this Agreement.</w:t>
      </w:r>
    </w:p>
    <w:p>
      <w:pPr>
        <w:spacing w:after="0" w:line="194" w:lineRule="exact"/>
        <w:rPr>
          <w:sz w:val="20"/>
          <w:szCs w:val="20"/>
          <w:color w:val="auto"/>
        </w:rPr>
      </w:pPr>
    </w:p>
    <w:p>
      <w:pPr>
        <w:jc w:val="both"/>
        <w:ind w:firstLine="440"/>
        <w:spacing w:after="0" w:line="253" w:lineRule="auto"/>
        <w:tabs>
          <w:tab w:leader="none" w:pos="853"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Sale Notice</w:t>
      </w:r>
      <w:r>
        <w:rPr>
          <w:rFonts w:ascii="Arial" w:cs="Arial" w:eastAsia="Arial" w:hAnsi="Arial"/>
          <w:sz w:val="18"/>
          <w:szCs w:val="18"/>
          <w:color w:val="auto"/>
        </w:rPr>
        <w:t>. Prior to the consummation of any Tag-Along Sale, the Selling Shareholder(s) shall deliver to the Company and each other Shareholder a written notice (a “</w:t>
      </w:r>
      <w:r>
        <w:rPr>
          <w:rFonts w:ascii="Arial" w:cs="Arial" w:eastAsia="Arial" w:hAnsi="Arial"/>
          <w:sz w:val="18"/>
          <w:szCs w:val="18"/>
          <w:u w:val="single" w:color="auto"/>
          <w:color w:val="auto"/>
        </w:rPr>
        <w:t>Sale Notice</w:t>
      </w:r>
      <w:r>
        <w:rPr>
          <w:rFonts w:ascii="Arial" w:cs="Arial" w:eastAsia="Arial" w:hAnsi="Arial"/>
          <w:sz w:val="18"/>
          <w:szCs w:val="18"/>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Exercise of Tag-Along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467"/>
        <w:spacing w:after="0" w:line="291" w:lineRule="auto"/>
        <w:tabs>
          <w:tab w:leader="none" w:pos="1257" w:val="left"/>
        </w:tabs>
        <w:numPr>
          <w:ilvl w:val="2"/>
          <w:numId w:val="415"/>
        </w:numPr>
        <w:rPr>
          <w:rFonts w:ascii="Arial" w:cs="Arial" w:eastAsia="Arial" w:hAnsi="Arial"/>
          <w:sz w:val="16"/>
          <w:szCs w:val="16"/>
          <w:color w:val="auto"/>
        </w:rPr>
      </w:pPr>
      <w:r>
        <w:rPr>
          <w:rFonts w:ascii="Arial" w:cs="Arial" w:eastAsia="Arial" w:hAnsi="Arial"/>
          <w:sz w:val="16"/>
          <w:szCs w:val="16"/>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16"/>
          <w:szCs w:val="16"/>
          <w:u w:val="single" w:color="auto"/>
          <w:color w:val="auto"/>
        </w:rPr>
        <w:t>Tag-Along Notice</w:t>
      </w:r>
      <w:r>
        <w:rPr>
          <w:rFonts w:ascii="Arial" w:cs="Arial" w:eastAsia="Arial" w:hAnsi="Arial"/>
          <w:sz w:val="16"/>
          <w:szCs w:val="16"/>
          <w:color w:val="auto"/>
        </w:rPr>
        <w:t xml:space="preserve">”)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Tag-Along Shareholder to sell in the Tag-Along Sale on the terms and conditions set forth in the Sale Notice and in accordance with this </w:t>
      </w:r>
      <w:r>
        <w:rPr>
          <w:rFonts w:ascii="Arial" w:cs="Arial" w:eastAsia="Arial" w:hAnsi="Arial"/>
          <w:sz w:val="16"/>
          <w:szCs w:val="16"/>
          <w:u w:val="single" w:color="auto"/>
          <w:color w:val="auto"/>
        </w:rPr>
        <w:t>Section 3.03</w:t>
      </w:r>
      <w:r>
        <w:rPr>
          <w:rFonts w:ascii="Arial" w:cs="Arial" w:eastAsia="Arial" w:hAnsi="Arial"/>
          <w:sz w:val="16"/>
          <w:szCs w:val="16"/>
          <w:color w:val="auto"/>
        </w:rPr>
        <w:t>. Each Tag-Along Shareholder shall have the right to sell in a Tag-Along Sale all (but not only some) of its Shares.</w:t>
      </w:r>
    </w:p>
    <w:p>
      <w:pPr>
        <w:spacing w:after="0" w:line="173" w:lineRule="exact"/>
        <w:rPr>
          <w:rFonts w:ascii="Arial" w:cs="Arial" w:eastAsia="Arial" w:hAnsi="Arial"/>
          <w:sz w:val="16"/>
          <w:szCs w:val="16"/>
          <w:color w:val="auto"/>
        </w:rPr>
      </w:pPr>
    </w:p>
    <w:p>
      <w:pPr>
        <w:jc w:val="both"/>
        <w:ind w:left="540" w:firstLine="503"/>
        <w:spacing w:after="0" w:line="294" w:lineRule="auto"/>
        <w:tabs>
          <w:tab w:leader="none" w:pos="1357" w:val="left"/>
        </w:tabs>
        <w:numPr>
          <w:ilvl w:val="3"/>
          <w:numId w:val="415"/>
        </w:numPr>
        <w:rPr>
          <w:rFonts w:ascii="Arial" w:cs="Arial" w:eastAsia="Arial" w:hAnsi="Arial"/>
          <w:sz w:val="16"/>
          <w:szCs w:val="16"/>
          <w:color w:val="auto"/>
        </w:rPr>
      </w:pPr>
      <w:r>
        <w:rPr>
          <w:rFonts w:ascii="Arial" w:cs="Arial" w:eastAsia="Arial" w:hAnsi="Arial"/>
          <w:sz w:val="16"/>
          <w:szCs w:val="16"/>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69" w:lineRule="exact"/>
        <w:rPr>
          <w:sz w:val="20"/>
          <w:szCs w:val="20"/>
          <w:color w:val="auto"/>
        </w:rPr>
      </w:pPr>
    </w:p>
    <w:p>
      <w:pPr>
        <w:jc w:val="both"/>
        <w:ind w:left="540" w:firstLine="406"/>
        <w:spacing w:after="0" w:line="294" w:lineRule="auto"/>
        <w:tabs>
          <w:tab w:leader="none" w:pos="1301" w:val="left"/>
        </w:tabs>
        <w:numPr>
          <w:ilvl w:val="1"/>
          <w:numId w:val="416"/>
        </w:numPr>
        <w:rPr>
          <w:rFonts w:ascii="Arial" w:cs="Arial" w:eastAsia="Arial" w:hAnsi="Arial"/>
          <w:sz w:val="16"/>
          <w:szCs w:val="16"/>
          <w:color w:val="auto"/>
        </w:rPr>
      </w:pPr>
      <w:r>
        <w:rPr>
          <w:rFonts w:ascii="Arial" w:cs="Arial" w:eastAsia="Arial" w:hAnsi="Arial"/>
          <w:sz w:val="16"/>
          <w:szCs w:val="16"/>
          <w:color w:val="auto"/>
        </w:rPr>
        <w:t xml:space="preserve">Each Tag-Along Shareholder who does not deliver a Tag-Along Notice in compliance with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be deemed to have waived all of such Tag-Along Shareholder’s rights to participate in such Tag-Along Sale, and the Selling Shareholder(s) shall (subject to the rights of any other Tag-Along Shareholder which have 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69" w:lineRule="exact"/>
        <w:rPr>
          <w:rFonts w:ascii="Arial" w:cs="Arial" w:eastAsia="Arial" w:hAnsi="Arial"/>
          <w:sz w:val="16"/>
          <w:szCs w:val="16"/>
          <w:color w:val="auto"/>
        </w:rPr>
      </w:pPr>
    </w:p>
    <w:p>
      <w:pPr>
        <w:jc w:val="both"/>
        <w:ind w:firstLine="359"/>
        <w:spacing w:after="0" w:line="294" w:lineRule="auto"/>
        <w:tabs>
          <w:tab w:leader="none" w:pos="731"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16"/>
          <w:szCs w:val="16"/>
          <w:u w:val="single" w:color="auto"/>
          <w:color w:val="auto"/>
        </w:rPr>
        <w:t>Section 3.03(f)</w:t>
      </w:r>
      <w:r>
        <w:rPr>
          <w:rFonts w:ascii="Arial" w:cs="Arial" w:eastAsia="Arial" w:hAnsi="Arial"/>
          <w:sz w:val="16"/>
          <w:szCs w:val="16"/>
          <w:color w:val="auto"/>
        </w:rPr>
        <w:t xml:space="preserve"> below.</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7" w:name="page348"/>
    <w:bookmarkEnd w:id="347"/>
    <w:p>
      <w:pPr>
        <w:jc w:val="both"/>
        <w:ind w:firstLine="507"/>
        <w:spacing w:after="0" w:line="287" w:lineRule="auto"/>
        <w:tabs>
          <w:tab w:leader="none" w:pos="951" w:val="left"/>
        </w:tabs>
        <w:numPr>
          <w:ilvl w:val="2"/>
          <w:numId w:val="418"/>
        </w:numPr>
        <w:rPr>
          <w:rFonts w:ascii="Arial" w:cs="Arial" w:eastAsia="Arial" w:hAnsi="Arial"/>
          <w:sz w:val="16"/>
          <w:szCs w:val="16"/>
          <w:color w:val="auto"/>
        </w:rPr>
      </w:pPr>
      <w:r>
        <w:rPr>
          <w:rFonts w:ascii="Arial" w:cs="Arial" w:eastAsia="Arial" w:hAnsi="Arial"/>
          <w:sz w:val="16"/>
          <w:szCs w:val="16"/>
          <w:u w:val="single" w:color="auto"/>
          <w:color w:val="auto"/>
        </w:rPr>
        <w:t>Conditions of Sale</w:t>
      </w:r>
      <w:r>
        <w:rPr>
          <w:rFonts w:ascii="Arial" w:cs="Arial" w:eastAsia="Arial" w:hAnsi="Arial"/>
          <w:sz w:val="16"/>
          <w:szCs w:val="16"/>
          <w:color w:val="auto"/>
        </w:rPr>
        <w:t xml:space="preserve">. Each Tag-Along Shareholder participating in a Tag-Along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175" w:lineRule="exact"/>
        <w:rPr>
          <w:rFonts w:ascii="Arial" w:cs="Arial" w:eastAsia="Arial" w:hAnsi="Arial"/>
          <w:sz w:val="16"/>
          <w:szCs w:val="16"/>
          <w:color w:val="auto"/>
        </w:rPr>
      </w:pPr>
    </w:p>
    <w:p>
      <w:pPr>
        <w:jc w:val="both"/>
        <w:ind w:firstLine="453"/>
        <w:spacing w:after="0" w:line="294" w:lineRule="auto"/>
        <w:tabs>
          <w:tab w:leader="none" w:pos="850" w:val="left"/>
        </w:tabs>
        <w:numPr>
          <w:ilvl w:val="1"/>
          <w:numId w:val="419"/>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fees and expenses of the Selling Shareholder(s) incurred in connection with a Tag-Along Sale and for the benefit of all Shareholders participating in such Tag-Along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Tag-Along Shareholder shall be obligated to make or reimburse any out-of-pocket expenditure prior to the consummation of the Tag-Along Sale.</w:t>
      </w:r>
    </w:p>
    <w:p>
      <w:pPr>
        <w:spacing w:after="0" w:line="169" w:lineRule="exact"/>
        <w:rPr>
          <w:rFonts w:ascii="Arial" w:cs="Arial" w:eastAsia="Arial" w:hAnsi="Arial"/>
          <w:sz w:val="16"/>
          <w:szCs w:val="16"/>
          <w:color w:val="auto"/>
        </w:rPr>
      </w:pPr>
    </w:p>
    <w:p>
      <w:pPr>
        <w:jc w:val="both"/>
        <w:ind w:firstLine="453"/>
        <w:spacing w:after="0" w:line="259" w:lineRule="auto"/>
        <w:tabs>
          <w:tab w:leader="none" w:pos="880" w:val="left"/>
        </w:tabs>
        <w:numPr>
          <w:ilvl w:val="1"/>
          <w:numId w:val="419"/>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193" w:lineRule="exact"/>
        <w:rPr>
          <w:rFonts w:ascii="Arial" w:cs="Arial" w:eastAsia="Arial" w:hAnsi="Arial"/>
          <w:sz w:val="18"/>
          <w:szCs w:val="18"/>
          <w:color w:val="auto"/>
        </w:rPr>
      </w:pPr>
    </w:p>
    <w:p>
      <w:pPr>
        <w:ind w:left="740" w:hanging="381"/>
        <w:spacing w:after="0"/>
        <w:tabs>
          <w:tab w:leader="none" w:pos="740"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Consummation of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555"/>
        <w:spacing w:after="0" w:line="254" w:lineRule="auto"/>
        <w:tabs>
          <w:tab w:leader="none" w:pos="1359" w:val="left"/>
        </w:tabs>
        <w:numPr>
          <w:ilvl w:val="3"/>
          <w:numId w:val="420"/>
        </w:numPr>
        <w:rPr>
          <w:rFonts w:ascii="Arial" w:cs="Arial" w:eastAsia="Arial" w:hAnsi="Arial"/>
          <w:sz w:val="18"/>
          <w:szCs w:val="18"/>
          <w:color w:val="auto"/>
        </w:rPr>
      </w:pPr>
      <w:r>
        <w:rPr>
          <w:rFonts w:ascii="Arial" w:cs="Arial" w:eastAsia="Arial" w:hAnsi="Arial"/>
          <w:sz w:val="18"/>
          <w:szCs w:val="18"/>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540" w:firstLine="516"/>
        <w:spacing w:after="0" w:line="310" w:lineRule="auto"/>
        <w:tabs>
          <w:tab w:leader="none" w:pos="1375" w:val="left"/>
        </w:tabs>
        <w:numPr>
          <w:ilvl w:val="3"/>
          <w:numId w:val="420"/>
        </w:numPr>
        <w:rPr>
          <w:rFonts w:ascii="Arial" w:cs="Arial" w:eastAsia="Arial" w:hAnsi="Arial"/>
          <w:sz w:val="15"/>
          <w:szCs w:val="15"/>
          <w:color w:val="auto"/>
        </w:rPr>
      </w:pPr>
      <w:r>
        <w:rPr>
          <w:rFonts w:ascii="Arial" w:cs="Arial" w:eastAsia="Arial" w:hAnsi="Arial"/>
          <w:sz w:val="15"/>
          <w:szCs w:val="15"/>
          <w:color w:val="auto"/>
        </w:rPr>
        <w:t xml:space="preserve">If the Selling Shareholder(s) Transfers to the Proposed Transferee any of its Shares in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3.03(h)(ii)</w:t>
      </w:r>
      <w:r>
        <w:rPr>
          <w:rFonts w:ascii="Arial" w:cs="Arial" w:eastAsia="Arial" w:hAnsi="Arial"/>
          <w:sz w:val="15"/>
          <w:szCs w:val="15"/>
          <w:color w:val="auto"/>
        </w:rPr>
        <w:t xml:space="preserve"> shall preclude any Tag-Along Shareholder from seeking alternative remedies against such Selling Shareholder(s) as a result of its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The Selling Shareholder(s) shall also reimburse each Tag-Along Shareholder for any and all reasonable and documented out-of-pocket fees and</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8" w:name="page349"/>
    <w:bookmarkEnd w:id="348"/>
    <w:p>
      <w:pPr>
        <w:ind w:left="1080"/>
        <w:spacing w:after="0" w:line="268" w:lineRule="auto"/>
        <w:rPr>
          <w:sz w:val="20"/>
          <w:szCs w:val="20"/>
          <w:color w:val="auto"/>
        </w:rPr>
      </w:pPr>
      <w:r>
        <w:rPr>
          <w:rFonts w:ascii="Arial" w:cs="Arial" w:eastAsia="Arial" w:hAnsi="Arial"/>
          <w:sz w:val="18"/>
          <w:szCs w:val="18"/>
          <w:color w:val="auto"/>
        </w:rPr>
        <w:t xml:space="preserve">expenses, including reasonable legal fees and expenses, incurred pursuant to the exercise or the attempted exercise of the Tag-Along Shareholder’s rights pursuant to this </w:t>
      </w:r>
      <w:r>
        <w:rPr>
          <w:rFonts w:ascii="Arial" w:cs="Arial" w:eastAsia="Arial" w:hAnsi="Arial"/>
          <w:sz w:val="18"/>
          <w:szCs w:val="18"/>
          <w:u w:val="single" w:color="auto"/>
          <w:color w:val="auto"/>
        </w:rPr>
        <w:t>Section 3.03(h)(ii)</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483"/>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Cooperation with Transfer</w:t>
      </w:r>
      <w:r>
        <w:rPr>
          <w:rFonts w:ascii="Arial" w:cs="Arial" w:eastAsia="Arial" w:hAnsi="Arial"/>
          <w:sz w:val="16"/>
          <w:szCs w:val="16"/>
          <w:color w:val="auto"/>
        </w:rPr>
        <w:t xml:space="preserve">. In the event a Shareholder desires to Transfer all or any portion of its Shares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w:t>
      </w:r>
    </w:p>
    <w:p>
      <w:pPr>
        <w:spacing w:after="0" w:line="1" w:lineRule="exact"/>
        <w:rPr>
          <w:sz w:val="20"/>
          <w:szCs w:val="20"/>
          <w:color w:val="auto"/>
        </w:rPr>
      </w:pPr>
    </w:p>
    <w:p>
      <w:pPr>
        <w:jc w:val="both"/>
        <w:ind w:firstLine="8"/>
        <w:spacing w:after="0" w:line="300" w:lineRule="auto"/>
        <w:tabs>
          <w:tab w:leader="none" w:pos="23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w:t>
      </w:r>
    </w:p>
    <w:p>
      <w:pPr>
        <w:spacing w:after="0" w:line="1" w:lineRule="exact"/>
        <w:rPr>
          <w:rFonts w:ascii="Arial" w:cs="Arial" w:eastAsia="Arial" w:hAnsi="Arial"/>
          <w:sz w:val="15"/>
          <w:szCs w:val="15"/>
          <w:color w:val="auto"/>
        </w:rPr>
      </w:pPr>
    </w:p>
    <w:p>
      <w:pPr>
        <w:jc w:val="both"/>
        <w:ind w:firstLine="8"/>
        <w:spacing w:after="0" w:line="252" w:lineRule="auto"/>
        <w:tabs>
          <w:tab w:leader="none" w:pos="31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COVENANTS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connection with this Agreement and the transactions contemplated 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instrument or action does not increase a Shareholder’s obligations or have an adverse effect upon such Shareholder’s rights under this Agreement with such Shareholder’s prior written consent.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3"/>
          </w:tcPr>
          <w:p>
            <w:pPr>
              <w:ind w:left="500"/>
              <w:spacing w:after="0"/>
              <w:rPr>
                <w:sz w:val="20"/>
                <w:szCs w:val="20"/>
                <w:color w:val="auto"/>
              </w:rPr>
            </w:pPr>
            <w:r>
              <w:rPr>
                <w:rFonts w:ascii="Arial" w:cs="Arial" w:eastAsia="Arial" w:hAnsi="Arial"/>
                <w:sz w:val="18"/>
                <w:szCs w:val="18"/>
                <w:color w:val="auto"/>
              </w:rPr>
              <w:t>Section 4.02.   Information.</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The Company will prepare and provide, or cause to be prepared and provided, at the cost of the Company, to each</w:t>
            </w:r>
          </w:p>
        </w:tc>
      </w:tr>
      <w:tr>
        <w:trPr>
          <w:trHeight w:val="20"/>
        </w:trPr>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5"/>
        </w:trPr>
        <w:tc>
          <w:tcPr>
            <w:tcW w:w="2720" w:type="dxa"/>
            <w:vAlign w:val="bottom"/>
            <w:gridSpan w:val="3"/>
          </w:tcPr>
          <w:p>
            <w:pPr>
              <w:spacing w:after="0"/>
              <w:rPr>
                <w:sz w:val="20"/>
                <w:szCs w:val="20"/>
                <w:color w:val="auto"/>
              </w:rPr>
            </w:pPr>
            <w:r>
              <w:rPr>
                <w:rFonts w:ascii="Arial" w:cs="Arial" w:eastAsia="Arial" w:hAnsi="Arial"/>
                <w:sz w:val="18"/>
                <w:szCs w:val="18"/>
                <w:color w:val="auto"/>
              </w:rPr>
              <w:t>Significant Shareholder:</w:t>
            </w:r>
          </w:p>
        </w:tc>
        <w:tc>
          <w:tcPr>
            <w:tcW w:w="8520" w:type="dxa"/>
            <w:vAlign w:val="bottom"/>
          </w:tcPr>
          <w:p>
            <w:pPr>
              <w:spacing w:after="0"/>
              <w:rPr>
                <w:sz w:val="20"/>
                <w:szCs w:val="20"/>
                <w:color w:val="auto"/>
              </w:rPr>
            </w:pPr>
          </w:p>
        </w:tc>
      </w:tr>
    </w:tbl>
    <w:p>
      <w:pPr>
        <w:spacing w:after="0" w:line="210" w:lineRule="exact"/>
        <w:rPr>
          <w:sz w:val="20"/>
          <w:szCs w:val="20"/>
          <w:color w:val="auto"/>
        </w:rPr>
      </w:pPr>
    </w:p>
    <w:p>
      <w:pPr>
        <w:jc w:val="both"/>
        <w:ind w:left="540" w:firstLine="421"/>
        <w:spacing w:after="0" w:line="256" w:lineRule="auto"/>
        <w:tabs>
          <w:tab w:leader="none" w:pos="1302" w:val="left"/>
        </w:tabs>
        <w:numPr>
          <w:ilvl w:val="1"/>
          <w:numId w:val="423"/>
        </w:numPr>
        <w:rPr>
          <w:rFonts w:ascii="Arial" w:cs="Arial" w:eastAsia="Arial" w:hAnsi="Arial"/>
          <w:sz w:val="18"/>
          <w:szCs w:val="18"/>
          <w:color w:val="auto"/>
        </w:rPr>
      </w:pPr>
      <w:r>
        <w:rPr>
          <w:rFonts w:ascii="Arial" w:cs="Arial" w:eastAsia="Arial" w:hAnsi="Arial"/>
          <w:sz w:val="18"/>
          <w:szCs w:val="18"/>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96" w:lineRule="exact"/>
        <w:rPr>
          <w:rFonts w:ascii="Arial" w:cs="Arial" w:eastAsia="Arial" w:hAnsi="Arial"/>
          <w:sz w:val="18"/>
          <w:szCs w:val="18"/>
          <w:color w:val="auto"/>
        </w:rPr>
      </w:pPr>
    </w:p>
    <w:p>
      <w:pPr>
        <w:jc w:val="both"/>
        <w:ind w:left="540" w:firstLine="377"/>
        <w:spacing w:after="0" w:line="256" w:lineRule="auto"/>
        <w:tabs>
          <w:tab w:leader="none" w:pos="125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9" w:name="page350"/>
    <w:bookmarkEnd w:id="349"/>
    <w:p>
      <w:pPr>
        <w:jc w:val="both"/>
        <w:ind w:left="180" w:firstLine="422"/>
        <w:spacing w:after="0" w:line="298" w:lineRule="auto"/>
        <w:tabs>
          <w:tab w:leader="none" w:pos="943" w:val="left"/>
        </w:tabs>
        <w:numPr>
          <w:ilvl w:val="2"/>
          <w:numId w:val="425"/>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166" w:lineRule="exact"/>
        <w:rPr>
          <w:rFonts w:ascii="Arial" w:cs="Arial" w:eastAsia="Arial" w:hAnsi="Arial"/>
          <w:sz w:val="16"/>
          <w:szCs w:val="16"/>
          <w:color w:val="auto"/>
        </w:rPr>
      </w:pPr>
    </w:p>
    <w:p>
      <w:pPr>
        <w:ind w:left="180" w:firstLine="381"/>
        <w:spacing w:after="0" w:line="331" w:lineRule="auto"/>
        <w:tabs>
          <w:tab w:leader="none" w:pos="89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140" w:lineRule="exact"/>
        <w:rPr>
          <w:rFonts w:ascii="Arial" w:cs="Arial" w:eastAsia="Arial" w:hAnsi="Arial"/>
          <w:sz w:val="16"/>
          <w:szCs w:val="16"/>
          <w:color w:val="auto"/>
        </w:rPr>
      </w:pPr>
    </w:p>
    <w:p>
      <w:pPr>
        <w:jc w:val="both"/>
        <w:ind w:left="180" w:firstLine="375"/>
        <w:spacing w:after="0" w:line="294" w:lineRule="auto"/>
        <w:tabs>
          <w:tab w:leader="none" w:pos="879" w:val="left"/>
        </w:tabs>
        <w:numPr>
          <w:ilvl w:val="1"/>
          <w:numId w:val="426"/>
        </w:numPr>
        <w:rPr>
          <w:rFonts w:ascii="Arial" w:cs="Arial" w:eastAsia="Arial" w:hAnsi="Arial"/>
          <w:sz w:val="16"/>
          <w:szCs w:val="16"/>
          <w:color w:val="auto"/>
        </w:rPr>
      </w:pPr>
      <w:r>
        <w:rPr>
          <w:rFonts w:ascii="Arial" w:cs="Arial" w:eastAsia="Arial" w:hAnsi="Arial"/>
          <w:sz w:val="16"/>
          <w:szCs w:val="16"/>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confidentiality or other reason (including by reason of inability to attend such conference call after making all reasonable efforts to so attend);</w:t>
      </w:r>
    </w:p>
    <w:p>
      <w:pPr>
        <w:spacing w:after="0" w:line="169" w:lineRule="exact"/>
        <w:rPr>
          <w:rFonts w:ascii="Arial" w:cs="Arial" w:eastAsia="Arial" w:hAnsi="Arial"/>
          <w:sz w:val="16"/>
          <w:szCs w:val="16"/>
          <w:color w:val="auto"/>
        </w:rPr>
      </w:pPr>
    </w:p>
    <w:p>
      <w:pPr>
        <w:jc w:val="both"/>
        <w:ind w:left="180" w:firstLine="359"/>
        <w:spacing w:after="0" w:line="259" w:lineRule="auto"/>
        <w:tabs>
          <w:tab w:leader="none" w:pos="88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193" w:lineRule="exact"/>
        <w:rPr>
          <w:rFonts w:ascii="Arial" w:cs="Arial" w:eastAsia="Arial" w:hAnsi="Arial"/>
          <w:sz w:val="18"/>
          <w:szCs w:val="18"/>
          <w:color w:val="auto"/>
        </w:rPr>
      </w:pPr>
    </w:p>
    <w:p>
      <w:pPr>
        <w:jc w:val="both"/>
        <w:ind w:left="180" w:firstLine="480"/>
        <w:spacing w:after="0" w:line="259" w:lineRule="auto"/>
        <w:tabs>
          <w:tab w:leader="none" w:pos="1034" w:val="left"/>
        </w:tabs>
        <w:numPr>
          <w:ilvl w:val="3"/>
          <w:numId w:val="427"/>
        </w:numPr>
        <w:rPr>
          <w:rFonts w:ascii="Arial" w:cs="Arial" w:eastAsia="Arial" w:hAnsi="Arial"/>
          <w:sz w:val="18"/>
          <w:szCs w:val="18"/>
          <w:color w:val="auto"/>
        </w:rPr>
      </w:pPr>
      <w:r>
        <w:rPr>
          <w:rFonts w:ascii="Arial" w:cs="Arial" w:eastAsia="Arial" w:hAnsi="Arial"/>
          <w:sz w:val="18"/>
          <w:szCs w:val="18"/>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status);</w:t>
      </w:r>
    </w:p>
    <w:p>
      <w:pPr>
        <w:spacing w:after="0" w:line="193" w:lineRule="exact"/>
        <w:rPr>
          <w:rFonts w:ascii="Arial" w:cs="Arial" w:eastAsia="Arial" w:hAnsi="Arial"/>
          <w:sz w:val="18"/>
          <w:szCs w:val="18"/>
          <w:color w:val="auto"/>
        </w:rPr>
      </w:pPr>
    </w:p>
    <w:p>
      <w:pPr>
        <w:jc w:val="both"/>
        <w:ind w:left="180" w:firstLine="386"/>
        <w:spacing w:after="0" w:line="259" w:lineRule="auto"/>
        <w:tabs>
          <w:tab w:leader="none" w:pos="904" w:val="left"/>
        </w:tabs>
        <w:numPr>
          <w:ilvl w:val="1"/>
          <w:numId w:val="427"/>
        </w:numPr>
        <w:rPr>
          <w:rFonts w:ascii="Arial" w:cs="Arial" w:eastAsia="Arial" w:hAnsi="Arial"/>
          <w:sz w:val="18"/>
          <w:szCs w:val="18"/>
          <w:color w:val="auto"/>
        </w:rPr>
      </w:pPr>
      <w:r>
        <w:rPr>
          <w:rFonts w:ascii="Arial" w:cs="Arial" w:eastAsia="Arial" w:hAnsi="Arial"/>
          <w:sz w:val="18"/>
          <w:szCs w:val="18"/>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93" w:lineRule="exact"/>
        <w:rPr>
          <w:rFonts w:ascii="Arial" w:cs="Arial" w:eastAsia="Arial" w:hAnsi="Arial"/>
          <w:sz w:val="18"/>
          <w:szCs w:val="18"/>
          <w:color w:val="auto"/>
        </w:rPr>
      </w:pPr>
    </w:p>
    <w:p>
      <w:pPr>
        <w:jc w:val="both"/>
        <w:ind w:left="180" w:firstLine="509"/>
        <w:spacing w:after="0" w:line="306" w:lineRule="auto"/>
        <w:tabs>
          <w:tab w:leader="none" w:pos="1098" w:val="left"/>
        </w:tabs>
        <w:numPr>
          <w:ilvl w:val="3"/>
          <w:numId w:val="428"/>
        </w:numPr>
        <w:rPr>
          <w:rFonts w:ascii="Arial" w:cs="Arial" w:eastAsia="Arial" w:hAnsi="Arial"/>
          <w:sz w:val="16"/>
          <w:szCs w:val="16"/>
          <w:color w:val="auto"/>
        </w:rPr>
      </w:pPr>
      <w:r>
        <w:rPr>
          <w:rFonts w:ascii="Arial" w:cs="Arial" w:eastAsia="Arial" w:hAnsi="Arial"/>
          <w:sz w:val="16"/>
          <w:szCs w:val="16"/>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3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5" w:lineRule="exact"/>
        <w:rPr>
          <w:sz w:val="20"/>
          <w:szCs w:val="20"/>
          <w:color w:val="auto"/>
        </w:rPr>
      </w:pPr>
    </w:p>
    <w:p>
      <w:pPr>
        <w:jc w:val="both"/>
        <w:ind w:left="180" w:firstLine="383"/>
        <w:spacing w:after="0" w:line="306" w:lineRule="auto"/>
        <w:tabs>
          <w:tab w:leader="none" w:pos="89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16"/>
          <w:szCs w:val="16"/>
          <w:u w:val="single" w:color="auto"/>
          <w:color w:val="auto"/>
        </w:rPr>
        <w:t>Section 4.03</w:t>
      </w:r>
      <w:r>
        <w:rPr>
          <w:rFonts w:ascii="Arial" w:cs="Arial" w:eastAsia="Arial" w:hAnsi="Arial"/>
          <w:sz w:val="16"/>
          <w:szCs w:val="16"/>
          <w:color w:val="auto"/>
        </w:rPr>
        <w:t>. Any Confidential Information may be disclosed:</w:t>
      </w:r>
    </w:p>
    <w:p>
      <w:pPr>
        <w:spacing w:after="0" w:line="160" w:lineRule="exact"/>
        <w:rPr>
          <w:rFonts w:ascii="Arial" w:cs="Arial" w:eastAsia="Arial" w:hAnsi="Arial"/>
          <w:sz w:val="16"/>
          <w:szCs w:val="16"/>
          <w:color w:val="auto"/>
        </w:rPr>
      </w:pPr>
    </w:p>
    <w:p>
      <w:pPr>
        <w:jc w:val="both"/>
        <w:ind w:left="720" w:firstLine="472"/>
        <w:spacing w:after="0" w:line="254" w:lineRule="auto"/>
        <w:tabs>
          <w:tab w:leader="none" w:pos="1443" w:val="left"/>
        </w:tabs>
        <w:numPr>
          <w:ilvl w:val="1"/>
          <w:numId w:val="429"/>
        </w:numPr>
        <w:rPr>
          <w:rFonts w:ascii="Arial" w:cs="Arial" w:eastAsia="Arial" w:hAnsi="Arial"/>
          <w:sz w:val="18"/>
          <w:szCs w:val="18"/>
          <w:color w:val="auto"/>
        </w:rPr>
      </w:pPr>
      <w:r>
        <w:rPr>
          <w:rFonts w:ascii="Arial" w:cs="Arial" w:eastAsia="Arial" w:hAnsi="Arial"/>
          <w:sz w:val="18"/>
          <w:szCs w:val="18"/>
          <w:color w:val="auto"/>
        </w:rPr>
        <w:t>by a Shareholder (A) to, in the case of the Existing Shareholders, any of its Affiliates and, in the case of the New Investor, the GEPIF Fund Group (each, a “</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in each case solely</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50" w:name="page351"/>
    <w:bookmarkEnd w:id="350"/>
    <w:p>
      <w:pPr>
        <w:jc w:val="both"/>
        <w:ind w:left="540"/>
        <w:spacing w:after="0" w:line="294" w:lineRule="auto"/>
        <w:rPr>
          <w:sz w:val="20"/>
          <w:szCs w:val="20"/>
          <w:color w:val="auto"/>
        </w:rPr>
      </w:pPr>
      <w:r>
        <w:rPr>
          <w:rFonts w:ascii="Arial" w:cs="Arial" w:eastAsia="Arial" w:hAnsi="Arial"/>
          <w:sz w:val="16"/>
          <w:szCs w:val="16"/>
          <w:color w:val="auto"/>
        </w:rPr>
        <w:t xml:space="preserve">if and to the extent any Representative needs to be provided such Confidential Information to assist such Shareholder (or its Shareholder Affiliates) in evaluating or reviewing its existing or 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by any such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Confidential Information may be disclosed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a Competitor;</w:t>
      </w:r>
    </w:p>
    <w:p>
      <w:pPr>
        <w:spacing w:after="0" w:line="169" w:lineRule="exact"/>
        <w:rPr>
          <w:sz w:val="20"/>
          <w:szCs w:val="20"/>
          <w:color w:val="auto"/>
        </w:rPr>
      </w:pPr>
    </w:p>
    <w:p>
      <w:pPr>
        <w:ind w:left="1240" w:hanging="297"/>
        <w:spacing w:after="0"/>
        <w:tabs>
          <w:tab w:leader="none" w:pos="1240" w:val="left"/>
        </w:tabs>
        <w:numPr>
          <w:ilvl w:val="2"/>
          <w:numId w:val="430"/>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the extent the Company and the other Shareholders consent in writing;</w:t>
      </w:r>
    </w:p>
    <w:p>
      <w:pPr>
        <w:spacing w:after="0" w:line="248" w:lineRule="exact"/>
        <w:rPr>
          <w:rFonts w:ascii="Arial" w:cs="Arial" w:eastAsia="Arial" w:hAnsi="Arial"/>
          <w:sz w:val="16"/>
          <w:szCs w:val="16"/>
          <w:color w:val="auto"/>
        </w:rPr>
      </w:pPr>
    </w:p>
    <w:p>
      <w:pPr>
        <w:ind w:left="1400" w:hanging="383"/>
        <w:spacing w:after="0"/>
        <w:tabs>
          <w:tab w:leader="none" w:pos="1400" w:val="left"/>
        </w:tabs>
        <w:numPr>
          <w:ilvl w:val="4"/>
          <w:numId w:val="430"/>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(A) a Proposed Transferee (so long as such Transfer is permitted hereunder) or</w:t>
      </w:r>
    </w:p>
    <w:p>
      <w:pPr>
        <w:spacing w:after="0" w:line="38" w:lineRule="exact"/>
        <w:rPr>
          <w:rFonts w:ascii="Arial" w:cs="Arial" w:eastAsia="Arial" w:hAnsi="Arial"/>
          <w:sz w:val="16"/>
          <w:szCs w:val="16"/>
          <w:color w:val="auto"/>
        </w:rPr>
      </w:pPr>
    </w:p>
    <w:p>
      <w:pPr>
        <w:jc w:val="both"/>
        <w:ind w:left="540" w:firstLine="8"/>
        <w:spacing w:after="0" w:line="292" w:lineRule="auto"/>
        <w:tabs>
          <w:tab w:leader="none" w:pos="818"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any financing source or potential financing source to such Shareholder or its Shareholder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a confidentiality agreement having restrictions substantially similar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such confidentiality agreement) by any such Person;</w:t>
      </w:r>
    </w:p>
    <w:p>
      <w:pPr>
        <w:spacing w:after="0" w:line="170" w:lineRule="exact"/>
        <w:rPr>
          <w:rFonts w:ascii="Arial" w:cs="Arial" w:eastAsia="Arial" w:hAnsi="Arial"/>
          <w:sz w:val="16"/>
          <w:szCs w:val="16"/>
          <w:color w:val="auto"/>
        </w:rPr>
      </w:pPr>
    </w:p>
    <w:p>
      <w:pPr>
        <w:jc w:val="both"/>
        <w:ind w:left="540" w:firstLine="471"/>
        <w:spacing w:after="0" w:line="286" w:lineRule="auto"/>
        <w:tabs>
          <w:tab w:leader="none" w:pos="1372" w:val="left"/>
        </w:tabs>
        <w:numPr>
          <w:ilvl w:val="4"/>
          <w:numId w:val="431"/>
        </w:numPr>
        <w:rPr>
          <w:rFonts w:ascii="Arial" w:cs="Arial" w:eastAsia="Arial" w:hAnsi="Arial"/>
          <w:sz w:val="16"/>
          <w:szCs w:val="16"/>
          <w:color w:val="auto"/>
        </w:rPr>
      </w:pPr>
      <w:r>
        <w:rPr>
          <w:rFonts w:ascii="Arial" w:cs="Arial" w:eastAsia="Arial" w:hAnsi="Arial"/>
          <w:sz w:val="16"/>
          <w:szCs w:val="16"/>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180" w:lineRule="exact"/>
        <w:rPr>
          <w:rFonts w:ascii="Arial" w:cs="Arial" w:eastAsia="Arial" w:hAnsi="Arial"/>
          <w:sz w:val="16"/>
          <w:szCs w:val="16"/>
          <w:color w:val="auto"/>
        </w:rPr>
      </w:pPr>
    </w:p>
    <w:p>
      <w:pPr>
        <w:jc w:val="both"/>
        <w:ind w:left="540" w:firstLine="429"/>
        <w:spacing w:after="0" w:line="294" w:lineRule="auto"/>
        <w:tabs>
          <w:tab w:leader="none" w:pos="1259" w:val="left"/>
        </w:tabs>
        <w:numPr>
          <w:ilvl w:val="3"/>
          <w:numId w:val="431"/>
        </w:numPr>
        <w:rPr>
          <w:rFonts w:ascii="Arial" w:cs="Arial" w:eastAsia="Arial" w:hAnsi="Arial"/>
          <w:sz w:val="16"/>
          <w:szCs w:val="16"/>
          <w:color w:val="auto"/>
        </w:rPr>
      </w:pPr>
      <w:r>
        <w:rPr>
          <w:rFonts w:ascii="Arial" w:cs="Arial" w:eastAsia="Arial" w:hAnsi="Arial"/>
          <w:sz w:val="16"/>
          <w:szCs w:val="16"/>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396"/>
        <w:spacing w:after="0" w:line="298" w:lineRule="auto"/>
        <w:tabs>
          <w:tab w:leader="none" w:pos="738" w:val="left"/>
        </w:tabs>
        <w:numPr>
          <w:ilvl w:val="0"/>
          <w:numId w:val="432"/>
        </w:numPr>
        <w:rPr>
          <w:rFonts w:ascii="Arial" w:cs="Arial" w:eastAsia="Arial" w:hAnsi="Arial"/>
          <w:sz w:val="16"/>
          <w:szCs w:val="16"/>
          <w:color w:val="auto"/>
        </w:rPr>
      </w:pPr>
      <w:r>
        <w:rPr>
          <w:rFonts w:ascii="Arial" w:cs="Arial" w:eastAsia="Arial" w:hAnsi="Arial"/>
          <w:sz w:val="16"/>
          <w:szCs w:val="16"/>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1" w:name="page352"/>
    <w:bookmarkEnd w:id="351"/>
    <w:p>
      <w:pPr>
        <w:ind w:left="540" w:firstLine="365"/>
        <w:spacing w:after="0" w:line="268" w:lineRule="auto"/>
        <w:tabs>
          <w:tab w:leader="none" w:pos="122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The obligations of a Shareholder under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on the third anniversary of the date on which such Shareholder ceases to beneficially own any Equity Interests of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No New Investor Designated Director or New Investor Board Observer shall be appointed to any similar position at any Competitor.</w:t>
      </w:r>
    </w:p>
    <w:p>
      <w:pPr>
        <w:spacing w:after="0" w:line="200" w:lineRule="exact"/>
        <w:rPr>
          <w:sz w:val="20"/>
          <w:szCs w:val="20"/>
          <w:color w:val="auto"/>
        </w:rPr>
      </w:pPr>
    </w:p>
    <w:p>
      <w:pPr>
        <w:spacing w:after="0" w:line="264"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Corporate Opportunities</w:t>
      </w:r>
      <w:r>
        <w:rPr>
          <w:rFonts w:ascii="Arial" w:cs="Arial" w:eastAsia="Arial" w:hAnsi="Arial"/>
          <w:sz w:val="15"/>
          <w:szCs w:val="15"/>
          <w:color w:val="auto"/>
        </w:rPr>
        <w:t>. The parties hereto expressly acknowledge and agree that, except to 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w:t>
      </w:r>
    </w:p>
    <w:p>
      <w:pPr>
        <w:spacing w:after="0" w:line="1" w:lineRule="exact"/>
        <w:rPr>
          <w:sz w:val="20"/>
          <w:szCs w:val="20"/>
          <w:color w:val="auto"/>
        </w:rPr>
      </w:pPr>
    </w:p>
    <w:p>
      <w:pPr>
        <w:jc w:val="both"/>
        <w:ind w:firstLine="8"/>
        <w:spacing w:after="0" w:line="287" w:lineRule="auto"/>
        <w:tabs>
          <w:tab w:leader="none" w:pos="253" w:val="left"/>
        </w:tabs>
        <w:numPr>
          <w:ilvl w:val="0"/>
          <w:numId w:val="434"/>
        </w:numPr>
        <w:rPr>
          <w:rFonts w:ascii="Arial" w:cs="Arial" w:eastAsia="Arial" w:hAnsi="Arial"/>
          <w:sz w:val="16"/>
          <w:szCs w:val="16"/>
          <w:color w:val="auto"/>
        </w:rPr>
      </w:pPr>
      <w:r>
        <w:rPr>
          <w:rFonts w:ascii="Arial" w:cs="Arial" w:eastAsia="Arial" w:hAnsi="Arial"/>
          <w:sz w:val="16"/>
          <w:szCs w:val="16"/>
          <w:color w:val="auto"/>
        </w:rPr>
        <w:t xml:space="preserve">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Shareholder or any of its Representatives may nevertheless pursue or acquire such opportunity for itself.</w:t>
      </w:r>
    </w:p>
    <w:p>
      <w:pPr>
        <w:spacing w:after="0" w:line="394" w:lineRule="exact"/>
        <w:rPr>
          <w:sz w:val="20"/>
          <w:szCs w:val="20"/>
          <w:color w:val="auto"/>
        </w:rPr>
      </w:pPr>
    </w:p>
    <w:p>
      <w:pPr>
        <w:jc w:val="both"/>
        <w:ind w:firstLine="399"/>
        <w:spacing w:after="0" w:line="33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Dividend Policy</w:t>
      </w:r>
      <w:r>
        <w:rPr>
          <w:rFonts w:ascii="Arial" w:cs="Arial" w:eastAsia="Arial" w:hAnsi="Arial"/>
          <w:sz w:val="16"/>
          <w:szCs w:val="16"/>
          <w:color w:val="auto"/>
        </w:rPr>
        <w:t>. As soon as reasonably practicable after the end of each fiscal quarter and at such other times as the Company Board shall specify, the Company Board shall determine and cause the distribution of all Available Cash for such period to the Shareholders on a pro rata basis.</w:t>
      </w:r>
    </w:p>
    <w:p>
      <w:pPr>
        <w:spacing w:after="0" w:line="357"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At or prior to the consummation of an Initial Public Offering, the Company and the Shareholders shall enter into a registration rights agreement in customary form providing for registration rights of Registrable Securities, which registration rights agreement shall include provisions incorporating, among other terms, (a) customary demand registration rights in favor of the Existing Shareholders or the New Investor to the extent such Shareholder holds Registrable Securities, (b) the obligation of the Company to file a Shelf 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 (f) 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393"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Audit Rights</w:t>
      </w:r>
      <w:r>
        <w:rPr>
          <w:rFonts w:ascii="Arial" w:cs="Arial" w:eastAsia="Arial" w:hAnsi="Arial"/>
          <w:sz w:val="16"/>
          <w:szCs w:val="16"/>
          <w:color w:val="auto"/>
        </w:rPr>
        <w:t>. Each Shareholder shall have the right, at its sole cost and expense, upon reasonable notice, to conduct an audit of the Company’s books and records, at reasonable hours and in a manner so as not to unduly disrupt the operations of the Company and its Subsidiaries, for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2" w:name="page353"/>
    <w:bookmarkEnd w:id="352"/>
    <w:p>
      <w:pPr>
        <w:jc w:val="both"/>
        <w:ind w:right="20"/>
        <w:spacing w:after="0" w:line="259" w:lineRule="auto"/>
        <w:rPr>
          <w:sz w:val="20"/>
          <w:szCs w:val="20"/>
          <w:color w:val="auto"/>
        </w:rPr>
      </w:pPr>
      <w:r>
        <w:rPr>
          <w:rFonts w:ascii="Arial" w:cs="Arial" w:eastAsia="Arial" w:hAnsi="Arial"/>
          <w:sz w:val="18"/>
          <w:szCs w:val="18"/>
          <w:color w:val="auto"/>
        </w:rPr>
        <w:t xml:space="preserve">purpose reasonably related to such Shareholder’s interests in the Company. Each Shareholder shall have the right to conduct such audit no more than once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Shareholder has a reasonable basis for believing there is an inaccuracy in the Company’s books and records, such Shareholder shall have the right to conduct more than one such audit in a fiscal year.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67"/>
        <w:spacing w:after="0" w:line="253" w:lineRule="auto"/>
        <w:tabs>
          <w:tab w:leader="none" w:pos="1423" w:val="left"/>
        </w:tabs>
        <w:numPr>
          <w:ilvl w:val="2"/>
          <w:numId w:val="435"/>
        </w:numPr>
        <w:rPr>
          <w:rFonts w:ascii="Arial" w:cs="Arial" w:eastAsia="Arial" w:hAnsi="Arial"/>
          <w:sz w:val="18"/>
          <w:szCs w:val="18"/>
          <w:color w:val="auto"/>
        </w:rPr>
      </w:pPr>
      <w:r>
        <w:rPr>
          <w:rFonts w:ascii="Arial" w:cs="Arial" w:eastAsia="Arial" w:hAnsi="Arial"/>
          <w:sz w:val="18"/>
          <w:szCs w:val="18"/>
          <w:u w:val="single" w:color="auto"/>
          <w:color w:val="auto"/>
        </w:rPr>
        <w:t>Tax Reporting Regimes</w:t>
      </w:r>
      <w:r>
        <w:rPr>
          <w:rFonts w:ascii="Arial" w:cs="Arial" w:eastAsia="Arial" w:hAnsi="Arial"/>
          <w:sz w:val="18"/>
          <w:szCs w:val="18"/>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8"/>
          <w:szCs w:val="18"/>
          <w:u w:val="single" w:color="auto"/>
          <w:color w:val="auto"/>
        </w:rPr>
        <w:t>FATCA</w:t>
      </w:r>
      <w:r>
        <w:rPr>
          <w:rFonts w:ascii="Arial" w:cs="Arial" w:eastAsia="Arial" w:hAnsi="Arial"/>
          <w:sz w:val="18"/>
          <w:szCs w:val="18"/>
          <w:color w:val="auto"/>
        </w:rPr>
        <w:t>”) and any legislation or any Law which implements, or implements rules similar to, the Organisation for Economic Co-operation and Development’s Common Reporting Standard (“</w:t>
      </w:r>
      <w:r>
        <w:rPr>
          <w:rFonts w:ascii="Arial" w:cs="Arial" w:eastAsia="Arial" w:hAnsi="Arial"/>
          <w:sz w:val="18"/>
          <w:szCs w:val="18"/>
          <w:u w:val="single" w:color="auto"/>
          <w:color w:val="auto"/>
        </w:rPr>
        <w:t>CRS</w:t>
      </w:r>
      <w:r>
        <w:rPr>
          <w:rFonts w:ascii="Arial" w:cs="Arial" w:eastAsia="Arial" w:hAnsi="Arial"/>
          <w:sz w:val="18"/>
          <w:szCs w:val="18"/>
          <w:color w:val="auto"/>
        </w:rPr>
        <w:t>”). The Company shall ensure that the Company Group complies with the requirements of FATCA, CRS and any other applicable tax reporting regime.</w:t>
      </w:r>
    </w:p>
    <w:p>
      <w:pPr>
        <w:spacing w:after="0" w:line="198" w:lineRule="exact"/>
        <w:rPr>
          <w:rFonts w:ascii="Arial" w:cs="Arial" w:eastAsia="Arial" w:hAnsi="Arial"/>
          <w:sz w:val="18"/>
          <w:szCs w:val="18"/>
          <w:color w:val="auto"/>
        </w:rPr>
      </w:pPr>
    </w:p>
    <w:p>
      <w:pPr>
        <w:jc w:val="both"/>
        <w:ind w:left="540" w:firstLine="413"/>
        <w:spacing w:after="0" w:line="287" w:lineRule="auto"/>
        <w:tabs>
          <w:tab w:leader="none" w:pos="1352"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Company is required by Law to withhold or to make tax payments (including any interest and penalties thereon) on behalf of or with respect to any Shareholder (“</w:t>
      </w:r>
      <w:r>
        <w:rPr>
          <w:rFonts w:ascii="Arial" w:cs="Arial" w:eastAsia="Arial" w:hAnsi="Arial"/>
          <w:sz w:val="16"/>
          <w:szCs w:val="16"/>
          <w:u w:val="single" w:color="auto"/>
          <w:color w:val="auto"/>
        </w:rPr>
        <w:t>Tax Advances</w:t>
      </w:r>
      <w:r>
        <w:rPr>
          <w:rFonts w:ascii="Arial" w:cs="Arial" w:eastAsia="Arial" w:hAnsi="Arial"/>
          <w:sz w:val="16"/>
          <w:szCs w:val="16"/>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amounts remain outstanding for more than 12 months, then such amounts shall accrue interest annually at the applicable federal rate (“</w:t>
      </w:r>
      <w:r>
        <w:rPr>
          <w:rFonts w:ascii="Arial" w:cs="Arial" w:eastAsia="Arial" w:hAnsi="Arial"/>
          <w:sz w:val="16"/>
          <w:szCs w:val="16"/>
          <w:u w:val="single" w:color="auto"/>
          <w:color w:val="auto"/>
        </w:rPr>
        <w:t>AFR</w:t>
      </w:r>
      <w:r>
        <w:rPr>
          <w:rFonts w:ascii="Arial" w:cs="Arial" w:eastAsia="Arial" w:hAnsi="Arial"/>
          <w:sz w:val="16"/>
          <w:szCs w:val="16"/>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shall survive the Transfer or redemption of a Shareholder’s Shares.</w:t>
      </w:r>
    </w:p>
    <w:p>
      <w:pPr>
        <w:spacing w:after="0" w:line="175" w:lineRule="exact"/>
        <w:rPr>
          <w:rFonts w:ascii="Arial" w:cs="Arial" w:eastAsia="Arial" w:hAnsi="Arial"/>
          <w:sz w:val="16"/>
          <w:szCs w:val="16"/>
          <w:color w:val="auto"/>
        </w:rPr>
      </w:pPr>
    </w:p>
    <w:p>
      <w:pPr>
        <w:jc w:val="both"/>
        <w:ind w:left="540" w:firstLine="359"/>
        <w:spacing w:after="0" w:line="290" w:lineRule="auto"/>
        <w:tabs>
          <w:tab w:leader="none" w:pos="1261"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Shareholder shall be obligated to provide any information pursuant to this </w:t>
      </w:r>
      <w:r>
        <w:rPr>
          <w:rFonts w:ascii="Arial" w:cs="Arial" w:eastAsia="Arial" w:hAnsi="Arial"/>
          <w:sz w:val="16"/>
          <w:szCs w:val="16"/>
          <w:u w:val="single" w:color="auto"/>
          <w:color w:val="auto"/>
        </w:rPr>
        <w:t>Section 4.08(c)</w:t>
      </w:r>
      <w:r>
        <w:rPr>
          <w:rFonts w:ascii="Arial" w:cs="Arial" w:eastAsia="Arial" w:hAnsi="Arial"/>
          <w:sz w:val="16"/>
          <w:szCs w:val="16"/>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388"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Emergency Funding</w:t>
      </w:r>
      <w:r>
        <w:rPr>
          <w:rFonts w:ascii="Arial" w:cs="Arial" w:eastAsia="Arial" w:hAnsi="Arial"/>
          <w:sz w:val="18"/>
          <w:szCs w:val="18"/>
          <w:color w:val="auto"/>
        </w:rPr>
        <w:t>. The Company and each Shareholder shall promptly (and in any event 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3" w:name="page354"/>
    <w:bookmarkEnd w:id="353"/>
    <w:p>
      <w:pPr>
        <w:jc w:val="both"/>
        <w:spacing w:after="0" w:line="288" w:lineRule="auto"/>
        <w:rPr>
          <w:sz w:val="20"/>
          <w:szCs w:val="20"/>
          <w:color w:val="auto"/>
        </w:rPr>
      </w:pPr>
      <w:r>
        <w:rPr>
          <w:rFonts w:ascii="Arial" w:cs="Arial" w:eastAsia="Arial" w:hAnsi="Arial"/>
          <w:sz w:val="16"/>
          <w:szCs w:val="16"/>
          <w:color w:val="auto"/>
        </w:rPr>
        <w:t xml:space="preserve">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471"/>
        <w:spacing w:after="0" w:line="28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be of no further force and effect upon the earliest of: (a) the written consent of Shareholders holding (together with their Permitted Transferees) at least 90% of the issued and outstanding Shares, (b) any Initial Public Offering, following which the Company’s common equity is listed on a Qualified Exchange and has a public float of not less than 20% of the Company’s common equity and</w:t>
      </w:r>
    </w:p>
    <w:p>
      <w:pPr>
        <w:spacing w:after="0" w:line="1" w:lineRule="exact"/>
        <w:rPr>
          <w:sz w:val="20"/>
          <w:szCs w:val="20"/>
          <w:color w:val="auto"/>
        </w:rPr>
      </w:pPr>
    </w:p>
    <w:p>
      <w:pPr>
        <w:jc w:val="both"/>
        <w:ind w:firstLine="8"/>
        <w:spacing w:after="0" w:line="288" w:lineRule="auto"/>
        <w:tabs>
          <w:tab w:leader="none" w:pos="253"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survive any termination of this Agreement.</w:t>
      </w:r>
    </w:p>
    <w:p>
      <w:pPr>
        <w:spacing w:after="0" w:line="39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this Agreement may not be 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Shareholder may waive (in writing) the benefit of any provision of this Agreement with respect to itself for any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39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Successors, Assigns and Transferees</w:t>
      </w:r>
      <w:r>
        <w:rPr>
          <w:rFonts w:ascii="Arial" w:cs="Arial" w:eastAsia="Arial" w:hAnsi="Arial"/>
          <w:sz w:val="18"/>
          <w:szCs w:val="18"/>
          <w:color w:val="auto"/>
        </w:rPr>
        <w:t xml:space="preserve">. Subject to the restrictions on Transfers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this Agreement shall be binding upon and inure to the benefit of and be enforceable by the parties hereto and their respective successors and permitted assigns. Subject to the limitations set forth herein, the rights and obligations of any Shareholder under this Agreement may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4" w:name="page355"/>
    <w:bookmarkEnd w:id="354"/>
    <w:p>
      <w:pPr>
        <w:jc w:val="both"/>
        <w:spacing w:after="0" w:line="256" w:lineRule="auto"/>
        <w:rPr>
          <w:sz w:val="20"/>
          <w:szCs w:val="20"/>
          <w:color w:val="auto"/>
        </w:rPr>
      </w:pPr>
      <w:r>
        <w:rPr>
          <w:rFonts w:ascii="Arial" w:cs="Arial" w:eastAsia="Arial" w:hAnsi="Arial"/>
          <w:sz w:val="18"/>
          <w:szCs w:val="18"/>
          <w:color w:val="auto"/>
        </w:rPr>
        <w:t xml:space="preserve">assigned to a transferee to which a Shareholder Transfers its Shares in compliance with this Agreement. Any assignment of rights or obligations in violation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200" w:lineRule="exact"/>
        <w:rPr>
          <w:sz w:val="20"/>
          <w:szCs w:val="20"/>
          <w:color w:val="auto"/>
        </w:rPr>
      </w:pPr>
    </w:p>
    <w:p>
      <w:pPr>
        <w:spacing w:after="0" w:line="213"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hereto at the following addresses: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if to the Company, to:</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2300" w:type="dxa"/>
            <w:vAlign w:val="bottom"/>
          </w:tcPr>
          <w:p>
            <w:pPr>
              <w:ind w:left="1340"/>
              <w:spacing w:after="0"/>
              <w:rPr>
                <w:sz w:val="20"/>
                <w:szCs w:val="20"/>
                <w:color w:val="auto"/>
              </w:rPr>
            </w:pPr>
            <w:r>
              <w:rPr>
                <w:rFonts w:ascii="Arial" w:cs="Arial" w:eastAsia="Arial" w:hAnsi="Arial"/>
                <w:sz w:val="18"/>
                <w:szCs w:val="18"/>
                <w:color w:val="auto"/>
              </w:rPr>
              <w:t>Name:</w:t>
            </w:r>
          </w:p>
        </w:tc>
        <w:tc>
          <w:tcPr>
            <w:tcW w:w="2520" w:type="dxa"/>
            <w:vAlign w:val="bottom"/>
            <w:gridSpan w:val="2"/>
          </w:tcPr>
          <w:p>
            <w:pPr>
              <w:spacing w:after="0"/>
              <w:rPr>
                <w:sz w:val="20"/>
                <w:szCs w:val="20"/>
                <w:color w:val="auto"/>
              </w:rPr>
            </w:pPr>
            <w:r>
              <w:rPr>
                <w:rFonts w:ascii="Arial" w:cs="Arial" w:eastAsia="Arial" w:hAnsi="Arial"/>
                <w:sz w:val="18"/>
                <w:szCs w:val="18"/>
                <w:color w:val="auto"/>
              </w:rPr>
              <w:t>GasLog Ltd.</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 GasLog LNG Services Ltd.</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spacing w:after="0"/>
              <w:rPr>
                <w:sz w:val="20"/>
                <w:szCs w:val="20"/>
                <w:color w:val="auto"/>
              </w:rPr>
            </w:pPr>
            <w:r>
              <w:rPr>
                <w:rFonts w:ascii="Arial" w:cs="Arial" w:eastAsia="Arial" w:hAnsi="Arial"/>
                <w:sz w:val="18"/>
                <w:szCs w:val="18"/>
                <w:color w:val="auto"/>
              </w:rPr>
              <w:t>69 Akti Miaouli</w:t>
            </w:r>
          </w:p>
        </w:tc>
      </w:tr>
      <w:tr>
        <w:trPr>
          <w:trHeight w:val="216"/>
        </w:trPr>
        <w:tc>
          <w:tcPr>
            <w:tcW w:w="23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18537 Piraeus</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Alexandros Laios, General Counsel</w:t>
            </w:r>
          </w:p>
        </w:tc>
      </w:tr>
      <w:tr>
        <w:trPr>
          <w:trHeight w:val="184"/>
        </w:trPr>
        <w:tc>
          <w:tcPr>
            <w:tcW w:w="2300" w:type="dxa"/>
            <w:vAlign w:val="bottom"/>
          </w:tcPr>
          <w:p>
            <w:pPr>
              <w:ind w:left="1340"/>
              <w:spacing w:after="0" w:line="184" w:lineRule="exact"/>
              <w:rPr>
                <w:sz w:val="20"/>
                <w:szCs w:val="20"/>
                <w:color w:val="auto"/>
              </w:rPr>
            </w:pPr>
            <w:r>
              <w:rPr>
                <w:rFonts w:ascii="Arial" w:cs="Arial" w:eastAsia="Arial" w:hAnsi="Arial"/>
                <w:sz w:val="18"/>
                <w:szCs w:val="18"/>
                <w:color w:val="auto"/>
              </w:rPr>
              <w:t>E-mail:</w:t>
            </w:r>
          </w:p>
        </w:tc>
        <w:tc>
          <w:tcPr>
            <w:tcW w:w="2520" w:type="dxa"/>
            <w:vAlign w:val="bottom"/>
            <w:gridSpan w:val="2"/>
          </w:tcPr>
          <w:p>
            <w:pPr>
              <w:spacing w:after="0" w:line="184" w:lineRule="exact"/>
              <w:rPr>
                <w:sz w:val="20"/>
                <w:szCs w:val="20"/>
                <w:color w:val="auto"/>
              </w:rPr>
            </w:pPr>
            <w:r>
              <w:rPr>
                <w:rFonts w:ascii="Arial" w:cs="Arial" w:eastAsia="Arial" w:hAnsi="Arial"/>
                <w:sz w:val="18"/>
                <w:szCs w:val="18"/>
                <w:color w:val="auto"/>
              </w:rPr>
              <w:t>alaios@gaslogltd.com</w:t>
            </w:r>
          </w:p>
        </w:tc>
      </w:tr>
      <w:tr>
        <w:trPr>
          <w:trHeight w:val="20"/>
        </w:trPr>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be considered notice):</w:t>
      </w:r>
    </w:p>
    <w:p>
      <w:pPr>
        <w:spacing w:after="0" w:line="22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Cravath, Swaine &amp; Moore LLP</w:t>
      </w:r>
    </w:p>
    <w:p>
      <w:pPr>
        <w:spacing w:after="0" w:line="252"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Worldwide Plaza</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U.S.A.</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Erik R. Tavzel</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etavzel@cravath.com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D. Scott Bennett</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sbennett@cravath.com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Andrew C. Elken</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aelken@cravath.com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c/o ASOFIN AE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Address:</w:t>
            </w:r>
          </w:p>
        </w:tc>
        <w:tc>
          <w:tcPr>
            <w:tcW w:w="8700" w:type="dxa"/>
            <w:vAlign w:val="bottom"/>
          </w:tcPr>
          <w:p>
            <w:pPr>
              <w:ind w:left="120"/>
              <w:spacing w:after="0"/>
              <w:rPr>
                <w:sz w:val="20"/>
                <w:szCs w:val="20"/>
                <w:color w:val="auto"/>
              </w:rPr>
            </w:pPr>
            <w:r>
              <w:rPr>
                <w:rFonts w:ascii="Arial" w:cs="Arial" w:eastAsia="Arial" w:hAnsi="Arial"/>
                <w:sz w:val="18"/>
                <w:szCs w:val="18"/>
                <w:color w:val="auto"/>
              </w:rPr>
              <w:t>Zefyrou 8</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Pal. Faliro 17564</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Athens</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Greece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120"/>
              <w:spacing w:after="0"/>
              <w:rPr>
                <w:sz w:val="20"/>
                <w:szCs w:val="20"/>
                <w:color w:val="auto"/>
              </w:rPr>
            </w:pPr>
            <w:r>
              <w:rPr>
                <w:rFonts w:ascii="Arial" w:cs="Arial" w:eastAsia="Arial" w:hAnsi="Arial"/>
                <w:sz w:val="18"/>
                <w:szCs w:val="18"/>
                <w:color w:val="auto"/>
              </w:rPr>
              <w:t>Michael Gialouris</w:t>
            </w:r>
          </w:p>
        </w:tc>
      </w:t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E-mail:</w:t>
            </w:r>
          </w:p>
        </w:tc>
        <w:tc>
          <w:tcPr>
            <w:tcW w:w="8700" w:type="dxa"/>
            <w:vAlign w:val="bottom"/>
          </w:tcPr>
          <w:p>
            <w:pPr>
              <w:ind w:left="120"/>
              <w:spacing w:after="0"/>
              <w:rPr>
                <w:sz w:val="20"/>
                <w:szCs w:val="20"/>
                <w:color w:val="auto"/>
              </w:rPr>
            </w:pPr>
            <w:r>
              <w:rPr>
                <w:rFonts w:ascii="Arial" w:cs="Arial" w:eastAsia="Arial" w:hAnsi="Arial"/>
                <w:sz w:val="18"/>
                <w:szCs w:val="18"/>
                <w:color w:val="auto"/>
              </w:rPr>
              <w:t>mgg@asofin.eu</w:t>
            </w:r>
          </w:p>
        </w:tc>
      </w:tr>
      <w:tr>
        <w:trPr>
          <w:trHeight w:val="432"/>
        </w:trPr>
        <w:tc>
          <w:tcPr>
            <w:tcW w:w="2540" w:type="dxa"/>
            <w:vAlign w:val="bottom"/>
          </w:tcPr>
          <w:p>
            <w:pPr>
              <w:ind w:left="360"/>
              <w:spacing w:after="0"/>
              <w:rPr>
                <w:sz w:val="20"/>
                <w:szCs w:val="20"/>
                <w:color w:val="auto"/>
              </w:rPr>
            </w:pPr>
            <w:r>
              <w:rPr>
                <w:rFonts w:ascii="Arial" w:cs="Arial" w:eastAsia="Arial" w:hAnsi="Arial"/>
                <w:sz w:val="18"/>
                <w:szCs w:val="18"/>
                <w:color w:val="auto"/>
              </w:rPr>
              <w:t>if to Blenheim, to:</w:t>
            </w:r>
          </w:p>
        </w:tc>
        <w:tc>
          <w:tcPr>
            <w:tcW w:w="8700" w:type="dxa"/>
            <w:vAlign w:val="bottom"/>
          </w:tcPr>
          <w:p>
            <w:pPr>
              <w:spacing w:after="0"/>
              <w:rPr>
                <w:sz w:val="24"/>
                <w:szCs w:val="24"/>
                <w:color w:val="auto"/>
              </w:rPr>
            </w:pPr>
          </w:p>
        </w:tc>
      </w:tr>
      <w:tr>
        <w:trPr>
          <w:trHeight w:val="426"/>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Blenheim Holdings Ltd</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Blenheim Special Investments Holding Ltd</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c/o Ceres Monaco SAM</w:t>
            </w:r>
          </w:p>
        </w:tc>
      </w:tr>
      <w:tr>
        <w:trPr>
          <w:trHeight w:val="432"/>
        </w:trPr>
        <w:tc>
          <w:tcPr>
            <w:tcW w:w="2540" w:type="dxa"/>
            <w:vAlign w:val="bottom"/>
          </w:tcPr>
          <w:p>
            <w:pPr>
              <w:spacing w:after="0"/>
              <w:rPr>
                <w:sz w:val="24"/>
                <w:szCs w:val="24"/>
                <w:color w:val="auto"/>
              </w:rPr>
            </w:pPr>
          </w:p>
        </w:tc>
        <w:tc>
          <w:tcPr>
            <w:tcW w:w="870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28"/>
        </w:trPr>
        <w:tc>
          <w:tcPr>
            <w:tcW w:w="254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5" w:name="page356"/>
    <w:bookmarkEnd w:id="355"/>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sectPr>
      </w:pP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be considered notice):</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Linklaters LLP</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One Silk Street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London, EC2Y 8HQ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Owen Clay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owen.clay@linklaters.com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to the New Investor, to:</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 Global Energy &amp; Power Infrastructure Funds</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One Lafayette 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Greenwich, CT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 Raben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matthew.raben@blackrock.com</w:t>
      </w:r>
    </w:p>
    <w:p>
      <w:pPr>
        <w:spacing w:after="0" w:line="234"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9"/>
              </w:rPr>
              <w:t>Office of the General Counsel</w:t>
            </w:r>
          </w:p>
        </w:tc>
      </w:tr>
      <w:tr>
        <w:trPr>
          <w:trHeight w:val="255"/>
        </w:trPr>
        <w:tc>
          <w:tcPr>
            <w:tcW w:w="840" w:type="dxa"/>
            <w:vAlign w:val="bottom"/>
          </w:tcPr>
          <w:p>
            <w:pPr>
              <w:spacing w:after="0"/>
              <w:rPr>
                <w:sz w:val="22"/>
                <w:szCs w:val="22"/>
                <w:color w:val="auto"/>
              </w:rPr>
            </w:pPr>
          </w:p>
        </w:tc>
        <w:tc>
          <w:tcPr>
            <w:tcW w:w="2500" w:type="dxa"/>
            <w:vAlign w:val="bottom"/>
            <w:gridSpan w:val="2"/>
          </w:tcPr>
          <w:p>
            <w:pPr>
              <w:ind w:left="120"/>
              <w:spacing w:after="0" w:line="255" w:lineRule="exact"/>
              <w:rPr>
                <w:sz w:val="20"/>
                <w:szCs w:val="20"/>
                <w:color w:val="auto"/>
              </w:rPr>
            </w:pPr>
            <w:r>
              <w:rPr>
                <w:rFonts w:ascii="Arial" w:cs="Arial" w:eastAsia="Arial" w:hAnsi="Arial"/>
                <w:sz w:val="18"/>
                <w:szCs w:val="18"/>
                <w:color w:val="auto"/>
                <w:w w:val="93"/>
              </w:rPr>
              <w:t>40 East 52</w:t>
            </w:r>
            <w:r>
              <w:rPr>
                <w:rFonts w:ascii="Arial" w:cs="Arial" w:eastAsia="Arial" w:hAnsi="Arial"/>
                <w:sz w:val="29"/>
                <w:szCs w:val="29"/>
                <w:color w:val="auto"/>
                <w:w w:val="93"/>
                <w:vertAlign w:val="superscript"/>
              </w:rPr>
              <w:t>nd</w:t>
            </w:r>
            <w:r>
              <w:rPr>
                <w:rFonts w:ascii="Arial" w:cs="Arial" w:eastAsia="Arial" w:hAnsi="Arial"/>
                <w:sz w:val="18"/>
                <w:szCs w:val="18"/>
                <w:color w:val="auto"/>
                <w:w w:val="93"/>
              </w:rPr>
              <w:t xml:space="preserve"> Street, 19</w:t>
            </w:r>
            <w:r>
              <w:rPr>
                <w:rFonts w:ascii="Arial" w:cs="Arial" w:eastAsia="Arial" w:hAnsi="Arial"/>
                <w:sz w:val="29"/>
                <w:szCs w:val="29"/>
                <w:color w:val="auto"/>
                <w:w w:val="93"/>
                <w:vertAlign w:val="superscript"/>
              </w:rPr>
              <w:t>th</w:t>
            </w:r>
            <w:r>
              <w:rPr>
                <w:rFonts w:ascii="Arial" w:cs="Arial" w:eastAsia="Arial" w:hAnsi="Arial"/>
                <w:sz w:val="18"/>
                <w:szCs w:val="18"/>
                <w:color w:val="auto"/>
                <w:w w:val="93"/>
              </w:rPr>
              <w:t xml:space="preserve"> Floor</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New York, NY 10022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Jelena Napolitano</w:t>
            </w:r>
          </w:p>
        </w:tc>
      </w:tr>
      <w:tr>
        <w:trPr>
          <w:trHeight w:val="184"/>
        </w:trPr>
        <w:tc>
          <w:tcPr>
            <w:tcW w:w="840" w:type="dxa"/>
            <w:vAlign w:val="bottom"/>
          </w:tcPr>
          <w:p>
            <w:pPr>
              <w:spacing w:after="0" w:line="184" w:lineRule="exact"/>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87"/>
              </w:rPr>
              <w:t>legaltransactions@blackrock.com</w:t>
            </w:r>
          </w:p>
        </w:tc>
      </w:tr>
      <w:tr>
        <w:trPr>
          <w:trHeight w:val="478"/>
        </w:trPr>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1"/>
              </w:rPr>
              <w:t>Simpson Thacher &amp; Bartlett LLP</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600 Travis Street, Suite 5400</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Houston, TX 77002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Christopher R. May</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cmay@stblaw.com</w:t>
            </w:r>
          </w:p>
        </w:tc>
      </w:tr>
    </w:tbl>
    <w:p>
      <w:pPr>
        <w:spacing w:after="0" w:line="210"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if to any party who becomes a party to this Agreement after the date hereof: to the address and email address set forth below its name on the signature page hereto or on the applicable Joinder Agreement;</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374" w:right="339" w:bottom="1440" w:gutter="0" w:footer="0" w:header="0"/>
          <w:type w:val="continuous"/>
        </w:sectPr>
      </w:pPr>
    </w:p>
    <w:bookmarkStart w:id="356" w:name="page357"/>
    <w:bookmarkEnd w:id="356"/>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1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Agreement (including 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546"/>
        <w:spacing w:after="0" w:line="287" w:lineRule="auto"/>
        <w:tabs>
          <w:tab w:leader="none" w:pos="1472"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substantive laws of Bermuda. The parties hereto hereby irrevocably (i) submit to the jurisdiction and venue of the Bermuda courts in any Actions arising out of or relating to this Agreement,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the rights of any party hereto to seek any post-judgment relief regarding, or any appeal from, a final trial court judgment.</w:t>
      </w:r>
    </w:p>
    <w:p>
      <w:pPr>
        <w:spacing w:after="0" w:line="175" w:lineRule="exact"/>
        <w:rPr>
          <w:rFonts w:ascii="Arial" w:cs="Arial" w:eastAsia="Arial" w:hAnsi="Arial"/>
          <w:sz w:val="16"/>
          <w:szCs w:val="16"/>
          <w:color w:val="auto"/>
        </w:rPr>
      </w:pPr>
    </w:p>
    <w:p>
      <w:pPr>
        <w:jc w:val="both"/>
        <w:ind w:left="540" w:firstLine="548"/>
        <w:spacing w:after="0" w:line="288" w:lineRule="auto"/>
        <w:tabs>
          <w:tab w:leader="none" w:pos="1487"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5.06(b)</w:t>
      </w:r>
      <w:r>
        <w:rPr>
          <w:rFonts w:ascii="Arial" w:cs="Arial" w:eastAsia="Arial" w:hAnsi="Arial"/>
          <w:sz w:val="16"/>
          <w:szCs w:val="16"/>
          <w:color w:val="auto"/>
        </w:rPr>
        <w:t>.</w:t>
      </w:r>
    </w:p>
    <w:p>
      <w:pPr>
        <w:spacing w:after="0" w:line="17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without proof of damages or otherwise, this being in addition to any other remedy to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7" w:name="page358"/>
    <w:bookmarkEnd w:id="357"/>
    <w:p>
      <w:pPr>
        <w:jc w:val="both"/>
        <w:spacing w:after="0" w:line="294" w:lineRule="auto"/>
        <w:rPr>
          <w:sz w:val="20"/>
          <w:szCs w:val="20"/>
          <w:color w:val="auto"/>
        </w:rPr>
      </w:pPr>
      <w:r>
        <w:rPr>
          <w:rFonts w:ascii="Arial" w:cs="Arial" w:eastAsia="Arial" w:hAnsi="Arial"/>
          <w:sz w:val="16"/>
          <w:szCs w:val="16"/>
          <w:color w:val="auto"/>
        </w:rPr>
        <w:t xml:space="preserve">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9"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94"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20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Existing Shareholders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70"/>
        <w:spacing w:after="0" w:line="256" w:lineRule="auto"/>
        <w:tabs>
          <w:tab w:leader="none" w:pos="1367"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96" w:lineRule="exact"/>
        <w:rPr>
          <w:rFonts w:ascii="Arial" w:cs="Arial" w:eastAsia="Arial" w:hAnsi="Arial"/>
          <w:sz w:val="18"/>
          <w:szCs w:val="18"/>
          <w:color w:val="auto"/>
        </w:rPr>
      </w:pPr>
    </w:p>
    <w:p>
      <w:pPr>
        <w:jc w:val="both"/>
        <w:ind w:left="540" w:firstLine="411"/>
        <w:spacing w:after="0" w:line="294" w:lineRule="auto"/>
        <w:tabs>
          <w:tab w:leader="none" w:pos="1299" w:val="left"/>
        </w:tabs>
        <w:numPr>
          <w:ilvl w:val="0"/>
          <w:numId w:val="441"/>
        </w:numPr>
        <w:rPr>
          <w:rFonts w:ascii="Arial" w:cs="Arial" w:eastAsia="Arial" w:hAnsi="Arial"/>
          <w:sz w:val="16"/>
          <w:szCs w:val="16"/>
          <w:color w:val="auto"/>
        </w:rPr>
      </w:pPr>
      <w:r>
        <w:rPr>
          <w:rFonts w:ascii="Arial" w:cs="Arial" w:eastAsia="Arial" w:hAnsi="Arial"/>
          <w:sz w:val="16"/>
          <w:szCs w:val="16"/>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169" w:lineRule="exact"/>
        <w:rPr>
          <w:rFonts w:ascii="Arial" w:cs="Arial" w:eastAsia="Arial" w:hAnsi="Arial"/>
          <w:sz w:val="16"/>
          <w:szCs w:val="16"/>
          <w:color w:val="auto"/>
        </w:rPr>
      </w:pPr>
    </w:p>
    <w:p>
      <w:pPr>
        <w:jc w:val="both"/>
        <w:ind w:left="540" w:firstLine="402"/>
        <w:spacing w:after="0" w:line="287" w:lineRule="auto"/>
        <w:tabs>
          <w:tab w:leader="none" w:pos="127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 (i) the termination of this Agreement and (ii) the written agreement of BHL and such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proxy or power of attorney shall terminate prior to the later of (i) the earlier of (A) March 22, 2022 and (B) the redemption or other purchase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8"/>
          <w:szCs w:val="18"/>
          <w:color w:val="auto"/>
        </w:rPr>
        <w:t>the Company of all of the issued and outstanding 8.875% Senior Notes due March 22, 2022 of the Company and (ii) the date on which the termination of such proxy or power of attorney would not give rise to a change of control or similar provision under any of the Indebtedness of the Company or any of its Subsidiaries or any vessel charter of the Company or any of its Subsidiaries.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9" w:name="page360"/>
    <w:bookmarkEnd w:id="359"/>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0" w:name="page361"/>
    <w:bookmarkEnd w:id="360"/>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1" w:name="page362"/>
    <w:bookmarkEnd w:id="361"/>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 RIGHTS OF THE NEW INVESTOR AND BHL</w:t>
      </w:r>
    </w:p>
    <w:p>
      <w:pPr>
        <w:spacing w:after="0" w:line="225"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78" w:lineRule="exact"/>
        <w:rPr>
          <w:sz w:val="20"/>
          <w:szCs w:val="20"/>
          <w:color w:val="auto"/>
        </w:rPr>
      </w:pPr>
    </w:p>
    <w:p>
      <w:pPr>
        <w:jc w:val="both"/>
        <w:ind w:left="540" w:firstLine="374"/>
        <w:spacing w:after="0" w:line="254" w:lineRule="auto"/>
        <w:tabs>
          <w:tab w:leader="none" w:pos="1238" w:val="left"/>
        </w:tabs>
        <w:numPr>
          <w:ilvl w:val="1"/>
          <w:numId w:val="442"/>
        </w:numPr>
        <w:rPr>
          <w:rFonts w:ascii="Arial" w:cs="Arial" w:eastAsia="Arial" w:hAnsi="Arial"/>
          <w:sz w:val="18"/>
          <w:szCs w:val="18"/>
          <w:color w:val="auto"/>
        </w:rPr>
      </w:pPr>
      <w:r>
        <w:rPr>
          <w:rFonts w:ascii="Arial" w:cs="Arial" w:eastAsia="Arial" w:hAnsi="Arial"/>
          <w:sz w:val="18"/>
          <w:szCs w:val="18"/>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 (ii) 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200" w:lineRule="exact"/>
        <w:rPr>
          <w:rFonts w:ascii="Arial" w:cs="Arial" w:eastAsia="Arial" w:hAnsi="Arial"/>
          <w:sz w:val="18"/>
          <w:szCs w:val="18"/>
          <w:color w:val="auto"/>
        </w:rPr>
      </w:pPr>
    </w:p>
    <w:p>
      <w:pPr>
        <w:jc w:val="both"/>
        <w:ind w:left="540" w:firstLine="429"/>
        <w:spacing w:after="0" w:line="306" w:lineRule="auto"/>
        <w:tabs>
          <w:tab w:leader="none" w:pos="1323" w:val="left"/>
        </w:tabs>
        <w:numPr>
          <w:ilvl w:val="4"/>
          <w:numId w:val="442"/>
        </w:numPr>
        <w:rPr>
          <w:rFonts w:ascii="Arial" w:cs="Arial" w:eastAsia="Arial" w:hAnsi="Arial"/>
          <w:sz w:val="16"/>
          <w:szCs w:val="16"/>
          <w:color w:val="auto"/>
        </w:rPr>
      </w:pPr>
      <w:r>
        <w:rPr>
          <w:rFonts w:ascii="Arial" w:cs="Arial" w:eastAsia="Arial" w:hAnsi="Arial"/>
          <w:sz w:val="16"/>
          <w:szCs w:val="16"/>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160" w:lineRule="exact"/>
        <w:rPr>
          <w:rFonts w:ascii="Arial" w:cs="Arial" w:eastAsia="Arial" w:hAnsi="Arial"/>
          <w:sz w:val="16"/>
          <w:szCs w:val="16"/>
          <w:color w:val="auto"/>
        </w:rPr>
      </w:pPr>
    </w:p>
    <w:p>
      <w:pPr>
        <w:jc w:val="both"/>
        <w:ind w:left="540" w:firstLine="372"/>
        <w:spacing w:after="0" w:line="291" w:lineRule="auto"/>
        <w:tabs>
          <w:tab w:leader="none" w:pos="1236" w:val="left"/>
        </w:tabs>
        <w:numPr>
          <w:ilvl w:val="2"/>
          <w:numId w:val="442"/>
        </w:numPr>
        <w:rPr>
          <w:rFonts w:ascii="Arial" w:cs="Arial" w:eastAsia="Arial" w:hAnsi="Arial"/>
          <w:sz w:val="16"/>
          <w:szCs w:val="16"/>
          <w:color w:val="auto"/>
        </w:rPr>
      </w:pPr>
      <w:r>
        <w:rPr>
          <w:rFonts w:ascii="Arial" w:cs="Arial" w:eastAsia="Arial" w:hAnsi="Arial"/>
          <w:sz w:val="16"/>
          <w:szCs w:val="16"/>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hereof;</w:t>
      </w:r>
    </w:p>
    <w:p>
      <w:pPr>
        <w:spacing w:after="0" w:line="173" w:lineRule="exact"/>
        <w:rPr>
          <w:rFonts w:ascii="Arial" w:cs="Arial" w:eastAsia="Arial" w:hAnsi="Arial"/>
          <w:sz w:val="16"/>
          <w:szCs w:val="16"/>
          <w:color w:val="auto"/>
        </w:rPr>
      </w:pPr>
    </w:p>
    <w:p>
      <w:pPr>
        <w:ind w:left="1240" w:hanging="341"/>
        <w:spacing w:after="0"/>
        <w:tabs>
          <w:tab w:leader="none" w:pos="124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initial public offering of the Equity Interests of the Company or any of its Subsidiaries;</w:t>
      </w:r>
    </w:p>
    <w:p>
      <w:pPr>
        <w:spacing w:after="0" w:line="225" w:lineRule="exact"/>
        <w:rPr>
          <w:rFonts w:ascii="Arial" w:cs="Arial" w:eastAsia="Arial" w:hAnsi="Arial"/>
          <w:sz w:val="18"/>
          <w:szCs w:val="18"/>
          <w:color w:val="auto"/>
        </w:rPr>
      </w:pPr>
    </w:p>
    <w:p>
      <w:pPr>
        <w:jc w:val="both"/>
        <w:ind w:left="540" w:firstLine="385"/>
        <w:spacing w:after="0" w:line="291" w:lineRule="auto"/>
        <w:tabs>
          <w:tab w:leader="none" w:pos="1253" w:val="left"/>
        </w:tabs>
        <w:numPr>
          <w:ilvl w:val="3"/>
          <w:numId w:val="442"/>
        </w:numPr>
        <w:rPr>
          <w:rFonts w:ascii="Arial" w:cs="Arial" w:eastAsia="Arial" w:hAnsi="Arial"/>
          <w:sz w:val="16"/>
          <w:szCs w:val="16"/>
          <w:color w:val="auto"/>
        </w:rPr>
      </w:pPr>
      <w:r>
        <w:rPr>
          <w:rFonts w:ascii="Arial" w:cs="Arial" w:eastAsia="Arial" w:hAnsi="Arial"/>
          <w:sz w:val="16"/>
          <w:szCs w:val="16"/>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 the redemption or purchase of Equity Interests of the Company or its non-wholly owned Subsidiaries from any Person, or (iii) otherwise requiring or permitting any capital contribution to the Company or its Subsidiaries, other than, in the case of clause (ii) (A) 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173" w:lineRule="exact"/>
        <w:rPr>
          <w:rFonts w:ascii="Arial" w:cs="Arial" w:eastAsia="Arial" w:hAnsi="Arial"/>
          <w:sz w:val="16"/>
          <w:szCs w:val="16"/>
          <w:color w:val="auto"/>
        </w:rPr>
      </w:pPr>
    </w:p>
    <w:p>
      <w:pPr>
        <w:jc w:val="both"/>
        <w:ind w:left="540" w:firstLine="431"/>
        <w:spacing w:after="0" w:line="285" w:lineRule="auto"/>
        <w:tabs>
          <w:tab w:leader="none" w:pos="1350" w:val="left"/>
        </w:tabs>
        <w:numPr>
          <w:ilvl w:val="4"/>
          <w:numId w:val="443"/>
        </w:numPr>
        <w:rPr>
          <w:rFonts w:ascii="Arial" w:cs="Arial" w:eastAsia="Arial" w:hAnsi="Arial"/>
          <w:sz w:val="16"/>
          <w:szCs w:val="16"/>
          <w:color w:val="auto"/>
        </w:rPr>
      </w:pPr>
      <w:r>
        <w:rPr>
          <w:rFonts w:ascii="Arial" w:cs="Arial" w:eastAsia="Arial" w:hAnsi="Arial"/>
          <w:sz w:val="16"/>
          <w:szCs w:val="16"/>
          <w:color w:val="auto"/>
        </w:rPr>
        <w:t>authorizing, issuing, selling or otherwise disposing of any Equity Interests of (i) (A) any wholly owned Subsidiary of the Company to any Person that results in such wholly owned Subsidiary of the Company ceasing to be (directly or indirectly) a wholly owned Subsidiary of the Company,</w:t>
      </w:r>
    </w:p>
    <w:p>
      <w:pPr>
        <w:spacing w:after="0" w:line="1" w:lineRule="exact"/>
        <w:rPr>
          <w:rFonts w:ascii="Arial" w:cs="Arial" w:eastAsia="Arial" w:hAnsi="Arial"/>
          <w:sz w:val="16"/>
          <w:szCs w:val="16"/>
          <w:color w:val="auto"/>
        </w:rPr>
      </w:pPr>
    </w:p>
    <w:p>
      <w:pPr>
        <w:jc w:val="both"/>
        <w:ind w:left="540" w:firstLine="8"/>
        <w:spacing w:after="0" w:line="253" w:lineRule="auto"/>
        <w:tabs>
          <w:tab w:leader="none" w:pos="843"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3" w:name="page364"/>
    <w:bookmarkEnd w:id="363"/>
    <w:p>
      <w:pPr>
        <w:ind w:left="692" w:hanging="341"/>
        <w:spacing w:after="0"/>
        <w:tabs>
          <w:tab w:leader="none" w:pos="692" w:val="left"/>
        </w:tabs>
        <w:numPr>
          <w:ilvl w:val="1"/>
          <w:numId w:val="445"/>
        </w:numPr>
        <w:rPr>
          <w:rFonts w:ascii="Arial" w:cs="Arial" w:eastAsia="Arial" w:hAnsi="Arial"/>
          <w:sz w:val="18"/>
          <w:szCs w:val="18"/>
          <w:color w:val="auto"/>
        </w:rPr>
      </w:pPr>
      <w:r>
        <w:rPr>
          <w:rFonts w:ascii="Arial" w:cs="Arial" w:eastAsia="Arial" w:hAnsi="Arial"/>
          <w:sz w:val="18"/>
          <w:szCs w:val="18"/>
          <w:color w:val="auto"/>
        </w:rPr>
        <w:t>creating any non-wholly owned Subsidiary or forming a joint venture or similar arrangement;</w:t>
      </w:r>
    </w:p>
    <w:p>
      <w:pPr>
        <w:spacing w:after="0" w:line="225" w:lineRule="exact"/>
        <w:rPr>
          <w:rFonts w:ascii="Arial" w:cs="Arial" w:eastAsia="Arial" w:hAnsi="Arial"/>
          <w:sz w:val="18"/>
          <w:szCs w:val="18"/>
          <w:color w:val="auto"/>
        </w:rPr>
      </w:pPr>
    </w:p>
    <w:p>
      <w:pPr>
        <w:jc w:val="both"/>
        <w:ind w:left="-8" w:firstLine="553"/>
        <w:spacing w:after="0" w:line="290" w:lineRule="auto"/>
        <w:tabs>
          <w:tab w:leader="none" w:pos="946" w:val="left"/>
        </w:tabs>
        <w:numPr>
          <w:ilvl w:val="3"/>
          <w:numId w:val="445"/>
        </w:numPr>
        <w:rPr>
          <w:rFonts w:ascii="Arial" w:cs="Arial" w:eastAsia="Arial" w:hAnsi="Arial"/>
          <w:sz w:val="16"/>
          <w:szCs w:val="16"/>
          <w:color w:val="auto"/>
        </w:rPr>
      </w:pPr>
      <w:r>
        <w:rPr>
          <w:rFonts w:ascii="Arial" w:cs="Arial" w:eastAsia="Arial" w:hAnsi="Arial"/>
          <w:sz w:val="16"/>
          <w:szCs w:val="16"/>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w:t>
      </w:r>
      <w:r>
        <w:rPr>
          <w:rFonts w:ascii="Arial" w:cs="Arial" w:eastAsia="Arial" w:hAnsi="Arial"/>
          <w:sz w:val="16"/>
          <w:szCs w:val="16"/>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hereof;</w:t>
      </w:r>
    </w:p>
    <w:p>
      <w:pPr>
        <w:spacing w:after="0" w:line="171" w:lineRule="exact"/>
        <w:rPr>
          <w:rFonts w:ascii="Arial" w:cs="Arial" w:eastAsia="Arial" w:hAnsi="Arial"/>
          <w:sz w:val="16"/>
          <w:szCs w:val="16"/>
          <w:color w:val="auto"/>
        </w:rPr>
      </w:pPr>
    </w:p>
    <w:p>
      <w:pPr>
        <w:jc w:val="both"/>
        <w:ind w:left="-8" w:firstLine="451"/>
        <w:spacing w:after="0" w:line="282" w:lineRule="auto"/>
        <w:tabs>
          <w:tab w:leader="none" w:pos="822" w:val="left"/>
        </w:tabs>
        <w:numPr>
          <w:ilvl w:val="2"/>
          <w:numId w:val="445"/>
        </w:numPr>
        <w:rPr>
          <w:rFonts w:ascii="Arial" w:cs="Arial" w:eastAsia="Arial" w:hAnsi="Arial"/>
          <w:sz w:val="16"/>
          <w:szCs w:val="16"/>
          <w:color w:val="auto"/>
        </w:rPr>
      </w:pPr>
      <w:r>
        <w:rPr>
          <w:rFonts w:ascii="Arial" w:cs="Arial" w:eastAsia="Arial" w:hAnsi="Arial"/>
          <w:sz w:val="16"/>
          <w:szCs w:val="16"/>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7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 renewed, extended, replaced or refinanced or (C) Indebtedness incurred in accordance with Section 4.09 of the Agreement;</w:t>
      </w:r>
    </w:p>
    <w:p>
      <w:pPr>
        <w:spacing w:after="0" w:line="201" w:lineRule="exact"/>
        <w:rPr>
          <w:sz w:val="20"/>
          <w:szCs w:val="20"/>
          <w:color w:val="auto"/>
        </w:rPr>
      </w:pPr>
    </w:p>
    <w:p>
      <w:pPr>
        <w:ind w:left="712" w:hanging="346"/>
        <w:spacing w:after="0"/>
        <w:tabs>
          <w:tab w:leader="none" w:pos="712" w:val="left"/>
        </w:tabs>
        <w:numPr>
          <w:ilvl w:val="1"/>
          <w:numId w:val="447"/>
        </w:numPr>
        <w:rPr>
          <w:rFonts w:ascii="Arial" w:cs="Arial" w:eastAsia="Arial" w:hAnsi="Arial"/>
          <w:sz w:val="16"/>
          <w:szCs w:val="16"/>
          <w:color w:val="auto"/>
        </w:rPr>
      </w:pPr>
      <w:r>
        <w:rPr>
          <w:rFonts w:ascii="Arial" w:cs="Arial" w:eastAsia="Arial" w:hAnsi="Arial"/>
          <w:sz w:val="16"/>
          <w:szCs w:val="16"/>
          <w:color w:val="auto"/>
        </w:rPr>
        <w:t>(i) declaring or paying any dividends or other distributions on account of any Equity Interests of the Company that are (A) not paid in cash or</w:t>
      </w:r>
    </w:p>
    <w:p>
      <w:pPr>
        <w:spacing w:after="0" w:line="38" w:lineRule="exact"/>
        <w:rPr>
          <w:rFonts w:ascii="Arial" w:cs="Arial" w:eastAsia="Arial" w:hAnsi="Arial"/>
          <w:sz w:val="16"/>
          <w:szCs w:val="16"/>
          <w:color w:val="auto"/>
        </w:rPr>
      </w:pPr>
    </w:p>
    <w:p>
      <w:pPr>
        <w:jc w:val="both"/>
        <w:ind w:left="-8" w:firstLine="8"/>
        <w:spacing w:after="0" w:line="253" w:lineRule="auto"/>
        <w:tabs>
          <w:tab w:leader="none" w:pos="27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not paid on a pro rata basis, (ii) changing the dividend or distribution policy of the Company or any of its Subsidiaries, (iii) 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 (i) hereof or with respect to the Company’s 8.75% Series A Cumulative Redeemable Perpetual Preference Shares, par value $0.01 per share or the existing preference units of the Partnership;</w:t>
      </w:r>
    </w:p>
    <w:p>
      <w:pPr>
        <w:spacing w:after="0" w:line="198" w:lineRule="exact"/>
        <w:rPr>
          <w:rFonts w:ascii="Arial" w:cs="Arial" w:eastAsia="Arial" w:hAnsi="Arial"/>
          <w:sz w:val="18"/>
          <w:szCs w:val="18"/>
          <w:color w:val="auto"/>
        </w:rPr>
      </w:pPr>
    </w:p>
    <w:p>
      <w:pPr>
        <w:jc w:val="both"/>
        <w:ind w:left="-8" w:firstLine="549"/>
        <w:spacing w:after="0" w:line="256" w:lineRule="auto"/>
        <w:tabs>
          <w:tab w:leader="none" w:pos="940" w:val="left"/>
        </w:tabs>
        <w:numPr>
          <w:ilvl w:val="3"/>
          <w:numId w:val="448"/>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96" w:lineRule="exact"/>
        <w:rPr>
          <w:rFonts w:ascii="Arial" w:cs="Arial" w:eastAsia="Arial" w:hAnsi="Arial"/>
          <w:sz w:val="18"/>
          <w:szCs w:val="18"/>
          <w:color w:val="auto"/>
        </w:rPr>
      </w:pPr>
    </w:p>
    <w:p>
      <w:pPr>
        <w:jc w:val="both"/>
        <w:ind w:left="-8" w:firstLine="408"/>
        <w:spacing w:after="0" w:line="256" w:lineRule="auto"/>
        <w:tabs>
          <w:tab w:leader="none" w:pos="757" w:val="left"/>
        </w:tabs>
        <w:numPr>
          <w:ilvl w:val="2"/>
          <w:numId w:val="448"/>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196" w:lineRule="exact"/>
        <w:rPr>
          <w:rFonts w:ascii="Arial" w:cs="Arial" w:eastAsia="Arial" w:hAnsi="Arial"/>
          <w:sz w:val="18"/>
          <w:szCs w:val="18"/>
          <w:color w:val="auto"/>
        </w:rPr>
      </w:pPr>
    </w:p>
    <w:p>
      <w:pPr>
        <w:ind w:left="-8" w:firstLine="502"/>
        <w:spacing w:after="0" w:line="268" w:lineRule="auto"/>
        <w:tabs>
          <w:tab w:leader="none" w:pos="863" w:val="left"/>
        </w:tabs>
        <w:numPr>
          <w:ilvl w:val="3"/>
          <w:numId w:val="449"/>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any agreement or understanding for Newbuilding or the conversion of an existing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121285</wp:posOffset>
            </wp:positionV>
            <wp:extent cx="7136130"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92"/>
          </w:cols>
          <w:pgMar w:left="868" w:top="131" w:right="339" w:bottom="1440" w:gutter="0" w:footer="0" w:header="0"/>
        </w:sectPr>
      </w:pPr>
    </w:p>
    <w:bookmarkStart w:id="364" w:name="page365"/>
    <w:bookmarkEnd w:id="364"/>
    <w:p>
      <w:pPr>
        <w:jc w:val="both"/>
        <w:ind w:firstLine="508"/>
        <w:spacing w:after="0" w:line="253" w:lineRule="auto"/>
        <w:tabs>
          <w:tab w:leader="none" w:pos="892" w:val="left"/>
        </w:tabs>
        <w:numPr>
          <w:ilvl w:val="3"/>
          <w:numId w:val="450"/>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200" w:lineRule="exact"/>
        <w:rPr>
          <w:rFonts w:ascii="Arial" w:cs="Arial" w:eastAsia="Arial" w:hAnsi="Arial"/>
          <w:sz w:val="18"/>
          <w:szCs w:val="18"/>
          <w:color w:val="auto"/>
        </w:rPr>
      </w:pPr>
    </w:p>
    <w:p>
      <w:pPr>
        <w:jc w:val="both"/>
        <w:ind w:firstLine="372"/>
        <w:spacing w:after="0" w:line="253" w:lineRule="auto"/>
        <w:tabs>
          <w:tab w:leader="none" w:pos="705" w:val="left"/>
        </w:tabs>
        <w:numPr>
          <w:ilvl w:val="1"/>
          <w:numId w:val="451"/>
        </w:numPr>
        <w:rPr>
          <w:rFonts w:ascii="Arial" w:cs="Arial" w:eastAsia="Arial" w:hAnsi="Arial"/>
          <w:sz w:val="18"/>
          <w:szCs w:val="18"/>
          <w:color w:val="auto"/>
        </w:rPr>
      </w:pPr>
      <w:r>
        <w:rPr>
          <w:rFonts w:ascii="Arial" w:cs="Arial" w:eastAsia="Arial" w:hAnsi="Arial"/>
          <w:sz w:val="18"/>
          <w:szCs w:val="18"/>
          <w:color w:val="auto"/>
        </w:rPr>
        <w:t>(i) selling or otherwise disposing of vessels or other assets of the Company or its Subsidiaries (other than the Partnership and its Subsidiaries) to the Partnership or its Subsidiaries, other than as required by the Omnibus Agreement, (ii) 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 length terms);</w:t>
      </w:r>
    </w:p>
    <w:p>
      <w:pPr>
        <w:spacing w:after="0" w:line="200" w:lineRule="exact"/>
        <w:rPr>
          <w:rFonts w:ascii="Arial" w:cs="Arial" w:eastAsia="Arial" w:hAnsi="Arial"/>
          <w:sz w:val="18"/>
          <w:szCs w:val="18"/>
          <w:color w:val="auto"/>
        </w:rPr>
      </w:pPr>
    </w:p>
    <w:p>
      <w:pPr>
        <w:ind w:right="20" w:firstLine="385"/>
        <w:spacing w:after="0" w:line="268" w:lineRule="auto"/>
        <w:tabs>
          <w:tab w:leader="none" w:pos="723" w:val="left"/>
        </w:tabs>
        <w:numPr>
          <w:ilvl w:val="2"/>
          <w:numId w:val="451"/>
        </w:numPr>
        <w:rPr>
          <w:rFonts w:ascii="Arial" w:cs="Arial" w:eastAsia="Arial" w:hAnsi="Arial"/>
          <w:sz w:val="18"/>
          <w:szCs w:val="18"/>
          <w:color w:val="auto"/>
        </w:rPr>
      </w:pPr>
      <w:r>
        <w:rPr>
          <w:rFonts w:ascii="Arial" w:cs="Arial" w:eastAsia="Arial" w:hAnsi="Arial"/>
          <w:sz w:val="18"/>
          <w:szCs w:val="18"/>
          <w:color w:val="auto"/>
        </w:rPr>
        <w:t>acquiring any second-hand vessels, other than, during any twelve-month period, the acquisition of second-hand vessels with an aggregate for all such vessels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acquisition is on demonstrable arms’-length terms);</w:t>
      </w:r>
    </w:p>
    <w:p>
      <w:pPr>
        <w:spacing w:after="0" w:line="185" w:lineRule="exact"/>
        <w:rPr>
          <w:rFonts w:ascii="Arial" w:cs="Arial" w:eastAsia="Arial" w:hAnsi="Arial"/>
          <w:sz w:val="18"/>
          <w:szCs w:val="18"/>
          <w:color w:val="auto"/>
        </w:rPr>
      </w:pPr>
    </w:p>
    <w:p>
      <w:pPr>
        <w:ind w:firstLine="359"/>
        <w:spacing w:after="0" w:line="268" w:lineRule="auto"/>
        <w:tabs>
          <w:tab w:leader="none" w:pos="68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185" w:lineRule="exact"/>
        <w:rPr>
          <w:rFonts w:ascii="Arial" w:cs="Arial" w:eastAsia="Arial" w:hAnsi="Arial"/>
          <w:sz w:val="18"/>
          <w:szCs w:val="18"/>
          <w:color w:val="auto"/>
        </w:rPr>
      </w:pPr>
    </w:p>
    <w:p>
      <w:pPr>
        <w:jc w:val="both"/>
        <w:ind w:firstLine="377"/>
        <w:spacing w:after="0" w:line="291" w:lineRule="auto"/>
        <w:tabs>
          <w:tab w:leader="none" w:pos="683" w:val="left"/>
        </w:tabs>
        <w:numPr>
          <w:ilvl w:val="1"/>
          <w:numId w:val="452"/>
        </w:numPr>
        <w:rPr>
          <w:rFonts w:ascii="Arial" w:cs="Arial" w:eastAsia="Arial" w:hAnsi="Arial"/>
          <w:sz w:val="16"/>
          <w:szCs w:val="16"/>
          <w:color w:val="auto"/>
        </w:rPr>
      </w:pPr>
      <w:r>
        <w:rPr>
          <w:rFonts w:ascii="Arial" w:cs="Arial" w:eastAsia="Arial" w:hAnsi="Arial"/>
          <w:sz w:val="16"/>
          <w:szCs w:val="16"/>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3" w:lineRule="exact"/>
        <w:rPr>
          <w:rFonts w:ascii="Arial" w:cs="Arial" w:eastAsia="Arial" w:hAnsi="Arial"/>
          <w:sz w:val="16"/>
          <w:szCs w:val="16"/>
          <w:color w:val="auto"/>
        </w:rPr>
      </w:pPr>
    </w:p>
    <w:p>
      <w:pPr>
        <w:jc w:val="both"/>
        <w:ind w:firstLine="405"/>
        <w:spacing w:after="0" w:line="256" w:lineRule="auto"/>
        <w:tabs>
          <w:tab w:leader="none" w:pos="731" w:val="left"/>
        </w:tabs>
        <w:numPr>
          <w:ilvl w:val="2"/>
          <w:numId w:val="452"/>
        </w:numPr>
        <w:rPr>
          <w:rFonts w:ascii="Arial" w:cs="Arial" w:eastAsia="Arial" w:hAnsi="Arial"/>
          <w:sz w:val="18"/>
          <w:szCs w:val="18"/>
          <w:color w:val="auto"/>
        </w:rPr>
      </w:pPr>
      <w:r>
        <w:rPr>
          <w:rFonts w:ascii="Arial" w:cs="Arial" w:eastAsia="Arial" w:hAnsi="Arial"/>
          <w:sz w:val="18"/>
          <w:szCs w:val="18"/>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197" w:lineRule="exact"/>
        <w:rPr>
          <w:sz w:val="20"/>
          <w:szCs w:val="20"/>
          <w:color w:val="auto"/>
        </w:rPr>
      </w:pPr>
    </w:p>
    <w:p>
      <w:pPr>
        <w:ind w:left="700" w:hanging="341"/>
        <w:spacing w:after="0"/>
        <w:tabs>
          <w:tab w:leader="none" w:pos="7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changing the Company’s auditors, other than to another “Big 4” accounting firm;</w:t>
      </w:r>
    </w:p>
    <w:p>
      <w:pPr>
        <w:spacing w:after="0" w:line="225" w:lineRule="exact"/>
        <w:rPr>
          <w:rFonts w:ascii="Arial" w:cs="Arial" w:eastAsia="Arial" w:hAnsi="Arial"/>
          <w:sz w:val="18"/>
          <w:szCs w:val="18"/>
          <w:color w:val="auto"/>
        </w:rPr>
      </w:pPr>
    </w:p>
    <w:p>
      <w:pPr>
        <w:jc w:val="both"/>
        <w:ind w:firstLine="369"/>
        <w:spacing w:after="0" w:line="259" w:lineRule="auto"/>
        <w:tabs>
          <w:tab w:leader="none" w:pos="7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193" w:lineRule="exact"/>
        <w:rPr>
          <w:rFonts w:ascii="Arial" w:cs="Arial" w:eastAsia="Arial" w:hAnsi="Arial"/>
          <w:sz w:val="18"/>
          <w:szCs w:val="18"/>
          <w:color w:val="auto"/>
        </w:rPr>
      </w:pPr>
    </w:p>
    <w:p>
      <w:pPr>
        <w:ind w:left="760" w:hanging="347"/>
        <w:spacing w:after="0"/>
        <w:tabs>
          <w:tab w:leader="none" w:pos="76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changing the business purpose of the Company and its Subsidiaries from the Business or entering into a new line of business other than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8" w:lineRule="exact"/>
        <w:rPr>
          <w:rFonts w:ascii="Arial" w:cs="Arial" w:eastAsia="Arial" w:hAnsi="Arial"/>
          <w:sz w:val="16"/>
          <w:szCs w:val="16"/>
          <w:color w:val="auto"/>
        </w:rPr>
      </w:pPr>
    </w:p>
    <w:p>
      <w:pPr>
        <w:ind w:firstLine="376"/>
        <w:spacing w:after="0" w:line="268" w:lineRule="auto"/>
        <w:tabs>
          <w:tab w:leader="none" w:pos="704" w:val="left"/>
        </w:tabs>
        <w:numPr>
          <w:ilvl w:val="1"/>
          <w:numId w:val="453"/>
        </w:numPr>
        <w:rPr>
          <w:rFonts w:ascii="Arial" w:cs="Arial" w:eastAsia="Arial" w:hAnsi="Arial"/>
          <w:sz w:val="18"/>
          <w:szCs w:val="18"/>
          <w:color w:val="auto"/>
        </w:rPr>
      </w:pPr>
      <w:r>
        <w:rPr>
          <w:rFonts w:ascii="Arial" w:cs="Arial" w:eastAsia="Arial" w:hAnsi="Arial"/>
          <w:sz w:val="18"/>
          <w:szCs w:val="18"/>
          <w:color w:val="auto"/>
        </w:rPr>
        <w:t>settling or compromising any pending or threatened Action, other than the settlement or compromise (i) of any Action in which the Company or any of its Subsidiaries is named as a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121285</wp:posOffset>
            </wp:positionV>
            <wp:extent cx="71361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5" w:name="page366"/>
    <w:bookmarkEnd w:id="365"/>
    <w:p>
      <w:pPr>
        <w:jc w:val="both"/>
        <w:spacing w:after="0" w:line="254" w:lineRule="auto"/>
        <w:rPr>
          <w:sz w:val="20"/>
          <w:szCs w:val="20"/>
          <w:color w:val="auto"/>
        </w:rPr>
      </w:pPr>
      <w:r>
        <w:rPr>
          <w:rFonts w:ascii="Arial" w:cs="Arial" w:eastAsia="Arial" w:hAnsi="Arial"/>
          <w:sz w:val="18"/>
          <w:szCs w:val="18"/>
          <w:color w:val="auto"/>
        </w:rPr>
        <w:t>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 the future activities of the Company or any of its Affiliates, or (B) 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198" w:lineRule="exact"/>
        <w:rPr>
          <w:sz w:val="20"/>
          <w:szCs w:val="20"/>
          <w:color w:val="auto"/>
        </w:rPr>
      </w:pPr>
    </w:p>
    <w:p>
      <w:pPr>
        <w:jc w:val="both"/>
        <w:ind w:firstLine="513"/>
        <w:spacing w:after="0" w:line="291" w:lineRule="auto"/>
        <w:tabs>
          <w:tab w:leader="none" w:pos="899" w:val="left"/>
        </w:tabs>
        <w:numPr>
          <w:ilvl w:val="2"/>
          <w:numId w:val="454"/>
        </w:numPr>
        <w:rPr>
          <w:rFonts w:ascii="Arial" w:cs="Arial" w:eastAsia="Arial" w:hAnsi="Arial"/>
          <w:sz w:val="16"/>
          <w:szCs w:val="16"/>
          <w:color w:val="auto"/>
        </w:rPr>
      </w:pPr>
      <w:r>
        <w:rPr>
          <w:rFonts w:ascii="Arial" w:cs="Arial" w:eastAsia="Arial" w:hAnsi="Arial"/>
          <w:sz w:val="16"/>
          <w:szCs w:val="16"/>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including without limitation Cuba, Iran, Syria, North Korea and the Crimea region of the Ukraine) or the acceptance of any payments or revenues from or in involving any Sanctioned Country or Sanctioned Person;</w:t>
      </w:r>
    </w:p>
    <w:p>
      <w:pPr>
        <w:spacing w:after="0" w:line="173" w:lineRule="exact"/>
        <w:rPr>
          <w:rFonts w:ascii="Arial" w:cs="Arial" w:eastAsia="Arial" w:hAnsi="Arial"/>
          <w:sz w:val="16"/>
          <w:szCs w:val="16"/>
          <w:color w:val="auto"/>
        </w:rPr>
      </w:pPr>
    </w:p>
    <w:p>
      <w:pPr>
        <w:jc w:val="both"/>
        <w:ind w:firstLine="362"/>
        <w:spacing w:after="0" w:line="286" w:lineRule="auto"/>
        <w:tabs>
          <w:tab w:leader="none" w:pos="69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 (y) 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 (A) 5% of the total expenditures contemplated by such budget or (B) 10% for any line item in such budget;</w:t>
      </w:r>
    </w:p>
    <w:p>
      <w:pPr>
        <w:spacing w:after="0" w:line="180" w:lineRule="exact"/>
        <w:rPr>
          <w:rFonts w:ascii="Arial" w:cs="Arial" w:eastAsia="Arial" w:hAnsi="Arial"/>
          <w:sz w:val="16"/>
          <w:szCs w:val="16"/>
          <w:color w:val="auto"/>
        </w:rPr>
      </w:pPr>
    </w:p>
    <w:p>
      <w:pPr>
        <w:ind w:firstLine="431"/>
        <w:spacing w:after="0" w:line="331" w:lineRule="auto"/>
        <w:tabs>
          <w:tab w:leader="none" w:pos="776" w:val="left"/>
        </w:tabs>
        <w:numPr>
          <w:ilvl w:val="1"/>
          <w:numId w:val="455"/>
        </w:numPr>
        <w:rPr>
          <w:rFonts w:ascii="Arial" w:cs="Arial" w:eastAsia="Arial" w:hAnsi="Arial"/>
          <w:sz w:val="16"/>
          <w:szCs w:val="16"/>
          <w:color w:val="auto"/>
        </w:rPr>
      </w:pPr>
      <w:r>
        <w:rPr>
          <w:rFonts w:ascii="Arial" w:cs="Arial" w:eastAsia="Arial" w:hAnsi="Arial"/>
          <w:sz w:val="16"/>
          <w:szCs w:val="16"/>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141" w:lineRule="exact"/>
        <w:rPr>
          <w:sz w:val="20"/>
          <w:szCs w:val="20"/>
          <w:color w:val="auto"/>
        </w:rPr>
      </w:pPr>
    </w:p>
    <w:p>
      <w:pPr>
        <w:ind w:left="700" w:hanging="328"/>
        <w:spacing w:after="0"/>
        <w:tabs>
          <w:tab w:leader="none" w:pos="70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requiring the return of the Exchange Fund (as such term is defined in the Merger Agreement) to the Company or making any determination to</w:t>
      </w:r>
    </w:p>
    <w:p>
      <w:pPr>
        <w:spacing w:after="0" w:line="38" w:lineRule="exact"/>
        <w:rPr>
          <w:rFonts w:ascii="Arial" w:cs="Arial" w:eastAsia="Arial" w:hAnsi="Arial"/>
          <w:sz w:val="16"/>
          <w:szCs w:val="16"/>
          <w:color w:val="auto"/>
        </w:rPr>
      </w:pPr>
    </w:p>
    <w:p>
      <w:pPr>
        <w:jc w:val="both"/>
        <w:ind w:firstLine="8"/>
        <w:spacing w:after="0" w:line="255" w:lineRule="auto"/>
        <w:tabs>
          <w:tab w:leader="none" w:pos="21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committing or agreeing, in writing or otherwise, to take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6" w:name="page367"/>
    <w:bookmarkEnd w:id="366"/>
    <w:p>
      <w:pPr>
        <w:jc w:val="center"/>
        <w:ind w:right="59"/>
        <w:spacing w:after="0"/>
        <w:rPr>
          <w:sz w:val="20"/>
          <w:szCs w:val="20"/>
          <w:color w:val="auto"/>
        </w:rPr>
      </w:pPr>
      <w:r>
        <w:rPr>
          <w:rFonts w:ascii="Arial" w:cs="Arial" w:eastAsia="Arial" w:hAnsi="Arial"/>
          <w:sz w:val="16"/>
          <w:szCs w:val="16"/>
          <w:u w:val="single" w:color="auto"/>
          <w:color w:val="auto"/>
        </w:rPr>
        <w:t>EXHIBIT A TO ANNEX A</w:t>
      </w:r>
    </w:p>
    <w:p>
      <w:pPr>
        <w:sectPr>
          <w:pgSz w:w="11900" w:h="16838" w:orient="portrait"/>
          <w:cols w:equalWidth="0" w:num="1">
            <w:col w:w="9019"/>
          </w:cols>
          <w:pgMar w:left="1440" w:top="347" w:right="1440" w:bottom="144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2021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367" w:name="page368"/>
    <w:bookmarkEnd w:id="367"/>
    <w:p>
      <w:pPr>
        <w:jc w:val="center"/>
        <w:ind w:right="19"/>
        <w:spacing w:after="0"/>
        <w:rPr>
          <w:sz w:val="20"/>
          <w:szCs w:val="20"/>
          <w:color w:val="auto"/>
        </w:rPr>
      </w:pPr>
      <w:r>
        <w:rPr>
          <w:rFonts w:ascii="Arial" w:cs="Arial" w:eastAsia="Arial" w:hAnsi="Arial"/>
          <w:sz w:val="16"/>
          <w:szCs w:val="16"/>
          <w:b w:val="1"/>
          <w:bCs w:val="1"/>
          <w:color w:val="auto"/>
        </w:rPr>
        <w:t>SCHEDULE 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8" w:name="page369"/>
    <w:bookmarkEnd w:id="368"/>
    <w:p>
      <w:pPr>
        <w:jc w:val="center"/>
        <w:ind w:right="19"/>
        <w:spacing w:after="0"/>
        <w:rPr>
          <w:sz w:val="20"/>
          <w:szCs w:val="20"/>
          <w:color w:val="auto"/>
        </w:rPr>
      </w:pPr>
      <w:r>
        <w:rPr>
          <w:rFonts w:ascii="Arial" w:cs="Arial" w:eastAsia="Arial" w:hAnsi="Arial"/>
          <w:sz w:val="18"/>
          <w:szCs w:val="18"/>
          <w:b w:val="1"/>
          <w:bCs w:val="1"/>
          <w:color w:val="auto"/>
        </w:rPr>
        <w:t>SCHEDULE II TO SHAREHOLDERS’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INITIAL DIRECTORS AND NEW INVESTOR BOARD OBSERVER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9" w:name="page370"/>
    <w:bookmarkEnd w:id="369"/>
    <w:p>
      <w:pPr>
        <w:jc w:val="center"/>
        <w:spacing w:after="0"/>
        <w:rPr>
          <w:sz w:val="20"/>
          <w:szCs w:val="20"/>
          <w:color w:val="auto"/>
        </w:rPr>
      </w:pPr>
      <w:r>
        <w:rPr>
          <w:rFonts w:ascii="Arial" w:cs="Arial" w:eastAsia="Arial" w:hAnsi="Arial"/>
          <w:sz w:val="16"/>
          <w:szCs w:val="16"/>
          <w:b w:val="1"/>
          <w:bCs w:val="1"/>
          <w:color w:val="auto"/>
        </w:rPr>
        <w:t>SCHEDULE III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0" w:name="page371"/>
    <w:bookmarkEnd w:id="370"/>
    <w:p>
      <w:pPr>
        <w:jc w:val="center"/>
        <w:spacing w:after="0"/>
        <w:rPr>
          <w:sz w:val="20"/>
          <w:szCs w:val="20"/>
          <w:color w:val="auto"/>
        </w:rPr>
      </w:pPr>
      <w:r>
        <w:rPr>
          <w:rFonts w:ascii="Arial" w:cs="Arial" w:eastAsia="Arial" w:hAnsi="Arial"/>
          <w:sz w:val="16"/>
          <w:szCs w:val="16"/>
          <w:b w:val="1"/>
          <w:bCs w:val="1"/>
          <w:color w:val="auto"/>
        </w:rPr>
        <w:t>EXHIBIT A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1" w:name="page372"/>
    <w:bookmarkEnd w:id="371"/>
    <w:p>
      <w:pPr>
        <w:jc w:val="center"/>
        <w:ind w:right="19"/>
        <w:spacing w:after="0"/>
        <w:rPr>
          <w:sz w:val="20"/>
          <w:szCs w:val="20"/>
          <w:color w:val="auto"/>
        </w:rPr>
      </w:pPr>
      <w:r>
        <w:rPr>
          <w:rFonts w:ascii="Arial" w:cs="Arial" w:eastAsia="Arial" w:hAnsi="Arial"/>
          <w:sz w:val="16"/>
          <w:szCs w:val="16"/>
          <w:b w:val="1"/>
          <w:bCs w:val="1"/>
          <w:color w:val="auto"/>
        </w:rPr>
        <w:t>EXHIBIT B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2" w:name="page373"/>
    <w:bookmarkEnd w:id="372"/>
    <w:p>
      <w:pPr>
        <w:jc w:val="center"/>
        <w:spacing w:after="0"/>
        <w:rPr>
          <w:sz w:val="20"/>
          <w:szCs w:val="20"/>
          <w:color w:val="auto"/>
        </w:rPr>
      </w:pPr>
      <w:r>
        <w:rPr>
          <w:rFonts w:ascii="Arial" w:cs="Arial" w:eastAsia="Arial" w:hAnsi="Arial"/>
          <w:sz w:val="16"/>
          <w:szCs w:val="16"/>
          <w:b w:val="1"/>
          <w:bCs w:val="1"/>
          <w:color w:val="auto"/>
        </w:rPr>
        <w:t>EXHIBIT C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EMERGENCY FUNDING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73" w:name="page374"/>
    <w:bookmarkEnd w:id="373"/>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jc w:val="both"/>
        <w:ind w:firstLine="372"/>
        <w:spacing w:after="0" w:line="286" w:lineRule="auto"/>
        <w:rPr>
          <w:sz w:val="20"/>
          <w:szCs w:val="20"/>
          <w:color w:val="auto"/>
        </w:rPr>
      </w:pPr>
      <w:r>
        <w:rPr>
          <w:rFonts w:ascii="Arial" w:cs="Arial" w:eastAsia="Arial" w:hAnsi="Arial"/>
          <w:sz w:val="16"/>
          <w:szCs w:val="16"/>
          <w:color w:val="auto"/>
        </w:rPr>
        <w:t xml:space="preserve">We understand that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date hereof, with GEPIF III Crown Bidco L.P., a Cayman Islands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shall be merged with and into the Company and the Company shall be the surviving company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As the result of the Merger,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that is issued and outstanding as of the Effective Time, other than (i) any Rollover Share, (ii) any share owned by any direct or indirect wholly owned Subsidiary of the Company or (iii) any share owned by the Company as treasury shares will automatically be canceled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 and capitalized terms used herein and not defined shall have the meanings ascribed thereto in the Merger Agreement. Reference is also made herein to that certain Rollover Agreement, dated as of the date hereof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the Company, Parent and the Rolling Shareholders pursuant to which the Rolling Shareholders will agree, among other things, that their Common Shares will remain outstanding immediately following, and otherwise not be affected by, the Merger.</w:t>
      </w:r>
    </w:p>
    <w:p>
      <w:pPr>
        <w:spacing w:after="0" w:line="180"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has asked us whether, in our opinion, the Merger Consideration to be received by the Company’s Public Shareholders in the Merger is fair, from a financial point of view, to the Company’s Public Shareholders. For the purposes of this opinion, (i)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issued and outstanding Common Shares, excluding Parent, Merger Sub, the Rolling Shareholders, the Additional Rolling Shareholders and their respective affiliates, (ii)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means, collectively, the existing shareholders of the Company constituting the “Rolling Shareholders” under the Merger Agreement, (iii) “</w:t>
      </w:r>
      <w:r>
        <w:rPr>
          <w:rFonts w:ascii="Arial" w:cs="Arial" w:eastAsia="Arial" w:hAnsi="Arial"/>
          <w:sz w:val="16"/>
          <w:szCs w:val="16"/>
          <w:u w:val="single" w:color="auto"/>
          <w:color w:val="auto"/>
        </w:rPr>
        <w:t>Rollover Shares</w:t>
      </w:r>
      <w:r>
        <w:rPr>
          <w:rFonts w:ascii="Arial" w:cs="Arial" w:eastAsia="Arial" w:hAnsi="Arial"/>
          <w:sz w:val="16"/>
          <w:szCs w:val="16"/>
          <w:color w:val="auto"/>
        </w:rPr>
        <w:t>” means each Common Share issued and outstanding immediately prior to the closing of the Merger in accordance with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and owned by, without duplication, (a) any Rolling Shareholder or (b) any Additional Rolling Shareholder and (iv)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means, collectively, the existing shareholder of the Company constituting the “Additional Rolling Shareholders” under the Merger Agreement (it being understood that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set for the Company Shareholders Meeting).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we deemed relevant, 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Company;</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GasLog Partners LP, a subsidiary of the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4" w:name="page375"/>
    <w:bookmarkEnd w:id="374"/>
    <w:p>
      <w:pPr>
        <w:jc w:val="both"/>
        <w:ind w:left="1080"/>
        <w:spacing w:after="0" w:line="259" w:lineRule="auto"/>
        <w:rPr>
          <w:sz w:val="20"/>
          <w:szCs w:val="20"/>
          <w:color w:val="auto"/>
        </w:rPr>
      </w:pPr>
      <w:r>
        <w:rPr>
          <w:rFonts w:ascii="Arial" w:cs="Arial" w:eastAsia="Arial" w:hAnsi="Arial"/>
          <w:sz w:val="18"/>
          <w:szCs w:val="18"/>
          <w:color w:val="auto"/>
        </w:rPr>
        <w:t>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Partnership;</w:t>
      </w:r>
    </w:p>
    <w:p>
      <w:pPr>
        <w:spacing w:after="0" w:line="207" w:lineRule="exact"/>
        <w:rPr>
          <w:sz w:val="20"/>
          <w:szCs w:val="20"/>
          <w:color w:val="auto"/>
        </w:rPr>
      </w:pPr>
    </w:p>
    <w:p>
      <w:pPr>
        <w:ind w:left="1080" w:hanging="532"/>
        <w:spacing w:after="0"/>
        <w:tabs>
          <w:tab w:leader="none" w:pos="108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reviewed certain internal projected financial and operating data relating to the Company and the Partnership prepared and furnished to us by management of the Company and the Partnership, respectively, as approved for our use by the Company (collectively, the “</w:t>
      </w:r>
      <w:r>
        <w:rPr>
          <w:rFonts w:ascii="Arial" w:cs="Arial" w:eastAsia="Arial" w:hAnsi="Arial"/>
          <w:sz w:val="16"/>
          <w:szCs w:val="16"/>
          <w:u w:val="single" w:color="auto"/>
          <w:color w:val="auto"/>
        </w:rPr>
        <w:t>Forecasts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hanging="532"/>
        <w:spacing w:after="0" w:line="331" w:lineRule="auto"/>
        <w:tabs>
          <w:tab w:leader="none" w:pos="1080" w:val="left"/>
        </w:tabs>
        <w:numPr>
          <w:ilvl w:val="0"/>
          <w:numId w:val="459"/>
        </w:numPr>
        <w:rPr>
          <w:rFonts w:ascii="Arial" w:cs="Arial" w:eastAsia="Arial" w:hAnsi="Arial"/>
          <w:sz w:val="16"/>
          <w:szCs w:val="16"/>
          <w:color w:val="auto"/>
        </w:rPr>
      </w:pPr>
      <w:r>
        <w:rPr>
          <w:rFonts w:ascii="Arial" w:cs="Arial" w:eastAsia="Arial" w:hAnsi="Arial"/>
          <w:sz w:val="16"/>
          <w:szCs w:val="16"/>
          <w:color w:val="auto"/>
        </w:rPr>
        <w:t>discussed with management of the Company and the Partnership, respectively, their assessment of the past and current operations of the Company and the Partnership, the current financial condition and prospects of the Company and the Partnership and the Forecasts;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Common Shares and the common units of the Partnership;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and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and the Partnership as to the future financial performance of the Company and the Partnership and the other matters covered thereby. We express no view as to the Forecasts or the assumptions on which they are based.</w:t>
      </w:r>
    </w:p>
    <w:p>
      <w:pPr>
        <w:spacing w:after="0" w:line="172"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For purposes of our analysis and opinion, we have assumed, in all respects material to our analysis, that the final executed Merger Agreement will not differ from the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36130"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5" w:name="page376"/>
    <w:bookmarkEnd w:id="375"/>
    <w:p>
      <w:pPr>
        <w:spacing w:after="0"/>
        <w:rPr>
          <w:sz w:val="20"/>
          <w:szCs w:val="20"/>
          <w:color w:val="auto"/>
        </w:rPr>
      </w:pPr>
      <w:r>
        <w:rPr>
          <w:rFonts w:ascii="Arial" w:cs="Arial" w:eastAsia="Arial" w:hAnsi="Arial"/>
          <w:sz w:val="16"/>
          <w:szCs w:val="16"/>
          <w:color w:val="auto"/>
        </w:rPr>
        <w:t>effect on the Company or the consummation of the Merger or reduce the contemplated benefits to the Company’s Public Shareholders of the Merger.</w:t>
      </w:r>
    </w:p>
    <w:p>
      <w:pPr>
        <w:spacing w:after="0" w:line="248" w:lineRule="exact"/>
        <w:rPr>
          <w:sz w:val="20"/>
          <w:szCs w:val="20"/>
          <w:color w:val="auto"/>
        </w:rPr>
      </w:pPr>
    </w:p>
    <w:p>
      <w:pPr>
        <w:jc w:val="both"/>
        <w:ind w:firstLine="530"/>
        <w:spacing w:after="0" w:line="253" w:lineRule="auto"/>
        <w:rPr>
          <w:sz w:val="20"/>
          <w:szCs w:val="20"/>
          <w:color w:val="auto"/>
        </w:rPr>
      </w:pPr>
      <w:r>
        <w:rPr>
          <w:rFonts w:ascii="Arial" w:cs="Arial" w:eastAsia="Arial" w:hAnsi="Arial"/>
          <w:sz w:val="18"/>
          <w:szCs w:val="18"/>
          <w:color w:val="auto"/>
        </w:rPr>
        <w:t>We have not conducted a physical inspection of the properties or facilities of the Company or the Partnership and have not made or assumed any responsibility for making any independent valuation or appraisal of the assets or liabilities (including any contingent, derivative or other off-balance sheet assets and liabilities) of the Company or the Partnership, nor have we been furnished with any such valuations or appraisals, nor have we evaluated the solvency or fair value of the Company or the Partnership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201" w:lineRule="exact"/>
        <w:rPr>
          <w:sz w:val="20"/>
          <w:szCs w:val="20"/>
          <w:color w:val="auto"/>
        </w:rPr>
      </w:pPr>
    </w:p>
    <w:p>
      <w:pPr>
        <w:jc w:val="both"/>
        <w:ind w:firstLine="491"/>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Public Shareholders, from a financial point of view, of the Merger Consideration to be received by the Public Shareholders.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Special Committee or to any other persons in respect of the Merger, including as to how any holder of Common Shares should vote or act in respect of the Merger. We are not expressing any opinion as to the prices at which the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have acted as financial advisor to the Special Committee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been engaged to provide financial advisory or other services to the Special Committee for which we received compensation during such period. In addition, during the two year period prior to the date hereof, Evercore Group L.L.C. and its affiliates have been engaged to provide financial advisory or other services to BlackRock Alternatives Management, LLC and its affiliates (“</w:t>
      </w:r>
      <w:r>
        <w:rPr>
          <w:rFonts w:ascii="Arial" w:cs="Arial" w:eastAsia="Arial" w:hAnsi="Arial"/>
          <w:sz w:val="16"/>
          <w:szCs w:val="16"/>
          <w:u w:val="single" w:color="auto"/>
          <w:color w:val="auto"/>
        </w:rPr>
        <w:t>BlackRock</w:t>
      </w:r>
      <w:r>
        <w:rPr>
          <w:rFonts w:ascii="Arial" w:cs="Arial" w:eastAsia="Arial" w:hAnsi="Arial"/>
          <w:sz w:val="16"/>
          <w:szCs w:val="16"/>
          <w:color w:val="auto"/>
        </w:rPr>
        <w:t>”), and we have received compensation from BlackRock during such period. We may provide financial advisory or other services to the Company and BlackRock in the future, and in connection with any such services we may receive compensation.</w:t>
      </w:r>
    </w:p>
    <w:p>
      <w:pPr>
        <w:spacing w:after="0" w:line="178" w:lineRule="exact"/>
        <w:rPr>
          <w:sz w:val="20"/>
          <w:szCs w:val="20"/>
          <w:color w:val="auto"/>
        </w:rPr>
      </w:pPr>
    </w:p>
    <w:p>
      <w:pPr>
        <w:jc w:val="both"/>
        <w:ind w:firstLine="462"/>
        <w:spacing w:after="0" w:line="298" w:lineRule="auto"/>
        <w:rPr>
          <w:sz w:val="20"/>
          <w:szCs w:val="20"/>
          <w:color w:val="auto"/>
        </w:rPr>
      </w:pPr>
      <w:r>
        <w:rPr>
          <w:rFonts w:ascii="Arial" w:cs="Arial" w:eastAsia="Arial" w:hAnsi="Arial"/>
          <w:sz w:val="16"/>
          <w:szCs w:val="16"/>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6" w:name="page377"/>
    <w:bookmarkEnd w:id="376"/>
    <w:p>
      <w:pPr>
        <w:jc w:val="both"/>
        <w:spacing w:after="0" w:line="259" w:lineRule="auto"/>
        <w:rPr>
          <w:sz w:val="20"/>
          <w:szCs w:val="20"/>
          <w:color w:val="auto"/>
        </w:rPr>
      </w:pPr>
      <w:r>
        <w:rPr>
          <w:rFonts w:ascii="Arial" w:cs="Arial" w:eastAsia="Arial" w:hAnsi="Arial"/>
          <w:sz w:val="18"/>
          <w:szCs w:val="18"/>
          <w:color w:val="auto"/>
        </w:rPr>
        <w:t>transactions for their own accounts or the accounts of customers, in debt or equity securities, senior loans and/or derivative products or other financial instruments of or relating to the Company, the Partnership, BlackRock, potential parties to the Merger and/or any of their respective affiliates or persons that are competitors, customers or suppliers of the Company, the Partnership or BlackRock.</w:t>
      </w:r>
    </w:p>
    <w:p>
      <w:pPr>
        <w:spacing w:after="0" w:line="194" w:lineRule="exact"/>
        <w:rPr>
          <w:sz w:val="20"/>
          <w:szCs w:val="20"/>
          <w:color w:val="auto"/>
        </w:rPr>
      </w:pPr>
    </w:p>
    <w:p>
      <w:pPr>
        <w:jc w:val="both"/>
        <w:ind w:firstLine="557"/>
        <w:spacing w:after="0" w:line="331"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Special Committee in its capacity as such in connection with its evaluation of the proposed Merger. The issuance of this opinion has been approved by an Opinion Committee of Evercore Group L.L.C.</w:t>
      </w:r>
    </w:p>
    <w:p>
      <w:pPr>
        <w:spacing w:after="0" w:line="14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This opinion may not be disclosed, quoted, referred to or communicated (in whole or in part) to any third party for any purpose whatsoever except with our prior written approval, except (i) the Special Committee may provide this opinion to the Board for the information and benefit of the Board in its capacity as such in connection with its evaluation of the proposed Merger, and (ii) the Company may reproduce this opinion in full in any document that is required to be filed with the U.S. Securities and Exchange Commission and required to be mailed by the Company to its shareholders relating to the Merger.</w:t>
      </w:r>
    </w:p>
    <w:p>
      <w:pPr>
        <w:spacing w:after="0" w:line="166"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Company’s Public Shareholders in the Merger is fair, from a financial point of view, to the Company’s Public Shareholders.</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EVERCORE GROUP L.L.C.</w:t>
      </w:r>
    </w:p>
    <w:p>
      <w:pPr>
        <w:spacing w:after="0" w:line="252" w:lineRule="exact"/>
        <w:rPr>
          <w:sz w:val="20"/>
          <w:szCs w:val="20"/>
          <w:color w:val="auto"/>
        </w:rPr>
      </w:pPr>
    </w:p>
    <w:p>
      <w:pPr>
        <w:ind w:left="53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71120</wp:posOffset>
            </wp:positionV>
            <wp:extent cx="25203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7" w:name="page378"/>
    <w:bookmarkEnd w:id="377"/>
    <w:p>
      <w:pPr>
        <w:ind w:left="1054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45" w:lineRule="exact"/>
        <w:rPr>
          <w:sz w:val="20"/>
          <w:szCs w:val="20"/>
          <w:color w:val="auto"/>
        </w:rPr>
      </w:pPr>
    </w:p>
    <w:p>
      <w:pPr>
        <w:jc w:val="both"/>
        <w:ind w:left="540" w:hanging="532"/>
        <w:spacing w:after="0" w:line="259" w:lineRule="auto"/>
        <w:tabs>
          <w:tab w:leader="none" w:pos="54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 notice of a meeting of shareholders complying with section 75 shall be sent in accordance with that section to each shareholder of each amalgamating or merging company, and shall-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2"/>
          <w:numId w:val="460"/>
        </w:numPr>
        <w:rPr>
          <w:rFonts w:ascii="Arial" w:cs="Arial" w:eastAsia="Arial" w:hAnsi="Arial"/>
          <w:sz w:val="18"/>
          <w:szCs w:val="18"/>
          <w:color w:val="auto"/>
        </w:rPr>
      </w:pPr>
      <w:r>
        <w:rPr>
          <w:rFonts w:ascii="Arial" w:cs="Arial" w:eastAsia="Arial" w:hAnsi="Arial"/>
          <w:sz w:val="18"/>
          <w:szCs w:val="18"/>
          <w:color w:val="auto"/>
        </w:rPr>
        <w:t>include or be accompanied by a copy or summary of the amalgamation agreement or merger agreement;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0"/>
        </w:numPr>
        <w:rPr>
          <w:rFonts w:ascii="Arial" w:cs="Arial" w:eastAsia="Arial" w:hAnsi="Arial"/>
          <w:sz w:val="18"/>
          <w:szCs w:val="18"/>
          <w:color w:val="auto"/>
        </w:rPr>
      </w:pPr>
      <w:r>
        <w:rPr>
          <w:rFonts w:ascii="Arial" w:cs="Arial" w:eastAsia="Arial" w:hAnsi="Arial"/>
          <w:sz w:val="18"/>
          <w:szCs w:val="18"/>
          <w:color w:val="auto"/>
        </w:rPr>
        <w:t>subject to subsection (2A), state-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3"/>
          <w:numId w:val="460"/>
        </w:numPr>
        <w:rPr>
          <w:rFonts w:ascii="Arial" w:cs="Arial" w:eastAsia="Arial" w:hAnsi="Arial"/>
          <w:sz w:val="18"/>
          <w:szCs w:val="18"/>
          <w:color w:val="auto"/>
        </w:rPr>
      </w:pPr>
      <w:r>
        <w:rPr>
          <w:rFonts w:ascii="Arial" w:cs="Arial" w:eastAsia="Arial" w:hAnsi="Arial"/>
          <w:sz w:val="18"/>
          <w:szCs w:val="18"/>
          <w:color w:val="auto"/>
        </w:rPr>
        <w:t>the fair value of the shares as determined by each amalgamating or merging company; and</w:t>
      </w:r>
    </w:p>
    <w:p>
      <w:pPr>
        <w:spacing w:after="0" w:line="238" w:lineRule="exact"/>
        <w:rPr>
          <w:rFonts w:ascii="Arial" w:cs="Arial" w:eastAsia="Arial" w:hAnsi="Arial"/>
          <w:sz w:val="18"/>
          <w:szCs w:val="18"/>
          <w:color w:val="auto"/>
        </w:rPr>
      </w:pPr>
    </w:p>
    <w:p>
      <w:pPr>
        <w:ind w:left="2160" w:hanging="532"/>
        <w:spacing w:after="0"/>
        <w:tabs>
          <w:tab w:leader="none" w:pos="2160" w:val="left"/>
        </w:tabs>
        <w:numPr>
          <w:ilvl w:val="3"/>
          <w:numId w:val="460"/>
        </w:numPr>
        <w:rPr>
          <w:rFonts w:ascii="Arial" w:cs="Arial" w:eastAsia="Arial" w:hAnsi="Arial"/>
          <w:sz w:val="18"/>
          <w:szCs w:val="18"/>
          <w:color w:val="auto"/>
        </w:rPr>
      </w:pPr>
      <w:r>
        <w:rPr>
          <w:rFonts w:ascii="Arial" w:cs="Arial" w:eastAsia="Arial" w:hAnsi="Arial"/>
          <w:sz w:val="18"/>
          <w:szCs w:val="18"/>
          <w:color w:val="auto"/>
        </w:rPr>
        <w:t>that a dissenting shareholder is entitled to be paid the fair value of his shares.</w:t>
      </w: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6"/>
          <w:szCs w:val="16"/>
          <w:color w:val="auto"/>
        </w:rPr>
        <w:t>(2A)</w:t>
        <w:tab/>
        <w:t>Notwithstanding subsection (2)(b)(ii), failure to state the matter referred to in that subsection does not invalidate an amalgamation or merger.</w:t>
      </w:r>
    </w:p>
    <w:p>
      <w:pPr>
        <w:spacing w:after="0" w:line="289" w:lineRule="exact"/>
        <w:rPr>
          <w:sz w:val="20"/>
          <w:szCs w:val="20"/>
          <w:color w:val="auto"/>
        </w:rPr>
      </w:pPr>
    </w:p>
    <w:p>
      <w:pPr>
        <w:ind w:left="1080" w:hanging="532"/>
        <w:spacing w:after="0" w:line="268" w:lineRule="auto"/>
        <w:tabs>
          <w:tab w:leader="none" w:pos="10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Each share of an amalgamating or merging company carries the right to vote in respect of an amalgamation or merger whether or not it otherwise carries the right to vote.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194" w:lineRule="exact"/>
        <w:rPr>
          <w:sz w:val="20"/>
          <w:szCs w:val="20"/>
          <w:color w:val="auto"/>
        </w:rPr>
      </w:pPr>
    </w:p>
    <w:p>
      <w:pPr>
        <w:jc w:val="both"/>
        <w:ind w:left="1080" w:hanging="539"/>
        <w:spacing w:after="0" w:line="254" w:lineRule="auto"/>
        <w:tabs>
          <w:tab w:leader="none" w:pos="1060" w:val="left"/>
        </w:tabs>
        <w:rPr>
          <w:sz w:val="20"/>
          <w:szCs w:val="20"/>
          <w:color w:val="auto"/>
        </w:rPr>
      </w:pPr>
      <w:r>
        <w:rPr>
          <w:rFonts w:ascii="Arial" w:cs="Arial" w:eastAsia="Arial" w:hAnsi="Arial"/>
          <w:sz w:val="18"/>
          <w:szCs w:val="18"/>
          <w:color w:val="auto"/>
        </w:rPr>
        <w:t>(4A)</w:t>
        <w:tab/>
        <w:t>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241" w:lineRule="exact"/>
        <w:rPr>
          <w:sz w:val="20"/>
          <w:szCs w:val="20"/>
          <w:color w:val="auto"/>
        </w:rPr>
      </w:pPr>
    </w:p>
    <w:p>
      <w:pPr>
        <w:ind w:left="108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 amalgamation or merger agreement shall be deemed to have been adopted when it has been approved by the shareholders as provided in this section.</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ectPr>
          <w:pgSz w:w="11900" w:h="16838" w:orient="portrait"/>
          <w:cols w:equalWidth="0" w:num="1">
            <w:col w:w="11240"/>
          </w:cols>
          <w:pgMar w:left="320" w:top="341" w:right="339" w:bottom="1440" w:gutter="0" w:footer="0" w:header="0"/>
        </w:sectPr>
      </w:pPr>
    </w:p>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(6B)</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Subject to subsection (6B), within one month of the Court appraising the fair value of any shares under subsection (6) the company shall be entitled either-</w:t>
      </w:r>
    </w:p>
    <w:p>
      <w:pPr>
        <w:spacing w:after="0" w:line="200" w:lineRule="exact"/>
        <w:rPr>
          <w:sz w:val="20"/>
          <w:szCs w:val="20"/>
          <w:color w:val="auto"/>
        </w:rPr>
      </w:pPr>
    </w:p>
    <w:p>
      <w:pPr>
        <w:spacing w:after="0" w:line="229" w:lineRule="exact"/>
        <w:rPr>
          <w:sz w:val="20"/>
          <w:szCs w:val="20"/>
          <w:color w:val="auto"/>
        </w:rPr>
      </w:pPr>
    </w:p>
    <w:p>
      <w:pPr>
        <w:ind w:left="540" w:hanging="532"/>
        <w:spacing w:after="0"/>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pay to the dissenting shareholder an amount equal to the value of his shares as appraised by the Court;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to terminate the amalgamation or merger in accordance with subsection (7).</w:t>
      </w: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197" w:lineRule="exact"/>
        <w:rPr>
          <w:sz w:val="20"/>
          <w:szCs w:val="20"/>
          <w:color w:val="auto"/>
        </w:rPr>
      </w:pPr>
    </w:p>
    <w:p>
      <w:pPr>
        <w:sectPr>
          <w:pgSz w:w="11900" w:h="16838" w:orient="portrait"/>
          <w:cols w:equalWidth="0" w:num="2">
            <w:col w:w="880" w:space="200"/>
            <w:col w:w="10160"/>
          </w:cols>
          <w:pgMar w:left="320" w:top="341" w:right="339" w:bottom="1440" w:gutter="0" w:footer="0" w:header="0"/>
          <w:type w:val="continuous"/>
        </w:sectPr>
      </w:pPr>
    </w:p>
    <w:p>
      <w:pPr>
        <w:ind w:left="540"/>
        <w:spacing w:after="0"/>
        <w:tabs>
          <w:tab w:leader="none" w:pos="1060" w:val="left"/>
        </w:tabs>
        <w:rPr>
          <w:sz w:val="20"/>
          <w:szCs w:val="20"/>
          <w:color w:val="auto"/>
        </w:rPr>
      </w:pPr>
      <w:r>
        <w:rPr>
          <w:rFonts w:ascii="Arial" w:cs="Arial" w:eastAsia="Arial" w:hAnsi="Arial"/>
          <w:sz w:val="15"/>
          <w:szCs w:val="15"/>
          <w:color w:val="auto"/>
        </w:rPr>
        <w:t>(6C)</w:t>
        <w:tab/>
        <w:t>No appeal shall lie from an appraisal by the Court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361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78" w:name="page379"/>
    <w:bookmarkEnd w:id="378"/>
    <w:p>
      <w:pPr>
        <w:ind w:left="180"/>
        <w:spacing w:after="0"/>
        <w:tabs>
          <w:tab w:leader="none" w:pos="700" w:val="left"/>
        </w:tabs>
        <w:rPr>
          <w:sz w:val="20"/>
          <w:szCs w:val="20"/>
          <w:color w:val="auto"/>
        </w:rPr>
      </w:pPr>
      <w:r>
        <w:rPr>
          <w:rFonts w:ascii="Arial" w:cs="Arial" w:eastAsia="Arial" w:hAnsi="Arial"/>
          <w:sz w:val="18"/>
          <w:szCs w:val="18"/>
          <w:color w:val="auto"/>
        </w:rPr>
        <w:t>(6D)</w:t>
        <w:tab/>
        <w:t>The costs of any application to the Court under this section shall be in the discretion of the Court.</w:t>
      </w:r>
    </w:p>
    <w:p>
      <w:pPr>
        <w:spacing w:after="0" w:line="266" w:lineRule="exact"/>
        <w:rPr>
          <w:sz w:val="20"/>
          <w:szCs w:val="20"/>
          <w:color w:val="auto"/>
        </w:rPr>
      </w:pPr>
    </w:p>
    <w:p>
      <w:pPr>
        <w:jc w:val="both"/>
        <w:ind w:left="720" w:hanging="532"/>
        <w:spacing w:after="0" w:line="259" w:lineRule="auto"/>
        <w:tabs>
          <w:tab w:leader="none" w:pos="7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106 amended by 1994:22 effective 13 July 1994; amended by 2011 : 43 s. 27 effective 18 December 2011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79" w:name="page380"/>
    <w:bookmarkEnd w:id="379"/>
    <w:p>
      <w:pPr>
        <w:ind w:left="9480"/>
        <w:spacing w:after="0"/>
        <w:rPr>
          <w:sz w:val="20"/>
          <w:szCs w:val="20"/>
          <w:color w:val="auto"/>
        </w:rPr>
      </w:pPr>
      <w:r>
        <w:rPr>
          <w:rFonts w:ascii="Arial" w:cs="Arial" w:eastAsia="Arial" w:hAnsi="Arial"/>
          <w:sz w:val="16"/>
          <w:szCs w:val="16"/>
          <w:b w:val="1"/>
          <w:bCs w:val="1"/>
          <w:color w:val="auto"/>
        </w:rPr>
        <w:t>Annex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166370</wp:posOffset>
            </wp:positionV>
            <wp:extent cx="7136130" cy="77946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946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AC7DFF"/>
    <w:multiLevelType w:val="hybridMultilevel"/>
    <w:lvl w:ilvl="0">
      <w:lvlJc w:val="left"/>
      <w:lvlText w:val="*"/>
      <w:numFmt w:val="bullet"/>
      <w:start w:val="1"/>
    </w:lvl>
  </w:abstractNum>
  <w:abstractNum w:abstractNumId="1">
    <w:nsid w:val="C4C3AF"/>
    <w:multiLevelType w:val="hybridMultilevel"/>
    <w:lvl w:ilvl="0">
      <w:lvlJc w:val="left"/>
      <w:lvlText w:val="**"/>
      <w:numFmt w:val="bullet"/>
      <w:start w:val="1"/>
    </w:lvl>
  </w:abstractNum>
  <w:abstractNum w:abstractNumId="2">
    <w:nsid w:val="44380727"/>
    <w:multiLevelType w:val="hybridMultilevel"/>
    <w:lvl w:ilvl="0">
      <w:lvlJc w:val="left"/>
      <w:lvlText w:val="o"/>
      <w:numFmt w:val="bullet"/>
      <w:start w:val="1"/>
    </w:lvl>
  </w:abstractNum>
  <w:abstractNum w:abstractNumId="3">
    <w:nsid w:val="6C053B16"/>
    <w:multiLevelType w:val="hybridMultilevel"/>
    <w:lvl w:ilvl="0">
      <w:lvlJc w:val="left"/>
      <w:lvlText w:val="(%1)"/>
      <w:numFmt w:val="lowerRoman"/>
      <w:start w:val="8"/>
    </w:lvl>
  </w:abstractNum>
  <w:abstractNum w:abstractNumId="4">
    <w:nsid w:val="4F294393"/>
    <w:multiLevelType w:val="hybridMultilevel"/>
    <w:lvl w:ilvl="0">
      <w:lvlJc w:val="left"/>
      <w:lvlText w:val="(%1)"/>
      <w:numFmt w:val="decimal"/>
      <w:start w:val="3"/>
    </w:lvl>
  </w:abstractNum>
  <w:abstractNum w:abstractNumId="5">
    <w:nsid w:val="5243BFAC"/>
    <w:multiLevelType w:val="hybridMultilevel"/>
    <w:lvl w:ilvl="0">
      <w:lvlJc w:val="left"/>
      <w:lvlText w:val="%1"/>
      <w:numFmt w:val="upperLetter"/>
      <w:start w:val="61"/>
    </w:lvl>
  </w:abstractNum>
  <w:abstractNum w:abstractNumId="6">
    <w:nsid w:val="425EB207"/>
    <w:multiLevelType w:val="hybridMultilevel"/>
    <w:lvl w:ilvl="0">
      <w:lvlJc w:val="left"/>
      <w:lvlText w:val="•"/>
      <w:numFmt w:val="bullet"/>
      <w:start w:val="1"/>
    </w:lvl>
  </w:abstractNum>
  <w:abstractNum w:abstractNumId="7">
    <w:nsid w:val="334A6F1F"/>
    <w:multiLevelType w:val="hybridMultilevel"/>
    <w:lvl w:ilvl="0">
      <w:lvlJc w:val="left"/>
      <w:lvlText w:val="(%1)"/>
      <w:numFmt w:val="lowerLetter"/>
      <w:start w:val="1"/>
    </w:lvl>
    <w:lvl w:ilvl="1">
      <w:lvlJc w:val="left"/>
      <w:lvlText w:val="•"/>
      <w:numFmt w:val="bullet"/>
      <w:start w:val="1"/>
    </w:lvl>
  </w:abstractNum>
  <w:abstractNum w:abstractNumId="8">
    <w:nsid w:val="2E5B12B8"/>
    <w:multiLevelType w:val="hybridMultilevel"/>
    <w:lvl w:ilvl="0">
      <w:lvlJc w:val="left"/>
      <w:lvlText w:val="(%1)"/>
      <w:numFmt w:val="lowerLetter"/>
      <w:start w:val="4"/>
    </w:lvl>
    <w:lvl w:ilvl="1">
      <w:lvlJc w:val="left"/>
      <w:lvlText w:val="•"/>
      <w:numFmt w:val="bullet"/>
      <w:start w:val="1"/>
    </w:lvl>
  </w:abstractNum>
  <w:abstractNum w:abstractNumId="9">
    <w:nsid w:val="5C03D76D"/>
    <w:multiLevelType w:val="hybridMultilevel"/>
    <w:lvl w:ilvl="0">
      <w:lvlJc w:val="left"/>
      <w:lvlText w:val="(%1)"/>
      <w:numFmt w:val="lowerLetter"/>
      <w:start w:val="1"/>
    </w:lvl>
    <w:lvl w:ilvl="1">
      <w:lvlJc w:val="left"/>
      <w:lvlText w:val="•"/>
      <w:numFmt w:val="bullet"/>
      <w:start w:val="1"/>
    </w:lvl>
  </w:abstractNum>
  <w:abstractNum w:abstractNumId="10">
    <w:nsid w:val="66A48D11"/>
    <w:multiLevelType w:val="hybridMultilevel"/>
    <w:lvl w:ilvl="0">
      <w:lvlJc w:val="left"/>
      <w:lvlText w:val="(%1)"/>
      <w:numFmt w:val="lowerLetter"/>
      <w:start w:val="2"/>
    </w:lvl>
    <w:lvl w:ilvl="1">
      <w:lvlJc w:val="left"/>
      <w:lvlText w:val="•"/>
      <w:numFmt w:val="bullet"/>
      <w:start w:val="1"/>
    </w:lvl>
  </w:abstractNum>
  <w:abstractNum w:abstractNumId="11">
    <w:nsid w:val="56C28E34"/>
    <w:multiLevelType w:val="hybridMultilevel"/>
    <w:lvl w:ilvl="0">
      <w:lvlJc w:val="left"/>
      <w:lvlText w:val="(%1)"/>
      <w:numFmt w:val="lowerLetter"/>
      <w:start w:val="5"/>
    </w:lvl>
  </w:abstractNum>
  <w:abstractNum w:abstractNumId="12">
    <w:nsid w:val="13916F2D"/>
    <w:multiLevelType w:val="hybridMultilevel"/>
    <w:lvl w:ilvl="0">
      <w:lvlJc w:val="left"/>
      <w:lvlText w:val="(%1)"/>
      <w:numFmt w:val="lowerLetter"/>
      <w:start w:val="1"/>
    </w:lvl>
    <w:lvl w:ilvl="1">
      <w:lvlJc w:val="left"/>
      <w:lvlText w:val="•"/>
      <w:numFmt w:val="bullet"/>
      <w:start w:val="1"/>
    </w:lvl>
  </w:abstractNum>
  <w:abstractNum w:abstractNumId="13">
    <w:nsid w:val="435D38D"/>
    <w:multiLevelType w:val="hybridMultilevel"/>
    <w:lvl w:ilvl="0">
      <w:lvlJc w:val="left"/>
      <w:lvlText w:val="•"/>
      <w:numFmt w:val="bullet"/>
      <w:start w:val="1"/>
    </w:lvl>
  </w:abstractNum>
  <w:abstractNum w:abstractNumId="14">
    <w:nsid w:val="822C0EF"/>
    <w:multiLevelType w:val="hybridMultilevel"/>
    <w:lvl w:ilvl="0">
      <w:lvlJc w:val="left"/>
      <w:lvlText w:val="(%1)"/>
      <w:numFmt w:val="lowerLetter"/>
      <w:start w:val="5"/>
    </w:lvl>
    <w:lvl w:ilvl="1">
      <w:lvlJc w:val="left"/>
      <w:lvlText w:val="•"/>
      <w:numFmt w:val="bullet"/>
      <w:start w:val="1"/>
    </w:lvl>
  </w:abstractNum>
  <w:abstractNum w:abstractNumId="15">
    <w:nsid w:val="57C5BB4F"/>
    <w:multiLevelType w:val="hybridMultilevel"/>
    <w:lvl w:ilvl="0">
      <w:lvlJc w:val="left"/>
      <w:lvlText w:val="(%1)"/>
      <w:numFmt w:val="lowerLetter"/>
      <w:start w:val="2"/>
    </w:lvl>
    <w:lvl w:ilvl="1">
      <w:lvlJc w:val="left"/>
      <w:lvlText w:val="•"/>
      <w:numFmt w:val="bullet"/>
      <w:start w:val="1"/>
    </w:lvl>
  </w:abstractNum>
  <w:abstractNum w:abstractNumId="16">
    <w:nsid w:val="1803D089"/>
    <w:multiLevelType w:val="hybridMultilevel"/>
    <w:lvl w:ilvl="0">
      <w:lvlJc w:val="left"/>
      <w:lvlText w:val="•"/>
      <w:numFmt w:val="bullet"/>
      <w:start w:val="1"/>
    </w:lvl>
  </w:abstractNum>
  <w:abstractNum w:abstractNumId="17">
    <w:nsid w:val="4F3A06D4"/>
    <w:multiLevelType w:val="hybridMultilevel"/>
    <w:lvl w:ilvl="0">
      <w:lvlJc w:val="left"/>
      <w:lvlText w:val="•"/>
      <w:numFmt w:val="bullet"/>
      <w:start w:val="1"/>
    </w:lvl>
  </w:abstractNum>
  <w:abstractNum w:abstractNumId="18">
    <w:nsid w:val="59A377B6"/>
    <w:multiLevelType w:val="hybridMultilevel"/>
    <w:lvl w:ilvl="0">
      <w:lvlJc w:val="left"/>
      <w:lvlText w:val="(%1)"/>
      <w:numFmt w:val="lowerLetter"/>
      <w:start w:val="1"/>
    </w:lvl>
    <w:lvl w:ilvl="1">
      <w:lvlJc w:val="left"/>
      <w:lvlText w:val="•"/>
      <w:numFmt w:val="bullet"/>
      <w:start w:val="1"/>
    </w:lvl>
  </w:abstractNum>
  <w:abstractNum w:abstractNumId="19">
    <w:nsid w:val="48AEB063"/>
    <w:multiLevelType w:val="hybridMultilevel"/>
    <w:lvl w:ilvl="0">
      <w:lvlJc w:val="left"/>
      <w:lvlText w:val="(%1)"/>
      <w:numFmt w:val="lowerLetter"/>
      <w:start w:val="2"/>
    </w:lvl>
    <w:lvl w:ilvl="1">
      <w:lvlJc w:val="left"/>
      <w:lvlText w:val="•"/>
      <w:numFmt w:val="bullet"/>
      <w:start w:val="1"/>
    </w:lvl>
  </w:abstractNum>
  <w:abstractNum w:abstractNumId="20">
    <w:nsid w:val="24E135"/>
    <w:multiLevelType w:val="hybridMultilevel"/>
    <w:lvl w:ilvl="0">
      <w:lvlJc w:val="left"/>
      <w:lvlText w:val="(%1)"/>
      <w:numFmt w:val="lowerLetter"/>
      <w:start w:val="2"/>
    </w:lvl>
    <w:lvl w:ilvl="1">
      <w:lvlJc w:val="left"/>
      <w:lvlText w:val="•"/>
      <w:numFmt w:val="bullet"/>
      <w:start w:val="1"/>
    </w:lvl>
  </w:abstractNum>
  <w:abstractNum w:abstractNumId="21">
    <w:nsid w:val="BB13C1"/>
    <w:multiLevelType w:val="hybridMultilevel"/>
    <w:lvl w:ilvl="0">
      <w:lvlJc w:val="left"/>
      <w:lvlText w:val="(%1)"/>
      <w:numFmt w:val="lowerLetter"/>
      <w:start w:val="2"/>
    </w:lvl>
    <w:lvl w:ilvl="1">
      <w:lvlJc w:val="left"/>
      <w:lvlText w:val="•"/>
      <w:numFmt w:val="bullet"/>
      <w:start w:val="1"/>
    </w:lvl>
  </w:abstractNum>
  <w:abstractNum w:abstractNumId="22">
    <w:nsid w:val="271210C7"/>
    <w:multiLevelType w:val="hybridMultilevel"/>
    <w:lvl w:ilvl="0">
      <w:lvlJc w:val="left"/>
      <w:lvlText w:val="(%1)"/>
      <w:numFmt w:val="lowerLetter"/>
      <w:start w:val="2"/>
    </w:lvl>
    <w:lvl w:ilvl="1">
      <w:lvlJc w:val="left"/>
      <w:lvlText w:val="•"/>
      <w:numFmt w:val="bullet"/>
      <w:start w:val="1"/>
    </w:lvl>
  </w:abstractNum>
  <w:abstractNum w:abstractNumId="23">
    <w:nsid w:val="217B22E4"/>
    <w:multiLevelType w:val="hybridMultilevel"/>
    <w:lvl w:ilvl="0">
      <w:lvlJc w:val="left"/>
      <w:lvlText w:val="(%1)"/>
      <w:numFmt w:val="lowerLetter"/>
      <w:start w:val="1"/>
    </w:lvl>
    <w:lvl w:ilvl="1">
      <w:lvlJc w:val="left"/>
      <w:lvlText w:val="•"/>
      <w:numFmt w:val="bullet"/>
      <w:start w:val="1"/>
    </w:lvl>
  </w:abstractNum>
  <w:abstractNum w:abstractNumId="24">
    <w:nsid w:val="53E31A24"/>
    <w:multiLevelType w:val="hybridMultilevel"/>
    <w:lvl w:ilvl="0">
      <w:lvlJc w:val="left"/>
      <w:lvlText w:val="(%1)"/>
      <w:numFmt w:val="lowerLetter"/>
      <w:start w:val="1"/>
    </w:lvl>
    <w:lvl w:ilvl="1">
      <w:lvlJc w:val="left"/>
      <w:lvlText w:val="•"/>
      <w:numFmt w:val="bullet"/>
      <w:start w:val="1"/>
    </w:lvl>
  </w:abstractNum>
  <w:abstractNum w:abstractNumId="25">
    <w:nsid w:val="6DC45E83"/>
    <w:multiLevelType w:val="hybridMultilevel"/>
    <w:lvl w:ilvl="0">
      <w:lvlJc w:val="left"/>
      <w:lvlText w:val="(%1)"/>
      <w:numFmt w:val="lowerLetter"/>
      <w:start w:val="4"/>
    </w:lvl>
    <w:lvl w:ilvl="1">
      <w:lvlJc w:val="left"/>
      <w:lvlText w:val="•"/>
      <w:numFmt w:val="bullet"/>
      <w:start w:val="1"/>
    </w:lvl>
  </w:abstractNum>
  <w:abstractNum w:abstractNumId="26">
    <w:nsid w:val="17304A67"/>
    <w:multiLevelType w:val="hybridMultilevel"/>
    <w:lvl w:ilvl="0">
      <w:lvlJc w:val="left"/>
      <w:lvlText w:val="(%1)"/>
      <w:numFmt w:val="lowerLetter"/>
      <w:start w:val="1"/>
    </w:lvl>
  </w:abstractNum>
  <w:abstractNum w:abstractNumId="27">
    <w:nsid w:val="2BB180D8"/>
    <w:multiLevelType w:val="hybridMultilevel"/>
    <w:lvl w:ilvl="0">
      <w:lvlJc w:val="left"/>
      <w:lvlText w:val="(%1)"/>
      <w:numFmt w:val="lowerLetter"/>
      <w:start w:val="1"/>
    </w:lvl>
    <w:lvl w:ilvl="1">
      <w:lvlJc w:val="left"/>
      <w:lvlText w:val="•"/>
      <w:numFmt w:val="bullet"/>
      <w:start w:val="1"/>
    </w:lvl>
  </w:abstractNum>
  <w:abstractNum w:abstractNumId="28">
    <w:nsid w:val="556B69ED"/>
    <w:multiLevelType w:val="hybridMultilevel"/>
    <w:lvl w:ilvl="0">
      <w:lvlJc w:val="left"/>
      <w:lvlText w:val="•"/>
      <w:numFmt w:val="bullet"/>
      <w:start w:val="1"/>
    </w:lvl>
  </w:abstractNum>
  <w:abstractNum w:abstractNumId="29">
    <w:nsid w:val="70836196"/>
    <w:multiLevelType w:val="hybridMultilevel"/>
    <w:lvl w:ilvl="0">
      <w:lvlJc w:val="left"/>
      <w:lvlText w:val="(%1)"/>
      <w:numFmt w:val="lowerLetter"/>
      <w:start w:val="3"/>
    </w:lvl>
  </w:abstractNum>
  <w:abstractNum w:abstractNumId="30">
    <w:nsid w:val="539F7F12"/>
    <w:multiLevelType w:val="hybridMultilevel"/>
    <w:lvl w:ilvl="0">
      <w:lvlJc w:val="left"/>
      <w:lvlText w:val="(%1)"/>
      <w:numFmt w:val="lowerLetter"/>
      <w:start w:val="2"/>
    </w:lvl>
  </w:abstractNum>
  <w:abstractNum w:abstractNumId="31">
    <w:nsid w:val="2817E7EC"/>
    <w:multiLevelType w:val="hybridMultilevel"/>
    <w:lvl w:ilvl="0">
      <w:lvlJc w:val="left"/>
      <w:lvlText w:val="(%1)"/>
      <w:numFmt w:val="lowerLetter"/>
      <w:start w:val="6"/>
    </w:lvl>
  </w:abstractNum>
  <w:abstractNum w:abstractNumId="32">
    <w:nsid w:val="71482545"/>
    <w:multiLevelType w:val="hybridMultilevel"/>
    <w:lvl w:ilvl="0">
      <w:lvlJc w:val="left"/>
      <w:lvlText w:val="*"/>
      <w:numFmt w:val="bullet"/>
      <w:start w:val="1"/>
    </w:lvl>
    <w:lvl w:ilvl="1">
      <w:lvlJc w:val="left"/>
      <w:lvlText w:val="(%2)"/>
      <w:numFmt w:val="lowerLetter"/>
      <w:start w:val="7"/>
    </w:lvl>
  </w:abstractNum>
  <w:abstractNum w:abstractNumId="33">
    <w:nsid w:val="17D78639"/>
    <w:multiLevelType w:val="hybridMultilevel"/>
    <w:lvl w:ilvl="0">
      <w:lvlJc w:val="left"/>
      <w:lvlText w:val="**"/>
      <w:numFmt w:val="bullet"/>
      <w:start w:val="1"/>
    </w:lvl>
    <w:lvl w:ilvl="1">
      <w:lvlJc w:val="left"/>
      <w:lvlText w:val="%2"/>
      <w:numFmt w:val="lowerLetter"/>
      <w:start w:val="1"/>
    </w:lvl>
  </w:abstractNum>
  <w:abstractNum w:abstractNumId="34">
    <w:nsid w:val="141D2302"/>
    <w:multiLevelType w:val="hybridMultilevel"/>
    <w:lvl w:ilvl="0">
      <w:lvlJc w:val="left"/>
      <w:lvlText w:val="•"/>
      <w:numFmt w:val="bullet"/>
      <w:start w:val="1"/>
    </w:lvl>
  </w:abstractNum>
  <w:abstractNum w:abstractNumId="35">
    <w:nsid w:val="407168D8"/>
    <w:multiLevelType w:val="hybridMultilevel"/>
    <w:lvl w:ilvl="0">
      <w:lvlJc w:val="left"/>
      <w:lvlText w:val="•"/>
      <w:numFmt w:val="bullet"/>
      <w:start w:val="1"/>
    </w:lvl>
  </w:abstractNum>
  <w:abstractNum w:abstractNumId="36">
    <w:nsid w:val="6A1B45E5"/>
    <w:multiLevelType w:val="hybridMultilevel"/>
    <w:lvl w:ilvl="0">
      <w:lvlJc w:val="left"/>
      <w:lvlText w:val="•"/>
      <w:numFmt w:val="bullet"/>
      <w:start w:val="1"/>
    </w:lvl>
  </w:abstractNum>
  <w:abstractNum w:abstractNumId="37">
    <w:nsid w:val="567BD50A"/>
    <w:multiLevelType w:val="hybridMultilevel"/>
    <w:lvl w:ilvl="0">
      <w:lvlJc w:val="left"/>
      <w:lvlText w:val="•"/>
      <w:numFmt w:val="bullet"/>
      <w:start w:val="1"/>
    </w:lvl>
  </w:abstractNum>
  <w:abstractNum w:abstractNumId="38">
    <w:nsid w:val="73BBD7F8"/>
    <w:multiLevelType w:val="hybridMultilevel"/>
    <w:lvl w:ilvl="0">
      <w:lvlJc w:val="left"/>
      <w:lvlText w:val="•"/>
      <w:numFmt w:val="bullet"/>
      <w:start w:val="1"/>
    </w:lvl>
  </w:abstractNum>
  <w:abstractNum w:abstractNumId="39">
    <w:nsid w:val="1876589D"/>
    <w:multiLevelType w:val="hybridMultilevel"/>
    <w:lvl w:ilvl="0">
      <w:lvlJc w:val="left"/>
      <w:lvlText w:val="•"/>
      <w:numFmt w:val="bullet"/>
      <w:start w:val="1"/>
    </w:lvl>
  </w:abstractNum>
  <w:abstractNum w:abstractNumId="40">
    <w:nsid w:val="327FAC77"/>
    <w:multiLevelType w:val="hybridMultilevel"/>
    <w:lvl w:ilvl="0">
      <w:lvlJc w:val="left"/>
      <w:lvlText w:val="•"/>
      <w:numFmt w:val="bullet"/>
      <w:start w:val="1"/>
    </w:lvl>
  </w:abstractNum>
  <w:abstractNum w:abstractNumId="41">
    <w:nsid w:val="5A606509"/>
    <w:multiLevelType w:val="hybridMultilevel"/>
    <w:lvl w:ilvl="0">
      <w:lvlJc w:val="left"/>
      <w:lvlText w:val="•"/>
      <w:numFmt w:val="bullet"/>
      <w:start w:val="1"/>
    </w:lvl>
  </w:abstractNum>
  <w:abstractNum w:abstractNumId="42">
    <w:nsid w:val="6F38E6D1"/>
    <w:multiLevelType w:val="hybridMultilevel"/>
    <w:lvl w:ilvl="0">
      <w:lvlJc w:val="left"/>
      <w:lvlText w:val="•"/>
      <w:numFmt w:val="bullet"/>
      <w:start w:val="1"/>
    </w:lvl>
  </w:abstractNum>
  <w:abstractNum w:abstractNumId="43">
    <w:nsid w:val="46111BA5"/>
    <w:multiLevelType w:val="hybridMultilevel"/>
    <w:lvl w:ilvl="0">
      <w:lvlJc w:val="left"/>
      <w:lvlText w:val="•"/>
      <w:numFmt w:val="bullet"/>
      <w:start w:val="1"/>
    </w:lvl>
    <w:lvl w:ilvl="1">
      <w:lvlJc w:val="left"/>
      <w:lvlText w:val="•"/>
      <w:numFmt w:val="bullet"/>
      <w:start w:val="1"/>
    </w:lvl>
  </w:abstractNum>
  <w:abstractNum w:abstractNumId="44">
    <w:nsid w:val="5E963896"/>
    <w:multiLevelType w:val="hybridMultilevel"/>
    <w:lvl w:ilvl="0">
      <w:lvlJc w:val="left"/>
      <w:lvlText w:val="•"/>
      <w:numFmt w:val="bullet"/>
      <w:start w:val="1"/>
    </w:lvl>
  </w:abstractNum>
  <w:abstractNum w:abstractNumId="45">
    <w:nsid w:val="775BA7C1"/>
    <w:multiLevelType w:val="hybridMultilevel"/>
    <w:lvl w:ilvl="0">
      <w:lvlJc w:val="left"/>
      <w:lvlText w:val="%1:"/>
      <w:numFmt w:val="upperLetter"/>
      <w:start w:val="17"/>
    </w:lvl>
  </w:abstractNum>
  <w:abstractNum w:abstractNumId="46">
    <w:nsid w:val="1DD6D6F4"/>
    <w:multiLevelType w:val="hybridMultilevel"/>
    <w:lvl w:ilvl="0">
      <w:lvlJc w:val="left"/>
      <w:lvlText w:val="%1:"/>
      <w:numFmt w:val="upperLetter"/>
      <w:start w:val="1"/>
    </w:lvl>
  </w:abstractNum>
  <w:abstractNum w:abstractNumId="47">
    <w:nsid w:val="769A091F"/>
    <w:multiLevelType w:val="hybridMultilevel"/>
    <w:lvl w:ilvl="0">
      <w:lvlJc w:val="left"/>
      <w:lvlText w:val="%1:"/>
      <w:numFmt w:val="upperLetter"/>
      <w:start w:val="17"/>
    </w:lvl>
  </w:abstractNum>
  <w:abstractNum w:abstractNumId="48">
    <w:nsid w:val="4695AE95"/>
    <w:multiLevelType w:val="hybridMultilevel"/>
    <w:lvl w:ilvl="0">
      <w:lvlJc w:val="left"/>
      <w:lvlText w:val="%1:"/>
      <w:numFmt w:val="upperLetter"/>
      <w:start w:val="1"/>
    </w:lvl>
  </w:abstractNum>
  <w:abstractNum w:abstractNumId="49">
    <w:nsid w:val="777A4EAA"/>
    <w:multiLevelType w:val="hybridMultilevel"/>
    <w:lvl w:ilvl="0">
      <w:lvlJc w:val="left"/>
      <w:lvlText w:val="%1:"/>
      <w:numFmt w:val="upperLetter"/>
      <w:start w:val="17"/>
    </w:lvl>
  </w:abstractNum>
  <w:abstractNum w:abstractNumId="50">
    <w:nsid w:val="3F48B982"/>
    <w:multiLevelType w:val="hybridMultilevel"/>
    <w:lvl w:ilvl="0">
      <w:lvlJc w:val="left"/>
      <w:lvlText w:val="%1:"/>
      <w:numFmt w:val="upperLetter"/>
      <w:start w:val="1"/>
    </w:lvl>
  </w:abstractNum>
  <w:abstractNum w:abstractNumId="51">
    <w:nsid w:val="46BA8FCA"/>
    <w:multiLevelType w:val="hybridMultilevel"/>
    <w:lvl w:ilvl="0">
      <w:lvlJc w:val="left"/>
      <w:lvlText w:val="%1:"/>
      <w:numFmt w:val="upperLetter"/>
      <w:start w:val="17"/>
    </w:lvl>
  </w:abstractNum>
  <w:abstractNum w:abstractNumId="52">
    <w:nsid w:val="7835626C"/>
    <w:multiLevelType w:val="hybridMultilevel"/>
    <w:lvl w:ilvl="0">
      <w:lvlJc w:val="left"/>
      <w:lvlText w:val="%1:"/>
      <w:numFmt w:val="upperLetter"/>
      <w:start w:val="1"/>
    </w:lvl>
  </w:abstractNum>
  <w:abstractNum w:abstractNumId="53">
    <w:nsid w:val="665ACA49"/>
    <w:multiLevelType w:val="hybridMultilevel"/>
    <w:lvl w:ilvl="0">
      <w:lvlJc w:val="left"/>
      <w:lvlText w:val="%1:"/>
      <w:numFmt w:val="upperLetter"/>
      <w:start w:val="17"/>
    </w:lvl>
  </w:abstractNum>
  <w:abstractNum w:abstractNumId="54">
    <w:nsid w:val="6835B2AE"/>
    <w:multiLevelType w:val="hybridMultilevel"/>
    <w:lvl w:ilvl="0">
      <w:lvlJc w:val="left"/>
      <w:lvlText w:val="%1:"/>
      <w:numFmt w:val="upperLetter"/>
      <w:start w:val="1"/>
    </w:lvl>
  </w:abstractNum>
  <w:abstractNum w:abstractNumId="55">
    <w:nsid w:val="4C187C90"/>
    <w:multiLevelType w:val="hybridMultilevel"/>
    <w:lvl w:ilvl="0">
      <w:lvlJc w:val="left"/>
      <w:lvlText w:val="%1:"/>
      <w:numFmt w:val="upperLetter"/>
      <w:start w:val="17"/>
    </w:lvl>
  </w:abstractNum>
  <w:abstractNum w:abstractNumId="56">
    <w:nsid w:val="541F28CD"/>
    <w:multiLevelType w:val="hybridMultilevel"/>
    <w:lvl w:ilvl="0">
      <w:lvlJc w:val="left"/>
      <w:lvlText w:val="%1:"/>
      <w:numFmt w:val="upperLetter"/>
      <w:start w:val="1"/>
    </w:lvl>
  </w:abstractNum>
  <w:abstractNum w:abstractNumId="57">
    <w:nsid w:val="7F65FD16"/>
    <w:multiLevelType w:val="hybridMultilevel"/>
    <w:lvl w:ilvl="0">
      <w:lvlJc w:val="left"/>
      <w:lvlText w:val="%1:"/>
      <w:numFmt w:val="upperLetter"/>
      <w:start w:val="17"/>
    </w:lvl>
  </w:abstractNum>
  <w:abstractNum w:abstractNumId="58">
    <w:nsid w:val="77C9FD68"/>
    <w:multiLevelType w:val="hybridMultilevel"/>
    <w:lvl w:ilvl="0">
      <w:lvlJc w:val="left"/>
      <w:lvlText w:val="%1:"/>
      <w:numFmt w:val="upperLetter"/>
      <w:start w:val="1"/>
    </w:lvl>
  </w:abstractNum>
  <w:abstractNum w:abstractNumId="59">
    <w:nsid w:val="298A92BA"/>
    <w:multiLevelType w:val="hybridMultilevel"/>
    <w:lvl w:ilvl="0">
      <w:lvlJc w:val="left"/>
      <w:lvlText w:val="%1:"/>
      <w:numFmt w:val="upperLetter"/>
      <w:start w:val="17"/>
    </w:lvl>
  </w:abstractNum>
  <w:abstractNum w:abstractNumId="60">
    <w:nsid w:val="6FE95EAC"/>
    <w:multiLevelType w:val="hybridMultilevel"/>
    <w:lvl w:ilvl="0">
      <w:lvlJc w:val="left"/>
      <w:lvlText w:val="%1:"/>
      <w:numFmt w:val="upperLetter"/>
      <w:start w:val="1"/>
    </w:lvl>
  </w:abstractNum>
  <w:abstractNum w:abstractNumId="61">
    <w:nsid w:val="4B697C7A"/>
    <w:multiLevelType w:val="hybridMultilevel"/>
    <w:lvl w:ilvl="0">
      <w:lvlJc w:val="left"/>
      <w:lvlText w:val="%1:"/>
      <w:numFmt w:val="upperLetter"/>
      <w:start w:val="17"/>
    </w:lvl>
  </w:abstractNum>
  <w:abstractNum w:abstractNumId="62">
    <w:nsid w:val="51A27AA6"/>
    <w:multiLevelType w:val="hybridMultilevel"/>
    <w:lvl w:ilvl="0">
      <w:lvlJc w:val="left"/>
      <w:lvlText w:val="%1:"/>
      <w:numFmt w:val="upperLetter"/>
      <w:start w:val="1"/>
    </w:lvl>
  </w:abstractNum>
  <w:abstractNum w:abstractNumId="63">
    <w:nsid w:val="613183F2"/>
    <w:multiLevelType w:val="hybridMultilevel"/>
    <w:lvl w:ilvl="0">
      <w:lvlJc w:val="left"/>
      <w:lvlText w:val="%1:"/>
      <w:numFmt w:val="upperLetter"/>
      <w:start w:val="17"/>
    </w:lvl>
  </w:abstractNum>
  <w:abstractNum w:abstractNumId="64">
    <w:nsid w:val="634102B4"/>
    <w:multiLevelType w:val="hybridMultilevel"/>
    <w:lvl w:ilvl="0">
      <w:lvlJc w:val="left"/>
      <w:lvlText w:val="%1:"/>
      <w:numFmt w:val="upperLetter"/>
      <w:start w:val="1"/>
    </w:lvl>
  </w:abstractNum>
  <w:abstractNum w:abstractNumId="65">
    <w:nsid w:val="65BF9DA8"/>
    <w:multiLevelType w:val="hybridMultilevel"/>
    <w:lvl w:ilvl="0">
      <w:lvlJc w:val="left"/>
      <w:lvlText w:val="%1:"/>
      <w:numFmt w:val="upperLetter"/>
      <w:start w:val="17"/>
    </w:lvl>
  </w:abstractNum>
  <w:abstractNum w:abstractNumId="66">
    <w:nsid w:val="21A2ECCA"/>
    <w:multiLevelType w:val="hybridMultilevel"/>
    <w:lvl w:ilvl="0">
      <w:lvlJc w:val="left"/>
      <w:lvlText w:val="%1:"/>
      <w:numFmt w:val="upperLetter"/>
      <w:start w:val="1"/>
    </w:lvl>
  </w:abstractNum>
  <w:abstractNum w:abstractNumId="67">
    <w:nsid w:val="4D5C4899"/>
    <w:multiLevelType w:val="hybridMultilevel"/>
    <w:lvl w:ilvl="0">
      <w:lvlJc w:val="left"/>
      <w:lvlText w:val="%1:"/>
      <w:numFmt w:val="upperLetter"/>
      <w:start w:val="17"/>
    </w:lvl>
  </w:abstractNum>
  <w:abstractNum w:abstractNumId="68">
    <w:nsid w:val="3C3B72B2"/>
    <w:multiLevelType w:val="hybridMultilevel"/>
    <w:lvl w:ilvl="0">
      <w:lvlJc w:val="left"/>
      <w:lvlText w:val="%1:"/>
      <w:numFmt w:val="upperLetter"/>
      <w:start w:val="1"/>
    </w:lvl>
  </w:abstractNum>
  <w:abstractNum w:abstractNumId="69">
    <w:nsid w:val="155EC4C2"/>
    <w:multiLevelType w:val="hybridMultilevel"/>
    <w:lvl w:ilvl="0">
      <w:lvlJc w:val="left"/>
      <w:lvlText w:val="%1:"/>
      <w:numFmt w:val="upperLetter"/>
      <w:start w:val="17"/>
    </w:lvl>
  </w:abstractNum>
  <w:abstractNum w:abstractNumId="70">
    <w:nsid w:val="65D2A137"/>
    <w:multiLevelType w:val="hybridMultilevel"/>
    <w:lvl w:ilvl="0">
      <w:lvlJc w:val="left"/>
      <w:lvlText w:val="%1:"/>
      <w:numFmt w:val="upperLetter"/>
      <w:start w:val="1"/>
    </w:lvl>
  </w:abstractNum>
  <w:abstractNum w:abstractNumId="71">
    <w:nsid w:val="6EBB1F2A"/>
    <w:multiLevelType w:val="hybridMultilevel"/>
    <w:lvl w:ilvl="0">
      <w:lvlJc w:val="left"/>
      <w:lvlText w:val="%1:"/>
      <w:numFmt w:val="upperLetter"/>
      <w:start w:val="17"/>
    </w:lvl>
  </w:abstractNum>
  <w:abstractNum w:abstractNumId="72">
    <w:nsid w:val="6FBF29CB"/>
    <w:multiLevelType w:val="hybridMultilevel"/>
    <w:lvl w:ilvl="0">
      <w:lvlJc w:val="left"/>
      <w:lvlText w:val="%1:"/>
      <w:numFmt w:val="upperLetter"/>
      <w:start w:val="1"/>
    </w:lvl>
  </w:abstractNum>
  <w:abstractNum w:abstractNumId="73">
    <w:nsid w:val="550B8808"/>
    <w:multiLevelType w:val="hybridMultilevel"/>
    <w:lvl w:ilvl="0">
      <w:lvlJc w:val="left"/>
      <w:lvlText w:val="%1:"/>
      <w:numFmt w:val="upperLetter"/>
      <w:start w:val="17"/>
    </w:lvl>
  </w:abstractNum>
  <w:abstractNum w:abstractNumId="74">
    <w:nsid w:val="34CC3ACF"/>
    <w:multiLevelType w:val="hybridMultilevel"/>
    <w:lvl w:ilvl="0">
      <w:lvlJc w:val="left"/>
      <w:lvlText w:val="%1:"/>
      <w:numFmt w:val="upperLetter"/>
      <w:start w:val="1"/>
    </w:lvl>
    <w:lvl w:ilvl="1">
      <w:lvlJc w:val="left"/>
      <w:lvlText w:val="•"/>
      <w:numFmt w:val="bullet"/>
      <w:start w:val="1"/>
    </w:lvl>
  </w:abstractNum>
  <w:abstractNum w:abstractNumId="75">
    <w:nsid w:val="4E556261"/>
    <w:multiLevelType w:val="hybridMultilevel"/>
    <w:lvl w:ilvl="0">
      <w:lvlJc w:val="left"/>
      <w:lvlText w:val="%1:"/>
      <w:numFmt w:val="upperLetter"/>
      <w:start w:val="17"/>
    </w:lvl>
  </w:abstractNum>
  <w:abstractNum w:abstractNumId="76">
    <w:nsid w:val="4C672FC9"/>
    <w:multiLevelType w:val="hybridMultilevel"/>
    <w:lvl w:ilvl="0">
      <w:lvlJc w:val="left"/>
      <w:lvlText w:val="%1:"/>
      <w:numFmt w:val="upperLetter"/>
      <w:start w:val="1"/>
    </w:lvl>
  </w:abstractNum>
  <w:abstractNum w:abstractNumId="77">
    <w:nsid w:val="52A311C3"/>
    <w:multiLevelType w:val="hybridMultilevel"/>
    <w:lvl w:ilvl="0">
      <w:lvlJc w:val="left"/>
      <w:lvlText w:val="%1:"/>
      <w:numFmt w:val="upperLetter"/>
      <w:start w:val="17"/>
    </w:lvl>
  </w:abstractNum>
  <w:abstractNum w:abstractNumId="78">
    <w:nsid w:val="44EF6B80"/>
    <w:multiLevelType w:val="hybridMultilevel"/>
    <w:lvl w:ilvl="0">
      <w:lvlJc w:val="left"/>
      <w:lvlText w:val="%1:"/>
      <w:numFmt w:val="upperLetter"/>
      <w:start w:val="1"/>
    </w:lvl>
  </w:abstractNum>
  <w:abstractNum w:abstractNumId="79">
    <w:nsid w:val="12FCDE5E"/>
    <w:multiLevelType w:val="hybridMultilevel"/>
    <w:lvl w:ilvl="0">
      <w:lvlJc w:val="left"/>
      <w:lvlText w:val="%1:"/>
      <w:numFmt w:val="upperLetter"/>
      <w:start w:val="17"/>
    </w:lvl>
  </w:abstractNum>
  <w:abstractNum w:abstractNumId="80">
    <w:nsid w:val="4A1D606E"/>
    <w:multiLevelType w:val="hybridMultilevel"/>
    <w:lvl w:ilvl="0">
      <w:lvlJc w:val="left"/>
      <w:lvlText w:val="%1:"/>
      <w:numFmt w:val="upperLetter"/>
      <w:start w:val="1"/>
    </w:lvl>
    <w:lvl w:ilvl="1">
      <w:lvlJc w:val="left"/>
      <w:lvlText w:val="•"/>
      <w:numFmt w:val="bullet"/>
      <w:start w:val="1"/>
    </w:lvl>
  </w:abstractNum>
  <w:abstractNum w:abstractNumId="81">
    <w:nsid w:val="4382503"/>
    <w:multiLevelType w:val="hybridMultilevel"/>
    <w:lvl w:ilvl="0">
      <w:lvlJc w:val="left"/>
      <w:lvlText w:val="%1:"/>
      <w:numFmt w:val="upperLetter"/>
      <w:start w:val="17"/>
    </w:lvl>
  </w:abstractNum>
  <w:abstractNum w:abstractNumId="82">
    <w:nsid w:val="59B76E28"/>
    <w:multiLevelType w:val="hybridMultilevel"/>
    <w:lvl w:ilvl="0">
      <w:lvlJc w:val="left"/>
      <w:lvlText w:val="%1:"/>
      <w:numFmt w:val="upperLetter"/>
      <w:start w:val="1"/>
    </w:lvl>
  </w:abstractNum>
  <w:abstractNum w:abstractNumId="83">
    <w:nsid w:val="4252C2DA"/>
    <w:multiLevelType w:val="hybridMultilevel"/>
    <w:lvl w:ilvl="0">
      <w:lvlJc w:val="left"/>
      <w:lvlText w:val="%1:"/>
      <w:numFmt w:val="upperLetter"/>
      <w:start w:val="17"/>
    </w:lvl>
  </w:abstractNum>
  <w:abstractNum w:abstractNumId="84">
    <w:nsid w:val="6A92EF4C"/>
    <w:multiLevelType w:val="hybridMultilevel"/>
    <w:lvl w:ilvl="0">
      <w:lvlJc w:val="left"/>
      <w:lvlText w:val="%1:"/>
      <w:numFmt w:val="upperLetter"/>
      <w:start w:val="1"/>
    </w:lvl>
  </w:abstractNum>
  <w:abstractNum w:abstractNumId="85">
    <w:nsid w:val="41ED20D7"/>
    <w:multiLevelType w:val="hybridMultilevel"/>
    <w:lvl w:ilvl="0">
      <w:lvlJc w:val="left"/>
      <w:lvlText w:val="%1:"/>
      <w:numFmt w:val="upperLetter"/>
      <w:start w:val="17"/>
    </w:lvl>
  </w:abstractNum>
  <w:abstractNum w:abstractNumId="86">
    <w:nsid w:val="E6B3F6A"/>
    <w:multiLevelType w:val="hybridMultilevel"/>
    <w:lvl w:ilvl="0">
      <w:lvlJc w:val="left"/>
      <w:lvlText w:val="%1:"/>
      <w:numFmt w:val="upperLetter"/>
      <w:start w:val="1"/>
    </w:lvl>
  </w:abstractNum>
  <w:abstractNum w:abstractNumId="87">
    <w:nsid w:val="3EB21819"/>
    <w:multiLevelType w:val="hybridMultilevel"/>
    <w:lvl w:ilvl="0">
      <w:lvlJc w:val="left"/>
      <w:lvlText w:val="%1:"/>
      <w:numFmt w:val="upperLetter"/>
      <w:start w:val="17"/>
    </w:lvl>
  </w:abstractNum>
  <w:abstractNum w:abstractNumId="88">
    <w:nsid w:val="41531DED"/>
    <w:multiLevelType w:val="hybridMultilevel"/>
    <w:lvl w:ilvl="0">
      <w:lvlJc w:val="left"/>
      <w:lvlText w:val="%1:"/>
      <w:numFmt w:val="upperLetter"/>
      <w:start w:val="1"/>
    </w:lvl>
  </w:abstractNum>
  <w:abstractNum w:abstractNumId="89">
    <w:nsid w:val="6353CD2"/>
    <w:multiLevelType w:val="hybridMultilevel"/>
    <w:lvl w:ilvl="0">
      <w:lvlJc w:val="left"/>
      <w:lvlText w:val="%1:"/>
      <w:numFmt w:val="upperLetter"/>
      <w:start w:val="17"/>
    </w:lvl>
  </w:abstractNum>
  <w:abstractNum w:abstractNumId="90">
    <w:nsid w:val="683CAAD3"/>
    <w:multiLevelType w:val="hybridMultilevel"/>
    <w:lvl w:ilvl="0">
      <w:lvlJc w:val="left"/>
      <w:lvlText w:val="%1:"/>
      <w:numFmt w:val="upperLetter"/>
      <w:start w:val="1"/>
    </w:lvl>
  </w:abstractNum>
  <w:abstractNum w:abstractNumId="91">
    <w:nsid w:val="313C7C99"/>
    <w:multiLevelType w:val="hybridMultilevel"/>
    <w:lvl w:ilvl="0">
      <w:lvlJc w:val="left"/>
      <w:lvlText w:val="•"/>
      <w:numFmt w:val="bullet"/>
      <w:start w:val="1"/>
    </w:lvl>
  </w:abstractNum>
  <w:abstractNum w:abstractNumId="92">
    <w:nsid w:val="519EB94C"/>
    <w:multiLevelType w:val="hybridMultilevel"/>
    <w:lvl w:ilvl="0">
      <w:lvlJc w:val="left"/>
      <w:lvlText w:val="•"/>
      <w:numFmt w:val="bullet"/>
      <w:start w:val="1"/>
    </w:lvl>
  </w:abstractNum>
  <w:abstractNum w:abstractNumId="93">
    <w:nsid w:val="39DF2579"/>
    <w:multiLevelType w:val="hybridMultilevel"/>
    <w:lvl w:ilvl="0">
      <w:lvlJc w:val="left"/>
      <w:lvlText w:val="(%1)"/>
      <w:numFmt w:val="lowerRoman"/>
      <w:start w:val="1"/>
    </w:lvl>
  </w:abstractNum>
  <w:abstractNum w:abstractNumId="94">
    <w:nsid w:val="126E008B"/>
    <w:multiLevelType w:val="hybridMultilevel"/>
    <w:lvl w:ilvl="0">
      <w:lvlJc w:val="left"/>
      <w:lvlText w:val="(%1)"/>
      <w:numFmt w:val="lowerLetter"/>
      <w:start w:val="1"/>
    </w:lvl>
  </w:abstractNum>
  <w:abstractNum w:abstractNumId="95">
    <w:nsid w:val="34DFBC00"/>
    <w:multiLevelType w:val="hybridMultilevel"/>
    <w:lvl w:ilvl="0">
      <w:lvlJc w:val="left"/>
      <w:lvlText w:val="%1."/>
      <w:numFmt w:val="decimal"/>
      <w:start w:val="1"/>
    </w:lvl>
  </w:abstractNum>
  <w:abstractNum w:abstractNumId="96">
    <w:nsid w:val="1F9EC322"/>
    <w:multiLevelType w:val="hybridMultilevel"/>
    <w:lvl w:ilvl="0">
      <w:lvlJc w:val="left"/>
      <w:lvlText w:val="%1."/>
      <w:numFmt w:val="decimal"/>
      <w:start w:val="2"/>
    </w:lvl>
  </w:abstractNum>
  <w:abstractNum w:abstractNumId="97">
    <w:nsid w:val="3410ED56"/>
    <w:multiLevelType w:val="hybridMultilevel"/>
    <w:lvl w:ilvl="0">
      <w:lvlJc w:val="left"/>
      <w:lvlText w:val="•"/>
      <w:numFmt w:val="bullet"/>
      <w:start w:val="1"/>
    </w:lvl>
  </w:abstractNum>
  <w:abstractNum w:abstractNumId="98">
    <w:nsid w:val="23C049A"/>
    <w:multiLevelType w:val="hybridMultilevel"/>
    <w:lvl w:ilvl="0">
      <w:lvlJc w:val="left"/>
      <w:lvlText w:val="•"/>
      <w:numFmt w:val="bullet"/>
      <w:start w:val="1"/>
    </w:lvl>
  </w:abstractNum>
  <w:abstractNum w:abstractNumId="99">
    <w:nsid w:val="5BDA35D4"/>
    <w:multiLevelType w:val="hybridMultilevel"/>
    <w:lvl w:ilvl="0">
      <w:lvlJc w:val="left"/>
      <w:lvlText w:val="•"/>
      <w:numFmt w:val="bullet"/>
      <w:start w:val="1"/>
    </w:lvl>
  </w:abstractNum>
  <w:abstractNum w:abstractNumId="100">
    <w:nsid w:val="496FB218"/>
    <w:multiLevelType w:val="hybridMultilevel"/>
    <w:lvl w:ilvl="0">
      <w:lvlJc w:val="left"/>
      <w:lvlText w:val="•"/>
      <w:numFmt w:val="bullet"/>
      <w:start w:val="1"/>
    </w:lvl>
  </w:abstractNum>
  <w:abstractNum w:abstractNumId="101">
    <w:nsid w:val="680EA5D1"/>
    <w:multiLevelType w:val="hybridMultilevel"/>
    <w:lvl w:ilvl="0">
      <w:lvlJc w:val="left"/>
      <w:lvlText w:val="(%1)"/>
      <w:numFmt w:val="lowerLetter"/>
      <w:start w:val="1"/>
    </w:lvl>
  </w:abstractNum>
  <w:abstractNum w:abstractNumId="102">
    <w:nsid w:val="4A9554FE"/>
    <w:multiLevelType w:val="hybridMultilevel"/>
    <w:lvl w:ilvl="0">
      <w:lvlJc w:val="left"/>
      <w:lvlText w:val="(%1)"/>
      <w:numFmt w:val="lowerLetter"/>
      <w:start w:val="2"/>
    </w:lvl>
  </w:abstractNum>
  <w:abstractNum w:abstractNumId="103">
    <w:nsid w:val="392EDBE4"/>
    <w:multiLevelType w:val="hybridMultilevel"/>
    <w:lvl w:ilvl="0">
      <w:lvlJc w:val="left"/>
      <w:lvlText w:val="•"/>
      <w:numFmt w:val="bullet"/>
      <w:start w:val="1"/>
    </w:lvl>
  </w:abstractNum>
  <w:abstractNum w:abstractNumId="104">
    <w:nsid w:val="3D1A2DD9"/>
    <w:multiLevelType w:val="hybridMultilevel"/>
    <w:lvl w:ilvl="0">
      <w:lvlJc w:val="left"/>
      <w:lvlText w:val="•"/>
      <w:numFmt w:val="bullet"/>
      <w:start w:val="1"/>
    </w:lvl>
    <w:lvl w:ilvl="1">
      <w:lvlJc w:val="left"/>
      <w:lvlText w:val="•"/>
      <w:numFmt w:val="bullet"/>
      <w:start w:val="1"/>
    </w:lvl>
  </w:abstractNum>
  <w:abstractNum w:abstractNumId="105">
    <w:nsid w:val="7F618FCD"/>
    <w:multiLevelType w:val="hybridMultilevel"/>
    <w:lvl w:ilvl="0">
      <w:lvlJc w:val="left"/>
      <w:lvlText w:val="•"/>
      <w:numFmt w:val="bullet"/>
      <w:start w:val="1"/>
    </w:lvl>
    <w:lvl w:ilvl="1">
      <w:lvlJc w:val="left"/>
      <w:lvlText w:val="•"/>
      <w:numFmt w:val="bullet"/>
      <w:start w:val="1"/>
    </w:lvl>
  </w:abstractNum>
  <w:abstractNum w:abstractNumId="106">
    <w:nsid w:val="7843E45"/>
    <w:multiLevelType w:val="hybridMultilevel"/>
    <w:lvl w:ilvl="0">
      <w:lvlJc w:val="left"/>
      <w:lvlText w:val="•"/>
      <w:numFmt w:val="bullet"/>
      <w:start w:val="1"/>
    </w:lvl>
    <w:lvl w:ilvl="1">
      <w:lvlJc w:val="left"/>
      <w:lvlText w:val="•"/>
      <w:numFmt w:val="bullet"/>
      <w:start w:val="1"/>
    </w:lvl>
  </w:abstractNum>
  <w:abstractNum w:abstractNumId="107">
    <w:nsid w:val="9815DA3"/>
    <w:multiLevelType w:val="hybridMultilevel"/>
    <w:lvl w:ilvl="0">
      <w:lvlJc w:val="left"/>
      <w:lvlText w:val="•"/>
      <w:numFmt w:val="bullet"/>
      <w:start w:val="1"/>
    </w:lvl>
  </w:abstractNum>
  <w:abstractNum w:abstractNumId="108">
    <w:nsid w:val="5204A191"/>
    <w:multiLevelType w:val="hybridMultilevel"/>
    <w:lvl w:ilvl="0">
      <w:lvlJc w:val="left"/>
      <w:lvlText w:val="•"/>
      <w:numFmt w:val="bullet"/>
      <w:start w:val="1"/>
    </w:lvl>
  </w:abstractNum>
  <w:abstractNum w:abstractNumId="109">
    <w:nsid w:val="4C73A9C6"/>
    <w:multiLevelType w:val="hybridMultilevel"/>
    <w:lvl w:ilvl="0">
      <w:lvlJc w:val="left"/>
      <w:lvlText w:val="•"/>
      <w:numFmt w:val="bullet"/>
      <w:start w:val="1"/>
    </w:lvl>
  </w:abstractNum>
  <w:abstractNum w:abstractNumId="110">
    <w:nsid w:val="1C7E3C01"/>
    <w:multiLevelType w:val="hybridMultilevel"/>
    <w:lvl w:ilvl="0">
      <w:lvlJc w:val="left"/>
      <w:lvlText w:val="•"/>
      <w:numFmt w:val="bullet"/>
      <w:start w:val="1"/>
    </w:lvl>
  </w:abstractNum>
  <w:abstractNum w:abstractNumId="111">
    <w:nsid w:val="1C2201FF"/>
    <w:multiLevelType w:val="hybridMultilevel"/>
    <w:lvl w:ilvl="0">
      <w:lvlJc w:val="left"/>
      <w:lvlText w:val="•"/>
      <w:numFmt w:val="bullet"/>
      <w:start w:val="1"/>
    </w:lvl>
  </w:abstractNum>
  <w:abstractNum w:abstractNumId="112">
    <w:nsid w:val="50ABCEC9"/>
    <w:multiLevelType w:val="hybridMultilevel"/>
    <w:lvl w:ilvl="0">
      <w:lvlJc w:val="left"/>
      <w:lvlText w:val="(%1)"/>
      <w:numFmt w:val="lowerLetter"/>
      <w:start w:val="3"/>
    </w:lvl>
  </w:abstractNum>
  <w:abstractNum w:abstractNumId="113">
    <w:nsid w:val="7635AA2A"/>
    <w:multiLevelType w:val="hybridMultilevel"/>
    <w:lvl w:ilvl="0">
      <w:lvlJc w:val="left"/>
      <w:lvlText w:val="•"/>
      <w:numFmt w:val="bullet"/>
      <w:start w:val="1"/>
    </w:lvl>
  </w:abstractNum>
  <w:abstractNum w:abstractNumId="114">
    <w:nsid w:val="5E74C4D9"/>
    <w:multiLevelType w:val="hybridMultilevel"/>
    <w:lvl w:ilvl="0">
      <w:lvlJc w:val="left"/>
      <w:lvlText w:val="•"/>
      <w:numFmt w:val="bullet"/>
      <w:start w:val="1"/>
    </w:lvl>
  </w:abstractNum>
  <w:abstractNum w:abstractNumId="115">
    <w:nsid w:val="3B3EBE15"/>
    <w:multiLevelType w:val="hybridMultilevel"/>
    <w:lvl w:ilvl="0">
      <w:lvlJc w:val="left"/>
      <w:lvlText w:val="(%1)"/>
      <w:numFmt w:val="lowerLetter"/>
      <w:start w:val="1"/>
    </w:lvl>
  </w:abstractNum>
  <w:abstractNum w:abstractNumId="116">
    <w:nsid w:val="3822CB01"/>
    <w:multiLevelType w:val="hybridMultilevel"/>
    <w:lvl w:ilvl="0">
      <w:lvlJc w:val="left"/>
      <w:lvlText w:val="•"/>
      <w:numFmt w:val="bullet"/>
      <w:start w:val="1"/>
    </w:lvl>
  </w:abstractNum>
  <w:abstractNum w:abstractNumId="117">
    <w:nsid w:val="6CE00443"/>
    <w:multiLevelType w:val="hybridMultilevel"/>
    <w:lvl w:ilvl="0">
      <w:lvlJc w:val="left"/>
      <w:lvlText w:val="•"/>
      <w:numFmt w:val="bullet"/>
      <w:start w:val="1"/>
    </w:lvl>
  </w:abstractNum>
  <w:abstractNum w:abstractNumId="118">
    <w:nsid w:val="79F0D62F"/>
    <w:multiLevelType w:val="hybridMultilevel"/>
    <w:lvl w:ilvl="0">
      <w:lvlJc w:val="left"/>
      <w:lvlText w:val="•"/>
      <w:numFmt w:val="bullet"/>
      <w:start w:val="1"/>
    </w:lvl>
  </w:abstractNum>
  <w:abstractNum w:abstractNumId="119">
    <w:nsid w:val="7975E8EE"/>
    <w:multiLevelType w:val="hybridMultilevel"/>
    <w:lvl w:ilvl="0">
      <w:lvlJc w:val="left"/>
      <w:lvlText w:val="(%1)"/>
      <w:numFmt w:val="lowerLetter"/>
      <w:start w:val="2"/>
    </w:lvl>
  </w:abstractNum>
  <w:abstractNum w:abstractNumId="120">
    <w:nsid w:val="73154115"/>
    <w:multiLevelType w:val="hybridMultilevel"/>
    <w:lvl w:ilvl="0">
      <w:lvlJc w:val="left"/>
      <w:lvlText w:val="(%1)"/>
      <w:numFmt w:val="upperLetter"/>
      <w:start w:val="1"/>
    </w:lvl>
  </w:abstractNum>
  <w:abstractNum w:abstractNumId="121">
    <w:nsid w:val="622D8102"/>
    <w:multiLevelType w:val="hybridMultilevel"/>
    <w:lvl w:ilvl="0">
      <w:lvlJc w:val="left"/>
      <w:lvlText w:val="(%1)"/>
      <w:numFmt w:val="decimal"/>
      <w:start w:val="1"/>
    </w:lvl>
  </w:abstractNum>
  <w:abstractNum w:abstractNumId="122">
    <w:nsid w:val="2AB26587"/>
    <w:multiLevelType w:val="hybridMultilevel"/>
    <w:lvl w:ilvl="0">
      <w:lvlJc w:val="left"/>
      <w:lvlText w:val="(%1)"/>
      <w:numFmt w:val="decimal"/>
      <w:start w:val="1"/>
    </w:lvl>
  </w:abstractNum>
  <w:abstractNum w:abstractNumId="123">
    <w:nsid w:val="44B3FA61"/>
    <w:multiLevelType w:val="hybridMultilevel"/>
    <w:lvl w:ilvl="0">
      <w:lvlJc w:val="left"/>
      <w:lvlText w:val="•"/>
      <w:numFmt w:val="bullet"/>
      <w:start w:val="1"/>
    </w:lvl>
  </w:abstractNum>
  <w:abstractNum w:abstractNumId="124">
    <w:nsid w:val="1C0CA67C"/>
    <w:multiLevelType w:val="hybridMultilevel"/>
    <w:lvl w:ilvl="0">
      <w:lvlJc w:val="left"/>
      <w:lvlText w:val="•"/>
      <w:numFmt w:val="bullet"/>
      <w:start w:val="1"/>
    </w:lvl>
  </w:abstractNum>
  <w:abstractNum w:abstractNumId="125">
    <w:nsid w:val="3D206613"/>
    <w:multiLevelType w:val="hybridMultilevel"/>
    <w:lvl w:ilvl="0">
      <w:lvlJc w:val="left"/>
      <w:lvlText w:val="(%1)"/>
      <w:numFmt w:val="lowerLetter"/>
      <w:start w:val="2"/>
    </w:lvl>
  </w:abstractNum>
  <w:abstractNum w:abstractNumId="126">
    <w:nsid w:val="7993B662"/>
    <w:multiLevelType w:val="hybridMultilevel"/>
    <w:lvl w:ilvl="0">
      <w:lvlJc w:val="left"/>
      <w:lvlText w:val="•"/>
      <w:numFmt w:val="bullet"/>
      <w:start w:val="1"/>
    </w:lvl>
  </w:abstractNum>
  <w:abstractNum w:abstractNumId="127">
    <w:nsid w:val="3BAB699E"/>
    <w:multiLevelType w:val="hybridMultilevel"/>
    <w:lvl w:ilvl="0">
      <w:lvlJc w:val="left"/>
      <w:lvlText w:val="•"/>
      <w:numFmt w:val="bullet"/>
      <w:start w:val="1"/>
    </w:lvl>
  </w:abstractNum>
  <w:abstractNum w:abstractNumId="128">
    <w:nsid w:val="71315369"/>
    <w:multiLevelType w:val="hybridMultilevel"/>
    <w:lvl w:ilvl="0">
      <w:lvlJc w:val="left"/>
      <w:lvlText w:val="•"/>
      <w:numFmt w:val="bullet"/>
      <w:start w:val="1"/>
    </w:lvl>
  </w:abstractNum>
  <w:abstractNum w:abstractNumId="129">
    <w:nsid w:val="7BCFBAFC"/>
    <w:multiLevelType w:val="hybridMultilevel"/>
    <w:lvl w:ilvl="0">
      <w:lvlJc w:val="left"/>
      <w:lvlText w:val="•"/>
      <w:numFmt w:val="bullet"/>
      <w:start w:val="1"/>
    </w:lvl>
  </w:abstractNum>
  <w:abstractNum w:abstractNumId="130">
    <w:nsid w:val="17859F72"/>
    <w:multiLevelType w:val="hybridMultilevel"/>
    <w:lvl w:ilvl="0">
      <w:lvlJc w:val="left"/>
      <w:lvlText w:val="•"/>
      <w:numFmt w:val="bullet"/>
      <w:start w:val="1"/>
    </w:lvl>
  </w:abstractNum>
  <w:abstractNum w:abstractNumId="131">
    <w:nsid w:val="3AA10581"/>
    <w:multiLevelType w:val="hybridMultilevel"/>
    <w:lvl w:ilvl="0">
      <w:lvlJc w:val="left"/>
      <w:lvlText w:val="(%1)"/>
      <w:numFmt w:val="lowerRoman"/>
      <w:start w:val="1"/>
    </w:lvl>
  </w:abstractNum>
  <w:abstractNum w:abstractNumId="132">
    <w:nsid w:val="63DE60CD"/>
    <w:multiLevelType w:val="hybridMultilevel"/>
    <w:lvl w:ilvl="0">
      <w:lvlJc w:val="left"/>
      <w:lvlText w:val="(%1)"/>
      <w:numFmt w:val="lowerRoman"/>
      <w:start w:val="5"/>
    </w:lvl>
  </w:abstractNum>
  <w:abstractNum w:abstractNumId="133">
    <w:nsid w:val="621AF471"/>
    <w:multiLevelType w:val="hybridMultilevel"/>
    <w:lvl w:ilvl="0">
      <w:lvlJc w:val="left"/>
      <w:lvlText w:val="•"/>
      <w:numFmt w:val="bullet"/>
      <w:start w:val="1"/>
    </w:lvl>
  </w:abstractNum>
  <w:abstractNum w:abstractNumId="134">
    <w:nsid w:val="73CFE165"/>
    <w:multiLevelType w:val="hybridMultilevel"/>
    <w:lvl w:ilvl="0">
      <w:lvlJc w:val="left"/>
      <w:lvlText w:val="•"/>
      <w:numFmt w:val="bullet"/>
      <w:start w:val="1"/>
    </w:lvl>
  </w:abstractNum>
  <w:abstractNum w:abstractNumId="135">
    <w:nsid w:val="20F88EA6"/>
    <w:multiLevelType w:val="hybridMultilevel"/>
    <w:lvl w:ilvl="0">
      <w:lvlJc w:val="left"/>
      <w:lvlText w:val="•"/>
      <w:numFmt w:val="bullet"/>
      <w:start w:val="1"/>
    </w:lvl>
  </w:abstractNum>
  <w:abstractNum w:abstractNumId="136">
    <w:nsid w:val="617C843E"/>
    <w:multiLevelType w:val="hybridMultilevel"/>
    <w:lvl w:ilvl="0">
      <w:lvlJc w:val="left"/>
      <w:lvlText w:val="•"/>
      <w:numFmt w:val="bullet"/>
      <w:start w:val="1"/>
    </w:lvl>
  </w:abstractNum>
  <w:abstractNum w:abstractNumId="137">
    <w:nsid w:val="7B541FAB"/>
    <w:multiLevelType w:val="hybridMultilevel"/>
    <w:lvl w:ilvl="0">
      <w:lvlJc w:val="left"/>
      <w:lvlText w:val="•"/>
      <w:numFmt w:val="bullet"/>
      <w:start w:val="1"/>
    </w:lvl>
    <w:lvl w:ilvl="1">
      <w:lvlJc w:val="left"/>
      <w:lvlText w:val="•"/>
      <w:numFmt w:val="bullet"/>
      <w:start w:val="1"/>
    </w:lvl>
  </w:abstractNum>
  <w:abstractNum w:abstractNumId="138">
    <w:nsid w:val="2A79EC49"/>
    <w:multiLevelType w:val="hybridMultilevel"/>
    <w:lvl w:ilvl="0">
      <w:lvlJc w:val="left"/>
      <w:lvlText w:val="•"/>
      <w:numFmt w:val="bullet"/>
      <w:start w:val="1"/>
    </w:lvl>
  </w:abstractNum>
  <w:abstractNum w:abstractNumId="139">
    <w:nsid w:val="338125CF"/>
    <w:multiLevelType w:val="hybridMultilevel"/>
    <w:lvl w:ilvl="0">
      <w:lvlJc w:val="left"/>
      <w:lvlText w:val="(%1)"/>
      <w:numFmt w:val="lowerLetter"/>
      <w:start w:val="1"/>
    </w:lvl>
  </w:abstractNum>
  <w:abstractNum w:abstractNumId="140">
    <w:nsid w:val="47C7C971"/>
    <w:multiLevelType w:val="hybridMultilevel"/>
    <w:lvl w:ilvl="0">
      <w:lvlJc w:val="left"/>
      <w:lvlText w:val="•"/>
      <w:numFmt w:val="bullet"/>
      <w:start w:val="1"/>
    </w:lvl>
  </w:abstractNum>
  <w:abstractNum w:abstractNumId="141">
    <w:nsid w:val="46F8284B"/>
    <w:multiLevelType w:val="hybridMultilevel"/>
    <w:lvl w:ilvl="0">
      <w:lvlJc w:val="left"/>
      <w:lvlText w:val="•"/>
      <w:numFmt w:val="bullet"/>
      <w:start w:val="1"/>
    </w:lvl>
    <w:lvl w:ilvl="1">
      <w:lvlJc w:val="left"/>
      <w:lvlText w:val="•"/>
      <w:numFmt w:val="bullet"/>
      <w:start w:val="1"/>
    </w:lvl>
  </w:abstractNum>
  <w:abstractNum w:abstractNumId="142">
    <w:nsid w:val="4FA327CE"/>
    <w:multiLevelType w:val="hybridMultilevel"/>
    <w:lvl w:ilvl="0">
      <w:lvlJc w:val="left"/>
      <w:lvlText w:val="•"/>
      <w:numFmt w:val="bullet"/>
      <w:start w:val="1"/>
    </w:lvl>
  </w:abstractNum>
  <w:abstractNum w:abstractNumId="143">
    <w:nsid w:val="1873983A"/>
    <w:multiLevelType w:val="hybridMultilevel"/>
    <w:lvl w:ilvl="0">
      <w:lvlJc w:val="left"/>
      <w:lvlText w:val="•"/>
      <w:numFmt w:val="bullet"/>
      <w:start w:val="1"/>
    </w:lvl>
  </w:abstractNum>
  <w:abstractNum w:abstractNumId="144">
    <w:nsid w:val="3D2DD275"/>
    <w:multiLevelType w:val="hybridMultilevel"/>
    <w:lvl w:ilvl="0">
      <w:lvlJc w:val="left"/>
      <w:lvlText w:val="•"/>
      <w:numFmt w:val="bullet"/>
      <w:start w:val="1"/>
    </w:lvl>
  </w:abstractNum>
  <w:abstractNum w:abstractNumId="145">
    <w:nsid w:val="2E17ECA7"/>
    <w:multiLevelType w:val="hybridMultilevel"/>
    <w:lvl w:ilvl="0">
      <w:lvlJc w:val="left"/>
      <w:lvlText w:val="•"/>
      <w:numFmt w:val="bullet"/>
      <w:start w:val="1"/>
    </w:lvl>
  </w:abstractNum>
  <w:abstractNum w:abstractNumId="146">
    <w:nsid w:val="53B2564F"/>
    <w:multiLevelType w:val="hybridMultilevel"/>
    <w:lvl w:ilvl="0">
      <w:lvlJc w:val="left"/>
      <w:lvlText w:val="•"/>
      <w:numFmt w:val="bullet"/>
      <w:start w:val="1"/>
    </w:lvl>
  </w:abstractNum>
  <w:abstractNum w:abstractNumId="147">
    <w:nsid w:val="75509D76"/>
    <w:multiLevelType w:val="hybridMultilevel"/>
    <w:lvl w:ilvl="0">
      <w:lvlJc w:val="left"/>
      <w:lvlText w:val="•"/>
      <w:numFmt w:val="bullet"/>
      <w:start w:val="1"/>
    </w:lvl>
  </w:abstractNum>
  <w:abstractNum w:abstractNumId="148">
    <w:nsid w:val="1AF7F0EA"/>
    <w:multiLevelType w:val="hybridMultilevel"/>
    <w:lvl w:ilvl="0">
      <w:lvlJc w:val="left"/>
      <w:lvlText w:val="•"/>
      <w:numFmt w:val="bullet"/>
      <w:start w:val="1"/>
    </w:lvl>
  </w:abstractNum>
  <w:abstractNum w:abstractNumId="149">
    <w:nsid w:val="4DA32C7E"/>
    <w:multiLevelType w:val="hybridMultilevel"/>
    <w:lvl w:ilvl="0">
      <w:lvlJc w:val="left"/>
      <w:lvlText w:val="•"/>
      <w:numFmt w:val="bullet"/>
      <w:start w:val="1"/>
    </w:lvl>
  </w:abstractNum>
  <w:abstractNum w:abstractNumId="150">
    <w:nsid w:val="6EC68664"/>
    <w:multiLevelType w:val="hybridMultilevel"/>
    <w:lvl w:ilvl="0">
      <w:lvlJc w:val="left"/>
      <w:lvlText w:val="•"/>
      <w:numFmt w:val="bullet"/>
      <w:start w:val="1"/>
    </w:lvl>
    <w:lvl w:ilvl="1">
      <w:lvlJc w:val="left"/>
      <w:lvlText w:val="(%2)"/>
      <w:numFmt w:val="lowerRoman"/>
      <w:start w:val="2"/>
    </w:lvl>
  </w:abstractNum>
  <w:abstractNum w:abstractNumId="151">
    <w:nsid w:val="E0D31FF"/>
    <w:multiLevelType w:val="hybridMultilevel"/>
    <w:lvl w:ilvl="0">
      <w:lvlJc w:val="left"/>
      <w:lvlText w:val="•"/>
      <w:numFmt w:val="bullet"/>
      <w:start w:val="1"/>
    </w:lvl>
    <w:lvl w:ilvl="1">
      <w:lvlJc w:val="left"/>
      <w:lvlText w:val="(%2)"/>
      <w:numFmt w:val="lowerRoman"/>
      <w:start w:val="2"/>
    </w:lvl>
  </w:abstractNum>
  <w:abstractNum w:abstractNumId="152">
    <w:nsid w:val="2FD0AD81"/>
    <w:multiLevelType w:val="hybridMultilevel"/>
    <w:lvl w:ilvl="0">
      <w:lvlJc w:val="left"/>
      <w:lvlText w:val="•"/>
      <w:numFmt w:val="bullet"/>
      <w:start w:val="1"/>
    </w:lvl>
  </w:abstractNum>
  <w:abstractNum w:abstractNumId="153">
    <w:nsid w:val="1978EBEB"/>
    <w:multiLevelType w:val="hybridMultilevel"/>
    <w:lvl w:ilvl="0">
      <w:lvlJc w:val="left"/>
      <w:lvlText w:val="•"/>
      <w:numFmt w:val="bullet"/>
      <w:start w:val="1"/>
    </w:lvl>
  </w:abstractNum>
  <w:abstractNum w:abstractNumId="154">
    <w:nsid w:val="52C12C61"/>
    <w:multiLevelType w:val="hybridMultilevel"/>
    <w:lvl w:ilvl="0">
      <w:lvlJc w:val="left"/>
      <w:lvlText w:val="•"/>
      <w:numFmt w:val="bullet"/>
      <w:start w:val="1"/>
    </w:lvl>
    <w:lvl w:ilvl="1">
      <w:lvlJc w:val="left"/>
      <w:lvlText w:val="•"/>
      <w:numFmt w:val="bullet"/>
      <w:start w:val="1"/>
    </w:lvl>
  </w:abstractNum>
  <w:abstractNum w:abstractNumId="155">
    <w:nsid w:val="4BDD53FD"/>
    <w:multiLevelType w:val="hybridMultilevel"/>
    <w:lvl w:ilvl="0">
      <w:lvlJc w:val="left"/>
      <w:lvlText w:val="•"/>
      <w:numFmt w:val="bullet"/>
      <w:start w:val="1"/>
    </w:lvl>
    <w:lvl w:ilvl="1">
      <w:lvlJc w:val="left"/>
      <w:lvlText w:val="•"/>
      <w:numFmt w:val="bullet"/>
      <w:start w:val="1"/>
    </w:lvl>
  </w:abstractNum>
  <w:abstractNum w:abstractNumId="156">
    <w:nsid w:val="569951FE"/>
    <w:multiLevelType w:val="hybridMultilevel"/>
    <w:lvl w:ilvl="0">
      <w:lvlJc w:val="left"/>
      <w:lvlText w:val="•"/>
      <w:numFmt w:val="bullet"/>
      <w:start w:val="1"/>
    </w:lvl>
  </w:abstractNum>
  <w:abstractNum w:abstractNumId="157">
    <w:nsid w:val="4C54E2C3"/>
    <w:multiLevelType w:val="hybridMultilevel"/>
    <w:lvl w:ilvl="0">
      <w:lvlJc w:val="left"/>
      <w:lvlText w:val="•"/>
      <w:numFmt w:val="bullet"/>
      <w:start w:val="1"/>
    </w:lvl>
    <w:lvl w:ilvl="1">
      <w:lvlJc w:val="left"/>
      <w:lvlText w:val="•"/>
      <w:numFmt w:val="bullet"/>
      <w:start w:val="1"/>
    </w:lvl>
  </w:abstractNum>
  <w:abstractNum w:abstractNumId="158">
    <w:nsid w:val="788BD9B"/>
    <w:multiLevelType w:val="hybridMultilevel"/>
    <w:lvl w:ilvl="0">
      <w:lvlJc w:val="left"/>
      <w:lvlText w:val="(%1)"/>
      <w:numFmt w:val="lowerLetter"/>
      <w:start w:val="1"/>
    </w:lvl>
  </w:abstractNum>
  <w:abstractNum w:abstractNumId="159">
    <w:nsid w:val="47CAA567"/>
    <w:multiLevelType w:val="hybridMultilevel"/>
    <w:lvl w:ilvl="0">
      <w:lvlJc w:val="left"/>
      <w:lvlText w:val="(%1)"/>
      <w:numFmt w:val="lowerLetter"/>
      <w:start w:val="5"/>
    </w:lvl>
  </w:abstractNum>
  <w:abstractNum w:abstractNumId="160">
    <w:nsid w:val="48249DBF"/>
    <w:multiLevelType w:val="hybridMultilevel"/>
    <w:lvl w:ilvl="0">
      <w:lvlJc w:val="left"/>
      <w:lvlText w:val="•"/>
      <w:numFmt w:val="bullet"/>
      <w:start w:val="1"/>
    </w:lvl>
  </w:abstractNum>
  <w:abstractNum w:abstractNumId="161">
    <w:nsid w:val="1F0E5D0D"/>
    <w:multiLevelType w:val="hybridMultilevel"/>
    <w:lvl w:ilvl="0">
      <w:lvlJc w:val="left"/>
      <w:lvlText w:val="•"/>
      <w:numFmt w:val="bullet"/>
      <w:start w:val="1"/>
    </w:lvl>
  </w:abstractNum>
  <w:abstractNum w:abstractNumId="162">
    <w:nsid w:val="26BAAE9"/>
    <w:multiLevelType w:val="hybridMultilevel"/>
    <w:lvl w:ilvl="0">
      <w:lvlJc w:val="left"/>
      <w:lvlText w:val="•"/>
      <w:numFmt w:val="bullet"/>
      <w:start w:val="1"/>
    </w:lvl>
  </w:abstractNum>
  <w:abstractNum w:abstractNumId="163">
    <w:nsid w:val="2C02FE8C"/>
    <w:multiLevelType w:val="hybridMultilevel"/>
    <w:lvl w:ilvl="0">
      <w:lvlJc w:val="left"/>
      <w:lvlText w:val="•"/>
      <w:numFmt w:val="bullet"/>
      <w:start w:val="1"/>
    </w:lvl>
  </w:abstractNum>
  <w:abstractNum w:abstractNumId="164">
    <w:nsid w:val="129517E"/>
    <w:multiLevelType w:val="hybridMultilevel"/>
    <w:lvl w:ilvl="0">
      <w:lvlJc w:val="left"/>
      <w:lvlText w:val="•"/>
      <w:numFmt w:val="bullet"/>
      <w:start w:val="1"/>
    </w:lvl>
  </w:abstractNum>
  <w:abstractNum w:abstractNumId="165">
    <w:nsid w:val="763B8C4E"/>
    <w:multiLevelType w:val="hybridMultilevel"/>
    <w:lvl w:ilvl="0">
      <w:lvlJc w:val="left"/>
      <w:lvlText w:val="•"/>
      <w:numFmt w:val="bullet"/>
      <w:start w:val="1"/>
    </w:lvl>
  </w:abstractNum>
  <w:abstractNum w:abstractNumId="166">
    <w:nsid w:val="4CFB8D32"/>
    <w:multiLevelType w:val="hybridMultilevel"/>
    <w:lvl w:ilvl="0">
      <w:lvlJc w:val="left"/>
      <w:lvlText w:val="(%1)"/>
      <w:numFmt w:val="decimal"/>
      <w:start w:val="1"/>
    </w:lvl>
  </w:abstractNum>
  <w:abstractNum w:abstractNumId="167">
    <w:nsid w:val="62A5D5BD"/>
    <w:multiLevelType w:val="hybridMultilevel"/>
    <w:lvl w:ilvl="0">
      <w:lvlJc w:val="left"/>
      <w:lvlText w:val="*"/>
      <w:numFmt w:val="bullet"/>
      <w:start w:val="1"/>
    </w:lvl>
  </w:abstractNum>
  <w:abstractNum w:abstractNumId="168">
    <w:nsid w:val="718FABF9"/>
    <w:multiLevelType w:val="hybridMultilevel"/>
    <w:lvl w:ilvl="0">
      <w:lvlJc w:val="left"/>
      <w:lvlText w:val="(%1)"/>
      <w:numFmt w:val="decimal"/>
      <w:start w:val="1"/>
    </w:lvl>
  </w:abstractNum>
  <w:abstractNum w:abstractNumId="169">
    <w:nsid w:val="7775797C"/>
    <w:multiLevelType w:val="hybridMultilevel"/>
    <w:lvl w:ilvl="0">
      <w:lvlJc w:val="left"/>
      <w:lvlText w:val="(%1)"/>
      <w:numFmt w:val="lowerRoman"/>
      <w:start w:val="1"/>
    </w:lvl>
    <w:lvl w:ilvl="1">
      <w:lvlJc w:val="left"/>
      <w:lvlText w:val="(%2)"/>
      <w:numFmt w:val="lowerRoman"/>
      <w:start w:val="2"/>
    </w:lvl>
  </w:abstractNum>
  <w:abstractNum w:abstractNumId="170">
    <w:nsid w:val="1626FB8C"/>
    <w:multiLevelType w:val="hybridMultilevel"/>
    <w:lvl w:ilvl="0">
      <w:lvlJc w:val="left"/>
      <w:lvlText w:val="(%1)"/>
      <w:numFmt w:val="lowerRoman"/>
      <w:start w:val="1"/>
    </w:lvl>
  </w:abstractNum>
  <w:abstractNum w:abstractNumId="171">
    <w:nsid w:val="3957756A"/>
    <w:multiLevelType w:val="hybridMultilevel"/>
    <w:lvl w:ilvl="0">
      <w:lvlJc w:val="left"/>
      <w:lvlText w:val="1"/>
      <w:numFmt w:val="bullet"/>
      <w:start w:val="1"/>
    </w:lvl>
  </w:abstractNum>
  <w:abstractNum w:abstractNumId="172">
    <w:nsid w:val="3E6DA1C7"/>
    <w:multiLevelType w:val="hybridMultilevel"/>
    <w:lvl w:ilvl="0">
      <w:lvlJc w:val="left"/>
      <w:lvlText w:val="2"/>
      <w:numFmt w:val="bullet"/>
      <w:start w:val="1"/>
    </w:lvl>
  </w:abstractNum>
  <w:abstractNum w:abstractNumId="173">
    <w:nsid w:val="65CA235B"/>
    <w:multiLevelType w:val="hybridMultilevel"/>
    <w:lvl w:ilvl="0">
      <w:lvlJc w:val="left"/>
      <w:lvlText w:val="3"/>
      <w:numFmt w:val="bullet"/>
      <w:start w:val="1"/>
    </w:lvl>
  </w:abstractNum>
  <w:abstractNum w:abstractNumId="174">
    <w:nsid w:val="51CB0DA4"/>
    <w:multiLevelType w:val="hybridMultilevel"/>
    <w:lvl w:ilvl="0">
      <w:lvlJc w:val="left"/>
      <w:lvlText w:val="•"/>
      <w:numFmt w:val="bullet"/>
      <w:start w:val="1"/>
    </w:lvl>
  </w:abstractNum>
  <w:abstractNum w:abstractNumId="175">
    <w:nsid w:val="7B9B743C"/>
    <w:multiLevelType w:val="hybridMultilevel"/>
    <w:lvl w:ilvl="0">
      <w:lvlJc w:val="left"/>
      <w:lvlText w:val="•"/>
      <w:numFmt w:val="bullet"/>
      <w:start w:val="1"/>
    </w:lvl>
  </w:abstractNum>
  <w:abstractNum w:abstractNumId="176">
    <w:nsid w:val="13E21002"/>
    <w:multiLevelType w:val="hybridMultilevel"/>
    <w:lvl w:ilvl="0">
      <w:lvlJc w:val="left"/>
      <w:lvlText w:val="•"/>
      <w:numFmt w:val="bullet"/>
      <w:start w:val="1"/>
    </w:lvl>
  </w:abstractNum>
  <w:abstractNum w:abstractNumId="177">
    <w:nsid w:val="257D63F4"/>
    <w:multiLevelType w:val="hybridMultilevel"/>
    <w:lvl w:ilvl="0">
      <w:lvlJc w:val="left"/>
      <w:lvlText w:val="•"/>
      <w:numFmt w:val="bullet"/>
      <w:start w:val="1"/>
    </w:lvl>
  </w:abstractNum>
  <w:abstractNum w:abstractNumId="178">
    <w:nsid w:val="70EC11B2"/>
    <w:multiLevelType w:val="hybridMultilevel"/>
    <w:lvl w:ilvl="0">
      <w:lvlJc w:val="left"/>
      <w:lvlText w:val="•"/>
      <w:numFmt w:val="bullet"/>
      <w:start w:val="1"/>
    </w:lvl>
  </w:abstractNum>
  <w:abstractNum w:abstractNumId="179">
    <w:nsid w:val="2EDA00ED"/>
    <w:multiLevelType w:val="hybridMultilevel"/>
    <w:lvl w:ilvl="0">
      <w:lvlJc w:val="left"/>
      <w:lvlText w:val="(%1)"/>
      <w:numFmt w:val="lowerLetter"/>
      <w:start w:val="1"/>
    </w:lvl>
  </w:abstractNum>
  <w:abstractNum w:abstractNumId="180">
    <w:nsid w:val="73209072"/>
    <w:multiLevelType w:val="hybridMultilevel"/>
    <w:lvl w:ilvl="0">
      <w:lvlJc w:val="left"/>
      <w:lvlText w:val="(%1)"/>
      <w:numFmt w:val="lowerLetter"/>
      <w:start w:val="2"/>
    </w:lvl>
  </w:abstractNum>
  <w:abstractNum w:abstractNumId="181">
    <w:nsid w:val="5FB2981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182">
    <w:nsid w:val="3CE732EC"/>
    <w:multiLevelType w:val="hybridMultilevel"/>
    <w:lvl w:ilvl="0">
      <w:lvlJc w:val="left"/>
      <w:lvlText w:val="(%1)"/>
      <w:numFmt w:val="lowerLetter"/>
      <w:start w:val="5"/>
    </w:lvl>
  </w:abstractNum>
  <w:abstractNum w:abstractNumId="183">
    <w:nsid w:val="22F13DF3"/>
    <w:multiLevelType w:val="hybridMultilevel"/>
    <w:lvl w:ilvl="0">
      <w:lvlJc w:val="left"/>
      <w:lvlText w:val="%1"/>
      <w:numFmt w:val="lowerLetter"/>
      <w:start w:val="1"/>
    </w:lvl>
    <w:lvl w:ilvl="1">
      <w:lvlJc w:val="left"/>
      <w:lvlText w:val="(%2)"/>
      <w:numFmt w:val="lowerLetter"/>
      <w:start w:val="1"/>
    </w:lvl>
  </w:abstractNum>
  <w:abstractNum w:abstractNumId="184">
    <w:nsid w:val="792B8401"/>
    <w:multiLevelType w:val="hybridMultilevel"/>
    <w:lvl w:ilvl="0">
      <w:lvlJc w:val="left"/>
      <w:lvlText w:val="(%1)"/>
      <w:numFmt w:val="lowerLetter"/>
      <w:start w:val="2"/>
    </w:lvl>
    <w:lvl w:ilvl="1">
      <w:lvlJc w:val="left"/>
      <w:lvlText w:val="%2"/>
      <w:numFmt w:val="lowerLetter"/>
      <w:start w:val="1"/>
    </w:lvl>
  </w:abstractNum>
  <w:abstractNum w:abstractNumId="185">
    <w:nsid w:val="FA85F4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6"/>
    </w:lvl>
  </w:abstractNum>
  <w:abstractNum w:abstractNumId="186">
    <w:nsid w:val="6ECE91F0"/>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87">
    <w:nsid w:val="4FC4D600"/>
    <w:multiLevelType w:val="hybridMultilevel"/>
    <w:lvl w:ilvl="0">
      <w:lvlJc w:val="left"/>
      <w:lvlText w:val="(%1)"/>
      <w:numFmt w:val="lowerLetter"/>
      <w:start w:val="1"/>
    </w:lvl>
    <w:lvl w:ilvl="1">
      <w:lvlJc w:val="left"/>
      <w:lvlText w:val="(%2)"/>
      <w:numFmt w:val="lowerLetter"/>
      <w:start w:val="4"/>
    </w:lvl>
  </w:abstractNum>
  <w:abstractNum w:abstractNumId="188">
    <w:nsid w:val="5BFD4210"/>
    <w:multiLevelType w:val="hybridMultilevel"/>
    <w:lvl w:ilvl="0">
      <w:lvlJc w:val="left"/>
      <w:lvlText w:val="(%1)"/>
      <w:numFmt w:val="lowerLetter"/>
      <w:start w:val="1"/>
    </w:lvl>
  </w:abstractNum>
  <w:abstractNum w:abstractNumId="189">
    <w:nsid w:val="76574F8B"/>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90">
    <w:nsid w:val="178F7B67"/>
    <w:multiLevelType w:val="hybridMultilevel"/>
    <w:lvl w:ilvl="0">
      <w:lvlJc w:val="left"/>
      <w:lvlText w:val="(%1)"/>
      <w:numFmt w:val="lowerLetter"/>
      <w:start w:val="1"/>
    </w:lvl>
    <w:lvl w:ilvl="1">
      <w:lvlJc w:val="left"/>
      <w:lvlText w:val="(%2)"/>
      <w:numFmt w:val="lowerLetter"/>
      <w:start w:val="2"/>
    </w:lvl>
  </w:abstractNum>
  <w:abstractNum w:abstractNumId="191">
    <w:nsid w:val="2421DFCF"/>
    <w:multiLevelType w:val="hybridMultilevel"/>
    <w:lvl w:ilvl="0">
      <w:lvlJc w:val="left"/>
      <w:lvlText w:val="%1"/>
      <w:numFmt w:val="lowerRoman"/>
      <w:start w:val="1"/>
    </w:lvl>
    <w:lvl w:ilvl="1">
      <w:lvlJc w:val="left"/>
      <w:lvlText w:val="(%2)"/>
      <w:numFmt w:val="lowerLetter"/>
      <w:start w:val="1"/>
    </w:lvl>
  </w:abstractNum>
  <w:abstractNum w:abstractNumId="192">
    <w:nsid w:val="1565AC99"/>
    <w:multiLevelType w:val="hybridMultilevel"/>
    <w:lvl w:ilvl="0">
      <w:lvlJc w:val="left"/>
      <w:lvlText w:val="(%1)"/>
      <w:numFmt w:val="lowerRoman"/>
      <w:start w:val="7"/>
    </w:lvl>
    <w:lvl w:ilvl="1">
      <w:lvlJc w:val="left"/>
      <w:lvlText w:val="%2"/>
      <w:numFmt w:val="lowerLetter"/>
      <w:start w:val="1"/>
    </w:lvl>
  </w:abstractNum>
  <w:abstractNum w:abstractNumId="193">
    <w:nsid w:val="19FB265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94">
    <w:nsid w:val="5024DE5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95">
    <w:nsid w:val="168EFE17"/>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6"/>
    </w:lvl>
  </w:abstractNum>
  <w:abstractNum w:abstractNumId="196">
    <w:nsid w:val="1036B29F"/>
    <w:multiLevelType w:val="hybridMultilevel"/>
    <w:lvl w:ilvl="0">
      <w:lvlJc w:val="left"/>
      <w:lvlText w:val="%1"/>
      <w:numFmt w:val="lowerLetter"/>
      <w:start w:val="1"/>
    </w:lvl>
    <w:lvl w:ilvl="1">
      <w:lvlJc w:val="left"/>
      <w:lvlText w:val="(%2)"/>
      <w:numFmt w:val="lowerLetter"/>
      <w:start w:val="1"/>
    </w:lvl>
  </w:abstractNum>
  <w:abstractNum w:abstractNumId="197">
    <w:nsid w:val="1D206B8E"/>
    <w:multiLevelType w:val="hybridMultilevel"/>
    <w:lvl w:ilvl="0">
      <w:lvlJc w:val="left"/>
      <w:lvlText w:val="(%1)"/>
      <w:numFmt w:val="lowerLetter"/>
      <w:start w:val="2"/>
    </w:lvl>
    <w:lvl w:ilvl="1">
      <w:lvlJc w:val="left"/>
      <w:lvlText w:val="%2"/>
      <w:numFmt w:val="lowerLetter"/>
      <w:start w:val="1"/>
    </w:lvl>
  </w:abstractNum>
  <w:abstractNum w:abstractNumId="198">
    <w:nsid w:val="7934D3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199">
    <w:nsid w:val="1C65E9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00">
    <w:nsid w:val="1495E50A"/>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01">
    <w:nsid w:val="F5BCF61"/>
    <w:multiLevelType w:val="hybridMultilevel"/>
    <w:lvl w:ilvl="0">
      <w:lvlJc w:val="left"/>
      <w:lvlText w:val="%1"/>
      <w:numFmt w:val="lowerLetter"/>
      <w:start w:val="1"/>
    </w:lvl>
    <w:lvl w:ilvl="1">
      <w:lvlJc w:val="left"/>
      <w:lvlText w:val="(%2)"/>
      <w:numFmt w:val="lowerLetter"/>
      <w:start w:val="1"/>
    </w:lvl>
  </w:abstractNum>
  <w:abstractNum w:abstractNumId="202">
    <w:nsid w:val="3B1DD403"/>
    <w:multiLevelType w:val="hybridMultilevel"/>
    <w:lvl w:ilvl="0">
      <w:lvlJc w:val="left"/>
      <w:lvlText w:val="(%1)"/>
      <w:numFmt w:val="lowerLetter"/>
      <w:start w:val="2"/>
    </w:lvl>
    <w:lvl w:ilvl="1">
      <w:lvlJc w:val="left"/>
      <w:lvlText w:val="%2"/>
      <w:numFmt w:val="lowerLetter"/>
      <w:start w:val="1"/>
    </w:lvl>
  </w:abstractNum>
  <w:abstractNum w:abstractNumId="203">
    <w:nsid w:val="530386D1"/>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04">
    <w:nsid w:val="7525F2BC"/>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abstractNum>
  <w:abstractNum w:abstractNumId="205">
    <w:nsid w:val="CE8E1A7"/>
    <w:multiLevelType w:val="hybridMultilevel"/>
    <w:lvl w:ilvl="0">
      <w:lvlJc w:val="left"/>
      <w:lvlText w:val="(%1)"/>
      <w:numFmt w:val="lowerRoman"/>
      <w:start w:val="1"/>
    </w:lvl>
  </w:abstractNum>
  <w:abstractNum w:abstractNumId="206">
    <w:nsid w:val="4E9EFB0D"/>
    <w:multiLevelType w:val="hybridMultilevel"/>
    <w:lvl w:ilvl="0">
      <w:lvlJc w:val="left"/>
      <w:lvlText w:val="%1"/>
      <w:numFmt w:val="lowerLetter"/>
      <w:start w:val="1"/>
    </w:lvl>
    <w:lvl w:ilvl="1">
      <w:lvlJc w:val="left"/>
      <w:lvlText w:val="(%2)"/>
      <w:numFmt w:val="lowerLetter"/>
      <w:start w:val="1"/>
    </w:lvl>
  </w:abstractNum>
  <w:abstractNum w:abstractNumId="207">
    <w:nsid w:val="90802BE"/>
    <w:multiLevelType w:val="hybridMultilevel"/>
    <w:lvl w:ilvl="0">
      <w:lvlJc w:val="left"/>
      <w:lvlText w:val="(%1)"/>
      <w:numFmt w:val="lowerLetter"/>
      <w:start w:val="2"/>
    </w:lvl>
    <w:lvl w:ilvl="1">
      <w:lvlJc w:val="left"/>
      <w:lvlText w:val="%2"/>
      <w:numFmt w:val="lowerLetter"/>
      <w:start w:val="1"/>
    </w:lvl>
  </w:abstractNum>
  <w:abstractNum w:abstractNumId="208">
    <w:nsid w:val="3266459B"/>
    <w:multiLevelType w:val="hybridMultilevel"/>
    <w:lvl w:ilvl="0">
      <w:lvlJc w:val="left"/>
      <w:lvlText w:val="(%1)"/>
      <w:numFmt w:val="lowerLetter"/>
      <w:start w:val="1"/>
    </w:lvl>
  </w:abstractNum>
  <w:abstractNum w:abstractNumId="209">
    <w:nsid w:val="3F8B0CBF"/>
    <w:multiLevelType w:val="hybridMultilevel"/>
    <w:lvl w:ilvl="0">
      <w:lvlJc w:val="left"/>
      <w:lvlText w:val="(%1)"/>
      <w:numFmt w:val="lowerLetter"/>
      <w:start w:val="1"/>
    </w:lvl>
  </w:abstractNum>
  <w:abstractNum w:abstractNumId="210">
    <w:nsid w:val="37E203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2"/>
    </w:lvl>
  </w:abstractNum>
  <w:abstractNum w:abstractNumId="211">
    <w:nsid w:val="2586D60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12">
    <w:nsid w:val="1F3DA4D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3">
    <w:nsid w:val="74C93698"/>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1"/>
    </w:lvl>
    <w:lvl w:ilvl="4">
      <w:lvlJc w:val="left"/>
      <w:lvlText w:val="(%5)"/>
      <w:numFmt w:val="lowerLetter"/>
      <w:start w:val="9"/>
    </w:lvl>
    <w:lvl w:ilvl="5">
      <w:lvlJc w:val="left"/>
      <w:lvlText w:val="(%6)"/>
      <w:numFmt w:val="lowerLetter"/>
      <w:start w:val="6"/>
    </w:lvl>
    <w:lvl w:ilvl="6">
      <w:lvlJc w:val="left"/>
      <w:lvlText w:val="(%7)"/>
      <w:numFmt w:val="lowerLetter"/>
      <w:start w:val="6"/>
    </w:lvl>
  </w:abstractNum>
  <w:abstractNum w:abstractNumId="214">
    <w:nsid w:val="48781401"/>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5">
    <w:nsid w:val="186928D6"/>
    <w:multiLevelType w:val="hybridMultilevel"/>
    <w:lvl w:ilvl="0">
      <w:lvlJc w:val="left"/>
      <w:lvlText w:val="%1"/>
      <w:numFmt w:val="lowerLetter"/>
      <w:start w:val="1"/>
    </w:lvl>
    <w:lvl w:ilvl="1">
      <w:lvlJc w:val="left"/>
      <w:lvlText w:val="(%2)"/>
      <w:numFmt w:val="lowerLetter"/>
      <w:start w:val="11"/>
    </w:lvl>
  </w:abstractNum>
  <w:abstractNum w:abstractNumId="216">
    <w:nsid w:val="47195E5"/>
    <w:multiLevelType w:val="hybridMultilevel"/>
    <w:lvl w:ilvl="0">
      <w:lvlJc w:val="left"/>
      <w:lvlText w:val="(%1)"/>
      <w:numFmt w:val="lowerLetter"/>
      <w:start w:val="12"/>
    </w:lvl>
    <w:lvl w:ilvl="1">
      <w:lvlJc w:val="left"/>
      <w:lvlText w:val="%2"/>
      <w:numFmt w:val="lowerLetter"/>
      <w:start w:val="1"/>
    </w:lvl>
  </w:abstractNum>
  <w:abstractNum w:abstractNumId="217">
    <w:nsid w:val="3746A5F2"/>
    <w:multiLevelType w:val="hybridMultilevel"/>
    <w:lvl w:ilvl="0">
      <w:lvlJc w:val="left"/>
      <w:lvlText w:val="(%1)"/>
      <w:numFmt w:val="lowerLetter"/>
      <w:start w:val="13"/>
    </w:lvl>
  </w:abstractNum>
  <w:abstractNum w:abstractNumId="218">
    <w:nsid w:val="682DFED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19">
    <w:nsid w:val="606ED7F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220">
    <w:nsid w:val="2D9DF57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21">
    <w:nsid w:val="7FBD7A3E"/>
    <w:multiLevelType w:val="hybridMultilevel"/>
    <w:lvl w:ilvl="0">
      <w:lvlJc w:val="left"/>
      <w:lvlText w:val="%1"/>
      <w:numFmt w:val="lowerLetter"/>
      <w:start w:val="1"/>
    </w:lvl>
    <w:lvl w:ilvl="1">
      <w:lvlJc w:val="left"/>
      <w:lvlText w:val="(%2)"/>
      <w:numFmt w:val="lowerLetter"/>
      <w:start w:val="6"/>
    </w:lvl>
  </w:abstractNum>
  <w:abstractNum w:abstractNumId="222">
    <w:nsid w:val="490B7C5"/>
    <w:multiLevelType w:val="hybridMultilevel"/>
    <w:lvl w:ilvl="0">
      <w:lvlJc w:val="left"/>
      <w:lvlText w:val="(%1)"/>
      <w:numFmt w:val="lowerLetter"/>
      <w:start w:val="7"/>
    </w:lvl>
    <w:lvl w:ilvl="1">
      <w:lvlJc w:val="left"/>
      <w:lvlText w:val="%2"/>
      <w:numFmt w:val="lowerLetter"/>
      <w:start w:val="1"/>
    </w:lvl>
  </w:abstractNum>
  <w:abstractNum w:abstractNumId="223">
    <w:nsid w:val="4303A216"/>
    <w:multiLevelType w:val="hybridMultilevel"/>
    <w:lvl w:ilvl="0">
      <w:lvlJc w:val="left"/>
      <w:lvlText w:val="(%1)"/>
      <w:numFmt w:val="lowerLetter"/>
      <w:start w:val="4"/>
    </w:lvl>
  </w:abstractNum>
  <w:abstractNum w:abstractNumId="224">
    <w:nsid w:val="19B8A08E"/>
    <w:multiLevelType w:val="hybridMultilevel"/>
    <w:lvl w:ilvl="0">
      <w:lvlJc w:val="left"/>
      <w:lvlText w:val="(%1)"/>
      <w:numFmt w:val="lowerLetter"/>
      <w:start w:val="6"/>
    </w:lvl>
  </w:abstractNum>
  <w:abstractNum w:abstractNumId="225">
    <w:nsid w:val="54B5962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2"/>
    </w:lvl>
    <w:lvl w:ilvl="3">
      <w:lvlJc w:val="left"/>
      <w:lvlText w:val="(%4)"/>
      <w:numFmt w:val="lowerLetter"/>
      <w:start w:val="3"/>
    </w:lvl>
    <w:lvl w:ilvl="4">
      <w:lvlJc w:val="left"/>
      <w:lvlText w:val="(%5)"/>
      <w:numFmt w:val="lowerLetter"/>
      <w:start w:val="3"/>
    </w:lvl>
  </w:abstractNum>
  <w:abstractNum w:abstractNumId="226">
    <w:nsid w:val="5992A02E"/>
    <w:multiLevelType w:val="hybridMultilevel"/>
    <w:lvl w:ilvl="0">
      <w:lvlJc w:val="left"/>
      <w:lvlText w:val="(%1)"/>
      <w:numFmt w:val="lowerLetter"/>
      <w:start w:val="1"/>
    </w:lvl>
    <w:lvl w:ilvl="1">
      <w:lvlJc w:val="left"/>
      <w:lvlText w:val="(%2)"/>
      <w:numFmt w:val="lowerLetter"/>
      <w:start w:val="9"/>
    </w:lvl>
  </w:abstractNum>
  <w:abstractNum w:abstractNumId="227">
    <w:nsid w:val="29EF532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28">
    <w:nsid w:val="71D601AF"/>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29">
    <w:nsid w:val="52C77402"/>
    <w:multiLevelType w:val="hybridMultilevel"/>
    <w:lvl w:ilvl="0">
      <w:lvlJc w:val="left"/>
      <w:lvlText w:val="(%1)"/>
      <w:numFmt w:val="lowerRoman"/>
      <w:start w:val="5"/>
    </w:lvl>
    <w:lvl w:ilvl="1">
      <w:lvlJc w:val="left"/>
      <w:lvlText w:val="(%2)"/>
      <w:numFmt w:val="lowerRoman"/>
      <w:start w:val="6"/>
    </w:lvl>
  </w:abstractNum>
  <w:abstractNum w:abstractNumId="230">
    <w:nsid w:val="2BB5B1C6"/>
    <w:multiLevelType w:val="hybridMultilevel"/>
    <w:lvl w:ilvl="0">
      <w:lvlJc w:val="left"/>
      <w:lvlText w:val="(%1)"/>
      <w:numFmt w:val="lowerRoman"/>
      <w:start w:val="7"/>
    </w:lvl>
  </w:abstractNum>
  <w:abstractNum w:abstractNumId="231">
    <w:nsid w:val="66BE6B9"/>
    <w:multiLevelType w:val="hybridMultilevel"/>
    <w:lvl w:ilvl="0">
      <w:lvlJc w:val="left"/>
      <w:lvlText w:val="(%1)"/>
      <w:numFmt w:val="lowerRoman"/>
      <w:start w:val="8"/>
    </w:lvl>
  </w:abstractNum>
  <w:abstractNum w:abstractNumId="232">
    <w:nsid w:val="6223436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9"/>
    </w:lvl>
  </w:abstractNum>
  <w:abstractNum w:abstractNumId="233">
    <w:nsid w:val="66D385C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0"/>
    </w:lvl>
    <w:lvl w:ilvl="4">
      <w:lvlJc w:val="left"/>
      <w:lvlText w:val="%5"/>
      <w:numFmt w:val="lowerRoman"/>
      <w:start w:val="1"/>
    </w:lvl>
  </w:abstractNum>
  <w:abstractNum w:abstractNumId="234">
    <w:nsid w:val="596F6D8A"/>
    <w:multiLevelType w:val="hybridMultilevel"/>
    <w:lvl w:ilvl="0">
      <w:lvlJc w:val="left"/>
      <w:lvlText w:val="%1"/>
      <w:numFmt w:val="lowerRoman"/>
      <w:start w:val="1"/>
    </w:lvl>
    <w:lvl w:ilvl="1">
      <w:lvlJc w:val="left"/>
      <w:lvlText w:val="(%2)"/>
      <w:numFmt w:val="lowerRoman"/>
      <w:start w:val="1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35">
    <w:nsid w:val="5749361F"/>
    <w:multiLevelType w:val="hybridMultilevel"/>
    <w:lvl w:ilvl="0">
      <w:lvlJc w:val="left"/>
      <w:lvlText w:val="(%1)"/>
      <w:numFmt w:val="lowerRoman"/>
      <w:start w:val="14"/>
    </w:lvl>
    <w:lvl w:ilvl="1">
      <w:lvlJc w:val="left"/>
      <w:lvlText w:val="%2"/>
      <w:numFmt w:val="lowerRoman"/>
      <w:start w:val="1"/>
    </w:lvl>
    <w:lvl w:ilvl="2">
      <w:lvlJc w:val="left"/>
      <w:lvlText w:val="(%3)"/>
      <w:numFmt w:val="lowerRoman"/>
      <w:start w:val="19"/>
    </w:lvl>
    <w:lvl w:ilvl="3">
      <w:lvlJc w:val="left"/>
      <w:lvlText w:val="%4"/>
      <w:numFmt w:val="lowerRoman"/>
      <w:start w:val="1"/>
    </w:lvl>
    <w:lvl w:ilvl="4">
      <w:lvlJc w:val="left"/>
      <w:lvlText w:val="%5"/>
      <w:numFmt w:val="lowerRoman"/>
      <w:start w:val="1"/>
    </w:lvl>
  </w:abstractNum>
  <w:abstractNum w:abstractNumId="236">
    <w:nsid w:val="73BC6770"/>
    <w:multiLevelType w:val="hybridMultilevel"/>
    <w:lvl w:ilvl="0">
      <w:lvlJc w:val="left"/>
      <w:lvlText w:val="%1"/>
      <w:numFmt w:val="lowerLetter"/>
      <w:start w:val="1"/>
    </w:lvl>
    <w:lvl w:ilvl="1">
      <w:lvlJc w:val="left"/>
      <w:lvlText w:val="(%2)"/>
      <w:numFmt w:val="lowerLetter"/>
      <w:start w:val="50"/>
    </w:lvl>
  </w:abstractNum>
  <w:abstractNum w:abstractNumId="237">
    <w:nsid w:val="280E6897"/>
    <w:multiLevelType w:val="hybridMultilevel"/>
    <w:lvl w:ilvl="0">
      <w:lvlJc w:val="left"/>
      <w:lvlText w:val="(%1)"/>
      <w:numFmt w:val="lowerLetter"/>
      <w:start w:val="2"/>
    </w:lvl>
    <w:lvl w:ilvl="1">
      <w:lvlJc w:val="left"/>
      <w:lvlText w:val="%2"/>
      <w:numFmt w:val="lowerLetter"/>
      <w:start w:val="1"/>
    </w:lvl>
  </w:abstractNum>
  <w:abstractNum w:abstractNumId="238">
    <w:nsid w:val="605138DE"/>
    <w:multiLevelType w:val="hybridMultilevel"/>
    <w:lvl w:ilvl="0">
      <w:lvlJc w:val="left"/>
      <w:lvlText w:val="(%1)"/>
      <w:numFmt w:val="lowerLetter"/>
      <w:start w:val="1"/>
    </w:lvl>
  </w:abstractNum>
  <w:abstractNum w:abstractNumId="239">
    <w:nsid w:val="2622AD0C"/>
    <w:multiLevelType w:val="hybridMultilevel"/>
    <w:lvl w:ilvl="0">
      <w:lvlJc w:val="left"/>
      <w:lvlText w:val="%1"/>
      <w:numFmt w:val="lowerLetter"/>
      <w:start w:val="1"/>
    </w:lvl>
    <w:lvl w:ilvl="1">
      <w:lvlJc w:val="left"/>
      <w:lvlText w:val="(%2)"/>
      <w:numFmt w:val="lowerLetter"/>
      <w:start w:val="1"/>
    </w:lvl>
  </w:abstractNum>
  <w:abstractNum w:abstractNumId="240">
    <w:nsid w:val="67997556"/>
    <w:multiLevelType w:val="hybridMultilevel"/>
    <w:lvl w:ilvl="0">
      <w:lvlJc w:val="left"/>
      <w:lvlText w:val="(%1)"/>
      <w:numFmt w:val="lowerLetter"/>
      <w:start w:val="2"/>
    </w:lvl>
    <w:lvl w:ilvl="1">
      <w:lvlJc w:val="left"/>
      <w:lvlText w:val="%2"/>
      <w:numFmt w:val="lowerLetter"/>
      <w:start w:val="1"/>
    </w:lvl>
  </w:abstractNum>
  <w:abstractNum w:abstractNumId="241">
    <w:nsid w:val="18333C89"/>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3"/>
    </w:lvl>
  </w:abstractNum>
  <w:abstractNum w:abstractNumId="242">
    <w:nsid w:val="4BA9831A"/>
    <w:multiLevelType w:val="hybridMultilevel"/>
    <w:lvl w:ilvl="0">
      <w:lvlJc w:val="left"/>
      <w:lvlText w:val="(%1)"/>
      <w:numFmt w:val="lowerLetter"/>
      <w:start w:val="1"/>
    </w:lvl>
  </w:abstractNum>
  <w:abstractNum w:abstractNumId="243">
    <w:nsid w:val="6D71A2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44">
    <w:nsid w:val="CFC7321"/>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5">
    <w:nsid w:val="1421971B"/>
    <w:multiLevelType w:val="hybridMultilevel"/>
    <w:lvl w:ilvl="0">
      <w:lvlJc w:val="left"/>
      <w:lvlText w:val="(%1)"/>
      <w:numFmt w:val="lowerRoman"/>
      <w:start w:val="3"/>
    </w:lvl>
    <w:lvl w:ilvl="1">
      <w:lvlJc w:val="left"/>
      <w:lvlText w:val="(%2)"/>
      <w:numFmt w:val="lowerLetter"/>
      <w:start w:val="4"/>
    </w:lvl>
    <w:lvl w:ilvl="2">
      <w:lvlJc w:val="left"/>
      <w:lvlText w:val="(%3)"/>
      <w:numFmt w:val="lowerLetter"/>
      <w:start w:val="4"/>
    </w:lvl>
    <w:lvl w:ilvl="3">
      <w:lvlJc w:val="left"/>
      <w:lvlText w:val="%4"/>
      <w:numFmt w:val="lowerLetter"/>
      <w:start w:val="1"/>
    </w:lvl>
  </w:abstractNum>
  <w:abstractNum w:abstractNumId="246">
    <w:nsid w:val="1F40430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47">
    <w:nsid w:val="116E0907"/>
    <w:multiLevelType w:val="hybridMultilevel"/>
    <w:lvl w:ilvl="0">
      <w:lvlJc w:val="left"/>
      <w:lvlText w:val="%1"/>
      <w:numFmt w:val="lowerLetter"/>
      <w:start w:val="1"/>
    </w:lvl>
    <w:lvl w:ilvl="1">
      <w:lvlJc w:val="left"/>
      <w:lvlText w:val="(%2)"/>
      <w:numFmt w:val="lowerLetter"/>
      <w:start w:val="7"/>
    </w:lvl>
  </w:abstractNum>
  <w:abstractNum w:abstractNumId="248">
    <w:nsid w:val="4B683D0D"/>
    <w:multiLevelType w:val="hybridMultilevel"/>
    <w:lvl w:ilvl="0">
      <w:lvlJc w:val="left"/>
      <w:lvlText w:val="(%1)"/>
      <w:numFmt w:val="lowerLetter"/>
      <w:start w:val="8"/>
    </w:lvl>
    <w:lvl w:ilvl="1">
      <w:lvlJc w:val="left"/>
      <w:lvlText w:val="%2"/>
      <w:numFmt w:val="lowerLetter"/>
      <w:start w:val="1"/>
    </w:lvl>
  </w:abstractNum>
  <w:abstractNum w:abstractNumId="249">
    <w:nsid w:val="76E41D8"/>
    <w:multiLevelType w:val="hybridMultilevel"/>
    <w:lvl w:ilvl="0">
      <w:lvlJc w:val="left"/>
      <w:lvlText w:val="(%1)"/>
      <w:numFmt w:val="lowerLetter"/>
      <w:start w:val="1"/>
    </w:lvl>
    <w:lvl w:ilvl="1">
      <w:lvlJc w:val="left"/>
      <w:lvlText w:val="(%2)"/>
      <w:numFmt w:val="lowerLetter"/>
      <w:start w:val="2"/>
    </w:lvl>
  </w:abstractNum>
  <w:abstractNum w:abstractNumId="250">
    <w:nsid w:val="71DCE0F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51">
    <w:nsid w:val="7906328B"/>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252">
    <w:nsid w:val="72BBC16"/>
    <w:multiLevelType w:val="hybridMultilevel"/>
    <w:lvl w:ilvl="0">
      <w:lvlJc w:val="left"/>
      <w:lvlText w:val="(%1)"/>
      <w:numFmt w:val="lowerLetter"/>
      <w:start w:val="3"/>
    </w:lvl>
  </w:abstractNum>
  <w:abstractNum w:abstractNumId="253">
    <w:nsid w:val="766D98C2"/>
    <w:multiLevelType w:val="hybridMultilevel"/>
    <w:lvl w:ilvl="0">
      <w:lvlJc w:val="left"/>
      <w:lvlText w:val="(%1)"/>
      <w:numFmt w:val="lowerLetter"/>
      <w:start w:val="1"/>
    </w:lvl>
    <w:lvl w:ilvl="1">
      <w:lvlJc w:val="left"/>
      <w:lvlText w:val="(%2)"/>
      <w:numFmt w:val="lowerLetter"/>
      <w:start w:val="2"/>
    </w:lvl>
  </w:abstractNum>
  <w:abstractNum w:abstractNumId="254">
    <w:nsid w:val="3C09D4A1"/>
    <w:multiLevelType w:val="hybridMultilevel"/>
    <w:lvl w:ilvl="0">
      <w:lvlJc w:val="left"/>
      <w:lvlText w:val="(%1)"/>
      <w:numFmt w:val="lowerLetter"/>
      <w:start w:val="1"/>
    </w:lvl>
  </w:abstractNum>
  <w:abstractNum w:abstractNumId="255">
    <w:nsid w:val="20E45CA4"/>
    <w:multiLevelType w:val="hybridMultilevel"/>
    <w:lvl w:ilvl="0">
      <w:lvlJc w:val="left"/>
      <w:lvlText w:val="(%1)"/>
      <w:numFmt w:val="lowerLetter"/>
      <w:start w:val="2"/>
    </w:lvl>
  </w:abstractNum>
  <w:abstractNum w:abstractNumId="256">
    <w:nsid w:val="4B232EE3"/>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57">
    <w:nsid w:val="159C74CF"/>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6"/>
    </w:lvl>
  </w:abstractNum>
  <w:abstractNum w:abstractNumId="258">
    <w:nsid w:val="4AD3AFD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259">
    <w:nsid w:val="3CF9309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260">
    <w:nsid w:val="6863E8D2"/>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261">
    <w:nsid w:val="76896198"/>
    <w:multiLevelType w:val="hybridMultilevel"/>
    <w:lvl w:ilvl="0">
      <w:lvlJc w:val="left"/>
      <w:lvlText w:val="(%1)"/>
      <w:numFmt w:val="lowerLetter"/>
      <w:start w:val="6"/>
    </w:lvl>
  </w:abstractNum>
  <w:abstractNum w:abstractNumId="262">
    <w:nsid w:val="436517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63">
    <w:nsid w:val="4A872C3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4">
    <w:nsid w:val="5D5CE761"/>
    <w:multiLevelType w:val="hybridMultilevel"/>
    <w:lvl w:ilvl="0">
      <w:lvlJc w:val="left"/>
      <w:lvlText w:val="%1"/>
      <w:numFmt w:val="upperLetter"/>
      <w:start w:val="1"/>
    </w:lvl>
    <w:lvl w:ilvl="1">
      <w:lvlJc w:val="left"/>
      <w:lvlText w:val="(%2)"/>
      <w:numFmt w:val="lowerLetter"/>
      <w:start w:val="3"/>
    </w:lvl>
  </w:abstractNum>
  <w:abstractNum w:abstractNumId="265">
    <w:nsid w:val="1CD484D5"/>
    <w:multiLevelType w:val="hybridMultilevel"/>
    <w:lvl w:ilvl="0">
      <w:lvlJc w:val="left"/>
      <w:lvlText w:val="(%1)"/>
      <w:numFmt w:val="upperLetter"/>
      <w:start w:val="2"/>
    </w:lvl>
    <w:lvl w:ilvl="1">
      <w:lvlJc w:val="left"/>
      <w:lvlText w:val="%2"/>
      <w:numFmt w:val="lowerLetter"/>
      <w:start w:val="1"/>
    </w:lvl>
  </w:abstractNum>
  <w:abstractNum w:abstractNumId="266">
    <w:nsid w:val="21D06255"/>
    <w:multiLevelType w:val="hybridMultilevel"/>
    <w:lvl w:ilvl="0">
      <w:lvlJc w:val="left"/>
      <w:lvlText w:val="%1"/>
      <w:numFmt w:val="lowerLetter"/>
      <w:start w:val="1"/>
    </w:lvl>
    <w:lvl w:ilvl="1">
      <w:lvlJc w:val="left"/>
      <w:lvlText w:val="(%2)"/>
      <w:numFmt w:val="lowerLetter"/>
      <w:start w:val="5"/>
    </w:lvl>
  </w:abstractNum>
  <w:abstractNum w:abstractNumId="267">
    <w:nsid w:val="51194ED1"/>
    <w:multiLevelType w:val="hybridMultilevel"/>
    <w:lvl w:ilvl="0">
      <w:lvlJc w:val="left"/>
      <w:lvlText w:val="(%1)"/>
      <w:numFmt w:val="lowerLetter"/>
      <w:start w:val="6"/>
    </w:lvl>
    <w:lvl w:ilvl="1">
      <w:lvlJc w:val="left"/>
      <w:lvlText w:val="(%2)"/>
      <w:numFmt w:val="lowerLetter"/>
      <w:start w:val="7"/>
    </w:lvl>
  </w:abstractNum>
  <w:abstractNum w:abstractNumId="268">
    <w:nsid w:val="44E2ED6C"/>
    <w:multiLevelType w:val="hybridMultilevel"/>
    <w:lvl w:ilvl="0">
      <w:lvlJc w:val="left"/>
      <w:lvlText w:val="(%1)"/>
      <w:numFmt w:val="lowerLetter"/>
      <w:start w:val="35"/>
    </w:lvl>
    <w:lvl w:ilvl="1">
      <w:lvlJc w:val="left"/>
      <w:lvlText w:val="(%2)"/>
      <w:numFmt w:val="lowerLetter"/>
      <w:start w:val="8"/>
    </w:lvl>
  </w:abstractNum>
  <w:abstractNum w:abstractNumId="269">
    <w:nsid w:val="2219B33"/>
    <w:multiLevelType w:val="hybridMultilevel"/>
    <w:lvl w:ilvl="0">
      <w:lvlJc w:val="left"/>
      <w:lvlText w:val="(%1)"/>
      <w:numFmt w:val="lowerLetter"/>
      <w:start w:val="35"/>
    </w:lvl>
    <w:lvl w:ilvl="1">
      <w:lvlJc w:val="left"/>
      <w:lvlText w:val="(%2)"/>
      <w:numFmt w:val="lowerLetter"/>
      <w:start w:val="9"/>
    </w:lvl>
  </w:abstractNum>
  <w:abstractNum w:abstractNumId="270">
    <w:nsid w:val="773BFBD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1">
    <w:nsid w:val="2C7C62C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2">
    <w:nsid w:val="1A54D7B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3">
    <w:nsid w:val="42E57EF7"/>
    <w:multiLevelType w:val="hybridMultilevel"/>
    <w:lvl w:ilvl="0">
      <w:lvlJc w:val="left"/>
      <w:lvlText w:val="(%1)"/>
      <w:numFmt w:val="lowerLetter"/>
      <w:start w:val="6"/>
    </w:lvl>
  </w:abstractNum>
  <w:abstractNum w:abstractNumId="274">
    <w:nsid w:val="33537CED"/>
    <w:multiLevelType w:val="hybridMultilevel"/>
    <w:lvl w:ilvl="0">
      <w:lvlJc w:val="left"/>
      <w:lvlText w:val="(%1)"/>
      <w:numFmt w:val="upperLetter"/>
      <w:start w:val="2"/>
    </w:lvl>
  </w:abstractNum>
  <w:abstractNum w:abstractNumId="275">
    <w:nsid w:val="27514AD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76">
    <w:nsid w:val="5707161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77">
    <w:nsid w:val="5293BFEF"/>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2"/>
    </w:lvl>
  </w:abstractNum>
  <w:abstractNum w:abstractNumId="278">
    <w:nsid w:val="38BF53E5"/>
    <w:multiLevelType w:val="hybridMultilevel"/>
    <w:lvl w:ilvl="0">
      <w:lvlJc w:val="left"/>
      <w:lvlText w:val="(%1)"/>
      <w:numFmt w:val="lowerRoman"/>
      <w:start w:val="7"/>
    </w:lvl>
  </w:abstractNum>
  <w:abstractNum w:abstractNumId="279">
    <w:nsid w:val="226F5320"/>
    <w:multiLevelType w:val="hybridMultilevel"/>
    <w:lvl w:ilvl="0">
      <w:lvlJc w:val="left"/>
      <w:lvlText w:val="%1"/>
      <w:numFmt w:val="lowerLetter"/>
      <w:start w:val="1"/>
    </w:lvl>
    <w:lvl w:ilvl="1">
      <w:lvlJc w:val="left"/>
      <w:lvlText w:val="(%2)"/>
      <w:numFmt w:val="lowerLetter"/>
      <w:start w:val="1"/>
    </w:lvl>
  </w:abstractNum>
  <w:abstractNum w:abstractNumId="280">
    <w:nsid w:val="5A0201C7"/>
    <w:multiLevelType w:val="hybridMultilevel"/>
    <w:lvl w:ilvl="0">
      <w:lvlJc w:val="left"/>
      <w:lvlText w:val="(%1)"/>
      <w:numFmt w:val="lowerLetter"/>
      <w:start w:val="61"/>
    </w:lvl>
    <w:lvl w:ilvl="1">
      <w:lvlJc w:val="left"/>
      <w:lvlText w:val="(%2)"/>
      <w:numFmt w:val="lowerLetter"/>
      <w:start w:val="2"/>
    </w:lvl>
  </w:abstractNum>
  <w:abstractNum w:abstractNumId="281">
    <w:nsid w:val="2A9C34E2"/>
    <w:multiLevelType w:val="hybridMultilevel"/>
    <w:lvl w:ilvl="0">
      <w:lvlJc w:val="left"/>
      <w:lvlText w:val="(%1)"/>
      <w:numFmt w:val="lowerLetter"/>
      <w:start w:val="1"/>
    </w:lvl>
    <w:lvl w:ilvl="1">
      <w:lvlJc w:val="left"/>
      <w:lvlText w:val="(%2)"/>
      <w:numFmt w:val="lowerLetter"/>
      <w:start w:val="2"/>
    </w:lvl>
  </w:abstractNum>
  <w:abstractNum w:abstractNumId="282">
    <w:nsid w:val="1B7585AB"/>
    <w:multiLevelType w:val="hybridMultilevel"/>
    <w:lvl w:ilvl="0">
      <w:lvlJc w:val="left"/>
      <w:lvlText w:val="%1"/>
      <w:numFmt w:val="lowerLetter"/>
      <w:start w:val="1"/>
    </w:lvl>
    <w:lvl w:ilvl="1">
      <w:lvlJc w:val="left"/>
      <w:lvlText w:val="(%2)"/>
      <w:numFmt w:val="lowerLetter"/>
      <w:start w:val="1"/>
    </w:lvl>
  </w:abstractNum>
  <w:abstractNum w:abstractNumId="283">
    <w:nsid w:val="612DBDDD"/>
    <w:multiLevelType w:val="hybridMultilevel"/>
    <w:lvl w:ilvl="0">
      <w:lvlJc w:val="left"/>
      <w:lvlText w:val="(%1)"/>
      <w:numFmt w:val="lowerLetter"/>
      <w:start w:val="2"/>
    </w:lvl>
    <w:lvl w:ilvl="1">
      <w:lvlJc w:val="left"/>
      <w:lvlText w:val="%2"/>
      <w:numFmt w:val="lowerLetter"/>
      <w:start w:val="1"/>
    </w:lvl>
  </w:abstractNum>
  <w:abstractNum w:abstractNumId="284">
    <w:nsid w:val="2109CDA4"/>
    <w:multiLevelType w:val="hybridMultilevel"/>
    <w:lvl w:ilvl="0">
      <w:lvlJc w:val="left"/>
      <w:lvlText w:val="%1"/>
      <w:numFmt w:val="lowerLetter"/>
      <w:start w:val="1"/>
    </w:lvl>
    <w:lvl w:ilvl="1">
      <w:lvlJc w:val="left"/>
      <w:lvlText w:val="(%2)"/>
      <w:numFmt w:val="lowerLetter"/>
      <w:start w:val="3"/>
    </w:lvl>
  </w:abstractNum>
  <w:abstractNum w:abstractNumId="285">
    <w:nsid w:val="577F5A4D"/>
    <w:multiLevelType w:val="hybridMultilevel"/>
    <w:lvl w:ilvl="0">
      <w:lvlJc w:val="left"/>
      <w:lvlText w:val="(%1)"/>
      <w:numFmt w:val="lowerLetter"/>
      <w:start w:val="4"/>
    </w:lvl>
    <w:lvl w:ilvl="1">
      <w:lvlJc w:val="left"/>
      <w:lvlText w:val="%2"/>
      <w:numFmt w:val="lowerLetter"/>
      <w:start w:val="1"/>
    </w:lvl>
  </w:abstractNum>
  <w:abstractNum w:abstractNumId="286">
    <w:nsid w:val="2121A81"/>
    <w:multiLevelType w:val="hybridMultilevel"/>
    <w:lvl w:ilvl="0">
      <w:lvlJc w:val="left"/>
      <w:lvlText w:val="%1"/>
      <w:numFmt w:val="lowerLetter"/>
      <w:start w:val="1"/>
    </w:lvl>
    <w:lvl w:ilvl="1">
      <w:lvlJc w:val="left"/>
      <w:lvlText w:val="(%2)"/>
      <w:numFmt w:val="lowerLetter"/>
      <w:start w:val="1"/>
    </w:lvl>
  </w:abstractNum>
  <w:abstractNum w:abstractNumId="287">
    <w:nsid w:val="6C2CFC88"/>
    <w:multiLevelType w:val="hybridMultilevel"/>
    <w:lvl w:ilvl="0">
      <w:lvlJc w:val="left"/>
      <w:lvlText w:val="(%1)"/>
      <w:numFmt w:val="lowerLetter"/>
      <w:start w:val="2"/>
    </w:lvl>
    <w:lvl w:ilvl="1">
      <w:lvlJc w:val="left"/>
      <w:lvlText w:val="%2"/>
      <w:numFmt w:val="lowerLetter"/>
      <w:start w:val="1"/>
    </w:lvl>
  </w:abstractNum>
  <w:abstractNum w:abstractNumId="288">
    <w:nsid w:val="6D1BCF1C"/>
    <w:multiLevelType w:val="hybridMultilevel"/>
    <w:lvl w:ilvl="0">
      <w:lvlJc w:val="left"/>
      <w:lvlText w:val="(%1)"/>
      <w:numFmt w:val="lowerLetter"/>
      <w:start w:val="1"/>
    </w:lvl>
    <w:lvl w:ilvl="1">
      <w:lvlJc w:val="left"/>
      <w:lvlText w:val="(%2)"/>
      <w:numFmt w:val="lowerLetter"/>
      <w:start w:val="9"/>
    </w:lvl>
  </w:abstractNum>
  <w:abstractNum w:abstractNumId="289">
    <w:nsid w:val="4CE5CA5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Roman"/>
      <w:start w:val="1"/>
    </w:lvl>
    <w:lvl w:ilvl="4">
      <w:lvlJc w:val="left"/>
      <w:lvlText w:val="(%5)"/>
      <w:numFmt w:val="lowerLetter"/>
      <w:start w:val="61"/>
    </w:lvl>
  </w:abstractNum>
  <w:abstractNum w:abstractNumId="290">
    <w:nsid w:val="29262D1A"/>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lvl w:ilvl="3">
      <w:lvlJc w:val="left"/>
      <w:lvlText w:val="(%4)"/>
      <w:numFmt w:val="lowerLetter"/>
      <w:start w:val="35"/>
    </w:lvl>
    <w:lvl w:ilvl="4">
      <w:lvlJc w:val="left"/>
      <w:lvlText w:val="%5"/>
      <w:numFmt w:val="lowerLetter"/>
      <w:start w:val="1"/>
    </w:lvl>
  </w:abstractNum>
  <w:abstractNum w:abstractNumId="291">
    <w:nsid w:val="557FB7EE"/>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292">
    <w:nsid w:val="436F2BEB"/>
    <w:multiLevelType w:val="hybridMultilevel"/>
    <w:lvl w:ilvl="0">
      <w:lvlJc w:val="left"/>
      <w:lvlText w:val="(%1)"/>
      <w:numFmt w:val="lowerLetter"/>
      <w:start w:val="1"/>
    </w:lvl>
    <w:lvl w:ilvl="1">
      <w:lvlJc w:val="left"/>
      <w:lvlText w:val="(%2)"/>
      <w:numFmt w:val="lowerLetter"/>
      <w:start w:val="9"/>
    </w:lvl>
  </w:abstractNum>
  <w:abstractNum w:abstractNumId="293">
    <w:nsid w:val="6C8B4466"/>
    <w:multiLevelType w:val="hybridMultilevel"/>
    <w:lvl w:ilvl="0">
      <w:lvlJc w:val="left"/>
      <w:lvlText w:val="(%1)"/>
      <w:numFmt w:val="lowerLetter"/>
      <w:start w:val="25"/>
    </w:lvl>
    <w:lvl w:ilvl="1">
      <w:lvlJc w:val="left"/>
      <w:lvlText w:val="(%2)"/>
      <w:numFmt w:val="lowerLetter"/>
      <w:start w:val="35"/>
    </w:lvl>
  </w:abstractNum>
  <w:abstractNum w:abstractNumId="294">
    <w:nsid w:val="2006E424"/>
    <w:multiLevelType w:val="hybridMultilevel"/>
    <w:lvl w:ilvl="0">
      <w:lvlJc w:val="left"/>
      <w:lvlText w:val="(%1)"/>
      <w:numFmt w:val="lowerRoman"/>
      <w:start w:val="3"/>
    </w:lvl>
  </w:abstractNum>
  <w:abstractNum w:abstractNumId="295">
    <w:nsid w:val="20CC13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96">
    <w:nsid w:val="95FC93B"/>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297">
    <w:nsid w:val="41D74679"/>
    <w:multiLevelType w:val="hybridMultilevel"/>
    <w:lvl w:ilvl="0">
      <w:lvlJc w:val="left"/>
      <w:lvlText w:val="(%1)"/>
      <w:numFmt w:val="lowerLetter"/>
      <w:start w:val="6"/>
    </w:lvl>
  </w:abstractNum>
  <w:abstractNum w:abstractNumId="298">
    <w:nsid w:val="71E5621E"/>
    <w:multiLevelType w:val="hybridMultilevel"/>
    <w:lvl w:ilvl="0">
      <w:lvlJc w:val="left"/>
      <w:lvlText w:val="(%1)"/>
      <w:numFmt w:val="lowerLetter"/>
      <w:start w:val="1"/>
    </w:lvl>
  </w:abstractNum>
  <w:abstractNum w:abstractNumId="299">
    <w:nsid w:val="4E42B6A8"/>
    <w:multiLevelType w:val="hybridMultilevel"/>
    <w:lvl w:ilvl="0">
      <w:lvlJc w:val="left"/>
      <w:lvlText w:val="(%1)"/>
      <w:numFmt w:val="upperLetter"/>
      <w:start w:val="3"/>
    </w:lvl>
  </w:abstractNum>
  <w:abstractNum w:abstractNumId="300">
    <w:nsid w:val="43F8E1AC"/>
    <w:multiLevelType w:val="hybridMultilevel"/>
    <w:lvl w:ilvl="0">
      <w:lvlJc w:val="left"/>
      <w:lvlText w:val="(%1)"/>
      <w:numFmt w:val="lowerLetter"/>
      <w:start w:val="4"/>
    </w:lvl>
  </w:abstractNum>
  <w:abstractNum w:abstractNumId="301">
    <w:nsid w:val="69215DFB"/>
    <w:multiLevelType w:val="hybridMultilevel"/>
    <w:lvl w:ilvl="0">
      <w:lvlJc w:val="left"/>
      <w:lvlText w:val="(%1)"/>
      <w:numFmt w:val="lowerLetter"/>
      <w:start w:val="2"/>
    </w:lvl>
  </w:abstractNum>
  <w:abstractNum w:abstractNumId="302">
    <w:nsid w:val="7ABF196A"/>
    <w:multiLevelType w:val="hybridMultilevel"/>
    <w:lvl w:ilvl="0">
      <w:lvlJc w:val="left"/>
      <w:lvlText w:val="(%1)"/>
      <w:numFmt w:val="lowerLetter"/>
      <w:start w:val="1"/>
    </w:lvl>
  </w:abstractNum>
  <w:abstractNum w:abstractNumId="303">
    <w:nsid w:val="5E4DB968"/>
    <w:multiLevelType w:val="hybridMultilevel"/>
    <w:lvl w:ilvl="0">
      <w:lvlJc w:val="left"/>
      <w:lvlText w:val="(%1)"/>
      <w:numFmt w:val="lowerLetter"/>
      <w:start w:val="2"/>
    </w:lvl>
  </w:abstractNum>
  <w:abstractNum w:abstractNumId="304">
    <w:nsid w:val="2C06DCF3"/>
    <w:multiLevelType w:val="hybridMultilevel"/>
    <w:lvl w:ilvl="0">
      <w:lvlJc w:val="left"/>
      <w:lvlText w:val="%1."/>
      <w:numFmt w:val="decimal"/>
      <w:start w:val="1"/>
    </w:lvl>
  </w:abstractNum>
  <w:abstractNum w:abstractNumId="305">
    <w:nsid w:val="2E129658"/>
    <w:multiLevelType w:val="hybridMultilevel"/>
    <w:lvl w:ilvl="0">
      <w:lvlJc w:val="left"/>
      <w:lvlText w:val="%1."/>
      <w:numFmt w:val="decimal"/>
      <w:start w:val="2"/>
    </w:lvl>
  </w:abstractNum>
  <w:abstractNum w:abstractNumId="306">
    <w:nsid w:val="59F0446"/>
    <w:multiLevelType w:val="hybridMultilevel"/>
    <w:lvl w:ilvl="0">
      <w:lvlJc w:val="left"/>
      <w:lvlText w:val="%1."/>
      <w:numFmt w:val="decimal"/>
      <w:start w:val="3"/>
    </w:lvl>
    <w:lvl w:ilvl="1">
      <w:lvlJc w:val="left"/>
      <w:lvlText w:val="(%2)"/>
      <w:numFmt w:val="lowerLetter"/>
      <w:start w:val="1"/>
    </w:lvl>
  </w:abstractNum>
  <w:abstractNum w:abstractNumId="307">
    <w:nsid w:val="30DF306"/>
    <w:multiLevelType w:val="hybridMultilevel"/>
    <w:lvl w:ilvl="0">
      <w:lvlJc w:val="left"/>
      <w:lvlText w:val="%1."/>
      <w:numFmt w:val="decimal"/>
      <w:start w:val="7"/>
    </w:lvl>
  </w:abstractNum>
  <w:abstractNum w:abstractNumId="308">
    <w:nsid w:val="A65647"/>
    <w:multiLevelType w:val="hybridMultilevel"/>
    <w:lvl w:ilvl="0">
      <w:lvlJc w:val="left"/>
      <w:lvlText w:val="%1."/>
      <w:numFmt w:val="decimal"/>
      <w:start w:val="10"/>
    </w:lvl>
  </w:abstractNum>
  <w:abstractNum w:abstractNumId="309">
    <w:nsid w:val="3E5E582B"/>
    <w:multiLevelType w:val="hybridMultilevel"/>
    <w:lvl w:ilvl="0">
      <w:lvlJc w:val="left"/>
      <w:lvlText w:val="%1."/>
      <w:numFmt w:val="decimal"/>
      <w:start w:val="12"/>
    </w:lvl>
  </w:abstractNum>
  <w:abstractNum w:abstractNumId="310">
    <w:nsid w:val="257D4626"/>
    <w:multiLevelType w:val="hybridMultilevel"/>
    <w:lvl w:ilvl="0">
      <w:lvlJc w:val="left"/>
      <w:lvlText w:val="%1."/>
      <w:numFmt w:val="decimal"/>
      <w:start w:val="20"/>
    </w:lvl>
  </w:abstractNum>
  <w:abstractNum w:abstractNumId="311">
    <w:nsid w:val="5AA8580E"/>
    <w:multiLevelType w:val="hybridMultilevel"/>
    <w:lvl w:ilvl="0">
      <w:lvlJc w:val="left"/>
      <w:lvlText w:val="%1."/>
      <w:numFmt w:val="decimal"/>
      <w:start w:val="25"/>
    </w:lvl>
  </w:abstractNum>
  <w:abstractNum w:abstractNumId="312">
    <w:nsid w:val="68FA8D0D"/>
    <w:multiLevelType w:val="hybridMultilevel"/>
    <w:lvl w:ilvl="0">
      <w:lvlJc w:val="left"/>
      <w:lvlText w:val="%1."/>
      <w:numFmt w:val="decimal"/>
      <w:start w:val="30"/>
    </w:lvl>
  </w:abstractNum>
  <w:abstractNum w:abstractNumId="313">
    <w:nsid w:val="40F2CBD2"/>
    <w:multiLevelType w:val="hybridMultilevel"/>
    <w:lvl w:ilvl="0">
      <w:lvlJc w:val="left"/>
      <w:lvlText w:val="%1."/>
      <w:numFmt w:val="decimal"/>
      <w:start w:val="35"/>
    </w:lvl>
  </w:abstractNum>
  <w:abstractNum w:abstractNumId="314">
    <w:nsid w:val="3BD615EB"/>
    <w:multiLevelType w:val="hybridMultilevel"/>
    <w:lvl w:ilvl="0">
      <w:lvlJc w:val="left"/>
      <w:lvlText w:val="%1."/>
      <w:numFmt w:val="decimal"/>
      <w:start w:val="37"/>
    </w:lvl>
  </w:abstractNum>
  <w:abstractNum w:abstractNumId="315">
    <w:nsid w:val="A045AB2"/>
    <w:multiLevelType w:val="hybridMultilevel"/>
    <w:lvl w:ilvl="0">
      <w:lvlJc w:val="left"/>
      <w:lvlText w:val="%1."/>
      <w:numFmt w:val="decimal"/>
      <w:start w:val="39"/>
    </w:lvl>
  </w:abstractNum>
  <w:abstractNum w:abstractNumId="316">
    <w:nsid w:val="1872261F"/>
    <w:multiLevelType w:val="hybridMultilevel"/>
    <w:lvl w:ilvl="0">
      <w:lvlJc w:val="left"/>
      <w:lvlText w:val="%1."/>
      <w:numFmt w:val="decimal"/>
      <w:start w:val="40"/>
    </w:lvl>
    <w:lvl w:ilvl="1">
      <w:lvlJc w:val="left"/>
      <w:lvlText w:val="(%2)"/>
      <w:numFmt w:val="lowerLetter"/>
      <w:start w:val="1"/>
    </w:lvl>
  </w:abstractNum>
  <w:abstractNum w:abstractNumId="317">
    <w:nsid w:val="3DE8306C"/>
    <w:multiLevelType w:val="hybridMultilevel"/>
    <w:lvl w:ilvl="0">
      <w:lvlJc w:val="left"/>
      <w:lvlText w:val="%1."/>
      <w:numFmt w:val="decimal"/>
      <w:start w:val="42"/>
    </w:lvl>
  </w:abstractNum>
  <w:abstractNum w:abstractNumId="318">
    <w:nsid w:val="7631573A"/>
    <w:multiLevelType w:val="hybridMultilevel"/>
    <w:lvl w:ilvl="0">
      <w:lvlJc w:val="left"/>
      <w:lvlText w:val="%1."/>
      <w:numFmt w:val="decimal"/>
      <w:start w:val="44"/>
    </w:lvl>
  </w:abstractNum>
  <w:abstractNum w:abstractNumId="319">
    <w:nsid w:val="58DF53B"/>
    <w:multiLevelType w:val="hybridMultilevel"/>
    <w:lvl w:ilvl="0">
      <w:lvlJc w:val="left"/>
      <w:lvlText w:val="%1."/>
      <w:numFmt w:val="decimal"/>
      <w:start w:val="45"/>
    </w:lvl>
  </w:abstractNum>
  <w:abstractNum w:abstractNumId="320">
    <w:nsid w:val="ACDFAC0"/>
    <w:multiLevelType w:val="hybridMultilevel"/>
    <w:lvl w:ilvl="0">
      <w:lvlJc w:val="left"/>
      <w:lvlText w:val="%1."/>
      <w:numFmt w:val="decimal"/>
      <w:start w:val="49"/>
    </w:lvl>
  </w:abstractNum>
  <w:abstractNum w:abstractNumId="321">
    <w:nsid w:val="1F578454"/>
    <w:multiLevelType w:val="hybridMultilevel"/>
    <w:lvl w:ilvl="0">
      <w:lvlJc w:val="left"/>
      <w:lvlText w:val="%1."/>
      <w:numFmt w:val="decimal"/>
      <w:start w:val="51"/>
    </w:lvl>
  </w:abstractNum>
  <w:abstractNum w:abstractNumId="322">
    <w:nsid w:val="5B0DAD2A"/>
    <w:multiLevelType w:val="hybridMultilevel"/>
    <w:lvl w:ilvl="0">
      <w:lvlJc w:val="left"/>
      <w:lvlText w:val="%1."/>
      <w:numFmt w:val="decimal"/>
      <w:start w:val="55"/>
    </w:lvl>
  </w:abstractNum>
  <w:abstractNum w:abstractNumId="323">
    <w:nsid w:val="4E3D26AB"/>
    <w:multiLevelType w:val="hybridMultilevel"/>
    <w:lvl w:ilvl="0">
      <w:lvlJc w:val="left"/>
      <w:lvlText w:val="%1."/>
      <w:numFmt w:val="decimal"/>
      <w:start w:val="57"/>
    </w:lvl>
  </w:abstractNum>
  <w:abstractNum w:abstractNumId="324">
    <w:nsid w:val="BE2C8BA"/>
    <w:multiLevelType w:val="hybridMultilevel"/>
    <w:lvl w:ilvl="0">
      <w:lvlJc w:val="left"/>
      <w:lvlText w:val="(%1)"/>
      <w:numFmt w:val="lowerLetter"/>
      <w:start w:val="1"/>
    </w:lvl>
  </w:abstractNum>
  <w:abstractNum w:abstractNumId="325">
    <w:nsid w:val="7B14914E"/>
    <w:multiLevelType w:val="hybridMultilevel"/>
    <w:lvl w:ilvl="0">
      <w:lvlJc w:val="left"/>
      <w:lvlText w:val="%1"/>
      <w:numFmt w:val="decimal"/>
      <w:start w:val="1"/>
    </w:lvl>
    <w:lvl w:ilvl="1">
      <w:lvlJc w:val="left"/>
      <w:lvlText w:val="(%2)"/>
      <w:numFmt w:val="lowerLetter"/>
      <w:start w:val="2"/>
    </w:lvl>
  </w:abstractNum>
  <w:abstractNum w:abstractNumId="326">
    <w:nsid w:val="6F0939F8"/>
    <w:multiLevelType w:val="hybridMultilevel"/>
    <w:lvl w:ilvl="0">
      <w:lvlJc w:val="left"/>
      <w:lvlText w:val="%1."/>
      <w:numFmt w:val="decimal"/>
      <w:start w:val="61"/>
    </w:lvl>
    <w:lvl w:ilvl="1">
      <w:lvlJc w:val="left"/>
      <w:lvlText w:val="%2"/>
      <w:numFmt w:val="lowerLetter"/>
      <w:start w:val="1"/>
    </w:lvl>
  </w:abstractNum>
  <w:abstractNum w:abstractNumId="327">
    <w:nsid w:val="154291F6"/>
    <w:multiLevelType w:val="hybridMultilevel"/>
    <w:lvl w:ilvl="0">
      <w:lvlJc w:val="left"/>
      <w:lvlText w:val="%1."/>
      <w:numFmt w:val="decimal"/>
      <w:start w:val="68"/>
    </w:lvl>
  </w:abstractNum>
  <w:abstractNum w:abstractNumId="328">
    <w:nsid w:val="3CEBD7C7"/>
    <w:multiLevelType w:val="hybridMultilevel"/>
    <w:lvl w:ilvl="0">
      <w:lvlJc w:val="left"/>
      <w:lvlText w:val="%1."/>
      <w:numFmt w:val="decimal"/>
      <w:start w:val="69"/>
    </w:lvl>
  </w:abstractNum>
  <w:abstractNum w:abstractNumId="329">
    <w:nsid w:val="60EE9C16"/>
    <w:multiLevelType w:val="hybridMultilevel"/>
    <w:lvl w:ilvl="0">
      <w:lvlJc w:val="left"/>
      <w:lvlText w:val="%1."/>
      <w:numFmt w:val="decimal"/>
      <w:start w:val="70"/>
    </w:lvl>
  </w:abstractNum>
  <w:abstractNum w:abstractNumId="330">
    <w:nsid w:val="6385489E"/>
    <w:multiLevelType w:val="hybridMultilevel"/>
    <w:lvl w:ilvl="0">
      <w:lvlJc w:val="left"/>
      <w:lvlText w:val="%1."/>
      <w:numFmt w:val="decimal"/>
      <w:start w:val="72"/>
    </w:lvl>
  </w:abstractNum>
  <w:abstractNum w:abstractNumId="331">
    <w:nsid w:val="E4B973"/>
    <w:multiLevelType w:val="hybridMultilevel"/>
    <w:lvl w:ilvl="0">
      <w:lvlJc w:val="left"/>
      <w:lvlText w:val="%1."/>
      <w:numFmt w:val="decimal"/>
      <w:start w:val="75"/>
    </w:lvl>
    <w:lvl w:ilvl="1">
      <w:lvlJc w:val="left"/>
      <w:lvlText w:val="(%2)"/>
      <w:numFmt w:val="lowerLetter"/>
      <w:start w:val="1"/>
    </w:lvl>
  </w:abstractNum>
  <w:abstractNum w:abstractNumId="332">
    <w:nsid w:val="4A0FFA11"/>
    <w:multiLevelType w:val="hybridMultilevel"/>
    <w:lvl w:ilvl="0">
      <w:lvlJc w:val="left"/>
      <w:lvlText w:val="%1."/>
      <w:numFmt w:val="decimal"/>
      <w:start w:val="77"/>
    </w:lvl>
  </w:abstractNum>
  <w:abstractNum w:abstractNumId="333">
    <w:nsid w:val="5E446208"/>
    <w:multiLevelType w:val="hybridMultilevel"/>
    <w:lvl w:ilvl="0">
      <w:lvlJc w:val="left"/>
      <w:lvlText w:val="%1."/>
      <w:numFmt w:val="decimal"/>
      <w:start w:val="79"/>
    </w:lvl>
  </w:abstractNum>
  <w:abstractNum w:abstractNumId="334">
    <w:nsid w:val="5F3272DB"/>
    <w:multiLevelType w:val="hybridMultilevel"/>
    <w:lvl w:ilvl="0">
      <w:lvlJc w:val="left"/>
      <w:lvlText w:val="%1."/>
      <w:numFmt w:val="decimal"/>
      <w:start w:val="81"/>
    </w:lvl>
  </w:abstractNum>
  <w:abstractNum w:abstractNumId="335">
    <w:nsid w:val="7616D704"/>
    <w:multiLevelType w:val="hybridMultilevel"/>
    <w:lvl w:ilvl="0">
      <w:lvlJc w:val="left"/>
      <w:lvlText w:val="%1."/>
      <w:numFmt w:val="decimal"/>
      <w:start w:val="84"/>
    </w:lvl>
  </w:abstractNum>
  <w:abstractNum w:abstractNumId="336">
    <w:nsid w:val="C56F860"/>
    <w:multiLevelType w:val="hybridMultilevel"/>
    <w:lvl w:ilvl="0">
      <w:lvlJc w:val="left"/>
      <w:lvlText w:val="%1."/>
      <w:numFmt w:val="decimal"/>
      <w:start w:val="85"/>
    </w:lvl>
  </w:abstractNum>
  <w:abstractNum w:abstractNumId="337">
    <w:nsid w:val="64D17722"/>
    <w:multiLevelType w:val="hybridMultilevel"/>
    <w:lvl w:ilvl="0">
      <w:lvlJc w:val="left"/>
      <w:lvlText w:val="%1."/>
      <w:numFmt w:val="decimal"/>
      <w:start w:val="89"/>
    </w:lvl>
  </w:abstractNum>
  <w:abstractNum w:abstractNumId="338">
    <w:nsid w:val="7924CA0A"/>
    <w:multiLevelType w:val="hybridMultilevel"/>
    <w:lvl w:ilvl="0">
      <w:lvlJc w:val="left"/>
      <w:lvlText w:val="%1."/>
      <w:numFmt w:val="decimal"/>
      <w:start w:val="92"/>
    </w:lvl>
  </w:abstractNum>
  <w:abstractNum w:abstractNumId="339">
    <w:nsid w:val="CFD4EA7"/>
    <w:multiLevelType w:val="hybridMultilevel"/>
    <w:lvl w:ilvl="0">
      <w:lvlJc w:val="left"/>
      <w:lvlText w:val="%1."/>
      <w:numFmt w:val="decimal"/>
      <w:start w:val="101"/>
    </w:lvl>
  </w:abstractNum>
  <w:abstractNum w:abstractNumId="340">
    <w:nsid w:val="232FCF4D"/>
    <w:multiLevelType w:val="hybridMultilevel"/>
    <w:lvl w:ilvl="0">
      <w:lvlJc w:val="left"/>
      <w:lvlText w:val="%1."/>
      <w:numFmt w:val="decimal"/>
      <w:start w:val="102"/>
    </w:lvl>
    <w:lvl w:ilvl="1">
      <w:lvlJc w:val="left"/>
      <w:lvlText w:val="(%2)"/>
      <w:numFmt w:val="lowerLetter"/>
      <w:start w:val="1"/>
    </w:lvl>
  </w:abstractNum>
  <w:abstractNum w:abstractNumId="341">
    <w:nsid w:val="1EA21031"/>
    <w:multiLevelType w:val="hybridMultilevel"/>
    <w:lvl w:ilvl="0">
      <w:lvlJc w:val="left"/>
      <w:lvlText w:val="%1."/>
      <w:numFmt w:val="decimal"/>
      <w:start w:val="110"/>
    </w:lvl>
  </w:abstractNum>
  <w:abstractNum w:abstractNumId="342">
    <w:nsid w:val="67A5A6B5"/>
    <w:multiLevelType w:val="hybridMultilevel"/>
    <w:lvl w:ilvl="0">
      <w:lvlJc w:val="left"/>
      <w:lvlText w:val="%1."/>
      <w:numFmt w:val="decimal"/>
      <w:start w:val="112"/>
    </w:lvl>
  </w:abstractNum>
  <w:abstractNum w:abstractNumId="343">
    <w:nsid w:val="C2A5C5B"/>
    <w:multiLevelType w:val="hybridMultilevel"/>
    <w:lvl w:ilvl="0">
      <w:lvlJc w:val="left"/>
      <w:lvlText w:val="%1."/>
      <w:numFmt w:val="decimal"/>
      <w:start w:val="115"/>
    </w:lvl>
  </w:abstractNum>
  <w:abstractNum w:abstractNumId="344">
    <w:nsid w:val="5F94DC03"/>
    <w:multiLevelType w:val="hybridMultilevel"/>
    <w:lvl w:ilvl="0">
      <w:lvlJc w:val="left"/>
      <w:lvlText w:val="%1."/>
      <w:numFmt w:val="decimal"/>
      <w:start w:val="116"/>
    </w:lvl>
  </w:abstractNum>
  <w:abstractNum w:abstractNumId="345">
    <w:nsid w:val="237BBCA0"/>
    <w:multiLevelType w:val="hybridMultilevel"/>
    <w:lvl w:ilvl="0">
      <w:lvlJc w:val="left"/>
      <w:lvlText w:val="%1."/>
      <w:numFmt w:val="decimal"/>
      <w:start w:val="119"/>
    </w:lvl>
    <w:lvl w:ilvl="1">
      <w:lvlJc w:val="left"/>
      <w:lvlText w:val="(%2)"/>
      <w:numFmt w:val="lowerLetter"/>
      <w:start w:val="1"/>
    </w:lvl>
  </w:abstractNum>
  <w:abstractNum w:abstractNumId="346">
    <w:nsid w:val="162EB70D"/>
    <w:multiLevelType w:val="hybridMultilevel"/>
    <w:lvl w:ilvl="0">
      <w:lvlJc w:val="left"/>
      <w:lvlText w:val="%1."/>
      <w:numFmt w:val="decimal"/>
      <w:start w:val="122"/>
    </w:lvl>
  </w:abstractNum>
  <w:abstractNum w:abstractNumId="347">
    <w:nsid w:val="78070222"/>
    <w:multiLevelType w:val="hybridMultilevel"/>
    <w:lvl w:ilvl="0">
      <w:lvlJc w:val="left"/>
      <w:lvlText w:val="%1."/>
      <w:numFmt w:val="decimal"/>
      <w:start w:val="123"/>
    </w:lvl>
  </w:abstractNum>
  <w:abstractNum w:abstractNumId="348">
    <w:nsid w:val="6163ED0D"/>
    <w:multiLevelType w:val="hybridMultilevel"/>
    <w:lvl w:ilvl="0">
      <w:lvlJc w:val="left"/>
      <w:lvlText w:val="%1."/>
      <w:numFmt w:val="decimal"/>
      <w:start w:val="125"/>
    </w:lvl>
    <w:lvl w:ilvl="1">
      <w:lvlJc w:val="left"/>
      <w:lvlText w:val="(%2)"/>
      <w:numFmt w:val="lowerLetter"/>
      <w:start w:val="1"/>
    </w:lvl>
  </w:abstractNum>
  <w:abstractNum w:abstractNumId="349">
    <w:nsid w:val="C600E47"/>
    <w:multiLevelType w:val="hybridMultilevel"/>
    <w:lvl w:ilvl="0">
      <w:lvlJc w:val="left"/>
      <w:lvlText w:val="%1."/>
      <w:numFmt w:val="decimal"/>
      <w:start w:val="131"/>
    </w:lvl>
  </w:abstractNum>
  <w:abstractNum w:abstractNumId="350">
    <w:nsid w:val="7D94F75D"/>
    <w:multiLevelType w:val="hybridMultilevel"/>
    <w:lvl w:ilvl="0">
      <w:lvlJc w:val="left"/>
      <w:lvlText w:val="%1."/>
      <w:numFmt w:val="decimal"/>
      <w:start w:val="134"/>
    </w:lvl>
  </w:abstractNum>
  <w:abstractNum w:abstractNumId="351">
    <w:nsid w:val="6C31E7CD"/>
    <w:multiLevelType w:val="hybridMultilevel"/>
    <w:lvl w:ilvl="0">
      <w:lvlJc w:val="left"/>
      <w:lvlText w:val="%1."/>
      <w:numFmt w:val="decimal"/>
      <w:start w:val="135"/>
    </w:lvl>
  </w:abstractNum>
  <w:abstractNum w:abstractNumId="352">
    <w:nsid w:val="2BB7929B"/>
    <w:multiLevelType w:val="hybridMultilevel"/>
    <w:lvl w:ilvl="0">
      <w:lvlJc w:val="left"/>
      <w:lvlText w:val="%1."/>
      <w:numFmt w:val="decimal"/>
      <w:start w:val="136"/>
    </w:lvl>
  </w:abstractNum>
  <w:abstractNum w:abstractNumId="353">
    <w:nsid w:val="58A2A487"/>
    <w:multiLevelType w:val="hybridMultilevel"/>
    <w:lvl w:ilvl="0">
      <w:lvlJc w:val="left"/>
      <w:lvlText w:val="%1."/>
      <w:numFmt w:val="decimal"/>
      <w:start w:val="137"/>
    </w:lvl>
  </w:abstractNum>
  <w:abstractNum w:abstractNumId="354">
    <w:nsid w:val="3A6F0E78"/>
    <w:multiLevelType w:val="hybridMultilevel"/>
    <w:lvl w:ilvl="0">
      <w:lvlJc w:val="left"/>
      <w:lvlText w:val="%1."/>
      <w:numFmt w:val="decimal"/>
      <w:start w:val="138"/>
    </w:lvl>
    <w:lvl w:ilvl="1">
      <w:lvlJc w:val="left"/>
      <w:lvlText w:val="(%2)"/>
      <w:numFmt w:val="lowerLetter"/>
      <w:start w:val="1"/>
    </w:lvl>
  </w:abstractNum>
  <w:abstractNum w:abstractNumId="355">
    <w:nsid w:val="379A5B56"/>
    <w:multiLevelType w:val="hybridMultilevel"/>
    <w:lvl w:ilvl="0">
      <w:lvlJc w:val="left"/>
      <w:lvlText w:val="%1."/>
      <w:numFmt w:val="decimal"/>
      <w:start w:val="139"/>
    </w:lvl>
    <w:lvl w:ilvl="1">
      <w:lvlJc w:val="left"/>
      <w:lvlText w:val="(%2)"/>
      <w:numFmt w:val="lowerLetter"/>
      <w:start w:val="1"/>
    </w:lvl>
  </w:abstractNum>
  <w:abstractNum w:abstractNumId="356">
    <w:nsid w:val="53B735D5"/>
    <w:multiLevelType w:val="hybridMultilevel"/>
    <w:lvl w:ilvl="0">
      <w:lvlJc w:val="left"/>
      <w:lvlText w:val="%1."/>
      <w:numFmt w:val="decimal"/>
      <w:start w:val="140"/>
    </w:lvl>
  </w:abstractNum>
  <w:abstractNum w:abstractNumId="357">
    <w:nsid w:val="29784870"/>
    <w:multiLevelType w:val="hybridMultilevel"/>
    <w:lvl w:ilvl="0">
      <w:lvlJc w:val="left"/>
      <w:lvlText w:val="%1."/>
      <w:numFmt w:val="decimal"/>
      <w:start w:val="142"/>
    </w:lvl>
  </w:abstractNum>
  <w:abstractNum w:abstractNumId="358">
    <w:nsid w:val="4CDCED4C"/>
    <w:multiLevelType w:val="hybridMultilevel"/>
    <w:lvl w:ilvl="0">
      <w:lvlJc w:val="left"/>
      <w:lvlText w:val="%1."/>
      <w:numFmt w:val="decimal"/>
      <w:start w:val="147"/>
    </w:lvl>
  </w:abstractNum>
  <w:abstractNum w:abstractNumId="359">
    <w:nsid w:val="10A30D9C"/>
    <w:multiLevelType w:val="hybridMultilevel"/>
    <w:lvl w:ilvl="0">
      <w:lvlJc w:val="left"/>
      <w:lvlText w:val="%1."/>
      <w:numFmt w:val="decimal"/>
      <w:start w:val="150"/>
    </w:lvl>
  </w:abstractNum>
  <w:abstractNum w:abstractNumId="360">
    <w:nsid w:val="A66E486"/>
    <w:multiLevelType w:val="hybridMultilevel"/>
    <w:lvl w:ilvl="0">
      <w:lvlJc w:val="left"/>
      <w:lvlText w:val="%1."/>
      <w:numFmt w:val="decimal"/>
      <w:start w:val="151"/>
    </w:lvl>
  </w:abstractNum>
  <w:abstractNum w:abstractNumId="361">
    <w:nsid w:val="306235EA"/>
    <w:multiLevelType w:val="hybridMultilevel"/>
    <w:lvl w:ilvl="0">
      <w:lvlJc w:val="left"/>
      <w:lvlText w:val="%1."/>
      <w:numFmt w:val="decimal"/>
      <w:start w:val="154"/>
    </w:lvl>
  </w:abstractNum>
  <w:abstractNum w:abstractNumId="362">
    <w:nsid w:val="1187C70F"/>
    <w:multiLevelType w:val="hybridMultilevel"/>
    <w:lvl w:ilvl="0">
      <w:lvlJc w:val="left"/>
      <w:lvlText w:val="%1."/>
      <w:numFmt w:val="decimal"/>
      <w:start w:val="1"/>
    </w:lvl>
  </w:abstractNum>
  <w:abstractNum w:abstractNumId="363">
    <w:nsid w:val="5476DE98"/>
    <w:multiLevelType w:val="hybridMultilevel"/>
    <w:lvl w:ilvl="0">
      <w:lvlJc w:val="left"/>
      <w:lvlText w:val="%1."/>
      <w:numFmt w:val="decimal"/>
      <w:start w:val="1"/>
    </w:lvl>
  </w:abstractNum>
  <w:abstractNum w:abstractNumId="364">
    <w:nsid w:val="EA697F2"/>
    <w:multiLevelType w:val="hybridMultilevel"/>
    <w:lvl w:ilvl="0">
      <w:lvlJc w:val="left"/>
      <w:lvlText w:val="%1."/>
      <w:numFmt w:val="decimal"/>
      <w:start w:val="7"/>
    </w:lvl>
  </w:abstractNum>
  <w:abstractNum w:abstractNumId="365">
    <w:nsid w:val="70BA39EB"/>
    <w:multiLevelType w:val="hybridMultilevel"/>
    <w:lvl w:ilvl="0">
      <w:lvlJc w:val="left"/>
      <w:lvlText w:val="(%1)"/>
      <w:numFmt w:val="decimal"/>
      <w:start w:val="1"/>
    </w:lvl>
  </w:abstractNum>
  <w:abstractNum w:abstractNumId="366">
    <w:nsid w:val="4A8DB59C"/>
    <w:multiLevelType w:val="hybridMultilevel"/>
    <w:lvl w:ilvl="0">
      <w:lvlJc w:val="left"/>
      <w:lvlText w:val="(%1)"/>
      <w:numFmt w:val="upperLetter"/>
      <w:start w:val="1"/>
    </w:lvl>
  </w:abstractNum>
  <w:abstractNum w:abstractNumId="367">
    <w:nsid w:val="1AFD9053"/>
    <w:multiLevelType w:val="hybridMultilevel"/>
    <w:lvl w:ilvl="0">
      <w:lvlJc w:val="left"/>
      <w:lvlText w:val="%1."/>
      <w:numFmt w:val="decimal"/>
      <w:start w:val="1"/>
    </w:lvl>
    <w:lvl w:ilvl="1">
      <w:lvlJc w:val="left"/>
      <w:lvlText w:val="(%2)"/>
      <w:numFmt w:val="lowerLetter"/>
      <w:start w:val="1"/>
    </w:lvl>
  </w:abstractNum>
  <w:abstractNum w:abstractNumId="368">
    <w:nsid w:val="558BB10D"/>
    <w:multiLevelType w:val="hybridMultilevel"/>
    <w:lvl w:ilvl="0">
      <w:lvlJc w:val="left"/>
      <w:lvlText w:val="%1."/>
      <w:numFmt w:val="decimal"/>
      <w:start w:val="5"/>
    </w:lvl>
  </w:abstractNum>
  <w:abstractNum w:abstractNumId="369">
    <w:nsid w:val="43B27FA7"/>
    <w:multiLevelType w:val="hybridMultilevel"/>
    <w:lvl w:ilvl="0">
      <w:lvlJc w:val="left"/>
      <w:lvlText w:val="%1."/>
      <w:numFmt w:val="decimal"/>
      <w:start w:val="6"/>
    </w:lvl>
  </w:abstractNum>
  <w:abstractNum w:abstractNumId="370">
    <w:nsid w:val="27FADEFA"/>
    <w:multiLevelType w:val="hybridMultilevel"/>
    <w:lvl w:ilvl="0">
      <w:lvlJc w:val="left"/>
      <w:lvlText w:val="%1."/>
      <w:numFmt w:val="decimal"/>
      <w:start w:val="7"/>
    </w:lvl>
    <w:lvl w:ilvl="1">
      <w:lvlJc w:val="left"/>
      <w:lvlText w:val="(%2)"/>
      <w:numFmt w:val="lowerLetter"/>
      <w:start w:val="1"/>
    </w:lvl>
  </w:abstractNum>
  <w:abstractNum w:abstractNumId="371">
    <w:nsid w:val="78BB805A"/>
    <w:multiLevelType w:val="hybridMultilevel"/>
    <w:lvl w:ilvl="0">
      <w:lvlJc w:val="left"/>
      <w:lvlText w:val="%1"/>
      <w:numFmt w:val="decimal"/>
      <w:start w:val="1"/>
    </w:lvl>
    <w:lvl w:ilvl="1">
      <w:lvlJc w:val="left"/>
      <w:lvlText w:val="(%2)"/>
      <w:numFmt w:val="lowerLetter"/>
      <w:start w:val="6"/>
    </w:lvl>
  </w:abstractNum>
  <w:abstractNum w:abstractNumId="372">
    <w:nsid w:val="62548FD8"/>
    <w:multiLevelType w:val="hybridMultilevel"/>
    <w:lvl w:ilvl="0">
      <w:lvlJc w:val="left"/>
      <w:lvlText w:val="%1."/>
      <w:numFmt w:val="decimal"/>
      <w:start w:val="8"/>
    </w:lvl>
    <w:lvl w:ilvl="1">
      <w:lvlJc w:val="left"/>
      <w:lvlText w:val="%2"/>
      <w:numFmt w:val="lowerLetter"/>
      <w:start w:val="1"/>
    </w:lvl>
  </w:abstractNum>
  <w:abstractNum w:abstractNumId="373">
    <w:nsid w:val="FA085B0"/>
    <w:multiLevelType w:val="hybridMultilevel"/>
    <w:lvl w:ilvl="0">
      <w:lvlJc w:val="left"/>
      <w:lvlText w:val="%1."/>
      <w:numFmt w:val="decimal"/>
      <w:start w:val="9"/>
    </w:lvl>
  </w:abstractNum>
  <w:abstractNum w:abstractNumId="374">
    <w:nsid w:val="4E5DCB5"/>
    <w:multiLevelType w:val="hybridMultilevel"/>
    <w:lvl w:ilvl="0">
      <w:lvlJc w:val="left"/>
      <w:lvlText w:val="(%1)"/>
      <w:numFmt w:val="lowerLetter"/>
      <w:start w:val="1"/>
    </w:lvl>
  </w:abstractNum>
  <w:abstractNum w:abstractNumId="375">
    <w:nsid w:val="41E96BDB"/>
    <w:multiLevelType w:val="hybridMultilevel"/>
    <w:lvl w:ilvl="0">
      <w:lvlJc w:val="left"/>
      <w:lvlText w:val="(%1)"/>
      <w:numFmt w:val="lowerLetter"/>
      <w:start w:val="2"/>
    </w:lvl>
  </w:abstractNum>
  <w:abstractNum w:abstractNumId="376">
    <w:nsid w:val="331C4250"/>
    <w:multiLevelType w:val="hybridMultilevel"/>
    <w:lvl w:ilvl="0">
      <w:lvlJc w:val="left"/>
      <w:lvlText w:val="(%1)"/>
      <w:numFmt w:val="lowerLetter"/>
      <w:start w:val="1"/>
    </w:lvl>
  </w:abstractNum>
  <w:abstractNum w:abstractNumId="377">
    <w:nsid w:val="1B1493C2"/>
    <w:multiLevelType w:val="hybridMultilevel"/>
    <w:lvl w:ilvl="0">
      <w:lvlJc w:val="left"/>
      <w:lvlText w:val="(%1)"/>
      <w:numFmt w:val="lowerLetter"/>
      <w:start w:val="2"/>
    </w:lvl>
  </w:abstractNum>
  <w:abstractNum w:abstractNumId="378">
    <w:nsid w:val="39F06DFD"/>
    <w:multiLevelType w:val="hybridMultilevel"/>
    <w:lvl w:ilvl="0">
      <w:lvlJc w:val="left"/>
      <w:lvlText w:val="%1"/>
      <w:numFmt w:val="lowerLetter"/>
      <w:start w:val="1"/>
    </w:lvl>
    <w:lvl w:ilvl="1">
      <w:lvlJc w:val="left"/>
      <w:lvlText w:val="(%2)"/>
      <w:numFmt w:val="lowerLetter"/>
      <w:start w:val="1"/>
    </w:lvl>
  </w:abstractNum>
  <w:abstractNum w:abstractNumId="379">
    <w:nsid w:val="14802F5D"/>
    <w:multiLevelType w:val="hybridMultilevel"/>
    <w:lvl w:ilvl="0">
      <w:lvlJc w:val="left"/>
      <w:lvlText w:val="(%1)"/>
      <w:numFmt w:val="lowerLetter"/>
      <w:start w:val="2"/>
    </w:lvl>
    <w:lvl w:ilvl="1">
      <w:lvlJc w:val="left"/>
      <w:lvlText w:val="%2"/>
      <w:numFmt w:val="lowerLetter"/>
      <w:start w:val="1"/>
    </w:lvl>
  </w:abstractNum>
  <w:abstractNum w:abstractNumId="380">
    <w:nsid w:val="2774A209"/>
    <w:multiLevelType w:val="hybridMultilevel"/>
    <w:lvl w:ilvl="0">
      <w:lvlJc w:val="left"/>
      <w:lvlText w:val="%1"/>
      <w:numFmt w:val="lowerLetter"/>
      <w:start w:val="1"/>
    </w:lvl>
    <w:lvl w:ilvl="1">
      <w:lvlJc w:val="left"/>
      <w:lvlText w:val="(%2)"/>
      <w:numFmt w:val="lowerLetter"/>
      <w:start w:val="1"/>
    </w:lvl>
  </w:abstractNum>
  <w:abstractNum w:abstractNumId="381">
    <w:nsid w:val="3785655A"/>
    <w:multiLevelType w:val="hybridMultilevel"/>
    <w:lvl w:ilvl="0">
      <w:lvlJc w:val="left"/>
      <w:lvlText w:val="(%1)"/>
      <w:numFmt w:val="lowerLetter"/>
      <w:start w:val="61"/>
    </w:lvl>
    <w:lvl w:ilvl="1">
      <w:lvlJc w:val="left"/>
      <w:lvlText w:val="%2"/>
      <w:numFmt w:val="lowerLetter"/>
      <w:start w:val="1"/>
    </w:lvl>
  </w:abstractNum>
  <w:abstractNum w:abstractNumId="382">
    <w:nsid w:val="B2172A"/>
    <w:multiLevelType w:val="hybridMultilevel"/>
    <w:lvl w:ilvl="0">
      <w:lvlJc w:val="left"/>
      <w:lvlText w:val="(%1)"/>
      <w:numFmt w:val="lowerLetter"/>
      <w:start w:val="2"/>
    </w:lvl>
    <w:lvl w:ilvl="1">
      <w:lvlJc w:val="left"/>
      <w:lvlText w:val="(%2)"/>
      <w:numFmt w:val="lowerLetter"/>
      <w:start w:val="3"/>
    </w:lvl>
  </w:abstractNum>
  <w:abstractNum w:abstractNumId="383">
    <w:nsid w:val="532C34A5"/>
    <w:multiLevelType w:val="hybridMultilevel"/>
    <w:lvl w:ilvl="0">
      <w:lvlJc w:val="left"/>
      <w:lvlText w:val="(%1)"/>
      <w:numFmt w:val="lowerLetter"/>
      <w:start w:val="1"/>
    </w:lvl>
    <w:lvl w:ilvl="1">
      <w:lvlJc w:val="left"/>
      <w:lvlText w:val="(%2)"/>
      <w:numFmt w:val="lowerLetter"/>
      <w:start w:val="2"/>
    </w:lvl>
  </w:abstractNum>
  <w:abstractNum w:abstractNumId="384">
    <w:nsid w:val="102809E2"/>
    <w:multiLevelType w:val="hybridMultilevel"/>
    <w:lvl w:ilvl="0">
      <w:lvlJc w:val="left"/>
      <w:lvlText w:val="(%1)"/>
      <w:numFmt w:val="lowerLetter"/>
      <w:start w:val="2"/>
    </w:lvl>
  </w:abstractNum>
  <w:abstractNum w:abstractNumId="385">
    <w:nsid w:val="3B2125A3"/>
    <w:multiLevelType w:val="hybridMultilevel"/>
    <w:lvl w:ilvl="0">
      <w:lvlJc w:val="left"/>
      <w:lvlText w:val="%1"/>
      <w:numFmt w:val="lowerLetter"/>
      <w:start w:val="1"/>
    </w:lvl>
    <w:lvl w:ilvl="1">
      <w:lvlJc w:val="left"/>
      <w:lvlText w:val="(%2)"/>
      <w:numFmt w:val="lowerLetter"/>
      <w:start w:val="1"/>
    </w:lvl>
  </w:abstractNum>
  <w:abstractNum w:abstractNumId="386">
    <w:nsid w:val="AC68FFB"/>
    <w:multiLevelType w:val="hybridMultilevel"/>
    <w:lvl w:ilvl="0">
      <w:lvlJc w:val="left"/>
      <w:lvlText w:val="(%1)"/>
      <w:numFmt w:val="lowerLetter"/>
      <w:start w:val="2"/>
    </w:lvl>
    <w:lvl w:ilvl="1">
      <w:lvlJc w:val="left"/>
      <w:lvlText w:val="%2"/>
      <w:numFmt w:val="lowerLetter"/>
      <w:start w:val="1"/>
    </w:lvl>
  </w:abstractNum>
  <w:abstractNum w:abstractNumId="387">
    <w:nsid w:val="63DF3FB7"/>
    <w:multiLevelType w:val="hybridMultilevel"/>
    <w:lvl w:ilvl="0">
      <w:lvlJc w:val="left"/>
      <w:lvlText w:val="(%1)"/>
      <w:numFmt w:val="lowerLetter"/>
      <w:start w:val="1"/>
    </w:lvl>
    <w:lvl w:ilvl="1">
      <w:lvlJc w:val="left"/>
      <w:lvlText w:val="(%2)"/>
      <w:numFmt w:val="lowerLetter"/>
      <w:start w:val="2"/>
    </w:lvl>
  </w:abstractNum>
  <w:abstractNum w:abstractNumId="388">
    <w:nsid w:val="64996E13"/>
    <w:multiLevelType w:val="hybridMultilevel"/>
    <w:lvl w:ilvl="0">
      <w:lvlJc w:val="left"/>
      <w:lvlText w:val="(%1)"/>
      <w:numFmt w:val="decimal"/>
      <w:start w:val="1"/>
    </w:lvl>
  </w:abstractNum>
  <w:abstractNum w:abstractNumId="389">
    <w:nsid w:val="57A37D47"/>
    <w:multiLevelType w:val="hybridMultilevel"/>
    <w:lvl w:ilvl="0">
      <w:lvlJc w:val="left"/>
      <w:lvlText w:val="(%1)"/>
      <w:numFmt w:val="lowerLetter"/>
      <w:start w:val="5"/>
    </w:lvl>
  </w:abstractNum>
  <w:abstractNum w:abstractNumId="390">
    <w:nsid w:val="74824D5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
    </w:lvl>
    <w:lvl w:ilvl="3">
      <w:lvlJc w:val="left"/>
      <w:lvlText w:val="(%4)"/>
      <w:numFmt w:val="lowerLetter"/>
      <w:start w:val="2"/>
    </w:lvl>
    <w:lvl w:ilvl="4">
      <w:lvlJc w:val="left"/>
      <w:lvlText w:val="(%5)"/>
      <w:numFmt w:val="lowerLetter"/>
      <w:start w:val="3"/>
    </w:lvl>
  </w:abstractNum>
  <w:abstractNum w:abstractNumId="391">
    <w:nsid w:val="6F00529A"/>
    <w:multiLevelType w:val="hybridMultilevel"/>
    <w:lvl w:ilvl="0">
      <w:lvlJc w:val="left"/>
      <w:lvlText w:val="%1"/>
      <w:numFmt w:val="lowerLetter"/>
      <w:start w:val="1"/>
    </w:lvl>
    <w:lvl w:ilvl="1">
      <w:lvlJc w:val="left"/>
      <w:lvlText w:val="(%2)"/>
      <w:numFmt w:val="lowerLetter"/>
      <w:start w:val="6"/>
    </w:lvl>
  </w:abstractNum>
  <w:abstractNum w:abstractNumId="392">
    <w:nsid w:val="805B331"/>
    <w:multiLevelType w:val="hybridMultilevel"/>
    <w:lvl w:ilvl="0">
      <w:lvlJc w:val="left"/>
      <w:lvlText w:val="(%1)"/>
      <w:numFmt w:val="lowerLetter"/>
      <w:start w:val="7"/>
    </w:lvl>
    <w:lvl w:ilvl="1">
      <w:lvlJc w:val="left"/>
      <w:lvlText w:val="%2"/>
      <w:numFmt w:val="lowerLetter"/>
      <w:start w:val="1"/>
    </w:lvl>
  </w:abstractNum>
  <w:abstractNum w:abstractNumId="393">
    <w:nsid w:val="60A146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4">
    <w:nsid w:val="4377313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5">
    <w:nsid w:val="16AC4B2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96">
    <w:nsid w:val="76C44E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7">
    <w:nsid w:val="E04E6CE"/>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4"/>
    </w:lvl>
  </w:abstractNum>
  <w:abstractNum w:abstractNumId="398">
    <w:nsid w:val="31A9DB7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399">
    <w:nsid w:val="4C4FFF5B"/>
    <w:multiLevelType w:val="hybridMultilevel"/>
    <w:lvl w:ilvl="0">
      <w:lvlJc w:val="left"/>
      <w:lvlText w:val="(%1)"/>
      <w:numFmt w:val="lowerLetter"/>
      <w:start w:val="1"/>
    </w:lvl>
  </w:abstractNum>
  <w:abstractNum w:abstractNumId="400">
    <w:nsid w:val="51B76675"/>
    <w:multiLevelType w:val="hybridMultilevel"/>
    <w:lvl w:ilvl="0">
      <w:lvlJc w:val="left"/>
      <w:lvlText w:val="%1"/>
      <w:numFmt w:val="lowerLetter"/>
      <w:start w:val="1"/>
    </w:lvl>
    <w:lvl w:ilvl="1">
      <w:lvlJc w:val="left"/>
      <w:lvlText w:val="(%2)"/>
      <w:numFmt w:val="lowerLetter"/>
      <w:start w:val="2"/>
    </w:lvl>
  </w:abstractNum>
  <w:abstractNum w:abstractNumId="401">
    <w:nsid w:val="59A4BA71"/>
    <w:multiLevelType w:val="hybridMultilevel"/>
    <w:lvl w:ilvl="0">
      <w:lvlJc w:val="left"/>
      <w:lvlText w:val="(%1)"/>
      <w:numFmt w:val="lowerLetter"/>
      <w:start w:val="3"/>
    </w:lvl>
    <w:lvl w:ilvl="1">
      <w:lvlJc w:val="left"/>
      <w:lvlText w:val="%2"/>
      <w:numFmt w:val="lowerLetter"/>
      <w:start w:val="1"/>
    </w:lvl>
  </w:abstractNum>
  <w:abstractNum w:abstractNumId="402">
    <w:nsid w:val="450B7FB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3">
    <w:nsid w:val="340BF64D"/>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404">
    <w:nsid w:val="6945402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405">
    <w:nsid w:val="49F15C6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406">
    <w:nsid w:val="75F5622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7">
    <w:nsid w:val="1C61827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08">
    <w:nsid w:val="6505F02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409">
    <w:nsid w:val="2FE5D025"/>
    <w:multiLevelType w:val="hybridMultilevel"/>
    <w:lvl w:ilvl="0">
      <w:lvlJc w:val="left"/>
      <w:lvlText w:val="%1"/>
      <w:numFmt w:val="lowerLetter"/>
      <w:start w:val="1"/>
    </w:lvl>
    <w:lvl w:ilvl="1">
      <w:lvlJc w:val="left"/>
      <w:lvlText w:val="(%2)"/>
      <w:numFmt w:val="lowerLetter"/>
      <w:start w:val="35"/>
    </w:lvl>
  </w:abstractNum>
  <w:abstractNum w:abstractNumId="410">
    <w:nsid w:val="30E1B1CF"/>
    <w:multiLevelType w:val="hybridMultilevel"/>
    <w:lvl w:ilvl="0">
      <w:lvlJc w:val="left"/>
      <w:lvlText w:val="(%1)"/>
      <w:numFmt w:val="lowerLetter"/>
      <w:start w:val="4"/>
    </w:lvl>
    <w:lvl w:ilvl="1">
      <w:lvlJc w:val="left"/>
      <w:lvlText w:val="%2"/>
      <w:numFmt w:val="lowerLetter"/>
      <w:start w:val="1"/>
    </w:lvl>
  </w:abstractNum>
  <w:abstractNum w:abstractNumId="411">
    <w:nsid w:val="C7A9237"/>
    <w:multiLevelType w:val="hybridMultilevel"/>
    <w:lvl w:ilvl="0">
      <w:lvlJc w:val="left"/>
      <w:lvlText w:val="(%1)"/>
      <w:numFmt w:val="lowerLetter"/>
      <w:start w:val="5"/>
    </w:lvl>
  </w:abstractNum>
  <w:abstractNum w:abstractNumId="412">
    <w:nsid w:val="676B3580"/>
    <w:multiLevelType w:val="hybridMultilevel"/>
    <w:lvl w:ilvl="0">
      <w:lvlJc w:val="left"/>
      <w:lvlText w:val="(%1)"/>
      <w:numFmt w:val="lowerLetter"/>
      <w:start w:val="1"/>
    </w:lvl>
  </w:abstractNum>
  <w:abstractNum w:abstractNumId="413">
    <w:nsid w:val="3193C8F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414">
    <w:nsid w:val="5FA6C6DC"/>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15">
    <w:nsid w:val="77933F62"/>
    <w:multiLevelType w:val="hybridMultilevel"/>
    <w:lvl w:ilvl="0">
      <w:lvlJc w:val="left"/>
      <w:lvlText w:val="%1"/>
      <w:numFmt w:val="lowerLetter"/>
      <w:start w:val="1"/>
    </w:lvl>
    <w:lvl w:ilvl="1">
      <w:lvlJc w:val="left"/>
      <w:lvlText w:val="(%2)"/>
      <w:numFmt w:val="lowerLetter"/>
      <w:start w:val="61"/>
    </w:lvl>
  </w:abstractNum>
  <w:abstractNum w:abstractNumId="416">
    <w:nsid w:val="6CB4EE9C"/>
    <w:multiLevelType w:val="hybridMultilevel"/>
    <w:lvl w:ilvl="0">
      <w:lvlJc w:val="left"/>
      <w:lvlText w:val="(%1)"/>
      <w:numFmt w:val="lowerLetter"/>
      <w:start w:val="4"/>
    </w:lvl>
    <w:lvl w:ilvl="1">
      <w:lvlJc w:val="left"/>
      <w:lvlText w:val="%2"/>
      <w:numFmt w:val="lowerLetter"/>
      <w:start w:val="1"/>
    </w:lvl>
  </w:abstractNum>
  <w:abstractNum w:abstractNumId="417">
    <w:nsid w:val="6A6D56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18">
    <w:nsid w:val="5B727F19"/>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419">
    <w:nsid w:val="514E5CB0"/>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0">
    <w:nsid w:val="4210D41E"/>
    <w:multiLevelType w:val="hybridMultilevel"/>
    <w:lvl w:ilvl="0">
      <w:lvlJc w:val="left"/>
      <w:lvlText w:val="(%1)"/>
      <w:numFmt w:val="lowerRoman"/>
      <w:start w:val="1"/>
    </w:lvl>
  </w:abstractNum>
  <w:abstractNum w:abstractNumId="421">
    <w:nsid w:val="4FF4CC6D"/>
    <w:multiLevelType w:val="hybridMultilevel"/>
    <w:lvl w:ilvl="0">
      <w:lvlJc w:val="left"/>
      <w:lvlText w:val="(%1)"/>
      <w:numFmt w:val="lowerRoman"/>
      <w:start w:val="4"/>
    </w:lvl>
  </w:abstractNum>
  <w:abstractNum w:abstractNumId="422">
    <w:nsid w:val="404EAF4A"/>
    <w:multiLevelType w:val="hybridMultilevel"/>
    <w:lvl w:ilvl="0">
      <w:lvlJc w:val="left"/>
      <w:lvlText w:val="%1"/>
      <w:numFmt w:val="lowerLetter"/>
      <w:start w:val="1"/>
    </w:lvl>
    <w:lvl w:ilvl="1">
      <w:lvlJc w:val="left"/>
      <w:lvlText w:val="(%2)"/>
      <w:numFmt w:val="lowerLetter"/>
      <w:start w:val="1"/>
    </w:lvl>
  </w:abstractNum>
  <w:abstractNum w:abstractNumId="423">
    <w:nsid w:val="4A16874F"/>
    <w:multiLevelType w:val="hybridMultilevel"/>
    <w:lvl w:ilvl="0">
      <w:lvlJc w:val="left"/>
      <w:lvlText w:val="(%1)"/>
      <w:numFmt w:val="lowerLetter"/>
      <w:start w:val="2"/>
    </w:lvl>
    <w:lvl w:ilvl="1">
      <w:lvlJc w:val="left"/>
      <w:lvlText w:val="%2"/>
      <w:numFmt w:val="lowerLetter"/>
      <w:start w:val="1"/>
    </w:lvl>
  </w:abstractNum>
  <w:abstractNum w:abstractNumId="424">
    <w:nsid w:val="55FEE0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425">
    <w:nsid w:val="3C5E07C"/>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426">
    <w:nsid w:val="60C2D273"/>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7"/>
    </w:lvl>
  </w:abstractNum>
  <w:abstractNum w:abstractNumId="427">
    <w:nsid w:val="4CC32F1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428">
    <w:nsid w:val="11CAC74A"/>
    <w:multiLevelType w:val="hybridMultilevel"/>
    <w:lvl w:ilvl="0">
      <w:lvlJc w:val="left"/>
      <w:lvlText w:val="(%1)"/>
      <w:numFmt w:val="lowerLetter"/>
      <w:start w:val="1"/>
    </w:lvl>
    <w:lvl w:ilvl="1">
      <w:lvlJc w:val="left"/>
      <w:lvlText w:val="(%2)"/>
      <w:numFmt w:val="lowerLetter"/>
      <w:start w:val="9"/>
    </w:lvl>
  </w:abstractNum>
  <w:abstractNum w:abstractNumId="429">
    <w:nsid w:val="126CADE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1"/>
    </w:lvl>
    <w:lvl w:ilvl="4">
      <w:lvlJc w:val="left"/>
      <w:lvlText w:val="(%5)"/>
      <w:numFmt w:val="lowerRoman"/>
      <w:start w:val="3"/>
    </w:lvl>
  </w:abstractNum>
  <w:abstractNum w:abstractNumId="430">
    <w:nsid w:val="19132E7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21"/>
    </w:lvl>
    <w:lvl w:ilvl="4">
      <w:lvlJc w:val="left"/>
      <w:lvlText w:val="(%5)"/>
      <w:numFmt w:val="lowerRoman"/>
      <w:start w:val="4"/>
    </w:lvl>
  </w:abstractNum>
  <w:abstractNum w:abstractNumId="431">
    <w:nsid w:val="63822DC0"/>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32">
    <w:nsid w:val="6C11685A"/>
    <w:multiLevelType w:val="hybridMultilevel"/>
    <w:lvl w:ilvl="0">
      <w:lvlJc w:val="left"/>
      <w:lvlText w:val="(%1)"/>
      <w:numFmt w:val="lowerLetter"/>
      <w:start w:val="3"/>
    </w:lvl>
  </w:abstractNum>
  <w:abstractNum w:abstractNumId="433">
    <w:nsid w:val="5E1EAE31"/>
    <w:multiLevelType w:val="hybridMultilevel"/>
    <w:lvl w:ilvl="0">
      <w:lvlJc w:val="left"/>
      <w:lvlText w:val="(%1)"/>
      <w:numFmt w:val="lowerLetter"/>
      <w:start w:val="2"/>
    </w:lvl>
  </w:abstractNum>
  <w:abstractNum w:abstractNumId="434">
    <w:nsid w:val="178E24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35">
    <w:nsid w:val="5556A87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36">
    <w:nsid w:val="28100A9C"/>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37">
    <w:nsid w:val="D838636"/>
    <w:multiLevelType w:val="hybridMultilevel"/>
    <w:lvl w:ilvl="0">
      <w:lvlJc w:val="left"/>
      <w:lvlText w:val="(%1)"/>
      <w:numFmt w:val="lowerLetter"/>
      <w:start w:val="3"/>
    </w:lvl>
  </w:abstractNum>
  <w:abstractNum w:abstractNumId="438">
    <w:nsid w:val="71B82AED"/>
    <w:multiLevelType w:val="hybridMultilevel"/>
    <w:lvl w:ilvl="0">
      <w:lvlJc w:val="left"/>
      <w:lvlText w:val="(%1)"/>
      <w:numFmt w:val="lowerLetter"/>
      <w:start w:val="1"/>
    </w:lvl>
  </w:abstractNum>
  <w:abstractNum w:abstractNumId="439">
    <w:nsid w:val="D15FACA"/>
    <w:multiLevelType w:val="hybridMultilevel"/>
    <w:lvl w:ilvl="0">
      <w:lvlJc w:val="left"/>
      <w:lvlText w:val="%1"/>
      <w:numFmt w:val="lowerLetter"/>
      <w:start w:val="1"/>
    </w:lvl>
    <w:lvl w:ilvl="1">
      <w:lvlJc w:val="left"/>
      <w:lvlText w:val="(%2)"/>
      <w:numFmt w:val="lowerLetter"/>
      <w:start w:val="1"/>
    </w:lvl>
  </w:abstractNum>
  <w:abstractNum w:abstractNumId="440">
    <w:nsid w:val="3D69565B"/>
    <w:multiLevelType w:val="hybridMultilevel"/>
    <w:lvl w:ilvl="0">
      <w:lvlJc w:val="left"/>
      <w:lvlText w:val="(%1)"/>
      <w:numFmt w:val="lowerLetter"/>
      <w:start w:val="2"/>
    </w:lvl>
    <w:lvl w:ilvl="1">
      <w:lvlJc w:val="left"/>
      <w:lvlText w:val="%2"/>
      <w:numFmt w:val="lowerLetter"/>
      <w:start w:val="1"/>
    </w:lvl>
  </w:abstractNum>
  <w:abstractNum w:abstractNumId="441">
    <w:nsid w:val="2299DCB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Letter"/>
      <w:start w:val="5"/>
    </w:lvl>
    <w:lvl w:ilvl="4">
      <w:lvlJc w:val="left"/>
      <w:lvlText w:val="(%5)"/>
      <w:numFmt w:val="lowerLetter"/>
      <w:start w:val="2"/>
    </w:lvl>
  </w:abstractNum>
  <w:abstractNum w:abstractNumId="442">
    <w:nsid w:val="19908D0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443">
    <w:nsid w:val="24D48BDB"/>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4">
    <w:nsid w:val="542DA5B5"/>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8"/>
    </w:lvl>
    <w:lvl w:ilvl="3">
      <w:lvlJc w:val="left"/>
      <w:lvlText w:val="(%4)"/>
      <w:numFmt w:val="lowerLetter"/>
      <w:start w:val="8"/>
    </w:lvl>
  </w:abstractNum>
  <w:abstractNum w:abstractNumId="445">
    <w:nsid w:val="793753D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46">
    <w:nsid w:val="1C67CB3D"/>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447">
    <w:nsid w:val="40E29452"/>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1"/>
    </w:lvl>
    <w:lvl w:ilvl="3">
      <w:lvlJc w:val="left"/>
      <w:lvlText w:val="(%4)"/>
      <w:numFmt w:val="lowerLetter"/>
      <w:start w:val="11"/>
    </w:lvl>
  </w:abstractNum>
  <w:abstractNum w:abstractNumId="448">
    <w:nsid w:val="63A4AAB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449">
    <w:nsid w:val="77DA4A5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4"/>
    </w:lvl>
  </w:abstractNum>
  <w:abstractNum w:abstractNumId="450">
    <w:nsid w:val="1230F102"/>
    <w:multiLevelType w:val="hybridMultilevel"/>
    <w:lvl w:ilvl="0">
      <w:lvlJc w:val="left"/>
      <w:lvlText w:val="%1"/>
      <w:numFmt w:val="lowerLetter"/>
      <w:start w:val="1"/>
    </w:lvl>
    <w:lvl w:ilvl="1">
      <w:lvlJc w:val="left"/>
      <w:lvlText w:val="(%2)"/>
      <w:numFmt w:val="lowerLetter"/>
      <w:start w:val="15"/>
    </w:lvl>
    <w:lvl w:ilvl="2">
      <w:lvlJc w:val="left"/>
      <w:lvlText w:val="(%3)"/>
      <w:numFmt w:val="lowerLetter"/>
      <w:start w:val="16"/>
    </w:lvl>
    <w:lvl w:ilvl="3">
      <w:lvlJc w:val="left"/>
      <w:lvlText w:val="%4"/>
      <w:numFmt w:val="lowerLetter"/>
      <w:start w:val="1"/>
    </w:lvl>
  </w:abstractNum>
  <w:abstractNum w:abstractNumId="451">
    <w:nsid w:val="25B57ED4"/>
    <w:multiLevelType w:val="hybridMultilevel"/>
    <w:lvl w:ilvl="0">
      <w:lvlJc w:val="left"/>
      <w:lvlText w:val="(%1)"/>
      <w:numFmt w:val="lowerLetter"/>
      <w:start w:val="17"/>
    </w:lvl>
    <w:lvl w:ilvl="1">
      <w:lvlJc w:val="left"/>
      <w:lvlText w:val="(%2)"/>
      <w:numFmt w:val="lowerLetter"/>
      <w:start w:val="18"/>
    </w:lvl>
    <w:lvl w:ilvl="2">
      <w:lvlJc w:val="left"/>
      <w:lvlText w:val="(%3)"/>
      <w:numFmt w:val="lowerLetter"/>
      <w:start w:val="19"/>
    </w:lvl>
    <w:lvl w:ilvl="3">
      <w:lvlJc w:val="left"/>
      <w:lvlText w:val="%4"/>
      <w:numFmt w:val="lowerLetter"/>
      <w:start w:val="1"/>
    </w:lvl>
  </w:abstractNum>
  <w:abstractNum w:abstractNumId="452">
    <w:nsid w:val="47CF16C4"/>
    <w:multiLevelType w:val="hybridMultilevel"/>
    <w:lvl w:ilvl="0">
      <w:lvlJc w:val="left"/>
      <w:lvlText w:val="(%1)"/>
      <w:numFmt w:val="lowerLetter"/>
      <w:start w:val="20"/>
    </w:lvl>
    <w:lvl w:ilvl="1">
      <w:lvlJc w:val="left"/>
      <w:lvlText w:val="(%2)"/>
      <w:numFmt w:val="lowerLetter"/>
      <w:start w:val="22"/>
    </w:lvl>
  </w:abstractNum>
  <w:abstractNum w:abstractNumId="453">
    <w:nsid w:val="527FA04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454">
    <w:nsid w:val="6FCC0624"/>
    <w:multiLevelType w:val="hybridMultilevel"/>
    <w:lvl w:ilvl="0">
      <w:lvlJc w:val="left"/>
      <w:lvlText w:val="(%1)"/>
      <w:numFmt w:val="lowerLetter"/>
      <w:start w:val="25"/>
    </w:lvl>
    <w:lvl w:ilvl="1">
      <w:lvlJc w:val="left"/>
      <w:lvlText w:val="(%2)"/>
      <w:numFmt w:val="lowerLetter"/>
      <w:start w:val="26"/>
    </w:lvl>
    <w:lvl w:ilvl="2">
      <w:lvlJc w:val="left"/>
      <w:lvlText w:val="%3"/>
      <w:numFmt w:val="lowerLetter"/>
      <w:start w:val="1"/>
    </w:lvl>
  </w:abstractNum>
  <w:abstractNum w:abstractNumId="455">
    <w:nsid w:val="1DCDF795"/>
    <w:multiLevelType w:val="hybridMultilevel"/>
    <w:lvl w:ilvl="0">
      <w:lvlJc w:val="left"/>
      <w:lvlText w:val="%1"/>
      <w:numFmt w:val="lowerLetter"/>
      <w:start w:val="1"/>
    </w:lvl>
    <w:lvl w:ilvl="1">
      <w:lvlJc w:val="left"/>
      <w:lvlText w:val="(%2)"/>
      <w:numFmt w:val="lowerLetter"/>
      <w:start w:val="27"/>
    </w:lvl>
  </w:abstractNum>
  <w:abstractNum w:abstractNumId="456">
    <w:nsid w:val="564580C8"/>
    <w:multiLevelType w:val="hybridMultilevel"/>
    <w:lvl w:ilvl="0">
      <w:lvlJc w:val="left"/>
      <w:lvlText w:val="(%1)"/>
      <w:numFmt w:val="lowerLetter"/>
      <w:start w:val="9"/>
    </w:lvl>
    <w:lvl w:ilvl="1">
      <w:lvlJc w:val="left"/>
      <w:lvlText w:val="(%2)"/>
      <w:numFmt w:val="lowerLetter"/>
      <w:start w:val="28"/>
    </w:lvl>
  </w:abstractNum>
  <w:abstractNum w:abstractNumId="457">
    <w:nsid w:val="508ED897"/>
    <w:multiLevelType w:val="hybridMultilevel"/>
    <w:lvl w:ilvl="0">
      <w:lvlJc w:val="left"/>
      <w:lvlText w:val="(%1)"/>
      <w:numFmt w:val="lowerRoman"/>
      <w:start w:val="1"/>
    </w:lvl>
  </w:abstractNum>
  <w:abstractNum w:abstractNumId="458">
    <w:nsid w:val="6A9126B5"/>
    <w:multiLevelType w:val="hybridMultilevel"/>
    <w:lvl w:ilvl="0">
      <w:lvlJc w:val="left"/>
      <w:lvlText w:val="(%1)"/>
      <w:numFmt w:val="lowerRoman"/>
      <w:start w:val="3"/>
    </w:lvl>
  </w:abstractNum>
  <w:abstractNum w:abstractNumId="459">
    <w:nsid w:val="68104812"/>
    <w:multiLevelType w:val="hybridMultilevel"/>
    <w:lvl w:ilvl="0">
      <w:lvlJc w:val="left"/>
      <w:lvlText w:val="%1"/>
      <w:numFmt w:val="decimal"/>
      <w:start w:val="106"/>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60">
    <w:nsid w:val="62FB8680"/>
    <w:multiLevelType w:val="hybridMultilevel"/>
    <w:lvl w:ilvl="0">
      <w:lvlJc w:val="left"/>
      <w:lvlText w:val="(%1)"/>
      <w:numFmt w:val="decimal"/>
      <w:start w:val="3"/>
    </w:lvl>
  </w:abstractNum>
  <w:abstractNum w:abstractNumId="461">
    <w:nsid w:val="3A45530"/>
    <w:multiLevelType w:val="hybridMultilevel"/>
    <w:lvl w:ilvl="0">
      <w:lvlJc w:val="left"/>
      <w:lvlText w:val="(%1)"/>
      <w:numFmt w:val="decimal"/>
      <w:start w:val="5"/>
    </w:lvl>
  </w:abstractNum>
  <w:abstractNum w:abstractNumId="462">
    <w:nsid w:val="4B9275D2"/>
    <w:multiLevelType w:val="hybridMultilevel"/>
    <w:lvl w:ilvl="0">
      <w:lvlJc w:val="left"/>
      <w:lvlText w:val="(%1)"/>
      <w:numFmt w:val="lowerLetter"/>
      <w:start w:val="1"/>
    </w:lvl>
  </w:abstractNum>
  <w:abstractNum w:abstractNumId="463">
    <w:nsid w:val="4F0CEED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jpe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jpeg"/><Relationship Id="rId68" Type="http://schemas.openxmlformats.org/officeDocument/2006/relationships/image" Target="media/image47.png"/><Relationship Id="rId69" Type="http://schemas.openxmlformats.org/officeDocument/2006/relationships/image" Target="media/image48.jpe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jpe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jpe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33" Type="http://schemas.openxmlformats.org/officeDocument/2006/relationships/hyperlink" Target="http://www.sec.gov/Archives/edgar/data/1534126/000110465921025958/tm217264d1_ex99-1.htm" TargetMode="External"/><Relationship Id="rId34" Type="http://schemas.openxmlformats.org/officeDocument/2006/relationships/hyperlink" Target="http://www.sec.gov/Archives/edgar/data/1534126/000110465921025963/tm217264d2_ex99-1.htm" TargetMode="External"/><Relationship Id="rId35" Type="http://schemas.openxmlformats.org/officeDocument/2006/relationships/hyperlink" Target="http://www.sec.gov/Archives/edgar/data/0001534126/000104746921000509/a2242982z20-f.htm" TargetMode="External"/><Relationship Id="rId36" Type="http://schemas.openxmlformats.org/officeDocument/2006/relationships/hyperlink" Target="http://www.sec.gov/Archives/edgar/data/0001534126/000104746921000773/a2243110zex-99_c2.htm" TargetMode="External"/><Relationship Id="rId37" Type="http://schemas.openxmlformats.org/officeDocument/2006/relationships/hyperlink" Target="http://www.sec.gov/Archives/edgar/data/0001534126/000104746921000773/a2243110zex-99_c3.htm" TargetMode="External"/><Relationship Id="rId38" Type="http://schemas.openxmlformats.org/officeDocument/2006/relationships/hyperlink" Target="http://www.sec.gov/Archives/edgar/data/0001534126/000104746921000773/a2243110zex-99_c4.htm" TargetMode="External"/><Relationship Id="rId39" Type="http://schemas.openxmlformats.org/officeDocument/2006/relationships/hyperlink" Target="http://www.sec.gov/Archives/edgar/data/0001534126/000104746921000773/a2243110zex-99_d4.htm" TargetMode="External"/><Relationship Id="rId40" Type="http://schemas.openxmlformats.org/officeDocument/2006/relationships/hyperlink" Target="http://www.sec.gov/Archives/edgar/data/1364742/000119312521067728/d105498dex992.htm" TargetMode="External"/><Relationship Id="rId41" Type="http://schemas.openxmlformats.org/officeDocument/2006/relationships/hyperlink" Target="http://www.sec.gov/Archives/edgar/data/1534126/000093041312001612/c67840_ex4-2.htm" TargetMode="External"/><Relationship Id="rId44" Type="http://schemas.openxmlformats.org/officeDocument/2006/relationships/hyperlink" Target="http://www.sec.gov/Archives/edgar/data/1534126/000110465920078018/a20-23632_1ex4d1.htm" TargetMode="External"/><Relationship Id="rId45" Type="http://schemas.openxmlformats.org/officeDocument/2006/relationships/hyperlink" Target="http://www.sec.gov/Archives/edgar/data/1534126/000093041312001612/c67840_ex10-24.htm" TargetMode="External"/><Relationship Id="rId46" Type="http://schemas.openxmlformats.org/officeDocument/2006/relationships/hyperlink" Target="http://www.sec.gov/Archives/edgar/data/1534126/000093041314001463/c76955_ex4-9.htm" TargetMode="External"/><Relationship Id="rId47" Type="http://schemas.openxmlformats.org/officeDocument/2006/relationships/hyperlink" Target="http://www.sec.gov/Archives/edgar/data/1534126/000110465920079033/a20-23710_1ex1.htm" TargetMode="External"/><Relationship Id="rId48" Type="http://schemas.openxmlformats.org/officeDocument/2006/relationships/hyperlink" Target="http://www.sec.gov/Archives/edgar/data/1534126/000110465920080133/a20-23643_1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2021-05-03T06:16:42Z</dcterms:created>
  <dcterms:modified xsi:type="dcterms:W3CDTF">2021-05-03T06:16:42Z</dcterms:modified>
</cp:coreProperties>
</file>