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jc w:val="center"/>
        <w:ind w:right="-19"/>
        <w:spacing w:after="0"/>
        <w:rPr>
          <w:sz w:val="20"/>
          <w:szCs w:val="20"/>
          <w:color w:val="auto"/>
        </w:rPr>
      </w:pPr>
      <w:r>
        <w:rPr>
          <w:rFonts w:ascii="Arial" w:cs="Arial" w:eastAsia="Arial" w:hAnsi="Arial"/>
          <w:sz w:val="20"/>
          <w:szCs w:val="20"/>
          <w:b w:val="1"/>
          <w:bCs w:val="1"/>
          <w:color w:val="auto"/>
        </w:rPr>
        <w:t>SCHEDULE 13G</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(Amendment No. 5)</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GasLog Ltd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Common Shares, $0.01 par value per share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G37585109</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December 31, 2017</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Event Which Requires Filing of this Statement)</w:t>
      </w:r>
    </w:p>
    <w:p>
      <w:pPr>
        <w:spacing w:after="0" w:line="213"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3" w:lineRule="exact"/>
        <w:rPr>
          <w:sz w:val="24"/>
          <w:szCs w:val="24"/>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 xml:space="preserve">X </w:t>
      </w:r>
      <w:r>
        <w:rPr>
          <w:rFonts w:ascii="Arial" w:cs="Arial" w:eastAsia="Arial" w:hAnsi="Arial"/>
          <w:sz w:val="20"/>
          <w:szCs w:val="20"/>
          <w:color w:val="auto"/>
        </w:rPr>
        <w:t>]    Rule 13d-1(b)</w:t>
      </w:r>
    </w:p>
    <w:p>
      <w:pPr>
        <w:spacing w:after="0" w:line="229"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 xml:space="preserve">X </w:t>
      </w:r>
      <w:r>
        <w:rPr>
          <w:rFonts w:ascii="Arial" w:cs="Arial" w:eastAsia="Arial" w:hAnsi="Arial"/>
          <w:sz w:val="20"/>
          <w:szCs w:val="20"/>
          <w:color w:val="auto"/>
        </w:rPr>
        <w:t>]    Rule 13d-1(c)</w:t>
      </w:r>
    </w:p>
    <w:p>
      <w:pPr>
        <w:spacing w:after="0" w:line="235"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 ]    Rule 13d-1(d)</w:t>
      </w:r>
    </w:p>
    <w:p>
      <w:pPr>
        <w:spacing w:after="0" w:line="229" w:lineRule="exact"/>
        <w:rPr>
          <w:sz w:val="24"/>
          <w:szCs w:val="24"/>
          <w:color w:val="auto"/>
        </w:rPr>
      </w:pPr>
    </w:p>
    <w:p>
      <w:pPr>
        <w:ind w:right="540" w:firstLine="8"/>
        <w:spacing w:after="0" w:line="316" w:lineRule="auto"/>
        <w:tabs>
          <w:tab w:leader="none" w:pos="14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4" w:lineRule="exact"/>
        <w:rPr>
          <w:sz w:val="24"/>
          <w:szCs w:val="24"/>
          <w:color w:val="auto"/>
        </w:rPr>
      </w:pPr>
    </w:p>
    <w:p>
      <w:pPr>
        <w:jc w:val="both"/>
        <w:ind w:right="200"/>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94" w:lineRule="exact"/>
        <w:rPr>
          <w:sz w:val="24"/>
          <w:szCs w:val="24"/>
          <w:color w:val="auto"/>
        </w:rPr>
      </w:pPr>
    </w:p>
    <w:p>
      <w:pPr>
        <w:spacing w:after="0" w:line="267" w:lineRule="auto"/>
        <w:rPr>
          <w:sz w:val="20"/>
          <w:szCs w:val="20"/>
          <w:color w:val="auto"/>
        </w:rPr>
      </w:pPr>
      <w:r>
        <w:rPr>
          <w:rFonts w:ascii="Arial" w:cs="Arial" w:eastAsia="Arial" w:hAnsi="Arial"/>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200" w:lineRule="exact"/>
        <w:rPr>
          <w:sz w:val="24"/>
          <w:szCs w:val="24"/>
          <w:color w:val="auto"/>
        </w:rPr>
      </w:pP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2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G37585109</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Fairview Capital Investment Management, LLC</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3"/>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spacing w:after="0"/>
        <w:tabs>
          <w:tab w:leader="none" w:pos="0" w:val="left"/>
        </w:tabs>
        <w:numPr>
          <w:ilvl w:val="1"/>
          <w:numId w:val="3"/>
        </w:numPr>
        <w:rPr>
          <w:rFonts w:ascii="Arial" w:cs="Arial" w:eastAsia="Arial" w:hAnsi="Arial"/>
          <w:sz w:val="20"/>
          <w:szCs w:val="20"/>
          <w:color w:val="auto"/>
        </w:rPr>
      </w:pPr>
    </w:p>
    <w:p>
      <w:pPr>
        <w:spacing w:after="0" w:line="223" w:lineRule="exact"/>
        <w:rPr>
          <w:rFonts w:ascii="Arial" w:cs="Arial" w:eastAsia="Arial" w:hAnsi="Arial"/>
          <w:sz w:val="20"/>
          <w:szCs w:val="20"/>
          <w:color w:val="auto"/>
        </w:rPr>
      </w:pPr>
    </w:p>
    <w:p>
      <w:pPr>
        <w:ind w:left="1580" w:hanging="275"/>
        <w:spacing w:after="0"/>
        <w:tabs>
          <w:tab w:leader="none" w:pos="1580" w:val="left"/>
        </w:tabs>
        <w:numPr>
          <w:ilvl w:val="1"/>
          <w:numId w:val="3"/>
        </w:numPr>
        <w:rPr>
          <w:rFonts w:ascii="Arial" w:cs="Arial" w:eastAsia="Arial" w:hAnsi="Arial"/>
          <w:sz w:val="20"/>
          <w:szCs w:val="20"/>
          <w:color w:val="auto"/>
        </w:rPr>
      </w:pPr>
      <w:r>
        <w:rPr>
          <w:rFonts w:ascii="Arial" w:cs="Arial" w:eastAsia="Arial" w:hAnsi="Arial"/>
          <w:sz w:val="20"/>
          <w:szCs w:val="20"/>
          <w:b w:val="1"/>
          <w:bCs w:val="1"/>
          <w:u w:val="single" w:color="auto"/>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3"/>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California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8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8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96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80" w:type="dxa"/>
            <w:vAlign w:val="bottom"/>
          </w:tcPr>
          <w:p>
            <w:pPr>
              <w:ind w:left="100"/>
              <w:spacing w:after="0"/>
              <w:rPr>
                <w:sz w:val="20"/>
                <w:szCs w:val="20"/>
                <w:color w:val="auto"/>
              </w:rPr>
            </w:pPr>
            <w:r>
              <w:rPr>
                <w:rFonts w:ascii="Arial" w:cs="Arial" w:eastAsia="Arial" w:hAnsi="Arial"/>
                <w:sz w:val="20"/>
                <w:szCs w:val="20"/>
                <w:color w:val="auto"/>
              </w:rPr>
              <w:t>Shares</w:t>
            </w:r>
          </w:p>
        </w:tc>
        <w:tc>
          <w:tcPr>
            <w:tcW w:w="280" w:type="dxa"/>
            <w:vAlign w:val="bottom"/>
            <w:tcBorders>
              <w:bottom w:val="single" w:sz="8" w:color="auto"/>
            </w:tcBorders>
          </w:tcPr>
          <w:p>
            <w:pPr>
              <w:spacing w:after="0"/>
              <w:rPr>
                <w:sz w:val="20"/>
                <w:szCs w:val="20"/>
                <w:color w:val="auto"/>
              </w:rPr>
            </w:pPr>
          </w:p>
        </w:tc>
        <w:tc>
          <w:tcPr>
            <w:tcW w:w="8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8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8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96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4,000,000</w:t>
            </w:r>
          </w:p>
        </w:tc>
        <w:tc>
          <w:tcPr>
            <w:tcW w:w="0" w:type="dxa"/>
            <w:vAlign w:val="bottom"/>
          </w:tcPr>
          <w:p>
            <w:pPr>
              <w:spacing w:after="0"/>
              <w:rPr>
                <w:sz w:val="1"/>
                <w:szCs w:val="1"/>
                <w:color w:val="auto"/>
              </w:rPr>
            </w:pPr>
          </w:p>
        </w:tc>
      </w:tr>
      <w:tr>
        <w:trPr>
          <w:trHeight w:val="230"/>
        </w:trPr>
        <w:tc>
          <w:tcPr>
            <w:tcW w:w="218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8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80" w:type="dxa"/>
            <w:vAlign w:val="bottom"/>
            <w:tcBorders>
              <w:bottom w:val="single" w:sz="8" w:color="auto"/>
            </w:tcBorders>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80" w:type="dxa"/>
            <w:vAlign w:val="bottom"/>
            <w:vMerge w:val="continue"/>
          </w:tcPr>
          <w:p>
            <w:pPr>
              <w:spacing w:after="0"/>
              <w:rPr>
                <w:sz w:val="15"/>
                <w:szCs w:val="15"/>
                <w:color w:val="auto"/>
              </w:rPr>
            </w:pPr>
          </w:p>
        </w:tc>
        <w:tc>
          <w:tcPr>
            <w:tcW w:w="280" w:type="dxa"/>
            <w:vAlign w:val="bottom"/>
          </w:tcPr>
          <w:p>
            <w:pPr>
              <w:jc w:val="right"/>
              <w:spacing w:after="0" w:line="180" w:lineRule="exact"/>
              <w:rPr>
                <w:sz w:val="20"/>
                <w:szCs w:val="20"/>
                <w:color w:val="auto"/>
              </w:rPr>
            </w:pPr>
            <w:r>
              <w:rPr>
                <w:rFonts w:ascii="Arial" w:cs="Arial" w:eastAsia="Arial" w:hAnsi="Arial"/>
                <w:sz w:val="20"/>
                <w:szCs w:val="20"/>
                <w:color w:val="auto"/>
              </w:rPr>
              <w:t>7.</w:t>
            </w:r>
          </w:p>
        </w:tc>
        <w:tc>
          <w:tcPr>
            <w:tcW w:w="8960" w:type="dxa"/>
            <w:vAlign w:val="bottom"/>
          </w:tcPr>
          <w:p>
            <w:pPr>
              <w:ind w:left="20"/>
              <w:spacing w:after="0" w:line="180"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80" w:type="dxa"/>
            <w:vAlign w:val="bottom"/>
            <w:tcBorders>
              <w:bottom w:val="single" w:sz="8" w:color="auto"/>
            </w:tcBorders>
          </w:tcPr>
          <w:p>
            <w:pPr>
              <w:spacing w:after="0"/>
              <w:rPr>
                <w:sz w:val="3"/>
                <w:szCs w:val="3"/>
                <w:color w:val="auto"/>
              </w:rPr>
            </w:pPr>
          </w:p>
        </w:tc>
        <w:tc>
          <w:tcPr>
            <w:tcW w:w="8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80" w:type="dxa"/>
            <w:vAlign w:val="bottom"/>
            <w:vMerge w:val="continue"/>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20"/>
                <w:szCs w:val="20"/>
                <w:color w:val="auto"/>
              </w:rPr>
              <w:t>8.</w:t>
            </w:r>
          </w:p>
        </w:tc>
        <w:tc>
          <w:tcPr>
            <w:tcW w:w="8960" w:type="dxa"/>
            <w:vAlign w:val="bottom"/>
          </w:tcPr>
          <w:p>
            <w:pPr>
              <w:ind w:left="20"/>
              <w:spacing w:after="0"/>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4,000,000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128905</wp:posOffset>
            </wp:positionV>
            <wp:extent cx="58661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4,000,000</w:t>
      </w:r>
    </w:p>
    <w:p>
      <w:pPr>
        <w:spacing w:after="0" w:line="235" w:lineRule="exact"/>
        <w:rPr>
          <w:rFonts w:ascii="Arial" w:cs="Arial" w:eastAsia="Arial" w:hAnsi="Arial"/>
          <w:sz w:val="20"/>
          <w:szCs w:val="20"/>
          <w:color w:val="auto"/>
        </w:rPr>
      </w:pPr>
    </w:p>
    <w:p>
      <w:pPr>
        <w:ind w:left="1300" w:right="4280" w:hanging="644"/>
        <w:spacing w:after="0" w:line="260" w:lineRule="auto"/>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4.96%</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IA, OO</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3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G37585109</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Fairview Capital</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spacing w:after="0"/>
        <w:tabs>
          <w:tab w:leader="none" w:pos="0" w:val="left"/>
        </w:tabs>
        <w:numPr>
          <w:ilvl w:val="1"/>
          <w:numId w:val="5"/>
        </w:numPr>
        <w:rPr>
          <w:rFonts w:ascii="Arial" w:cs="Arial" w:eastAsia="Arial" w:hAnsi="Arial"/>
          <w:sz w:val="20"/>
          <w:szCs w:val="20"/>
          <w:color w:val="auto"/>
        </w:rPr>
      </w:pPr>
    </w:p>
    <w:p>
      <w:pPr>
        <w:spacing w:after="0" w:line="223" w:lineRule="exact"/>
        <w:rPr>
          <w:rFonts w:ascii="Arial" w:cs="Arial" w:eastAsia="Arial" w:hAnsi="Arial"/>
          <w:sz w:val="20"/>
          <w:szCs w:val="20"/>
          <w:color w:val="auto"/>
        </w:rPr>
      </w:pPr>
    </w:p>
    <w:p>
      <w:pPr>
        <w:ind w:left="1580" w:hanging="275"/>
        <w:spacing w:after="0"/>
        <w:tabs>
          <w:tab w:leader="none" w:pos="1580" w:val="left"/>
        </w:tabs>
        <w:numPr>
          <w:ilvl w:val="1"/>
          <w:numId w:val="5"/>
        </w:numPr>
        <w:rPr>
          <w:rFonts w:ascii="Arial" w:cs="Arial" w:eastAsia="Arial" w:hAnsi="Arial"/>
          <w:sz w:val="20"/>
          <w:szCs w:val="20"/>
          <w:color w:val="auto"/>
        </w:rPr>
      </w:pPr>
      <w:r>
        <w:rPr>
          <w:rFonts w:ascii="Arial" w:cs="Arial" w:eastAsia="Arial" w:hAnsi="Arial"/>
          <w:sz w:val="20"/>
          <w:szCs w:val="20"/>
          <w:b w:val="1"/>
          <w:bCs w:val="1"/>
          <w:u w:val="single" w:color="auto"/>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5"/>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California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8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8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96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80" w:type="dxa"/>
            <w:vAlign w:val="bottom"/>
          </w:tcPr>
          <w:p>
            <w:pPr>
              <w:ind w:left="100"/>
              <w:spacing w:after="0"/>
              <w:rPr>
                <w:sz w:val="20"/>
                <w:szCs w:val="20"/>
                <w:color w:val="auto"/>
              </w:rPr>
            </w:pPr>
            <w:r>
              <w:rPr>
                <w:rFonts w:ascii="Arial" w:cs="Arial" w:eastAsia="Arial" w:hAnsi="Arial"/>
                <w:sz w:val="20"/>
                <w:szCs w:val="20"/>
                <w:color w:val="auto"/>
              </w:rPr>
              <w:t>Shares</w:t>
            </w:r>
          </w:p>
        </w:tc>
        <w:tc>
          <w:tcPr>
            <w:tcW w:w="280" w:type="dxa"/>
            <w:vAlign w:val="bottom"/>
            <w:tcBorders>
              <w:bottom w:val="single" w:sz="8" w:color="auto"/>
            </w:tcBorders>
          </w:tcPr>
          <w:p>
            <w:pPr>
              <w:spacing w:after="0"/>
              <w:rPr>
                <w:sz w:val="20"/>
                <w:szCs w:val="20"/>
                <w:color w:val="auto"/>
              </w:rPr>
            </w:pPr>
          </w:p>
        </w:tc>
        <w:tc>
          <w:tcPr>
            <w:tcW w:w="8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8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8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96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4,000,000</w:t>
            </w:r>
          </w:p>
        </w:tc>
        <w:tc>
          <w:tcPr>
            <w:tcW w:w="0" w:type="dxa"/>
            <w:vAlign w:val="bottom"/>
          </w:tcPr>
          <w:p>
            <w:pPr>
              <w:spacing w:after="0"/>
              <w:rPr>
                <w:sz w:val="1"/>
                <w:szCs w:val="1"/>
                <w:color w:val="auto"/>
              </w:rPr>
            </w:pPr>
          </w:p>
        </w:tc>
      </w:tr>
      <w:tr>
        <w:trPr>
          <w:trHeight w:val="230"/>
        </w:trPr>
        <w:tc>
          <w:tcPr>
            <w:tcW w:w="218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8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80" w:type="dxa"/>
            <w:vAlign w:val="bottom"/>
            <w:tcBorders>
              <w:bottom w:val="single" w:sz="8" w:color="auto"/>
            </w:tcBorders>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80" w:type="dxa"/>
            <w:vAlign w:val="bottom"/>
            <w:vMerge w:val="continue"/>
          </w:tcPr>
          <w:p>
            <w:pPr>
              <w:spacing w:after="0"/>
              <w:rPr>
                <w:sz w:val="15"/>
                <w:szCs w:val="15"/>
                <w:color w:val="auto"/>
              </w:rPr>
            </w:pPr>
          </w:p>
        </w:tc>
        <w:tc>
          <w:tcPr>
            <w:tcW w:w="280" w:type="dxa"/>
            <w:vAlign w:val="bottom"/>
          </w:tcPr>
          <w:p>
            <w:pPr>
              <w:jc w:val="right"/>
              <w:spacing w:after="0" w:line="180" w:lineRule="exact"/>
              <w:rPr>
                <w:sz w:val="20"/>
                <w:szCs w:val="20"/>
                <w:color w:val="auto"/>
              </w:rPr>
            </w:pPr>
            <w:r>
              <w:rPr>
                <w:rFonts w:ascii="Arial" w:cs="Arial" w:eastAsia="Arial" w:hAnsi="Arial"/>
                <w:sz w:val="20"/>
                <w:szCs w:val="20"/>
                <w:color w:val="auto"/>
              </w:rPr>
              <w:t>7.</w:t>
            </w:r>
          </w:p>
        </w:tc>
        <w:tc>
          <w:tcPr>
            <w:tcW w:w="8960" w:type="dxa"/>
            <w:vAlign w:val="bottom"/>
          </w:tcPr>
          <w:p>
            <w:pPr>
              <w:ind w:left="20"/>
              <w:spacing w:after="0" w:line="180"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80" w:type="dxa"/>
            <w:vAlign w:val="bottom"/>
            <w:tcBorders>
              <w:bottom w:val="single" w:sz="8" w:color="auto"/>
            </w:tcBorders>
          </w:tcPr>
          <w:p>
            <w:pPr>
              <w:spacing w:after="0"/>
              <w:rPr>
                <w:sz w:val="3"/>
                <w:szCs w:val="3"/>
                <w:color w:val="auto"/>
              </w:rPr>
            </w:pPr>
          </w:p>
        </w:tc>
        <w:tc>
          <w:tcPr>
            <w:tcW w:w="8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2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96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4,000,000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4,000,000</w:t>
      </w:r>
    </w:p>
    <w:p>
      <w:pPr>
        <w:spacing w:after="0" w:line="235" w:lineRule="exact"/>
        <w:rPr>
          <w:rFonts w:ascii="Arial" w:cs="Arial" w:eastAsia="Arial" w:hAnsi="Arial"/>
          <w:sz w:val="20"/>
          <w:szCs w:val="20"/>
          <w:color w:val="auto"/>
        </w:rPr>
      </w:pPr>
    </w:p>
    <w:p>
      <w:pPr>
        <w:ind w:left="1300" w:right="4280" w:hanging="644"/>
        <w:spacing w:after="0" w:line="260" w:lineRule="auto"/>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4.96%</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CO, HC</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3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G37585109</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Andrew F. Mathieson</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7"/>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spacing w:after="0"/>
        <w:tabs>
          <w:tab w:leader="none" w:pos="0" w:val="left"/>
        </w:tabs>
        <w:numPr>
          <w:ilvl w:val="1"/>
          <w:numId w:val="7"/>
        </w:numPr>
        <w:rPr>
          <w:rFonts w:ascii="Arial" w:cs="Arial" w:eastAsia="Arial" w:hAnsi="Arial"/>
          <w:sz w:val="20"/>
          <w:szCs w:val="20"/>
          <w:color w:val="auto"/>
        </w:rPr>
      </w:pPr>
    </w:p>
    <w:p>
      <w:pPr>
        <w:spacing w:after="0" w:line="223" w:lineRule="exact"/>
        <w:rPr>
          <w:rFonts w:ascii="Arial" w:cs="Arial" w:eastAsia="Arial" w:hAnsi="Arial"/>
          <w:sz w:val="20"/>
          <w:szCs w:val="20"/>
          <w:color w:val="auto"/>
        </w:rPr>
      </w:pPr>
    </w:p>
    <w:p>
      <w:pPr>
        <w:ind w:left="1580" w:hanging="275"/>
        <w:spacing w:after="0"/>
        <w:tabs>
          <w:tab w:leader="none" w:pos="1580" w:val="left"/>
        </w:tabs>
        <w:numPr>
          <w:ilvl w:val="1"/>
          <w:numId w:val="7"/>
        </w:numPr>
        <w:rPr>
          <w:rFonts w:ascii="Arial" w:cs="Arial" w:eastAsia="Arial" w:hAnsi="Arial"/>
          <w:sz w:val="20"/>
          <w:szCs w:val="20"/>
          <w:color w:val="auto"/>
        </w:rPr>
      </w:pPr>
      <w:r>
        <w:rPr>
          <w:rFonts w:ascii="Arial" w:cs="Arial" w:eastAsia="Arial" w:hAnsi="Arial"/>
          <w:sz w:val="20"/>
          <w:szCs w:val="20"/>
          <w:b w:val="1"/>
          <w:bCs w:val="1"/>
          <w:u w:val="single" w:color="auto"/>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7"/>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U.S.A.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8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8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96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10,000</w:t>
            </w:r>
          </w:p>
        </w:tc>
        <w:tc>
          <w:tcPr>
            <w:tcW w:w="0" w:type="dxa"/>
            <w:vAlign w:val="bottom"/>
          </w:tcPr>
          <w:p>
            <w:pPr>
              <w:spacing w:after="0"/>
              <w:rPr>
                <w:sz w:val="1"/>
                <w:szCs w:val="1"/>
                <w:color w:val="auto"/>
              </w:rPr>
            </w:pPr>
          </w:p>
        </w:tc>
      </w:tr>
      <w:tr>
        <w:trPr>
          <w:trHeight w:val="230"/>
        </w:trPr>
        <w:tc>
          <w:tcPr>
            <w:tcW w:w="2180" w:type="dxa"/>
            <w:vAlign w:val="bottom"/>
          </w:tcPr>
          <w:p>
            <w:pPr>
              <w:ind w:left="100"/>
              <w:spacing w:after="0"/>
              <w:rPr>
                <w:sz w:val="20"/>
                <w:szCs w:val="20"/>
                <w:color w:val="auto"/>
              </w:rPr>
            </w:pPr>
            <w:r>
              <w:rPr>
                <w:rFonts w:ascii="Arial" w:cs="Arial" w:eastAsia="Arial" w:hAnsi="Arial"/>
                <w:sz w:val="20"/>
                <w:szCs w:val="20"/>
                <w:color w:val="auto"/>
              </w:rPr>
              <w:t>Shares</w:t>
            </w:r>
          </w:p>
        </w:tc>
        <w:tc>
          <w:tcPr>
            <w:tcW w:w="28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Beneficially</w:t>
            </w:r>
          </w:p>
        </w:tc>
        <w:tc>
          <w:tcPr>
            <w:tcW w:w="280" w:type="dxa"/>
            <w:vAlign w:val="bottom"/>
            <w:tcBorders>
              <w:bottom w:val="single" w:sz="8" w:color="auto"/>
            </w:tcBorders>
          </w:tcPr>
          <w:p>
            <w:pPr>
              <w:spacing w:after="0"/>
              <w:rPr>
                <w:sz w:val="7"/>
                <w:szCs w:val="7"/>
                <w:color w:val="auto"/>
              </w:rPr>
            </w:pPr>
          </w:p>
        </w:tc>
        <w:tc>
          <w:tcPr>
            <w:tcW w:w="8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180" w:type="dxa"/>
            <w:vAlign w:val="bottom"/>
            <w:vMerge w:val="continue"/>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896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4,000,000</w:t>
            </w:r>
          </w:p>
        </w:tc>
        <w:tc>
          <w:tcPr>
            <w:tcW w:w="0" w:type="dxa"/>
            <w:vAlign w:val="bottom"/>
          </w:tcPr>
          <w:p>
            <w:pPr>
              <w:spacing w:after="0"/>
              <w:rPr>
                <w:sz w:val="1"/>
                <w:szCs w:val="1"/>
                <w:color w:val="auto"/>
              </w:rPr>
            </w:pPr>
          </w:p>
        </w:tc>
      </w:tr>
      <w:tr>
        <w:trPr>
          <w:trHeight w:val="137"/>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Owned by</w:t>
            </w:r>
          </w:p>
        </w:tc>
        <w:tc>
          <w:tcPr>
            <w:tcW w:w="280" w:type="dxa"/>
            <w:vAlign w:val="bottom"/>
            <w:tcBorders>
              <w:bottom w:val="single" w:sz="8" w:color="auto"/>
            </w:tcBorders>
            <w:vMerge w:val="continue"/>
          </w:tcPr>
          <w:p>
            <w:pPr>
              <w:spacing w:after="0"/>
              <w:rPr>
                <w:sz w:val="11"/>
                <w:szCs w:val="11"/>
                <w:color w:val="auto"/>
              </w:rPr>
            </w:pPr>
          </w:p>
        </w:tc>
        <w:tc>
          <w:tcPr>
            <w:tcW w:w="89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180" w:type="dxa"/>
            <w:vAlign w:val="bottom"/>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20"/>
                <w:szCs w:val="20"/>
                <w:color w:val="auto"/>
              </w:rPr>
              <w:t>7.</w:t>
            </w:r>
          </w:p>
        </w:tc>
        <w:tc>
          <w:tcPr>
            <w:tcW w:w="8960" w:type="dxa"/>
            <w:vAlign w:val="bottom"/>
            <w:vMerge w:val="restart"/>
          </w:tcPr>
          <w:p>
            <w:pPr>
              <w:ind w:left="20"/>
              <w:spacing w:after="0"/>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10,000</w:t>
            </w:r>
          </w:p>
        </w:tc>
        <w:tc>
          <w:tcPr>
            <w:tcW w:w="0" w:type="dxa"/>
            <w:vAlign w:val="bottom"/>
          </w:tcPr>
          <w:p>
            <w:pPr>
              <w:spacing w:after="0"/>
              <w:rPr>
                <w:sz w:val="1"/>
                <w:szCs w:val="1"/>
                <w:color w:val="auto"/>
              </w:rPr>
            </w:pPr>
          </w:p>
        </w:tc>
      </w:tr>
      <w:tr>
        <w:trPr>
          <w:trHeight w:val="197"/>
        </w:trPr>
        <w:tc>
          <w:tcPr>
            <w:tcW w:w="2180" w:type="dxa"/>
            <w:vAlign w:val="bottom"/>
          </w:tcPr>
          <w:p>
            <w:pPr>
              <w:ind w:left="100"/>
              <w:spacing w:after="0" w:line="173" w:lineRule="exact"/>
              <w:rPr>
                <w:sz w:val="20"/>
                <w:szCs w:val="20"/>
                <w:color w:val="auto"/>
              </w:rPr>
            </w:pPr>
            <w:r>
              <w:rPr>
                <w:rFonts w:ascii="Arial" w:cs="Arial" w:eastAsia="Arial" w:hAnsi="Arial"/>
                <w:sz w:val="19"/>
                <w:szCs w:val="19"/>
                <w:color w:val="auto"/>
              </w:rPr>
              <w:t>Each Reporting</w:t>
            </w:r>
          </w:p>
        </w:tc>
        <w:tc>
          <w:tcPr>
            <w:tcW w:w="280" w:type="dxa"/>
            <w:vAlign w:val="bottom"/>
            <w:tcBorders>
              <w:bottom w:val="single" w:sz="8" w:color="auto"/>
            </w:tcBorders>
            <w:vMerge w:val="continue"/>
          </w:tcPr>
          <w:p>
            <w:pPr>
              <w:spacing w:after="0"/>
              <w:rPr>
                <w:sz w:val="16"/>
                <w:szCs w:val="16"/>
                <w:color w:val="auto"/>
              </w:rPr>
            </w:pPr>
          </w:p>
        </w:tc>
        <w:tc>
          <w:tcPr>
            <w:tcW w:w="8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180" w:type="dxa"/>
            <w:vAlign w:val="bottom"/>
          </w:tcPr>
          <w:p>
            <w:pPr>
              <w:ind w:left="100"/>
              <w:spacing w:after="0"/>
              <w:rPr>
                <w:sz w:val="20"/>
                <w:szCs w:val="20"/>
                <w:color w:val="auto"/>
              </w:rPr>
            </w:pPr>
            <w:r>
              <w:rPr>
                <w:rFonts w:ascii="Arial" w:cs="Arial" w:eastAsia="Arial" w:hAnsi="Arial"/>
                <w:sz w:val="20"/>
                <w:szCs w:val="20"/>
                <w:color w:val="auto"/>
              </w:rPr>
              <w:t>Person With:</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w:t>
            </w:r>
          </w:p>
        </w:tc>
        <w:tc>
          <w:tcPr>
            <w:tcW w:w="89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4,000,000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4,010,000</w:t>
      </w:r>
    </w:p>
    <w:p>
      <w:pPr>
        <w:spacing w:after="0" w:line="235" w:lineRule="exact"/>
        <w:rPr>
          <w:rFonts w:ascii="Arial" w:cs="Arial" w:eastAsia="Arial" w:hAnsi="Arial"/>
          <w:sz w:val="20"/>
          <w:szCs w:val="20"/>
          <w:color w:val="auto"/>
        </w:rPr>
      </w:pPr>
    </w:p>
    <w:p>
      <w:pPr>
        <w:ind w:left="1300" w:right="4280" w:hanging="644"/>
        <w:spacing w:after="0" w:line="260" w:lineRule="auto"/>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4.96%</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IN, HC</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33"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G37585109</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Scott W. Clark</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9"/>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spacing w:after="0"/>
        <w:tabs>
          <w:tab w:leader="none" w:pos="0" w:val="left"/>
        </w:tabs>
        <w:numPr>
          <w:ilvl w:val="1"/>
          <w:numId w:val="9"/>
        </w:numPr>
        <w:rPr>
          <w:rFonts w:ascii="Arial" w:cs="Arial" w:eastAsia="Arial" w:hAnsi="Arial"/>
          <w:sz w:val="20"/>
          <w:szCs w:val="20"/>
          <w:color w:val="auto"/>
        </w:rPr>
      </w:pPr>
    </w:p>
    <w:p>
      <w:pPr>
        <w:spacing w:after="0" w:line="223" w:lineRule="exact"/>
        <w:rPr>
          <w:rFonts w:ascii="Arial" w:cs="Arial" w:eastAsia="Arial" w:hAnsi="Arial"/>
          <w:sz w:val="20"/>
          <w:szCs w:val="20"/>
          <w:color w:val="auto"/>
        </w:rPr>
      </w:pPr>
    </w:p>
    <w:p>
      <w:pPr>
        <w:ind w:left="1580" w:hanging="275"/>
        <w:spacing w:after="0"/>
        <w:tabs>
          <w:tab w:leader="none" w:pos="1580" w:val="left"/>
        </w:tabs>
        <w:numPr>
          <w:ilvl w:val="1"/>
          <w:numId w:val="9"/>
        </w:numPr>
        <w:rPr>
          <w:rFonts w:ascii="Arial" w:cs="Arial" w:eastAsia="Arial" w:hAnsi="Arial"/>
          <w:sz w:val="20"/>
          <w:szCs w:val="20"/>
          <w:color w:val="auto"/>
        </w:rPr>
      </w:pPr>
      <w:r>
        <w:rPr>
          <w:rFonts w:ascii="Arial" w:cs="Arial" w:eastAsia="Arial" w:hAnsi="Arial"/>
          <w:sz w:val="20"/>
          <w:szCs w:val="20"/>
          <w:b w:val="1"/>
          <w:bCs w:val="1"/>
          <w:u w:val="single" w:color="auto"/>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9"/>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U.S.A.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8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8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96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80" w:type="dxa"/>
            <w:vAlign w:val="bottom"/>
          </w:tcPr>
          <w:p>
            <w:pPr>
              <w:ind w:left="100"/>
              <w:spacing w:after="0"/>
              <w:rPr>
                <w:sz w:val="20"/>
                <w:szCs w:val="20"/>
                <w:color w:val="auto"/>
              </w:rPr>
            </w:pPr>
            <w:r>
              <w:rPr>
                <w:rFonts w:ascii="Arial" w:cs="Arial" w:eastAsia="Arial" w:hAnsi="Arial"/>
                <w:sz w:val="20"/>
                <w:szCs w:val="20"/>
                <w:color w:val="auto"/>
              </w:rPr>
              <w:t>Shares</w:t>
            </w:r>
          </w:p>
        </w:tc>
        <w:tc>
          <w:tcPr>
            <w:tcW w:w="280" w:type="dxa"/>
            <w:vAlign w:val="bottom"/>
            <w:tcBorders>
              <w:bottom w:val="single" w:sz="8" w:color="auto"/>
            </w:tcBorders>
          </w:tcPr>
          <w:p>
            <w:pPr>
              <w:spacing w:after="0"/>
              <w:rPr>
                <w:sz w:val="20"/>
                <w:szCs w:val="20"/>
                <w:color w:val="auto"/>
              </w:rPr>
            </w:pPr>
          </w:p>
        </w:tc>
        <w:tc>
          <w:tcPr>
            <w:tcW w:w="8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8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8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96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4,000,000</w:t>
            </w:r>
          </w:p>
        </w:tc>
        <w:tc>
          <w:tcPr>
            <w:tcW w:w="0" w:type="dxa"/>
            <w:vAlign w:val="bottom"/>
          </w:tcPr>
          <w:p>
            <w:pPr>
              <w:spacing w:after="0"/>
              <w:rPr>
                <w:sz w:val="1"/>
                <w:szCs w:val="1"/>
                <w:color w:val="auto"/>
              </w:rPr>
            </w:pPr>
          </w:p>
        </w:tc>
      </w:tr>
      <w:tr>
        <w:trPr>
          <w:trHeight w:val="230"/>
        </w:trPr>
        <w:tc>
          <w:tcPr>
            <w:tcW w:w="218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8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80" w:type="dxa"/>
            <w:vAlign w:val="bottom"/>
            <w:tcBorders>
              <w:bottom w:val="single" w:sz="8" w:color="auto"/>
            </w:tcBorders>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80" w:type="dxa"/>
            <w:vAlign w:val="bottom"/>
            <w:vMerge w:val="continue"/>
          </w:tcPr>
          <w:p>
            <w:pPr>
              <w:spacing w:after="0"/>
              <w:rPr>
                <w:sz w:val="15"/>
                <w:szCs w:val="15"/>
                <w:color w:val="auto"/>
              </w:rPr>
            </w:pPr>
          </w:p>
        </w:tc>
        <w:tc>
          <w:tcPr>
            <w:tcW w:w="280" w:type="dxa"/>
            <w:vAlign w:val="bottom"/>
          </w:tcPr>
          <w:p>
            <w:pPr>
              <w:jc w:val="right"/>
              <w:spacing w:after="0" w:line="180" w:lineRule="exact"/>
              <w:rPr>
                <w:sz w:val="20"/>
                <w:szCs w:val="20"/>
                <w:color w:val="auto"/>
              </w:rPr>
            </w:pPr>
            <w:r>
              <w:rPr>
                <w:rFonts w:ascii="Arial" w:cs="Arial" w:eastAsia="Arial" w:hAnsi="Arial"/>
                <w:sz w:val="20"/>
                <w:szCs w:val="20"/>
                <w:color w:val="auto"/>
              </w:rPr>
              <w:t>7.</w:t>
            </w:r>
          </w:p>
        </w:tc>
        <w:tc>
          <w:tcPr>
            <w:tcW w:w="8960" w:type="dxa"/>
            <w:vAlign w:val="bottom"/>
          </w:tcPr>
          <w:p>
            <w:pPr>
              <w:ind w:left="20"/>
              <w:spacing w:after="0" w:line="180"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80" w:type="dxa"/>
            <w:vAlign w:val="bottom"/>
            <w:tcBorders>
              <w:bottom w:val="single" w:sz="8" w:color="auto"/>
            </w:tcBorders>
          </w:tcPr>
          <w:p>
            <w:pPr>
              <w:spacing w:after="0"/>
              <w:rPr>
                <w:sz w:val="3"/>
                <w:szCs w:val="3"/>
                <w:color w:val="auto"/>
              </w:rPr>
            </w:pPr>
          </w:p>
        </w:tc>
        <w:tc>
          <w:tcPr>
            <w:tcW w:w="8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2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96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4,000,000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4,000,000</w:t>
      </w:r>
    </w:p>
    <w:p>
      <w:pPr>
        <w:spacing w:after="0" w:line="235" w:lineRule="exact"/>
        <w:rPr>
          <w:rFonts w:ascii="Arial" w:cs="Arial" w:eastAsia="Arial" w:hAnsi="Arial"/>
          <w:sz w:val="20"/>
          <w:szCs w:val="20"/>
          <w:color w:val="auto"/>
        </w:rPr>
      </w:pPr>
    </w:p>
    <w:p>
      <w:pPr>
        <w:ind w:left="1300" w:right="4280" w:hanging="644"/>
        <w:spacing w:after="0" w:line="260" w:lineRule="auto"/>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4.96%</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IN, HC</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3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G37585109</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Darlington Partners, L.P.</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spacing w:after="0"/>
        <w:tabs>
          <w:tab w:leader="none" w:pos="0" w:val="left"/>
        </w:tabs>
        <w:numPr>
          <w:ilvl w:val="1"/>
          <w:numId w:val="11"/>
        </w:numPr>
        <w:rPr>
          <w:rFonts w:ascii="Arial" w:cs="Arial" w:eastAsia="Arial" w:hAnsi="Arial"/>
          <w:sz w:val="20"/>
          <w:szCs w:val="20"/>
          <w:color w:val="auto"/>
        </w:rPr>
      </w:pPr>
    </w:p>
    <w:p>
      <w:pPr>
        <w:spacing w:after="0" w:line="223" w:lineRule="exact"/>
        <w:rPr>
          <w:rFonts w:ascii="Arial" w:cs="Arial" w:eastAsia="Arial" w:hAnsi="Arial"/>
          <w:sz w:val="20"/>
          <w:szCs w:val="20"/>
          <w:color w:val="auto"/>
        </w:rPr>
      </w:pPr>
    </w:p>
    <w:p>
      <w:pPr>
        <w:ind w:left="1580" w:hanging="275"/>
        <w:spacing w:after="0"/>
        <w:tabs>
          <w:tab w:leader="none" w:pos="1580" w:val="left"/>
        </w:tabs>
        <w:numPr>
          <w:ilvl w:val="1"/>
          <w:numId w:val="11"/>
        </w:numPr>
        <w:rPr>
          <w:rFonts w:ascii="Arial" w:cs="Arial" w:eastAsia="Arial" w:hAnsi="Arial"/>
          <w:sz w:val="20"/>
          <w:szCs w:val="20"/>
          <w:color w:val="auto"/>
        </w:rPr>
      </w:pPr>
      <w:r>
        <w:rPr>
          <w:rFonts w:ascii="Arial" w:cs="Arial" w:eastAsia="Arial" w:hAnsi="Arial"/>
          <w:sz w:val="20"/>
          <w:szCs w:val="20"/>
          <w:b w:val="1"/>
          <w:bCs w:val="1"/>
          <w:u w:val="single" w:color="auto"/>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8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8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96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80" w:type="dxa"/>
            <w:vAlign w:val="bottom"/>
          </w:tcPr>
          <w:p>
            <w:pPr>
              <w:ind w:left="100"/>
              <w:spacing w:after="0"/>
              <w:rPr>
                <w:sz w:val="20"/>
                <w:szCs w:val="20"/>
                <w:color w:val="auto"/>
              </w:rPr>
            </w:pPr>
            <w:r>
              <w:rPr>
                <w:rFonts w:ascii="Arial" w:cs="Arial" w:eastAsia="Arial" w:hAnsi="Arial"/>
                <w:sz w:val="20"/>
                <w:szCs w:val="20"/>
                <w:color w:val="auto"/>
              </w:rPr>
              <w:t>Shares</w:t>
            </w:r>
          </w:p>
        </w:tc>
        <w:tc>
          <w:tcPr>
            <w:tcW w:w="280" w:type="dxa"/>
            <w:vAlign w:val="bottom"/>
            <w:tcBorders>
              <w:bottom w:val="single" w:sz="8" w:color="auto"/>
            </w:tcBorders>
          </w:tcPr>
          <w:p>
            <w:pPr>
              <w:spacing w:after="0"/>
              <w:rPr>
                <w:sz w:val="20"/>
                <w:szCs w:val="20"/>
                <w:color w:val="auto"/>
              </w:rPr>
            </w:pPr>
          </w:p>
        </w:tc>
        <w:tc>
          <w:tcPr>
            <w:tcW w:w="8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8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8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96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4,000,000</w:t>
            </w:r>
          </w:p>
        </w:tc>
        <w:tc>
          <w:tcPr>
            <w:tcW w:w="0" w:type="dxa"/>
            <w:vAlign w:val="bottom"/>
          </w:tcPr>
          <w:p>
            <w:pPr>
              <w:spacing w:after="0"/>
              <w:rPr>
                <w:sz w:val="1"/>
                <w:szCs w:val="1"/>
                <w:color w:val="auto"/>
              </w:rPr>
            </w:pPr>
          </w:p>
        </w:tc>
      </w:tr>
      <w:tr>
        <w:trPr>
          <w:trHeight w:val="230"/>
        </w:trPr>
        <w:tc>
          <w:tcPr>
            <w:tcW w:w="218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8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80" w:type="dxa"/>
            <w:vAlign w:val="bottom"/>
            <w:tcBorders>
              <w:bottom w:val="single" w:sz="8" w:color="auto"/>
            </w:tcBorders>
          </w:tcPr>
          <w:p>
            <w:pPr>
              <w:spacing w:after="0"/>
              <w:rPr>
                <w:sz w:val="2"/>
                <w:szCs w:val="2"/>
                <w:color w:val="auto"/>
              </w:rPr>
            </w:pPr>
          </w:p>
        </w:tc>
        <w:tc>
          <w:tcPr>
            <w:tcW w:w="8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80" w:type="dxa"/>
            <w:vAlign w:val="bottom"/>
            <w:vMerge w:val="continue"/>
          </w:tcPr>
          <w:p>
            <w:pPr>
              <w:spacing w:after="0"/>
              <w:rPr>
                <w:sz w:val="15"/>
                <w:szCs w:val="15"/>
                <w:color w:val="auto"/>
              </w:rPr>
            </w:pPr>
          </w:p>
        </w:tc>
        <w:tc>
          <w:tcPr>
            <w:tcW w:w="280" w:type="dxa"/>
            <w:vAlign w:val="bottom"/>
          </w:tcPr>
          <w:p>
            <w:pPr>
              <w:jc w:val="right"/>
              <w:spacing w:after="0" w:line="180" w:lineRule="exact"/>
              <w:rPr>
                <w:sz w:val="20"/>
                <w:szCs w:val="20"/>
                <w:color w:val="auto"/>
              </w:rPr>
            </w:pPr>
            <w:r>
              <w:rPr>
                <w:rFonts w:ascii="Arial" w:cs="Arial" w:eastAsia="Arial" w:hAnsi="Arial"/>
                <w:sz w:val="20"/>
                <w:szCs w:val="20"/>
                <w:color w:val="auto"/>
              </w:rPr>
              <w:t>7.</w:t>
            </w:r>
          </w:p>
        </w:tc>
        <w:tc>
          <w:tcPr>
            <w:tcW w:w="8960" w:type="dxa"/>
            <w:vAlign w:val="bottom"/>
          </w:tcPr>
          <w:p>
            <w:pPr>
              <w:ind w:left="20"/>
              <w:spacing w:after="0" w:line="180"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8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80" w:type="dxa"/>
            <w:vAlign w:val="bottom"/>
            <w:tcBorders>
              <w:bottom w:val="single" w:sz="8" w:color="auto"/>
            </w:tcBorders>
          </w:tcPr>
          <w:p>
            <w:pPr>
              <w:spacing w:after="0"/>
              <w:rPr>
                <w:sz w:val="3"/>
                <w:szCs w:val="3"/>
                <w:color w:val="auto"/>
              </w:rPr>
            </w:pPr>
          </w:p>
        </w:tc>
        <w:tc>
          <w:tcPr>
            <w:tcW w:w="8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2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96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4,000,000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4,000,000</w:t>
      </w:r>
    </w:p>
    <w:p>
      <w:pPr>
        <w:spacing w:after="0" w:line="235" w:lineRule="exact"/>
        <w:rPr>
          <w:rFonts w:ascii="Arial" w:cs="Arial" w:eastAsia="Arial" w:hAnsi="Arial"/>
          <w:sz w:val="20"/>
          <w:szCs w:val="20"/>
          <w:color w:val="auto"/>
        </w:rPr>
      </w:pPr>
    </w:p>
    <w:p>
      <w:pPr>
        <w:ind w:left="1300" w:right="4280" w:hanging="644"/>
        <w:spacing w:after="0" w:line="260" w:lineRule="auto"/>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4.96%</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PN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3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G37585109</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w:t>
      </w:r>
    </w:p>
    <w:p>
      <w:pPr>
        <w:spacing w:after="0" w:line="213"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Name of Issuer</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GasLog Ltd</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Address of Issuer’s Principal Executive Offices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Gildo Pastor Center, 7 Rue du Gabian MC 98000, Monaco</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The names of the persons filing this statement are:</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Fairview Capital Investment Management, LLC (“FCIM LLC”)</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Fairview Capital</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Andrew F. Mathieson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Scott W. Clark</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Darlington Partners, L.P. (“Darlington”)</w:t>
      </w:r>
    </w:p>
    <w:p>
      <w:pPr>
        <w:spacing w:after="0" w:line="23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(collectively, the “Filers”).</w:t>
      </w:r>
    </w:p>
    <w:p>
      <w:pPr>
        <w:spacing w:after="0" w:line="229" w:lineRule="exact"/>
        <w:rPr>
          <w:sz w:val="20"/>
          <w:szCs w:val="20"/>
          <w:color w:val="auto"/>
        </w:rPr>
      </w:pPr>
    </w:p>
    <w:p>
      <w:pPr>
        <w:ind w:left="660"/>
        <w:spacing w:after="0" w:line="242" w:lineRule="auto"/>
        <w:rPr>
          <w:sz w:val="20"/>
          <w:szCs w:val="20"/>
          <w:color w:val="auto"/>
        </w:rPr>
      </w:pPr>
      <w:r>
        <w:rPr>
          <w:rFonts w:ascii="Arial" w:cs="Arial" w:eastAsia="Arial" w:hAnsi="Arial"/>
          <w:sz w:val="20"/>
          <w:szCs w:val="20"/>
          <w:color w:val="auto"/>
        </w:rPr>
        <w:t>FCIM LLC is the general partner and investment adviser of private investment funds, including Darlington, and the investment adviser to other accounts. Fairview Capital is the manager of FCIM LLC. Mr. Mathieson is the controlling shareholder and President of Fairview Capital. Mr. Clark is the Managing Partner and a portfolio manager of Darlington. The Filers are filing this Schedule 13G jointly but not as members of a group, and each disclaims membership in a group. Each of FCIM LLC, Fairview Capital, Mr. Mathieson and Mr. Clark disclaims beneficial ownership of the Stock, except to the extent of that person’s pecuniary interest therein. In addition, the filing of this Schedule 13G on behalf of Darlington should not be construed as an admission that it is, and it disclaims that it is, the beneficial owner, as defined in Rule 13d-3 under the Securities Exchange Act of 1934, of any of the Stock covered by this Schedule 13G.</w:t>
      </w:r>
    </w:p>
    <w:p>
      <w:pPr>
        <w:spacing w:after="0" w:line="200" w:lineRule="exact"/>
        <w:rPr>
          <w:sz w:val="20"/>
          <w:szCs w:val="20"/>
          <w:color w:val="auto"/>
        </w:rPr>
      </w:pPr>
    </w:p>
    <w:p>
      <w:pPr>
        <w:spacing w:after="0" w:line="241"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principal business office of the Filers is located at:</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300 Drakes Landing Road, Suite 250, Greenbrae, CA 94904</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For citizenship of Filers, see Item 4 of the cover sheet for each Filer.</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This statement relates to shares of Common Shares, $0.01 par value per share of the Issuer (the “Stock”).</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The CUSIP number of the Issuer is: </w:t>
      </w:r>
      <w:r>
        <w:rPr>
          <w:rFonts w:ascii="Arial" w:cs="Arial" w:eastAsia="Arial" w:hAnsi="Arial"/>
          <w:sz w:val="20"/>
          <w:szCs w:val="20"/>
          <w:b w:val="1"/>
          <w:bCs w:val="1"/>
          <w:color w:val="auto"/>
        </w:rPr>
        <w:t>G37585109</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33"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G37585109</w:t>
      </w:r>
    </w:p>
    <w:p>
      <w:pPr>
        <w:spacing w:after="0" w:line="2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240.13d-1(b) or 240.13d-2(b) or (c), check whether the person filing is a:</w:t>
      </w:r>
    </w:p>
    <w:p>
      <w:pPr>
        <w:spacing w:after="0" w:line="213" w:lineRule="exact"/>
        <w:rPr>
          <w:sz w:val="20"/>
          <w:szCs w:val="20"/>
          <w:color w:val="auto"/>
        </w:rPr>
      </w:pPr>
    </w:p>
    <w:p>
      <w:pPr>
        <w:ind w:left="1960" w:hanging="1304"/>
        <w:spacing w:after="0"/>
        <w:tabs>
          <w:tab w:leader="none" w:pos="19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 Broker or dealer registered under section 15 of the Act (15 U.S.C. 78o).</w:t>
      </w:r>
    </w:p>
    <w:p>
      <w:pPr>
        <w:spacing w:after="0" w:line="229" w:lineRule="exact"/>
        <w:rPr>
          <w:rFonts w:ascii="Arial" w:cs="Arial" w:eastAsia="Arial" w:hAnsi="Arial"/>
          <w:sz w:val="20"/>
          <w:szCs w:val="20"/>
          <w:color w:val="auto"/>
        </w:rPr>
      </w:pPr>
    </w:p>
    <w:p>
      <w:pPr>
        <w:ind w:left="1960" w:hanging="1304"/>
        <w:spacing w:after="0"/>
        <w:tabs>
          <w:tab w:leader="none" w:pos="19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 Bank as defined in section 3(a)(6) of the Act (15 U.S.C. 78c).</w:t>
      </w:r>
    </w:p>
    <w:p>
      <w:pPr>
        <w:spacing w:after="0" w:line="229" w:lineRule="exact"/>
        <w:rPr>
          <w:rFonts w:ascii="Arial" w:cs="Arial" w:eastAsia="Arial" w:hAnsi="Arial"/>
          <w:sz w:val="20"/>
          <w:szCs w:val="20"/>
          <w:color w:val="auto"/>
        </w:rPr>
      </w:pPr>
    </w:p>
    <w:p>
      <w:pPr>
        <w:ind w:left="1960" w:hanging="1304"/>
        <w:spacing w:after="0"/>
        <w:tabs>
          <w:tab w:leader="none" w:pos="19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 Insurance company as defined in section 3(a)(19) of the Act (15 U.S.C. 78c).</w:t>
      </w:r>
    </w:p>
    <w:p>
      <w:pPr>
        <w:spacing w:after="0" w:line="229" w:lineRule="exact"/>
        <w:rPr>
          <w:rFonts w:ascii="Arial" w:cs="Arial" w:eastAsia="Arial" w:hAnsi="Arial"/>
          <w:sz w:val="20"/>
          <w:szCs w:val="20"/>
          <w:color w:val="auto"/>
        </w:rPr>
      </w:pPr>
    </w:p>
    <w:p>
      <w:pPr>
        <w:ind w:left="1960" w:hanging="1304"/>
        <w:spacing w:after="0"/>
        <w:tabs>
          <w:tab w:leader="none" w:pos="19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 ] Investment company registered under section 8 of the Investment Company Act of 1940 (15 U.S.C. 80a-8).</w:t>
      </w:r>
    </w:p>
    <w:p>
      <w:pPr>
        <w:spacing w:after="0" w:line="240" w:lineRule="exact"/>
        <w:rPr>
          <w:rFonts w:ascii="Arial" w:cs="Arial" w:eastAsia="Arial" w:hAnsi="Arial"/>
          <w:sz w:val="19"/>
          <w:szCs w:val="19"/>
          <w:color w:val="auto"/>
        </w:rPr>
      </w:pPr>
    </w:p>
    <w:p>
      <w:pPr>
        <w:ind w:left="1300" w:hanging="644"/>
        <w:spacing w:after="0"/>
        <w:tabs>
          <w:tab w:leader="none" w:pos="13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X ] An investment adviser in accordance with section 240.13d-1(b)(1)(ii)(E) (as to FCIM LLC).</w:t>
      </w:r>
    </w:p>
    <w:p>
      <w:pPr>
        <w:spacing w:after="0" w:line="229" w:lineRule="exact"/>
        <w:rPr>
          <w:rFonts w:ascii="Arial" w:cs="Arial" w:eastAsia="Arial" w:hAnsi="Arial"/>
          <w:sz w:val="20"/>
          <w:szCs w:val="20"/>
          <w:color w:val="auto"/>
        </w:rPr>
      </w:pPr>
    </w:p>
    <w:p>
      <w:pPr>
        <w:ind w:left="1960" w:hanging="1304"/>
        <w:spacing w:after="0"/>
        <w:tabs>
          <w:tab w:leader="none" w:pos="19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 An employee benefit plan or endowment fund in accordance with section 240.13d-1(b)(1)(ii)(F).</w:t>
      </w:r>
    </w:p>
    <w:p>
      <w:pPr>
        <w:spacing w:after="0" w:line="229" w:lineRule="exact"/>
        <w:rPr>
          <w:rFonts w:ascii="Arial" w:cs="Arial" w:eastAsia="Arial" w:hAnsi="Arial"/>
          <w:sz w:val="20"/>
          <w:szCs w:val="20"/>
          <w:color w:val="auto"/>
        </w:rPr>
      </w:pPr>
    </w:p>
    <w:p>
      <w:pPr>
        <w:ind w:left="1300" w:right="360" w:hanging="644"/>
        <w:spacing w:after="0" w:line="260" w:lineRule="auto"/>
        <w:tabs>
          <w:tab w:leader="none" w:pos="13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X ] A parent holding company or control person in accordance with 240.13d-1(b)(1)(ii)(G) (as to Fairview Capital, Mr. Mathieson and Mr. Clark).</w:t>
      </w:r>
    </w:p>
    <w:p>
      <w:pPr>
        <w:spacing w:after="0" w:line="190" w:lineRule="exact"/>
        <w:rPr>
          <w:rFonts w:ascii="Arial" w:cs="Arial" w:eastAsia="Arial" w:hAnsi="Arial"/>
          <w:sz w:val="20"/>
          <w:szCs w:val="20"/>
          <w:color w:val="auto"/>
        </w:rPr>
      </w:pPr>
    </w:p>
    <w:p>
      <w:pPr>
        <w:ind w:left="1960" w:hanging="1304"/>
        <w:spacing w:after="0"/>
        <w:tabs>
          <w:tab w:leader="none" w:pos="19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240" w:lineRule="exact"/>
        <w:rPr>
          <w:rFonts w:ascii="Arial" w:cs="Arial" w:eastAsia="Arial" w:hAnsi="Arial"/>
          <w:sz w:val="19"/>
          <w:szCs w:val="19"/>
          <w:color w:val="auto"/>
        </w:rPr>
      </w:pPr>
    </w:p>
    <w:p>
      <w:pPr>
        <w:ind w:left="1960" w:right="620" w:hanging="1304"/>
        <w:spacing w:after="0" w:line="260" w:lineRule="auto"/>
        <w:tabs>
          <w:tab w:leader="none" w:pos="19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 A church plan that is excluded from the definition of an investment company under section 3(c)(14) of the Investment Company Act of 1940 (15 U.S.C. 80a-3).</w:t>
      </w:r>
    </w:p>
    <w:p>
      <w:pPr>
        <w:spacing w:after="0" w:line="190" w:lineRule="exact"/>
        <w:rPr>
          <w:rFonts w:ascii="Arial" w:cs="Arial" w:eastAsia="Arial" w:hAnsi="Arial"/>
          <w:sz w:val="20"/>
          <w:szCs w:val="20"/>
          <w:color w:val="auto"/>
        </w:rPr>
      </w:pPr>
    </w:p>
    <w:p>
      <w:pPr>
        <w:ind w:left="1960" w:hanging="1304"/>
        <w:spacing w:after="0"/>
        <w:tabs>
          <w:tab w:leader="none" w:pos="19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 Group, in accordance with section 240.13d-1(b)(1)(ii)(J).</w:t>
      </w:r>
    </w:p>
    <w:p>
      <w:pPr>
        <w:spacing w:after="0" w:line="200" w:lineRule="exact"/>
        <w:rPr>
          <w:sz w:val="20"/>
          <w:szCs w:val="20"/>
          <w:color w:val="auto"/>
        </w:rPr>
      </w:pPr>
    </w:p>
    <w:p>
      <w:pPr>
        <w:spacing w:after="0" w:line="25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See Items 5-9 and 11 of the cover page for each Filer.</w:t>
      </w: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35"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 xml:space="preserve">If this statement is being filed to report the fact that as of the date hereof the reporting person has ceased to be the beneficial owner of more than five percent of the class of securities, check the following [ </w:t>
      </w:r>
      <w:r>
        <w:rPr>
          <w:rFonts w:ascii="Arial" w:cs="Arial" w:eastAsia="Arial" w:hAnsi="Arial"/>
          <w:sz w:val="20"/>
          <w:szCs w:val="20"/>
          <w:b w:val="1"/>
          <w:bCs w:val="1"/>
          <w:color w:val="auto"/>
        </w:rPr>
        <w:t>X</w:t>
      </w:r>
      <w:r>
        <w:rPr>
          <w:rFonts w:ascii="Arial" w:cs="Arial" w:eastAsia="Arial" w:hAnsi="Arial"/>
          <w:sz w:val="20"/>
          <w:szCs w:val="20"/>
          <w:color w:val="auto"/>
        </w:rPr>
        <w:t xml:space="preserve"> ].</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FCIM LLC’s clients, including Darlington, have the right to receive or the power to direct the receipt of dividends from, or the proceeds from the sale of, the Stock.</w:t>
      </w:r>
    </w:p>
    <w:p>
      <w:pPr>
        <w:spacing w:after="0" w:line="184" w:lineRule="exact"/>
        <w:rPr>
          <w:sz w:val="20"/>
          <w:szCs w:val="20"/>
          <w:color w:val="auto"/>
        </w:rPr>
      </w:pPr>
    </w:p>
    <w:p>
      <w:pPr>
        <w:ind w:left="1300" w:right="360" w:hanging="1296"/>
        <w:spacing w:after="0" w:line="267" w:lineRule="auto"/>
        <w:tabs>
          <w:tab w:leader="none" w:pos="12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6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233"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CUSIP G37585109</w:t>
      </w:r>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8"/>
          <w:szCs w:val="18"/>
          <w:b w:val="1"/>
          <w:bCs w:val="1"/>
          <w:color w:val="auto"/>
        </w:rPr>
        <w:t>Certification of FCIM LLC, Fairview Capital, Mr. Mathieson and Mr. Clark</w:t>
      </w:r>
    </w:p>
    <w:p>
      <w:pPr>
        <w:spacing w:after="0" w:line="235" w:lineRule="exact"/>
        <w:rPr>
          <w:sz w:val="20"/>
          <w:szCs w:val="20"/>
          <w:color w:val="auto"/>
        </w:rPr>
      </w:pPr>
    </w:p>
    <w:p>
      <w:pPr>
        <w:ind w:right="440"/>
        <w:spacing w:after="0" w:line="246"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Certification of Darlington:</w:t>
      </w:r>
    </w:p>
    <w:p>
      <w:pPr>
        <w:spacing w:after="0" w:line="114" w:lineRule="exact"/>
        <w:rPr>
          <w:sz w:val="20"/>
          <w:szCs w:val="20"/>
          <w:color w:val="auto"/>
        </w:rPr>
      </w:pPr>
    </w:p>
    <w:p>
      <w:pPr>
        <w:ind w:right="460"/>
        <w:spacing w:after="0" w:line="269"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Exhibit: </w:t>
      </w:r>
      <w:r>
        <w:rPr>
          <w:rFonts w:ascii="Arial" w:cs="Arial" w:eastAsia="Arial" w:hAnsi="Arial"/>
          <w:sz w:val="20"/>
          <w:szCs w:val="20"/>
          <w:color w:val="auto"/>
        </w:rPr>
        <w:t>Joint Filing Agreement</w:t>
      </w:r>
    </w:p>
    <w:p>
      <w:pPr>
        <w:spacing w:after="0" w:line="222"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SIGNATURE</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Dated: February 8, 2018</w:t>
      </w:r>
    </w:p>
    <w:p>
      <w:pPr>
        <w:sectPr>
          <w:pgSz w:w="11900" w:h="16838" w:orient="portrait"/>
          <w:cols w:equalWidth="0" w:num="1">
            <w:col w:w="11180"/>
          </w:cols>
          <w:pgMar w:left="240" w:top="233" w:right="479" w:bottom="1440" w:gutter="0" w:footer="0" w:header="0"/>
        </w:sectPr>
      </w:pPr>
    </w:p>
    <w:p>
      <w:pPr>
        <w:spacing w:after="0" w:line="223"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FAIRVIEW CAPITAL INVESTMENT MANAGEMENT, LLC</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FAIRVIEW CAPITAL</w:t>
      </w:r>
    </w:p>
    <w:p>
      <w:pPr>
        <w:spacing w:after="0" w:line="200" w:lineRule="exact"/>
        <w:rPr>
          <w:sz w:val="20"/>
          <w:szCs w:val="20"/>
          <w:color w:val="auto"/>
        </w:rPr>
      </w:pPr>
    </w:p>
    <w:p>
      <w:pPr>
        <w:sectPr>
          <w:pgSz w:w="11900" w:h="16838" w:orient="portrait"/>
          <w:cols w:equalWidth="0" w:num="2">
            <w:col w:w="5460" w:space="360"/>
            <w:col w:w="5360"/>
          </w:cols>
          <w:pgMar w:left="240" w:top="233" w:right="479" w:bottom="1440" w:gutter="0" w:footer="0" w:header="0"/>
          <w:type w:val="continuous"/>
        </w:sectPr>
      </w:pPr>
    </w:p>
    <w:p>
      <w:pPr>
        <w:spacing w:after="0" w:line="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 Fairview Capital,</w:t>
      </w:r>
    </w:p>
    <w:p>
      <w:pPr>
        <w:spacing w:after="0" w:line="3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Manager</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 /s/ Andrew F. Mathieson, President</w:t>
      </w:r>
    </w:p>
    <w:p>
      <w:pPr>
        <w:spacing w:after="0" w:line="238" w:lineRule="exact"/>
        <w:rPr>
          <w:sz w:val="20"/>
          <w:szCs w:val="20"/>
          <w:color w:val="auto"/>
        </w:rPr>
      </w:pPr>
    </w:p>
    <w:p>
      <w:pPr>
        <w:sectPr>
          <w:pgSz w:w="11900" w:h="16838" w:orient="portrait"/>
          <w:cols w:equalWidth="0" w:num="2">
            <w:col w:w="5100" w:space="720"/>
            <w:col w:w="5360"/>
          </w:cols>
          <w:pgMar w:left="240" w:top="233" w:right="479" w:bottom="1440" w:gutter="0" w:footer="0" w:header="0"/>
          <w:type w:val="continuous"/>
        </w:sectPr>
      </w:pPr>
    </w:p>
    <w:p>
      <w:pPr>
        <w:spacing w:after="0" w:line="1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 /s/ Andrew F. Mathieson, President</w:t>
      </w:r>
    </w:p>
    <w:p>
      <w:pPr>
        <w:sectPr>
          <w:pgSz w:w="11900" w:h="16838" w:orient="portrait"/>
          <w:cols w:equalWidth="0" w:num="1">
            <w:col w:w="11180"/>
          </w:cols>
          <w:pgMar w:left="240" w:top="233" w:right="479"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Andrew F. Mathieson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jc w:val="center"/>
        <w:ind w:right="3960"/>
        <w:spacing w:after="0"/>
        <w:rPr>
          <w:sz w:val="20"/>
          <w:szCs w:val="20"/>
          <w:color w:val="auto"/>
        </w:rPr>
      </w:pPr>
      <w:r>
        <w:rPr>
          <w:rFonts w:ascii="Arial" w:cs="Arial" w:eastAsia="Arial" w:hAnsi="Arial"/>
          <w:sz w:val="18"/>
          <w:szCs w:val="18"/>
          <w:color w:val="auto"/>
        </w:rPr>
        <w:t>/s/ Scott W. Clark</w:t>
      </w:r>
    </w:p>
    <w:p>
      <w:pPr>
        <w:spacing w:after="0" w:line="200" w:lineRule="exact"/>
        <w:rPr>
          <w:sz w:val="20"/>
          <w:szCs w:val="20"/>
          <w:color w:val="auto"/>
        </w:rPr>
      </w:pPr>
    </w:p>
    <w:p>
      <w:pPr>
        <w:sectPr>
          <w:pgSz w:w="11900" w:h="16838" w:orient="portrait"/>
          <w:cols w:equalWidth="0" w:num="2">
            <w:col w:w="5100" w:space="720"/>
            <w:col w:w="5360"/>
          </w:cols>
          <w:pgMar w:left="240" w:top="233" w:right="479" w:bottom="1440" w:gutter="0" w:footer="0" w:header="0"/>
          <w:type w:val="continuous"/>
        </w:sectPr>
      </w:pPr>
    </w:p>
    <w:p>
      <w:pPr>
        <w:spacing w:after="0" w:line="46"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DARLINGTON PARTNERS, L.P.</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 /s/ Scott W. Clark, Managing Partner</w:t>
      </w:r>
    </w:p>
    <w:p>
      <w:pPr>
        <w:sectPr>
          <w:pgSz w:w="11900" w:h="16838" w:orient="portrait"/>
          <w:cols w:equalWidth="0" w:num="1">
            <w:col w:w="11180"/>
          </w:cols>
          <w:pgMar w:left="240" w:top="233" w:right="47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180"/>
          </w:cols>
          <w:pgMar w:left="240" w:top="233" w:right="47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color w:val="auto"/>
        </w:rPr>
        <w:t>CUSIP G37585109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A</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AGREEMENT REGARDING JOINT FILING</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OF STATEMENT ON SCHEDULE 13D OR 13G</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undersigned agree to file jointly with the Securities and Exchange Commission (the “SEC”) any and all statements on Schedule 13D or Schedule 13G and Forms 3, 4 and 5 (and any amendments or supplements thereto) required under section 13(d) or section 16(a) of the Securities Exchange Act of 1934, as amended, in connection with purchases and sales by the undersigned of securities of any issuer, until such time as the undersigned file with the SEC a statement terminating this Agreement Regarding Joint Filing of Statement on Schedule 13D or 13G. For that purpose, the undersigned hereby constitute and appoint Fairview Capital Investment Management, LLC, a California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sales, and to do and perform every act necessary and proper to be done incident to the exercise of the foregoing power, as fully as the undersigned might or could do if personally present, until such time as the undersigned file with the SEC a statement terminating this Agreement Regarding Joint Filing of Statement on Schedule 13D or 13G.</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Dated: February 8, 2018</w:t>
      </w:r>
    </w:p>
    <w:p>
      <w:pPr>
        <w:sectPr>
          <w:pgSz w:w="11900" w:h="16838" w:orient="portrait"/>
          <w:cols w:equalWidth="0" w:num="1">
            <w:col w:w="11420"/>
          </w:cols>
          <w:pgMar w:left="240" w:top="233" w:right="239" w:bottom="1440" w:gutter="0" w:footer="0" w:header="0"/>
        </w:sectPr>
      </w:pPr>
    </w:p>
    <w:p>
      <w:pPr>
        <w:spacing w:after="0" w:line="223"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FAIRVIEW CAPITAL INVESTMENT MANAGEMENT, LLC</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FAIRVIEW CAPITAL</w:t>
      </w:r>
    </w:p>
    <w:p>
      <w:pPr>
        <w:spacing w:after="0" w:line="200" w:lineRule="exact"/>
        <w:rPr>
          <w:sz w:val="20"/>
          <w:szCs w:val="20"/>
          <w:color w:val="auto"/>
        </w:rPr>
      </w:pPr>
    </w:p>
    <w:p>
      <w:pPr>
        <w:sectPr>
          <w:pgSz w:w="11900" w:h="16838" w:orient="portrait"/>
          <w:cols w:equalWidth="0" w:num="2">
            <w:col w:w="5460" w:space="360"/>
            <w:col w:w="5600"/>
          </w:cols>
          <w:pgMar w:left="240" w:top="233" w:right="239" w:bottom="1440" w:gutter="0" w:footer="0" w:header="0"/>
          <w:type w:val="continuous"/>
        </w:sectPr>
      </w:pPr>
    </w:p>
    <w:p>
      <w:pPr>
        <w:spacing w:after="0" w:line="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 Fairview Capital,</w:t>
      </w:r>
    </w:p>
    <w:p>
      <w:pPr>
        <w:spacing w:after="0" w:line="3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Manager</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 /s/ Andrew F. Mathieson, President</w:t>
      </w:r>
    </w:p>
    <w:p>
      <w:pPr>
        <w:spacing w:after="0" w:line="238" w:lineRule="exact"/>
        <w:rPr>
          <w:sz w:val="20"/>
          <w:szCs w:val="20"/>
          <w:color w:val="auto"/>
        </w:rPr>
      </w:pPr>
    </w:p>
    <w:p>
      <w:pPr>
        <w:sectPr>
          <w:pgSz w:w="11900" w:h="16838" w:orient="portrait"/>
          <w:cols w:equalWidth="0" w:num="2">
            <w:col w:w="5100" w:space="720"/>
            <w:col w:w="5600"/>
          </w:cols>
          <w:pgMar w:left="240" w:top="233" w:right="239" w:bottom="1440" w:gutter="0" w:footer="0" w:header="0"/>
          <w:type w:val="continuous"/>
        </w:sectPr>
      </w:pPr>
    </w:p>
    <w:p>
      <w:pPr>
        <w:spacing w:after="0" w:line="1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 /s/ Andrew F. Mathieson, President</w:t>
      </w:r>
    </w:p>
    <w:p>
      <w:pPr>
        <w:sectPr>
          <w:pgSz w:w="11900" w:h="16838" w:orient="portrait"/>
          <w:cols w:equalWidth="0" w:num="1">
            <w:col w:w="11420"/>
          </w:cols>
          <w:pgMar w:left="240" w:top="233" w:right="239"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Andrew F. Mathieson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 Scott W. Clark</w:t>
      </w:r>
    </w:p>
    <w:p>
      <w:pPr>
        <w:spacing w:after="0" w:line="200" w:lineRule="exact"/>
        <w:rPr>
          <w:sz w:val="20"/>
          <w:szCs w:val="20"/>
          <w:color w:val="auto"/>
        </w:rPr>
      </w:pPr>
    </w:p>
    <w:p>
      <w:pPr>
        <w:sectPr>
          <w:pgSz w:w="11900" w:h="16838" w:orient="portrait"/>
          <w:cols w:equalWidth="0" w:num="2">
            <w:col w:w="5100" w:space="720"/>
            <w:col w:w="5600"/>
          </w:cols>
          <w:pgMar w:left="240" w:top="233" w:right="239" w:bottom="1440" w:gutter="0" w:footer="0" w:header="0"/>
          <w:type w:val="continuous"/>
        </w:sectPr>
      </w:pPr>
    </w:p>
    <w:p>
      <w:pPr>
        <w:spacing w:after="0" w:line="46"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DARLINGTON PARTNERS, L.P.</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 /s/ Scott W. Clark, Managing Partner</w:t>
      </w:r>
    </w:p>
    <w:sectPr>
      <w:pgSz w:w="11900" w:h="16838" w:orient="portrait"/>
      <w:cols w:equalWidth="0" w:num="1">
        <w:col w:w="11420"/>
      </w:cols>
      <w:pgMar w:left="240" w:top="23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lvl w:ilvl="1">
      <w:lvlJc w:val="left"/>
      <w:lvlText w:val="(%2)"/>
      <w:numFmt w:val="lowerLetter"/>
      <w:start w:val="1"/>
    </w:lvl>
  </w:abstractNum>
  <w:abstractNum w:abstractNumId="3">
    <w:nsid w:val="12200854"/>
    <w:multiLevelType w:val="hybridMultilevel"/>
    <w:lvl w:ilvl="0">
      <w:lvlJc w:val="left"/>
      <w:lvlText w:val="%1."/>
      <w:numFmt w:val="decimal"/>
      <w:start w:val="9"/>
    </w:lvl>
  </w:abstractNum>
  <w:abstractNum w:abstractNumId="4">
    <w:nsid w:val="4DB127F8"/>
    <w:multiLevelType w:val="hybridMultilevel"/>
    <w:lvl w:ilvl="0">
      <w:lvlJc w:val="left"/>
      <w:lvlText w:val="%1."/>
      <w:numFmt w:val="decimal"/>
      <w:start w:val="1"/>
    </w:lvl>
    <w:lvl w:ilvl="1">
      <w:lvlJc w:val="left"/>
      <w:lvlText w:val="(%2)"/>
      <w:numFmt w:val="lowerLetter"/>
      <w:start w:val="1"/>
    </w:lvl>
  </w:abstractNum>
  <w:abstractNum w:abstractNumId="5">
    <w:nsid w:val="216231B"/>
    <w:multiLevelType w:val="hybridMultilevel"/>
    <w:lvl w:ilvl="0">
      <w:lvlJc w:val="left"/>
      <w:lvlText w:val="%1."/>
      <w:numFmt w:val="decimal"/>
      <w:start w:val="9"/>
    </w:lvl>
  </w:abstractNum>
  <w:abstractNum w:abstractNumId="6">
    <w:nsid w:val="1F16E9E8"/>
    <w:multiLevelType w:val="hybridMultilevel"/>
    <w:lvl w:ilvl="0">
      <w:lvlJc w:val="left"/>
      <w:lvlText w:val="%1."/>
      <w:numFmt w:val="decimal"/>
      <w:start w:val="1"/>
    </w:lvl>
    <w:lvl w:ilvl="1">
      <w:lvlJc w:val="left"/>
      <w:lvlText w:val="(%2)"/>
      <w:numFmt w:val="lowerLetter"/>
      <w:start w:val="1"/>
    </w:lvl>
  </w:abstractNum>
  <w:abstractNum w:abstractNumId="7">
    <w:nsid w:val="1190CDE7"/>
    <w:multiLevelType w:val="hybridMultilevel"/>
    <w:lvl w:ilvl="0">
      <w:lvlJc w:val="left"/>
      <w:lvlText w:val="%1."/>
      <w:numFmt w:val="decimal"/>
      <w:start w:val="9"/>
    </w:lvl>
  </w:abstractNum>
  <w:abstractNum w:abstractNumId="8">
    <w:nsid w:val="66EF438D"/>
    <w:multiLevelType w:val="hybridMultilevel"/>
    <w:lvl w:ilvl="0">
      <w:lvlJc w:val="left"/>
      <w:lvlText w:val="%1."/>
      <w:numFmt w:val="decimal"/>
      <w:start w:val="1"/>
    </w:lvl>
    <w:lvl w:ilvl="1">
      <w:lvlJc w:val="left"/>
      <w:lvlText w:val="(%2)"/>
      <w:numFmt w:val="lowerLetter"/>
      <w:start w:val="1"/>
    </w:lvl>
  </w:abstractNum>
  <w:abstractNum w:abstractNumId="9">
    <w:nsid w:val="140E0F76"/>
    <w:multiLevelType w:val="hybridMultilevel"/>
    <w:lvl w:ilvl="0">
      <w:lvlJc w:val="left"/>
      <w:lvlText w:val="%1."/>
      <w:numFmt w:val="decimal"/>
      <w:start w:val="9"/>
    </w:lvl>
  </w:abstractNum>
  <w:abstractNum w:abstractNumId="10">
    <w:nsid w:val="3352255A"/>
    <w:multiLevelType w:val="hybridMultilevel"/>
    <w:lvl w:ilvl="0">
      <w:lvlJc w:val="left"/>
      <w:lvlText w:val="%1."/>
      <w:numFmt w:val="decimal"/>
      <w:start w:val="1"/>
    </w:lvl>
    <w:lvl w:ilvl="1">
      <w:lvlJc w:val="left"/>
      <w:lvlText w:val="(%2)"/>
      <w:numFmt w:val="lowerLetter"/>
      <w:start w:val="1"/>
    </w:lvl>
  </w:abstractNum>
  <w:abstractNum w:abstractNumId="11">
    <w:nsid w:val="109CF92E"/>
    <w:multiLevelType w:val="hybridMultilevel"/>
    <w:lvl w:ilvl="0">
      <w:lvlJc w:val="left"/>
      <w:lvlText w:val="%1."/>
      <w:numFmt w:val="decimal"/>
      <w:start w:val="9"/>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2"/>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2019-12-16T11:15:59Z</dcterms:created>
  <dcterms:modified xsi:type="dcterms:W3CDTF">2019-12-16T11:15:59Z</dcterms:modified>
</cp:coreProperties>
</file>