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6"/>
              </w:rPr>
              <w:t>Form 6-K</w:t>
            </w:r>
          </w:p>
        </w:tc>
        <w:tc>
          <w:tcPr>
            <w:tcW w:w="720" w:type="dxa"/>
            <w:vAlign w:val="bottom"/>
          </w:tcPr>
          <w:p>
            <w:pPr>
              <w:spacing w:after="0"/>
              <w:rPr>
                <w:sz w:val="20"/>
                <w:szCs w:val="20"/>
                <w:color w:val="auto"/>
              </w:rPr>
            </w:pPr>
          </w:p>
        </w:tc>
      </w:tr>
      <w:tr>
        <w:trPr>
          <w:trHeight w:val="414"/>
        </w:trPr>
        <w:tc>
          <w:tcPr>
            <w:tcW w:w="10520" w:type="dxa"/>
            <w:vAlign w:val="bottom"/>
          </w:tcPr>
          <w:p>
            <w:pPr>
              <w:jc w:val="center"/>
              <w:ind w:left="65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720" w:type="dxa"/>
            <w:vAlign w:val="bottom"/>
          </w:tcPr>
          <w:p>
            <w:pPr>
              <w:spacing w:after="0"/>
              <w:rPr>
                <w:sz w:val="24"/>
                <w:szCs w:val="24"/>
                <w:color w:val="auto"/>
              </w:rPr>
            </w:pPr>
          </w:p>
        </w:tc>
      </w:tr>
      <w:tr>
        <w:trPr>
          <w:trHeight w:val="234"/>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8"/>
              </w:rPr>
              <w:t>EXCHANGE ACT OF 1934</w:t>
            </w:r>
          </w:p>
        </w:tc>
        <w:tc>
          <w:tcPr>
            <w:tcW w:w="72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For the month of October 2021</w:t>
            </w:r>
          </w:p>
        </w:tc>
        <w:tc>
          <w:tcPr>
            <w:tcW w:w="720" w:type="dxa"/>
            <w:vAlign w:val="bottom"/>
          </w:tcPr>
          <w:p>
            <w:pPr>
              <w:spacing w:after="0"/>
              <w:rPr>
                <w:sz w:val="24"/>
                <w:szCs w:val="24"/>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720" w:type="dxa"/>
            <w:vAlign w:val="bottom"/>
          </w:tcPr>
          <w:p>
            <w:pPr>
              <w:spacing w:after="0"/>
              <w:rPr>
                <w:sz w:val="24"/>
                <w:szCs w:val="24"/>
                <w:color w:val="auto"/>
              </w:rPr>
            </w:pPr>
          </w:p>
        </w:tc>
      </w:tr>
      <w:tr>
        <w:trPr>
          <w:trHeight w:val="418"/>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GasLog Ltd</w:t>
            </w:r>
          </w:p>
        </w:tc>
        <w:tc>
          <w:tcPr>
            <w:tcW w:w="720" w:type="dxa"/>
            <w:vAlign w:val="bottom"/>
          </w:tcPr>
          <w:p>
            <w:pPr>
              <w:spacing w:after="0"/>
              <w:rPr>
                <w:sz w:val="24"/>
                <w:szCs w:val="24"/>
                <w:color w:val="auto"/>
              </w:rPr>
            </w:pPr>
          </w:p>
        </w:tc>
      </w:tr>
      <w:tr>
        <w:trPr>
          <w:trHeight w:val="230"/>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91"/>
              </w:rPr>
              <w:t>(Translation of registrant’s name into English)</w:t>
            </w:r>
          </w:p>
        </w:tc>
        <w:tc>
          <w:tcPr>
            <w:tcW w:w="720" w:type="dxa"/>
            <w:vAlign w:val="bottom"/>
          </w:tcPr>
          <w:p>
            <w:pPr>
              <w:spacing w:after="0"/>
              <w:rPr>
                <w:sz w:val="20"/>
                <w:szCs w:val="20"/>
                <w:color w:val="auto"/>
              </w:rPr>
            </w:pPr>
          </w:p>
        </w:tc>
      </w:tr>
      <w:tr>
        <w:trPr>
          <w:trHeight w:val="418"/>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92"/>
              </w:rPr>
              <w:t>c/o GasLog Services LNG Ltd.</w:t>
            </w:r>
          </w:p>
        </w:tc>
        <w:tc>
          <w:tcPr>
            <w:tcW w:w="720" w:type="dxa"/>
            <w:vAlign w:val="bottom"/>
          </w:tcPr>
          <w:p>
            <w:pPr>
              <w:spacing w:after="0"/>
              <w:rPr>
                <w:sz w:val="24"/>
                <w:szCs w:val="24"/>
                <w:color w:val="auto"/>
              </w:rPr>
            </w:pPr>
          </w:p>
        </w:tc>
      </w:tr>
      <w:tr>
        <w:trPr>
          <w:trHeight w:val="216"/>
        </w:trPr>
        <w:tc>
          <w:tcPr>
            <w:tcW w:w="10520" w:type="dxa"/>
            <w:vAlign w:val="bottom"/>
          </w:tcPr>
          <w:p>
            <w:pPr>
              <w:jc w:val="center"/>
              <w:ind w:left="650"/>
              <w:spacing w:after="0"/>
              <w:rPr>
                <w:sz w:val="20"/>
                <w:szCs w:val="20"/>
                <w:color w:val="auto"/>
              </w:rPr>
            </w:pPr>
            <w:r>
              <w:rPr>
                <w:rFonts w:ascii="Arial" w:cs="Arial" w:eastAsia="Arial" w:hAnsi="Arial"/>
                <w:sz w:val="18"/>
                <w:szCs w:val="18"/>
                <w:color w:val="auto"/>
                <w:w w:val="96"/>
              </w:rPr>
              <w:t>69 Akti Miaouli 18537</w:t>
            </w:r>
          </w:p>
        </w:tc>
        <w:tc>
          <w:tcPr>
            <w:tcW w:w="720" w:type="dxa"/>
            <w:vAlign w:val="bottom"/>
          </w:tcPr>
          <w:p>
            <w:pPr>
              <w:spacing w:after="0"/>
              <w:rPr>
                <w:sz w:val="18"/>
                <w:szCs w:val="18"/>
                <w:color w:val="auto"/>
              </w:rPr>
            </w:pPr>
          </w:p>
        </w:tc>
      </w:tr>
      <w:tr>
        <w:trPr>
          <w:trHeight w:val="216"/>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86"/>
              </w:rPr>
              <w:t>Piraeus Greece</w:t>
            </w:r>
          </w:p>
        </w:tc>
        <w:tc>
          <w:tcPr>
            <w:tcW w:w="720" w:type="dxa"/>
            <w:vAlign w:val="bottom"/>
          </w:tcPr>
          <w:p>
            <w:pPr>
              <w:spacing w:after="0"/>
              <w:rPr>
                <w:sz w:val="18"/>
                <w:szCs w:val="18"/>
                <w:color w:val="auto"/>
              </w:rPr>
            </w:pPr>
          </w:p>
        </w:tc>
      </w:tr>
      <w:tr>
        <w:trPr>
          <w:trHeight w:val="230"/>
        </w:trPr>
        <w:tc>
          <w:tcPr>
            <w:tcW w:w="10520" w:type="dxa"/>
            <w:vAlign w:val="bottom"/>
          </w:tcPr>
          <w:p>
            <w:pPr>
              <w:jc w:val="center"/>
              <w:ind w:left="650"/>
              <w:spacing w:after="0"/>
              <w:rPr>
                <w:sz w:val="20"/>
                <w:szCs w:val="20"/>
                <w:color w:val="auto"/>
              </w:rPr>
            </w:pPr>
            <w:r>
              <w:rPr>
                <w:rFonts w:ascii="Arial" w:cs="Arial" w:eastAsia="Arial" w:hAnsi="Arial"/>
                <w:sz w:val="18"/>
                <w:szCs w:val="18"/>
                <w:color w:val="auto"/>
                <w:w w:val="92"/>
              </w:rPr>
              <w:t>(Address of principal executive office)</w:t>
            </w:r>
          </w:p>
        </w:tc>
        <w:tc>
          <w:tcPr>
            <w:tcW w:w="72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720" w:type="dxa"/>
            <w:vAlign w:val="bottom"/>
          </w:tcPr>
          <w:p>
            <w:pPr>
              <w:spacing w:after="0"/>
              <w:rPr>
                <w:sz w:val="24"/>
                <w:szCs w:val="24"/>
                <w:color w:val="auto"/>
              </w:rPr>
            </w:pPr>
          </w:p>
        </w:tc>
      </w:tr>
      <w:tr>
        <w:trPr>
          <w:trHeight w:val="452"/>
        </w:trPr>
        <w:tc>
          <w:tcPr>
            <w:tcW w:w="10520" w:type="dxa"/>
            <w:vAlign w:val="bottom"/>
          </w:tcPr>
          <w:p>
            <w:pPr>
              <w:spacing w:after="0" w:line="207" w:lineRule="exact"/>
              <w:rPr>
                <w:sz w:val="20"/>
                <w:szCs w:val="20"/>
                <w:color w:val="auto"/>
              </w:rPr>
            </w:pPr>
            <w:r>
              <w:rPr>
                <w:rFonts w:ascii="Arial" w:cs="Arial" w:eastAsia="Arial" w:hAnsi="Arial"/>
                <w:sz w:val="18"/>
                <w:szCs w:val="18"/>
                <w:color w:val="auto"/>
              </w:rPr>
              <w:t xml:space="preserve">Form 20-F þ   Form 40-F </w:t>
            </w:r>
            <w:r>
              <w:rPr>
                <w:rFonts w:ascii="MS PGothic" w:cs="MS PGothic" w:eastAsia="MS PGothic" w:hAnsi="MS PGothic"/>
                <w:sz w:val="18"/>
                <w:szCs w:val="18"/>
                <w:color w:val="auto"/>
              </w:rPr>
              <w:t>☐</w:t>
            </w:r>
          </w:p>
        </w:tc>
        <w:tc>
          <w:tcPr>
            <w:tcW w:w="720" w:type="dxa"/>
            <w:vAlign w:val="bottom"/>
          </w:tcPr>
          <w:p>
            <w:pPr>
              <w:spacing w:after="0"/>
              <w:rPr>
                <w:sz w:val="24"/>
                <w:szCs w:val="24"/>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7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7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105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r>
      <w:tr>
        <w:trPr>
          <w:trHeight w:val="28"/>
        </w:trPr>
        <w:tc>
          <w:tcPr>
            <w:tcW w:w="10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864"/>
        </w:trPr>
        <w:tc>
          <w:tcPr>
            <w:tcW w:w="10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99" w:right="33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 press release issued by GasLog Ltd. on October 12, 2021 announcing that GasLog Ltd. has entered into a Note Purchase Agreement with The Carlyle Group and EIG is attached hereto as Exhibit 99.1.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tab/>
        <w:t>Description</w:t>
      </w:r>
    </w:p>
    <w:p>
      <w:pPr>
        <w:spacing w:after="0" w:line="225" w:lineRule="exact"/>
        <w:rPr>
          <w:sz w:val="20"/>
          <w:szCs w:val="20"/>
          <w:color w:val="auto"/>
        </w:rPr>
      </w:pPr>
    </w:p>
    <w:p>
      <w:pPr>
        <w:spacing w:after="0"/>
        <w:tabs>
          <w:tab w:leader="none" w:pos="78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October 12,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12,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5820"/>
        <w:spacing w:after="0"/>
        <w:tabs>
          <w:tab w:leader="none" w:pos="6180" w:val="left"/>
        </w:tabs>
        <w:rPr>
          <w:sz w:val="20"/>
          <w:szCs w:val="20"/>
          <w:color w:val="auto"/>
        </w:rPr>
      </w:pPr>
      <w:r>
        <w:rPr>
          <w:rFonts w:ascii="Arial" w:cs="Arial" w:eastAsia="Arial" w:hAnsi="Arial"/>
          <w:sz w:val="18"/>
          <w:szCs w:val="18"/>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2315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Paul A. Wogan</w:t>
      </w:r>
    </w:p>
    <w:p>
      <w:pPr>
        <w:spacing w:after="0" w:line="23" w:lineRule="exact"/>
        <w:rPr>
          <w:sz w:val="20"/>
          <w:szCs w:val="20"/>
          <w:color w:val="auto"/>
        </w:rPr>
      </w:pPr>
    </w:p>
    <w:p>
      <w:pPr>
        <w:ind w:left="6160"/>
        <w:spacing w:after="0"/>
        <w:tabs>
          <w:tab w:leader="none" w:pos="6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908"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Announces New Credit Facility</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Hamilton, Bermuda, October 12, 2021 — </w:t>
      </w:r>
      <w:r>
        <w:rPr>
          <w:rFonts w:ascii="Arial" w:cs="Arial" w:eastAsia="Arial" w:hAnsi="Arial"/>
          <w:sz w:val="18"/>
          <w:szCs w:val="18"/>
          <w:color w:val="auto"/>
        </w:rPr>
        <w:t>GasLog Ltd. (“GasLog” or “Company”) today announced that it has entered into a Note Purchase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Carlyle Group (“Carlyle”) and EIG for an amount of up to $325 million of 7.75% Notes due 2029 (the “Facility”). Carlyle’s Global Credit platform made the investment with capital primarily from its Infrastructure Credit Fund. EIG made the investment through Global Project Fund V and other funds and accounts in EIG’s direct lending platform.</w:t>
      </w:r>
    </w:p>
    <w:p>
      <w:pPr>
        <w:spacing w:after="0" w:line="18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Company anticipates drawing down the Facility in March 2022. The proceeds of the Facility will be used to refinance the Company’s 8.875% Senior Notes due in March 2022. Any remaining proceeds may be used to pay transaction costs and expenses incurred in connection with the private placement and/or general corporate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GasLog is an international owner, operator and manager of LNG carriers providing support to international energy companies as part of their LNG logistics chain. GasLog’s consolidated fleet consists of 35 LNG carriers. Of these vessels, 17 are owned by GasLog, three have been sold and leased back by GasLog under long-term bareboat charters and the remaining 15 LNG carriers are owned or chartered-in by the Company’s subsidiary, GasLog Partners LP.</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Carlyle</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Carlyle (NASDAQ: CG) is a global investment firm with deep industry expertise that deploys private capital across three business segments: Global Private Equity, Global Credit and Investment Solutions. With $276 billion of assets under management as of June 30, 2021, Carlyle’s purpose is to invest wisely and create value on behalf of its investors, portfolio companies and the communities in which we live and invest. Carlyle employs nearly 1,800 people in 27 offices across five continents.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EIG</w:t>
      </w:r>
    </w:p>
    <w:p>
      <w:pPr>
        <w:spacing w:after="0" w:line="22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EIG is a leading institutional investor to the global energy sector with $22.5 billion under management as of June 30, 2021. EIG specializes in private investments in energy and energy-related infrastructure on a global basis. During its 39-year history, EIG has committed over $38.0 billion to the energy sector through more than 373 projects or companies in 38 countries on six continents. EIG’s clients include many of the leading pension plans, insurance companies, endowments, foundations and sovereign wealth funds in the U.S., Asia and Europe. EIG is headquartered in Washington, D.C. with offices in Houston, London, Sydney, Rio de Janeiro, Hong Kong and Seoul. For additional information, please visit EIG’s website at www.eigpartners.com.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2021-10-12T05:53:06Z</dcterms:created>
  <dcterms:modified xsi:type="dcterms:W3CDTF">2021-10-12T05:53:06Z</dcterms:modified>
</cp:coreProperties>
</file>