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For the month of March 2018</w:t>
            </w:r>
          </w:p>
        </w:tc>
        <w:tc>
          <w:tcPr>
            <w:tcW w:w="2340" w:type="dxa"/>
            <w:vAlign w:val="bottom"/>
          </w:tcPr>
          <w:p>
            <w:pPr>
              <w:spacing w:after="0"/>
              <w:rPr>
                <w:sz w:val="20"/>
                <w:szCs w:val="20"/>
                <w:color w:val="auto"/>
              </w:rPr>
            </w:pPr>
          </w:p>
        </w:tc>
      </w:tr>
      <w:tr>
        <w:trPr>
          <w:trHeight w:val="432"/>
        </w:trPr>
        <w:tc>
          <w:tcPr>
            <w:tcW w:w="91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340" w:type="dxa"/>
            <w:vAlign w:val="bottom"/>
          </w:tcPr>
          <w:p>
            <w:pPr>
              <w:spacing w:after="0"/>
              <w:rPr>
                <w:sz w:val="24"/>
                <w:szCs w:val="24"/>
                <w:color w:val="auto"/>
              </w:rPr>
            </w:pPr>
          </w:p>
        </w:tc>
      </w:tr>
      <w:tr>
        <w:trPr>
          <w:trHeight w:val="418"/>
        </w:trPr>
        <w:tc>
          <w:tcPr>
            <w:tcW w:w="9120" w:type="dxa"/>
            <w:vAlign w:val="bottom"/>
          </w:tcPr>
          <w:p>
            <w:pPr>
              <w:jc w:val="center"/>
              <w:ind w:left="2230"/>
              <w:spacing w:after="0"/>
              <w:rPr>
                <w:sz w:val="20"/>
                <w:szCs w:val="20"/>
                <w:color w:val="auto"/>
              </w:rPr>
            </w:pPr>
            <w:r>
              <w:rPr>
                <w:rFonts w:ascii="Arial" w:cs="Arial" w:eastAsia="Arial" w:hAnsi="Arial"/>
                <w:sz w:val="18"/>
                <w:szCs w:val="18"/>
                <w:b w:val="1"/>
                <w:bCs w:val="1"/>
                <w:color w:val="auto"/>
                <w:w w:val="91"/>
              </w:rPr>
              <w:t>GasLog Ltd</w:t>
            </w:r>
          </w:p>
        </w:tc>
        <w:tc>
          <w:tcPr>
            <w:tcW w:w="2340" w:type="dxa"/>
            <w:vAlign w:val="bottom"/>
          </w:tcPr>
          <w:p>
            <w:pPr>
              <w:spacing w:after="0"/>
              <w:rPr>
                <w:sz w:val="24"/>
                <w:szCs w:val="24"/>
                <w:color w:val="auto"/>
              </w:rPr>
            </w:pPr>
          </w:p>
        </w:tc>
      </w:tr>
      <w:tr>
        <w:trPr>
          <w:trHeight w:val="230"/>
        </w:trPr>
        <w:tc>
          <w:tcPr>
            <w:tcW w:w="9120" w:type="dxa"/>
            <w:vAlign w:val="bottom"/>
          </w:tcPr>
          <w:p>
            <w:pPr>
              <w:jc w:val="center"/>
              <w:ind w:left="2230"/>
              <w:spacing w:after="0"/>
              <w:rPr>
                <w:sz w:val="20"/>
                <w:szCs w:val="20"/>
                <w:color w:val="auto"/>
              </w:rPr>
            </w:pPr>
            <w:r>
              <w:rPr>
                <w:rFonts w:ascii="Arial" w:cs="Arial" w:eastAsia="Arial" w:hAnsi="Arial"/>
                <w:sz w:val="18"/>
                <w:szCs w:val="18"/>
                <w:color w:val="auto"/>
                <w:w w:val="91"/>
              </w:rPr>
              <w:t>(Translation of registrant’s name into English)</w:t>
            </w:r>
          </w:p>
        </w:tc>
        <w:tc>
          <w:tcPr>
            <w:tcW w:w="2340" w:type="dxa"/>
            <w:vAlign w:val="bottom"/>
          </w:tcPr>
          <w:p>
            <w:pPr>
              <w:spacing w:after="0"/>
              <w:rPr>
                <w:sz w:val="20"/>
                <w:szCs w:val="20"/>
                <w:color w:val="auto"/>
              </w:rPr>
            </w:pPr>
          </w:p>
        </w:tc>
      </w:tr>
      <w:tr>
        <w:trPr>
          <w:trHeight w:val="418"/>
        </w:trPr>
        <w:tc>
          <w:tcPr>
            <w:tcW w:w="9120" w:type="dxa"/>
            <w:vAlign w:val="bottom"/>
          </w:tcPr>
          <w:p>
            <w:pPr>
              <w:jc w:val="center"/>
              <w:ind w:left="2210"/>
              <w:spacing w:after="0"/>
              <w:rPr>
                <w:sz w:val="20"/>
                <w:szCs w:val="20"/>
                <w:color w:val="auto"/>
              </w:rPr>
            </w:pPr>
            <w:r>
              <w:rPr>
                <w:rFonts w:ascii="Arial" w:cs="Arial" w:eastAsia="Arial" w:hAnsi="Arial"/>
                <w:sz w:val="18"/>
                <w:szCs w:val="18"/>
                <w:color w:val="auto"/>
                <w:w w:val="89"/>
              </w:rPr>
              <w:t>Gildo Pastor Center</w:t>
            </w:r>
          </w:p>
        </w:tc>
        <w:tc>
          <w:tcPr>
            <w:tcW w:w="2340" w:type="dxa"/>
            <w:vAlign w:val="bottom"/>
          </w:tcPr>
          <w:p>
            <w:pPr>
              <w:spacing w:after="0"/>
              <w:rPr>
                <w:sz w:val="24"/>
                <w:szCs w:val="24"/>
                <w:color w:val="auto"/>
              </w:rPr>
            </w:pPr>
          </w:p>
        </w:tc>
      </w:tr>
      <w:tr>
        <w:trPr>
          <w:trHeight w:val="216"/>
        </w:trPr>
        <w:tc>
          <w:tcPr>
            <w:tcW w:w="9120" w:type="dxa"/>
            <w:vAlign w:val="bottom"/>
          </w:tcPr>
          <w:p>
            <w:pPr>
              <w:jc w:val="center"/>
              <w:ind w:left="2210"/>
              <w:spacing w:after="0"/>
              <w:rPr>
                <w:sz w:val="20"/>
                <w:szCs w:val="20"/>
                <w:color w:val="auto"/>
              </w:rPr>
            </w:pPr>
            <w:r>
              <w:rPr>
                <w:rFonts w:ascii="Arial" w:cs="Arial" w:eastAsia="Arial" w:hAnsi="Arial"/>
                <w:sz w:val="18"/>
                <w:szCs w:val="18"/>
                <w:color w:val="auto"/>
                <w:w w:val="89"/>
              </w:rPr>
              <w:t>7 Rue du Gabian</w:t>
            </w:r>
          </w:p>
        </w:tc>
        <w:tc>
          <w:tcPr>
            <w:tcW w:w="2340" w:type="dxa"/>
            <w:vAlign w:val="bottom"/>
          </w:tcPr>
          <w:p>
            <w:pPr>
              <w:spacing w:after="0"/>
              <w:rPr>
                <w:sz w:val="18"/>
                <w:szCs w:val="18"/>
                <w:color w:val="auto"/>
              </w:rPr>
            </w:pPr>
          </w:p>
        </w:tc>
      </w:tr>
      <w:tr>
        <w:trPr>
          <w:trHeight w:val="216"/>
        </w:trPr>
        <w:tc>
          <w:tcPr>
            <w:tcW w:w="9120" w:type="dxa"/>
            <w:vAlign w:val="bottom"/>
          </w:tcPr>
          <w:p>
            <w:pPr>
              <w:jc w:val="center"/>
              <w:ind w:left="2210"/>
              <w:spacing w:after="0"/>
              <w:rPr>
                <w:sz w:val="20"/>
                <w:szCs w:val="20"/>
                <w:color w:val="auto"/>
              </w:rPr>
            </w:pPr>
            <w:r>
              <w:rPr>
                <w:rFonts w:ascii="Arial" w:cs="Arial" w:eastAsia="Arial" w:hAnsi="Arial"/>
                <w:sz w:val="18"/>
                <w:szCs w:val="18"/>
                <w:color w:val="auto"/>
                <w:w w:val="92"/>
              </w:rPr>
              <w:t>MC 98000, Monaco</w:t>
            </w:r>
          </w:p>
        </w:tc>
        <w:tc>
          <w:tcPr>
            <w:tcW w:w="2340" w:type="dxa"/>
            <w:vAlign w:val="bottom"/>
          </w:tcPr>
          <w:p>
            <w:pPr>
              <w:spacing w:after="0"/>
              <w:rPr>
                <w:sz w:val="18"/>
                <w:szCs w:val="18"/>
                <w:color w:val="auto"/>
              </w:rPr>
            </w:pPr>
          </w:p>
        </w:tc>
      </w:tr>
      <w:tr>
        <w:trPr>
          <w:trHeight w:val="230"/>
        </w:trPr>
        <w:tc>
          <w:tcPr>
            <w:tcW w:w="9120" w:type="dxa"/>
            <w:vAlign w:val="bottom"/>
          </w:tcPr>
          <w:p>
            <w:pPr>
              <w:jc w:val="center"/>
              <w:ind w:left="2210"/>
              <w:spacing w:after="0"/>
              <w:rPr>
                <w:sz w:val="20"/>
                <w:szCs w:val="20"/>
                <w:color w:val="auto"/>
              </w:rPr>
            </w:pPr>
            <w:r>
              <w:rPr>
                <w:rFonts w:ascii="Arial" w:cs="Arial" w:eastAsia="Arial" w:hAnsi="Arial"/>
                <w:sz w:val="18"/>
                <w:szCs w:val="18"/>
                <w:color w:val="auto"/>
                <w:w w:val="92"/>
              </w:rPr>
              <w:t>(Address of principal executive office)</w:t>
            </w:r>
          </w:p>
        </w:tc>
        <w:tc>
          <w:tcPr>
            <w:tcW w:w="2340" w:type="dxa"/>
            <w:vAlign w:val="bottom"/>
          </w:tcPr>
          <w:p>
            <w:pPr>
              <w:spacing w:after="0"/>
              <w:rPr>
                <w:sz w:val="20"/>
                <w:szCs w:val="20"/>
                <w:color w:val="auto"/>
              </w:rPr>
            </w:pPr>
          </w:p>
        </w:tc>
      </w:tr>
      <w:tr>
        <w:trPr>
          <w:trHeight w:val="432"/>
        </w:trPr>
        <w:tc>
          <w:tcPr>
            <w:tcW w:w="9120" w:type="dxa"/>
            <w:vAlign w:val="bottom"/>
          </w:tcPr>
          <w:p>
            <w:pPr>
              <w:spacing w:after="0"/>
              <w:rPr>
                <w:sz w:val="20"/>
                <w:szCs w:val="20"/>
                <w:color w:val="auto"/>
              </w:rPr>
            </w:pPr>
            <w:r>
              <w:rPr>
                <w:rFonts w:ascii="Arial" w:cs="Arial" w:eastAsia="Arial" w:hAnsi="Arial"/>
                <w:sz w:val="18"/>
                <w:szCs w:val="18"/>
                <w:color w:val="auto"/>
                <w:w w:val="98"/>
              </w:rPr>
              <w:t>Indicate by check mark whether the registrant files or will file annual reports under cover of Form 20-F or Form 40-F.</w:t>
            </w:r>
          </w:p>
        </w:tc>
        <w:tc>
          <w:tcPr>
            <w:tcW w:w="2340" w:type="dxa"/>
            <w:vAlign w:val="bottom"/>
          </w:tcPr>
          <w:p>
            <w:pPr>
              <w:spacing w:after="0"/>
              <w:rPr>
                <w:sz w:val="24"/>
                <w:szCs w:val="24"/>
                <w:color w:val="auto"/>
              </w:rPr>
            </w:pPr>
          </w:p>
        </w:tc>
      </w:tr>
      <w:tr>
        <w:trPr>
          <w:trHeight w:val="452"/>
        </w:trPr>
        <w:tc>
          <w:tcPr>
            <w:tcW w:w="91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340" w:type="dxa"/>
            <w:vAlign w:val="bottom"/>
          </w:tcPr>
          <w:p>
            <w:pPr>
              <w:spacing w:after="0"/>
              <w:rPr>
                <w:sz w:val="24"/>
                <w:szCs w:val="24"/>
                <w:color w:val="auto"/>
              </w:rPr>
            </w:pPr>
          </w:p>
        </w:tc>
      </w:tr>
      <w:tr>
        <w:trPr>
          <w:trHeight w:val="412"/>
        </w:trPr>
        <w:tc>
          <w:tcPr>
            <w:tcW w:w="912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101(b)(1):</w:t>
            </w:r>
          </w:p>
        </w:tc>
        <w:tc>
          <w:tcPr>
            <w:tcW w:w="2340" w:type="dxa"/>
            <w:vAlign w:val="bottom"/>
          </w:tcPr>
          <w:p>
            <w:pPr>
              <w:ind w:left="180"/>
              <w:spacing w:after="0"/>
              <w:rPr>
                <w:sz w:val="20"/>
                <w:szCs w:val="20"/>
                <w:color w:val="auto"/>
              </w:rPr>
            </w:pPr>
            <w:r>
              <w:rPr>
                <w:rFonts w:ascii="Arial" w:cs="Arial" w:eastAsia="Arial" w:hAnsi="Arial"/>
                <w:sz w:val="18"/>
                <w:szCs w:val="18"/>
                <w:color w:val="auto"/>
              </w:rPr>
              <w:t>o</w:t>
            </w:r>
          </w:p>
        </w:tc>
      </w:tr>
      <w:tr>
        <w:trPr>
          <w:trHeight w:val="432"/>
        </w:trPr>
        <w:tc>
          <w:tcPr>
            <w:tcW w:w="912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S-T Rule 101(b)(7):</w:t>
            </w:r>
          </w:p>
        </w:tc>
        <w:tc>
          <w:tcPr>
            <w:tcW w:w="2340" w:type="dxa"/>
            <w:vAlign w:val="bottom"/>
          </w:tcPr>
          <w:p>
            <w:pPr>
              <w:ind w:left="180"/>
              <w:spacing w:after="0"/>
              <w:rPr>
                <w:sz w:val="20"/>
                <w:szCs w:val="20"/>
                <w:color w:val="auto"/>
              </w:rPr>
            </w:pPr>
            <w:r>
              <w:rPr>
                <w:rFonts w:ascii="Arial" w:cs="Arial" w:eastAsia="Arial" w:hAnsi="Arial"/>
                <w:sz w:val="18"/>
                <w:szCs w:val="18"/>
                <w:color w:val="auto"/>
              </w:rPr>
              <w:t>o</w:t>
            </w:r>
          </w:p>
        </w:tc>
      </w:tr>
      <w:tr>
        <w:trPr>
          <w:trHeight w:val="348"/>
        </w:trPr>
        <w:tc>
          <w:tcPr>
            <w:tcW w:w="91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200"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March 21, 2018 announcing GasLog Partners LP’s acquisition of GasLog Gibraltar for $207 Million and the repayment of Intercompany Loan is attached hereto as Exhibit 99.1.</w:t>
      </w:r>
    </w:p>
    <w:p>
      <w:pPr>
        <w:spacing w:after="0" w:line="17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00" w:lineRule="exact"/>
        <w:rPr>
          <w:sz w:val="24"/>
          <w:szCs w:val="24"/>
          <w:color w:val="auto"/>
        </w:rPr>
      </w:pPr>
    </w:p>
    <w:p>
      <w:pPr>
        <w:spacing w:after="0" w:line="241" w:lineRule="exact"/>
        <w:rPr>
          <w:sz w:val="24"/>
          <w:szCs w:val="24"/>
          <w:color w:val="auto"/>
        </w:rPr>
      </w:pPr>
    </w:p>
    <w:p>
      <w:pPr>
        <w:ind w:right="26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6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EXHIBIT LIST</w:t>
      </w:r>
    </w:p>
    <w:p>
      <w:pPr>
        <w:spacing w:after="0" w:line="225" w:lineRule="exact"/>
        <w:rPr>
          <w:sz w:val="24"/>
          <w:szCs w:val="24"/>
          <w:color w:val="auto"/>
        </w:rPr>
      </w:pPr>
    </w:p>
    <w:p>
      <w:pPr>
        <w:spacing w:after="0"/>
        <w:tabs>
          <w:tab w:leader="none" w:pos="12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4"/>
          <w:szCs w:val="24"/>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March 21, 2018</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GASLOG LTD</w:t>
      </w:r>
    </w:p>
    <w:p>
      <w:pPr>
        <w:spacing w:after="0" w:line="225" w:lineRule="exact"/>
        <w:rPr>
          <w:sz w:val="24"/>
          <w:szCs w:val="24"/>
          <w:color w:val="auto"/>
        </w:rPr>
      </w:pPr>
    </w:p>
    <w:p>
      <w:pPr>
        <w:ind w:left="610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A. Wogan</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Paul A. Wogan</w:t>
            </w:r>
          </w:p>
        </w:tc>
        <w:tc>
          <w:tcPr>
            <w:tcW w:w="40" w:type="dxa"/>
            <w:vAlign w:val="bottom"/>
          </w:tcPr>
          <w:p>
            <w:pPr>
              <w:spacing w:after="0"/>
              <w:rPr>
                <w:sz w:val="16"/>
                <w:szCs w:val="16"/>
                <w:color w:val="auto"/>
              </w:rPr>
            </w:pPr>
          </w:p>
        </w:tc>
      </w:tr>
      <w:tr>
        <w:trPr>
          <w:trHeight w:val="230"/>
        </w:trPr>
        <w:tc>
          <w:tcPr>
            <w:tcW w:w="65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5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153" w:gutter="0" w:footer="0" w:header="0"/>
        </w:sectPr>
      </w:pPr>
    </w:p>
    <w:bookmarkStart w:id="1" w:name="page2"/>
    <w:bookmarkEnd w:id="1"/>
    <w:p>
      <w:pPr>
        <w:spacing w:after="0" w:line="60" w:lineRule="exact"/>
        <w:rPr>
          <w:sz w:val="20"/>
          <w:szCs w:val="20"/>
          <w:color w:val="auto"/>
        </w:rPr>
      </w:pPr>
    </w:p>
    <w:p>
      <w:pPr>
        <w:ind w:left="10580"/>
        <w:spacing w:after="0"/>
        <w:rPr>
          <w:sz w:val="20"/>
          <w:szCs w:val="20"/>
          <w:color w:val="auto"/>
        </w:rPr>
      </w:pPr>
      <w:r>
        <w:rPr>
          <w:rFonts w:ascii="Arial" w:cs="Arial" w:eastAsia="Arial" w:hAnsi="Arial"/>
          <w:sz w:val="15"/>
          <w:szCs w:val="15"/>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GasLog Partners LP Announces Acquisition Of </w:t>
      </w:r>
      <w:r>
        <w:rPr>
          <w:rFonts w:ascii="Arial" w:cs="Arial" w:eastAsia="Arial" w:hAnsi="Arial"/>
          <w:sz w:val="19"/>
          <w:szCs w:val="19"/>
          <w:b w:val="1"/>
          <w:bCs w:val="1"/>
          <w:i w:val="1"/>
          <w:iCs w:val="1"/>
          <w:color w:val="auto"/>
        </w:rPr>
        <w:t>GasLog Gibraltar</w:t>
      </w:r>
      <w:r>
        <w:rPr>
          <w:rFonts w:ascii="Arial" w:cs="Arial" w:eastAsia="Arial" w:hAnsi="Arial"/>
          <w:sz w:val="19"/>
          <w:szCs w:val="19"/>
          <w:b w:val="1"/>
          <w:bCs w:val="1"/>
          <w:color w:val="auto"/>
        </w:rPr>
        <w:t xml:space="preserve"> For $207 Million and Repayment of Intercompany Loan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MONACO — March 21, 2018 — </w:t>
      </w:r>
      <w:r>
        <w:rPr>
          <w:rFonts w:ascii="Arial" w:cs="Arial" w:eastAsia="Arial" w:hAnsi="Arial"/>
          <w:sz w:val="18"/>
          <w:szCs w:val="18"/>
          <w:color w:val="auto"/>
        </w:rPr>
        <w:t>GasLog Partners LP (NYSE:GLOP) (“GasLog Partners” or the “Partnership”) and GasLog Ltd. (NYSE:GLOG)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(“GasLog”) announced today that they have approved entering into two agreements:</w:t>
      </w:r>
    </w:p>
    <w:p>
      <w:pPr>
        <w:spacing w:after="0" w:line="211" w:lineRule="exact"/>
        <w:rPr>
          <w:sz w:val="20"/>
          <w:szCs w:val="20"/>
          <w:color w:val="auto"/>
        </w:rPr>
      </w:pPr>
    </w:p>
    <w:p>
      <w:pPr>
        <w:ind w:left="340" w:right="16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Partnership to purchase from GasLog 100% of the shares in the entity that owns and charters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(the “Acquisition”). The aggregate purchase price for the Acquisition will be $207 million, which includes $1 million for positive net working capital balances to be transferred with the vessel. The Acquisition is expected to close in the second quarter of 2018 and is subject to satisfaction of certain customary closing conditions. The Board of Directors of GasLog, the Board of Directors of GasLog Partners (the “Board”) and the Conflicts Committee of the Board have approved the Acquisition; and</w:t>
      </w:r>
    </w:p>
    <w:p>
      <w:pPr>
        <w:spacing w:after="0" w:line="188"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the Partnership to repay in full its $45 million unsecured term loan from GasLog (“New Sponsor Credit Facility”). The New Sponsor Credit Facility accrues interest at a rate of 9.125% per annum with an annual 1.0% commitment fee on the undrawn balance, with scheduled maturity in March 2022.</w:t>
      </w:r>
    </w:p>
    <w:p>
      <w:pPr>
        <w:spacing w:after="0" w:line="124"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GasLog Partners expects to satisfy the above transactions through a combination of (i) $58 million in cash on hand, sourced from the proceeds of its recent 8.200% Series B preference units offering; (ii) $45 million of new privately placed common units issued to GasLog</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(iii) the assumption of $149 million of existing debt on </w:t>
      </w:r>
      <w:r>
        <w:rPr>
          <w:rFonts w:ascii="Arial" w:cs="Arial" w:eastAsia="Arial" w:hAnsi="Arial"/>
          <w:sz w:val="18"/>
          <w:szCs w:val="18"/>
          <w:i w:val="1"/>
          <w:iCs w:val="1"/>
          <w:color w:val="auto"/>
        </w:rPr>
        <w:t>GasLog Gibraltar</w:t>
      </w:r>
      <w:r>
        <w:rPr>
          <w:rFonts w:ascii="Arial" w:cs="Arial" w:eastAsia="Arial" w:hAnsi="Arial"/>
          <w:sz w:val="18"/>
          <w:szCs w:val="18"/>
          <w:color w:val="auto"/>
        </w:rPr>
        <w:t>.</w:t>
      </w:r>
    </w:p>
    <w:p>
      <w:pPr>
        <w:spacing w:after="0" w:line="20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GasLog Gibraltar </w:t>
      </w:r>
      <w:r>
        <w:rPr>
          <w:rFonts w:ascii="Arial" w:cs="Arial" w:eastAsia="Arial" w:hAnsi="Arial"/>
          <w:sz w:val="17"/>
          <w:szCs w:val="17"/>
          <w:color w:val="auto"/>
        </w:rPr>
        <w:t>is a 174,000 cubic meter tri-fuel diesel electric liquefied natural gas (“LNG”) carrier built in 2016 and operated by GasLog since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The vessel is currently on a long-term time charter with a wholly owned subsidiary of Royal Dutch Shell plc (“Shell”) through October 2023. Shell has two consecutive extension options which, if exercised, would extend the charter for a period of either five or eight years.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The Partnership believes that the Acquisition will be immediately accretive to distributable cash flow per unit and is consistent with its strategy to grow cash distributions through dropdowns and third-party acquisitions. GasLog Partners estimates that </w:t>
      </w:r>
      <w:r>
        <w:rPr>
          <w:rFonts w:ascii="Arial" w:cs="Arial" w:eastAsia="Arial" w:hAnsi="Arial"/>
          <w:sz w:val="16"/>
          <w:szCs w:val="16"/>
          <w:i w:val="1"/>
          <w:iCs w:val="1"/>
          <w:color w:val="auto"/>
        </w:rPr>
        <w:t>GasLog Gibraltar</w:t>
      </w:r>
      <w:r>
        <w:rPr>
          <w:rFonts w:ascii="Arial" w:cs="Arial" w:eastAsia="Arial" w:hAnsi="Arial"/>
          <w:sz w:val="16"/>
          <w:szCs w:val="16"/>
          <w:color w:val="auto"/>
        </w:rPr>
        <w:t xml:space="preserve"> will add approximately $22.4 million to EBITDA</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in the first 12 months after closing. Accordingly, the Acquisition purchase price represents a multiple of approximately 9.2x estimated EBITDA. Upon closing, the Acquisition will be supportive of GasLog Partners’ guidance of 5% to 7% year-on-year distribution growth in 2018.</w:t>
      </w:r>
    </w:p>
    <w:p>
      <w:pPr>
        <w:spacing w:after="0" w:line="1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Andy Orekar, Chief Executive Officer of GasLog Partners, stated, “I am very pleased to continue executing our growth strategy with the accretive acquisition of </w:t>
      </w:r>
      <w:r>
        <w:rPr>
          <w:rFonts w:ascii="Arial" w:cs="Arial" w:eastAsia="Arial" w:hAnsi="Arial"/>
          <w:sz w:val="17"/>
          <w:szCs w:val="17"/>
          <w:i w:val="1"/>
          <w:iCs w:val="1"/>
          <w:color w:val="auto"/>
        </w:rPr>
        <w:t>GasLog Gibraltar</w:t>
      </w:r>
      <w:r>
        <w:rPr>
          <w:rFonts w:ascii="Arial" w:cs="Arial" w:eastAsia="Arial" w:hAnsi="Arial"/>
          <w:sz w:val="17"/>
          <w:szCs w:val="17"/>
          <w:color w:val="auto"/>
        </w:rPr>
        <w:t>. This 2016-built vessel is highly complementary to our strategy and its charter to Shell provides approximately five and a half years of stable cash flows at attractive fixed charter terms. In addition, the repayment in full of our highest cost debt is immediately accretive to our distributable cash flow per unit and strengthens our balance sheet. Furthermore, our partial satisfaction of the total consideration payable through the issuance of new privately placed common units to GasLog enables the Partnership to retain substantial liquidity to fund future growth.”</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Paul Wogan, Chief Executive Officer of GasLog, stated, “We continue to execute on our strategy of dropping vessels into GasLog Partners at a premium to book value and recycling the capital to GasLog. The receipt of newly issued, privately placed common units as partial consideration for the Acquisition increases our ownership in the Partnership to approximately 30%. Through our unit ownership and incentive distribution rights, we will benefit from future increases in GasLog Partners’ distributions, which should continue to enhance our cash flow, growth prospects and valuation.”</w:t>
      </w:r>
    </w:p>
    <w:p>
      <w:pPr>
        <w:spacing w:after="0" w:line="171" w:lineRule="exact"/>
        <w:rPr>
          <w:sz w:val="20"/>
          <w:szCs w:val="20"/>
          <w:color w:val="auto"/>
        </w:rPr>
      </w:pPr>
    </w:p>
    <w:p>
      <w:pPr>
        <w:ind w:right="300"/>
        <w:spacing w:after="0" w:line="227"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Number of and allocation between general partner and common units to be determined prior to closing of the Acquisition based on the volume weighted average pre-closing trading price of the Partnership’s common units.</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EBITDA is a non-GAAP financial measure. Please refer to Exhibit I for guidance on the underlying assumptions used to derive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13 LNG carriers with an average carrying capacity of approximately 156,000 cbm GasLog Partners’ principal executive offices are located at Gildo Pastor Center, 7 Rue du Gabian, MC 98000, Monaco. Visit GasLog Partners’ website at </w:t>
      </w:r>
      <w:r>
        <w:rPr>
          <w:rFonts w:ascii="Arial" w:cs="Arial" w:eastAsia="Arial" w:hAnsi="Arial"/>
          <w:sz w:val="18"/>
          <w:szCs w:val="18"/>
          <w:u w:val="single" w:color="auto"/>
          <w:color w:val="0000FF"/>
        </w:rPr>
        <w:t>http://www.gaslogmlp.com</w:t>
      </w:r>
      <w:r>
        <w:rPr>
          <w:rFonts w:ascii="Arial" w:cs="Arial" w:eastAsia="Arial" w:hAnsi="Arial"/>
          <w:sz w:val="18"/>
          <w:szCs w:val="18"/>
          <w:color w:val="000000"/>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GasLog is an international owner, operator and manager of LNG carriers providing support to international energy companies as part of their LNG logistics chain. GasLog’s consolidated owned fleet consists of 29 LNG carriers (24 ships on the water and 5 on order). GasLog also has an additional LNG carrier which was sold to a subsidiary of Mitsui Co. Ltd. and leased back under a long-term bareboat charter. Upon closing of the Acquisition, GasLog’s consolidated fleet will include 13 LNG carriers in operation owned by GasLog’s subsidiary, GasLog Partners. GasLog’s principal executive offices are at Gildo Pastor Center, 7 Rue du Gabian, MC 98000, Monaco. Visit GasLog’s website at </w:t>
      </w:r>
      <w:r>
        <w:rPr>
          <w:rFonts w:ascii="Arial" w:cs="Arial" w:eastAsia="Arial" w:hAnsi="Arial"/>
          <w:sz w:val="17"/>
          <w:szCs w:val="17"/>
          <w:u w:val="single" w:color="auto"/>
          <w:color w:val="0000FF"/>
        </w:rPr>
        <w:t>http://www.gaslogltd.com</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80" w:right="40" w:hanging="324"/>
        <w:spacing w:after="0" w:line="308" w:lineRule="auto"/>
        <w:tabs>
          <w:tab w:leader="none" w:pos="944"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ectPr>
          <w:pgSz w:w="11900" w:h="16899" w:orient="portrait"/>
          <w:cols w:equalWidth="0" w:num="1">
            <w:col w:w="11420"/>
          </w:cols>
          <w:pgMar w:left="240" w:top="126" w:right="239" w:bottom="0" w:gutter="0" w:footer="0" w:header="0"/>
        </w:sectPr>
      </w:pPr>
    </w:p>
    <w:bookmarkStart w:id="2" w:name="page3"/>
    <w:bookmarkEnd w:id="2"/>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Sponsor Credit Facility (as defined below)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48" w:lineRule="exact"/>
        <w:rPr>
          <w:rFonts w:ascii="Arial" w:cs="Arial" w:eastAsia="Arial" w:hAnsi="Arial"/>
          <w:sz w:val="16"/>
          <w:szCs w:val="16"/>
          <w:color w:val="auto"/>
        </w:rPr>
      </w:pPr>
    </w:p>
    <w:p>
      <w:pPr>
        <w:ind w:left="980" w:right="10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980" w:right="7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-4798060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ectPr>
          <w:pgSz w:w="11900" w:h="16838" w:orient="portrait"/>
          <w:cols w:equalWidth="0" w:num="1">
            <w:col w:w="11360"/>
          </w:cols>
          <w:pgMar w:left="240" w:top="341" w:right="299" w:bottom="9"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EBITDA</w:t>
      </w:r>
    </w:p>
    <w:p>
      <w:pPr>
        <w:spacing w:after="0" w:line="200" w:lineRule="exact"/>
        <w:rPr>
          <w:sz w:val="20"/>
          <w:szCs w:val="20"/>
          <w:color w:val="auto"/>
        </w:rPr>
      </w:pPr>
    </w:p>
    <w:p>
      <w:pPr>
        <w:spacing w:after="0" w:line="33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and analyzing the results of our operating and business performance, (ii) selecting between investing in us and other investment alternatives and</w:t>
      </w:r>
    </w:p>
    <w:p>
      <w:pPr>
        <w:spacing w:after="0" w:line="35" w:lineRule="exact"/>
        <w:rPr>
          <w:sz w:val="20"/>
          <w:szCs w:val="20"/>
          <w:color w:val="auto"/>
        </w:rPr>
      </w:pPr>
    </w:p>
    <w:p>
      <w:pPr>
        <w:ind w:right="300" w:firstLine="8"/>
        <w:spacing w:after="0" w:line="25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monitoring our ongoing financial and operational strength in assessing whether to continue to hold our common units. This increased comparability is achieved by excluding the potentially disparate effects between periods of interest, gain/loss on interest rate swaps, taxes, depreciation and amortization, which items are affected by various and possibly changing financing methods, financial market conditions, capital structure and historical cost basis and which items may significantly affect results of operations between periods.</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to how we do, limiting its usefulness as a comparative measure.</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entity owning GasLog Gibraltar, estimated EBITDA for the first 12 months of operation following the completion of the Acquisition is based on the following assumptions:</w:t>
      </w:r>
    </w:p>
    <w:p>
      <w:pPr>
        <w:spacing w:after="0" w:line="170"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closing of the Acquisition in the second quarter of 2018 and timely receipt of charter hire specified in the charter contracts;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utilization of 363 days and no drydocking;</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GasLog and GasLog Partners consider the above assumptions to be reasonable as of [March 21, 2018], but if these assumptions prove to be incorrect, actual EBITDA for the entity owning the vessel could differ 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document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2019-12-08T01:39:23Z</dcterms:created>
  <dcterms:modified xsi:type="dcterms:W3CDTF">2019-12-08T01:39:23Z</dcterms:modified>
</cp:coreProperties>
</file>